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94EEA">
      <w:pPr>
        <w:pStyle w:val="23"/>
        <w:keepNext w:val="0"/>
        <w:keepLines w:val="0"/>
        <w:pageBreakBefore/>
        <w:widowControl/>
        <w:kinsoku/>
        <w:wordWrap/>
        <w:overflowPunct/>
        <w:topLinePunct w:val="0"/>
        <w:autoSpaceDE/>
        <w:autoSpaceDN/>
        <w:bidi w:val="0"/>
        <w:adjustRightInd/>
        <w:snapToGrid/>
        <w:spacing w:before="0" w:beforeAutospacing="0" w:after="0" w:afterAutospacing="0"/>
        <w:contextualSpacing/>
        <w:jc w:val="center"/>
        <w:textAlignment w:val="auto"/>
        <w:outlineLvl w:val="0"/>
        <w:rPr>
          <w:rFonts w:hint="default" w:ascii="Times New Roman" w:hAnsi="Times New Roman" w:eastAsia="黑体" w:cs="Times New Roman"/>
          <w:snapToGrid w:val="0"/>
          <w:color w:val="auto"/>
          <w:sz w:val="30"/>
          <w:szCs w:val="30"/>
        </w:rPr>
      </w:pPr>
      <w:bookmarkStart w:id="0" w:name="_Toc20238"/>
      <w:r>
        <w:rPr>
          <w:rFonts w:hint="default" w:ascii="Times New Roman" w:hAnsi="Times New Roman" w:eastAsia="黑体" w:cs="Times New Roman"/>
          <w:snapToGrid w:val="0"/>
          <w:color w:val="auto"/>
          <w:sz w:val="30"/>
          <w:szCs w:val="30"/>
        </w:rPr>
        <w:drawing>
          <wp:inline distT="0" distB="0" distL="114300" distR="114300">
            <wp:extent cx="5756275" cy="8125460"/>
            <wp:effectExtent l="0" t="0" r="15875" b="8890"/>
            <wp:docPr id="13" name="图片 13" descr="盖章封面+资质 (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盖章封面+资质 (4)_00"/>
                    <pic:cNvPicPr>
                      <a:picLocks noChangeAspect="1"/>
                    </pic:cNvPicPr>
                  </pic:nvPicPr>
                  <pic:blipFill>
                    <a:blip r:embed="rId12"/>
                    <a:stretch>
                      <a:fillRect/>
                    </a:stretch>
                  </pic:blipFill>
                  <pic:spPr>
                    <a:xfrm>
                      <a:off x="0" y="0"/>
                      <a:ext cx="5756275" cy="8125460"/>
                    </a:xfrm>
                    <a:prstGeom prst="rect">
                      <a:avLst/>
                    </a:prstGeom>
                  </pic:spPr>
                </pic:pic>
              </a:graphicData>
            </a:graphic>
          </wp:inline>
        </w:drawing>
      </w:r>
      <w:r>
        <w:rPr>
          <w:rFonts w:hint="default" w:ascii="Times New Roman" w:hAnsi="Times New Roman" w:eastAsia="黑体" w:cs="Times New Roman"/>
          <w:snapToGrid w:val="0"/>
          <w:color w:val="auto"/>
          <w:sz w:val="30"/>
          <w:szCs w:val="30"/>
        </w:rPr>
        <w:drawing>
          <wp:inline distT="0" distB="0" distL="114300" distR="114300">
            <wp:extent cx="5758815" cy="8122285"/>
            <wp:effectExtent l="0" t="0" r="13335" b="12065"/>
            <wp:docPr id="9" name="图片 9" descr="盖章封面+资质 (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盖章封面+资质 (4)_02"/>
                    <pic:cNvPicPr>
                      <a:picLocks noChangeAspect="1"/>
                    </pic:cNvPicPr>
                  </pic:nvPicPr>
                  <pic:blipFill>
                    <a:blip r:embed="rId13"/>
                    <a:stretch>
                      <a:fillRect/>
                    </a:stretch>
                  </pic:blipFill>
                  <pic:spPr>
                    <a:xfrm>
                      <a:off x="0" y="0"/>
                      <a:ext cx="5758815" cy="8122285"/>
                    </a:xfrm>
                    <a:prstGeom prst="rect">
                      <a:avLst/>
                    </a:prstGeom>
                  </pic:spPr>
                </pic:pic>
              </a:graphicData>
            </a:graphic>
          </wp:inline>
        </w:drawing>
      </w:r>
      <w:bookmarkStart w:id="12" w:name="_GoBack"/>
      <w:bookmarkEnd w:id="12"/>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br w:type="textWrapping"/>
      </w:r>
      <w:r>
        <w:rPr>
          <w:rFonts w:hint="default" w:ascii="Times New Roman" w:hAnsi="Times New Roman" w:eastAsia="黑体" w:cs="Times New Roman"/>
          <w:snapToGrid w:val="0"/>
          <w:color w:val="auto"/>
          <w:sz w:val="30"/>
          <w:szCs w:val="30"/>
        </w:rPr>
        <w:t>一、建设项目基本情况</w:t>
      </w:r>
      <w:bookmarkEnd w:id="0"/>
    </w:p>
    <w:tbl>
      <w:tblPr>
        <w:tblStyle w:val="2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7"/>
        <w:gridCol w:w="867"/>
        <w:gridCol w:w="1913"/>
        <w:gridCol w:w="1932"/>
        <w:gridCol w:w="3325"/>
      </w:tblGrid>
      <w:tr w14:paraId="75E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8CFF3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7170" w:type="dxa"/>
            <w:gridSpan w:val="3"/>
            <w:vAlign w:val="center"/>
          </w:tcPr>
          <w:p w14:paraId="19D260D1">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新建年产焊机配件变压器50万只项目</w:t>
            </w:r>
          </w:p>
        </w:tc>
      </w:tr>
      <w:tr w14:paraId="3F2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34B8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7170" w:type="dxa"/>
            <w:gridSpan w:val="3"/>
            <w:vAlign w:val="center"/>
          </w:tcPr>
          <w:p w14:paraId="22FBB4A1">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eastAsia="zh-CN"/>
              </w:rPr>
              <w:t>250</w:t>
            </w:r>
            <w:r>
              <w:rPr>
                <w:rFonts w:hint="eastAsia" w:cs="Times New Roman"/>
                <w:color w:val="auto"/>
                <w:sz w:val="24"/>
                <w:lang w:val="en-US" w:eastAsia="zh-CN"/>
              </w:rPr>
              <w:t>3</w:t>
            </w:r>
            <w:r>
              <w:rPr>
                <w:rFonts w:hint="eastAsia" w:cs="Times New Roman"/>
                <w:color w:val="auto"/>
                <w:sz w:val="24"/>
                <w:lang w:eastAsia="zh-CN"/>
              </w:rPr>
              <w:t>-320413-04-01-325222</w:t>
            </w:r>
          </w:p>
        </w:tc>
      </w:tr>
      <w:tr w14:paraId="4814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588FEDF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913" w:type="dxa"/>
            <w:vAlign w:val="center"/>
          </w:tcPr>
          <w:p w14:paraId="42EF07CA">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黄振</w:t>
            </w:r>
          </w:p>
        </w:tc>
        <w:tc>
          <w:tcPr>
            <w:tcW w:w="1932" w:type="dxa"/>
            <w:vAlign w:val="center"/>
          </w:tcPr>
          <w:p w14:paraId="5CDA0FF5">
            <w:pPr>
              <w:adjustRightInd w:val="0"/>
              <w:snapToGrid w:val="0"/>
              <w:jc w:val="center"/>
              <w:rPr>
                <w:rFonts w:hint="default" w:cs="Times New Roman"/>
                <w:color w:val="auto"/>
                <w:sz w:val="24"/>
                <w:lang w:val="en-US" w:eastAsia="zh-CN"/>
              </w:rPr>
            </w:pPr>
            <w:r>
              <w:rPr>
                <w:rFonts w:hint="default" w:cs="Times New Roman"/>
                <w:color w:val="auto"/>
                <w:sz w:val="24"/>
                <w:lang w:val="en-US" w:eastAsia="zh-CN"/>
              </w:rPr>
              <w:t>联系方式</w:t>
            </w:r>
          </w:p>
        </w:tc>
        <w:tc>
          <w:tcPr>
            <w:tcW w:w="3325" w:type="dxa"/>
            <w:vAlign w:val="center"/>
          </w:tcPr>
          <w:p w14:paraId="2879F8F3">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val="en-US" w:eastAsia="zh-CN"/>
              </w:rPr>
              <w:t>18901498917</w:t>
            </w:r>
          </w:p>
        </w:tc>
      </w:tr>
      <w:tr w14:paraId="0184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02767C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170" w:type="dxa"/>
            <w:gridSpan w:val="3"/>
            <w:vAlign w:val="center"/>
          </w:tcPr>
          <w:p w14:paraId="5F50EBC1">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常州市金坛区指前镇洮西集镇府前路58号</w:t>
            </w:r>
          </w:p>
        </w:tc>
      </w:tr>
      <w:tr w14:paraId="32E5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D3F295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7170" w:type="dxa"/>
            <w:gridSpan w:val="3"/>
            <w:vAlign w:val="center"/>
          </w:tcPr>
          <w:p w14:paraId="5B5B7DA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u w:val="single"/>
              </w:rPr>
              <w:t>119</w:t>
            </w:r>
            <w:r>
              <w:rPr>
                <w:rFonts w:hint="default" w:ascii="Times New Roman" w:hAnsi="Times New Roman" w:eastAsia="宋体" w:cs="Times New Roman"/>
                <w:color w:val="auto"/>
                <w:sz w:val="24"/>
                <w:highlight w:val="none"/>
              </w:rPr>
              <w:t>度</w:t>
            </w:r>
            <w:r>
              <w:rPr>
                <w:rFonts w:hint="eastAsia" w:cs="Times New Roman"/>
                <w:color w:val="auto"/>
                <w:sz w:val="24"/>
                <w:highlight w:val="none"/>
                <w:u w:val="single"/>
                <w:lang w:val="en-US" w:eastAsia="zh-CN"/>
              </w:rPr>
              <w:t>31</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58.392</w:t>
            </w:r>
            <w:r>
              <w:rPr>
                <w:rFonts w:hint="default" w:ascii="Times New Roman" w:hAnsi="Times New Roman" w:eastAsia="宋体" w:cs="Times New Roman"/>
                <w:color w:val="auto"/>
                <w:sz w:val="24"/>
                <w:highlight w:val="none"/>
              </w:rPr>
              <w:t>秒，</w:t>
            </w:r>
            <w:r>
              <w:rPr>
                <w:rFonts w:hint="default" w:ascii="Times New Roman" w:hAnsi="Times New Roman" w:eastAsia="宋体" w:cs="Times New Roman"/>
                <w:color w:val="auto"/>
                <w:sz w:val="24"/>
                <w:highlight w:val="none"/>
                <w:u w:val="single"/>
              </w:rPr>
              <w:t>31</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4</w:t>
            </w:r>
            <w:r>
              <w:rPr>
                <w:rFonts w:hint="eastAsia" w:cs="Times New Roman"/>
                <w:color w:val="auto"/>
                <w:sz w:val="24"/>
                <w:highlight w:val="none"/>
                <w:u w:val="single"/>
                <w:lang w:val="en-US" w:eastAsia="zh-CN"/>
              </w:rPr>
              <w:t>0</w:t>
            </w:r>
            <w:r>
              <w:rPr>
                <w:rFonts w:hint="default" w:ascii="Times New Roman" w:hAnsi="Times New Roman" w:eastAsia="宋体" w:cs="Times New Roman"/>
                <w:color w:val="auto"/>
                <w:sz w:val="24"/>
                <w:highlight w:val="none"/>
              </w:rPr>
              <w:t>分</w:t>
            </w:r>
            <w:r>
              <w:rPr>
                <w:rFonts w:hint="eastAsia" w:cs="Times New Roman"/>
                <w:color w:val="auto"/>
                <w:sz w:val="24"/>
                <w:highlight w:val="none"/>
                <w:u w:val="single"/>
                <w:lang w:val="en-US" w:eastAsia="zh-CN"/>
              </w:rPr>
              <w:t>17.814</w:t>
            </w:r>
            <w:r>
              <w:rPr>
                <w:rFonts w:hint="default" w:ascii="Times New Roman" w:hAnsi="Times New Roman" w:eastAsia="宋体" w:cs="Times New Roman"/>
                <w:color w:val="auto"/>
                <w:sz w:val="24"/>
                <w:highlight w:val="none"/>
              </w:rPr>
              <w:t>秒）</w:t>
            </w:r>
          </w:p>
        </w:tc>
      </w:tr>
      <w:tr w14:paraId="0715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14:paraId="03297A7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14:paraId="772FF356">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913" w:type="dxa"/>
            <w:vAlign w:val="center"/>
          </w:tcPr>
          <w:p w14:paraId="316706F2">
            <w:pPr>
              <w:adjustRightInd w:val="0"/>
              <w:snapToGrid w:val="0"/>
              <w:jc w:val="center"/>
              <w:rPr>
                <w:rFonts w:hint="default" w:cs="Times New Roman"/>
                <w:color w:val="auto"/>
                <w:sz w:val="24"/>
                <w:lang w:val="en-US" w:eastAsia="zh-CN"/>
              </w:rPr>
            </w:pPr>
            <w:r>
              <w:rPr>
                <w:rFonts w:hint="eastAsia" w:cs="Times New Roman"/>
                <w:color w:val="auto"/>
                <w:sz w:val="24"/>
                <w:lang w:val="en-US" w:eastAsia="zh-CN"/>
              </w:rPr>
              <w:t>C3821变压器、整流器和电感器制造</w:t>
            </w:r>
          </w:p>
        </w:tc>
        <w:tc>
          <w:tcPr>
            <w:tcW w:w="1932" w:type="dxa"/>
            <w:vAlign w:val="center"/>
          </w:tcPr>
          <w:p w14:paraId="6E05A24B">
            <w:pPr>
              <w:adjustRightInd w:val="0"/>
              <w:snapToGrid w:val="0"/>
              <w:jc w:val="center"/>
              <w:rPr>
                <w:rFonts w:hint="default" w:ascii="Times New Roman" w:hAnsi="Times New Roman" w:eastAsia="宋体" w:cs="Times New Roman"/>
                <w:color w:val="auto"/>
                <w:sz w:val="24"/>
              </w:rPr>
            </w:pPr>
            <w:bookmarkStart w:id="1" w:name="_Hlk49843745"/>
            <w:r>
              <w:rPr>
                <w:rFonts w:hint="default" w:ascii="Times New Roman" w:hAnsi="Times New Roman" w:eastAsia="宋体" w:cs="Times New Roman"/>
                <w:color w:val="auto"/>
                <w:sz w:val="24"/>
              </w:rPr>
              <w:t>建设项目</w:t>
            </w:r>
          </w:p>
          <w:p w14:paraId="2F43913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1"/>
          </w:p>
        </w:tc>
        <w:tc>
          <w:tcPr>
            <w:tcW w:w="3325" w:type="dxa"/>
            <w:vAlign w:val="center"/>
          </w:tcPr>
          <w:p w14:paraId="4070056B">
            <w:pPr>
              <w:keepNext w:val="0"/>
              <w:keepLines w:val="0"/>
              <w:widowControl/>
              <w:suppressLineNumbers w:val="0"/>
              <w:jc w:val="left"/>
              <w:rPr>
                <w:rFonts w:hint="default"/>
                <w:color w:val="auto"/>
                <w:lang w:val="en-US" w:eastAsia="zh-CN"/>
              </w:rPr>
            </w:pP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十</w:t>
            </w:r>
            <w:r>
              <w:rPr>
                <w:rFonts w:hint="eastAsia" w:cs="Times New Roman"/>
                <w:color w:val="auto"/>
                <w:sz w:val="24"/>
                <w:szCs w:val="24"/>
                <w:lang w:val="en-US" w:eastAsia="zh-CN"/>
              </w:rPr>
              <w:t>五</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电气机械和器材制造业</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77输配电及控制设备制造382</w:t>
            </w:r>
          </w:p>
        </w:tc>
      </w:tr>
      <w:tr w14:paraId="1190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14:paraId="68354E89">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913" w:type="dxa"/>
            <w:vAlign w:val="center"/>
          </w:tcPr>
          <w:p w14:paraId="7ED6CD8F">
            <w:pPr>
              <w:jc w:val="left"/>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新建（迁建）</w:t>
            </w:r>
          </w:p>
          <w:p w14:paraId="5113451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改建</w:t>
            </w:r>
          </w:p>
          <w:p w14:paraId="692C84BB">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扩建</w:t>
            </w:r>
          </w:p>
          <w:p w14:paraId="40BD3F92">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技术改造</w:t>
            </w:r>
          </w:p>
        </w:tc>
        <w:tc>
          <w:tcPr>
            <w:tcW w:w="1932" w:type="dxa"/>
            <w:vAlign w:val="center"/>
          </w:tcPr>
          <w:p w14:paraId="4A214C4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190CA623">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3325" w:type="dxa"/>
            <w:vAlign w:val="center"/>
          </w:tcPr>
          <w:p w14:paraId="316C1BDA">
            <w:pPr>
              <w:jc w:val="left"/>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首次申报项目</w:t>
            </w:r>
          </w:p>
          <w:p w14:paraId="75A5C3AC">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不予批准后再次申报项目</w:t>
            </w:r>
          </w:p>
          <w:p w14:paraId="7D667DB8">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超五年重新审核项目</w:t>
            </w:r>
          </w:p>
          <w:p w14:paraId="66941BCD">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重大变动重新报批项目</w:t>
            </w:r>
          </w:p>
        </w:tc>
      </w:tr>
      <w:tr w14:paraId="407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14:paraId="57F7B12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项目审批部门</w:t>
            </w:r>
          </w:p>
        </w:tc>
        <w:tc>
          <w:tcPr>
            <w:tcW w:w="1913" w:type="dxa"/>
            <w:vAlign w:val="center"/>
          </w:tcPr>
          <w:p w14:paraId="13D4A2AD">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常州市金坛区发展和改革局</w:t>
            </w:r>
          </w:p>
        </w:tc>
        <w:tc>
          <w:tcPr>
            <w:tcW w:w="1932" w:type="dxa"/>
            <w:vAlign w:val="center"/>
          </w:tcPr>
          <w:p w14:paraId="1CC95F8B">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项目审批文号</w:t>
            </w:r>
          </w:p>
        </w:tc>
        <w:tc>
          <w:tcPr>
            <w:tcW w:w="3325" w:type="dxa"/>
            <w:vAlign w:val="center"/>
          </w:tcPr>
          <w:p w14:paraId="754AFEEA">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坛发改备〔2025〕171 号</w:t>
            </w:r>
          </w:p>
        </w:tc>
      </w:tr>
      <w:tr w14:paraId="577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069744E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1913" w:type="dxa"/>
            <w:vAlign w:val="center"/>
          </w:tcPr>
          <w:p w14:paraId="74A87DF8">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3000</w:t>
            </w:r>
          </w:p>
        </w:tc>
        <w:tc>
          <w:tcPr>
            <w:tcW w:w="1932" w:type="dxa"/>
            <w:tcMar>
              <w:top w:w="16" w:type="dxa"/>
              <w:left w:w="16" w:type="dxa"/>
              <w:right w:w="16" w:type="dxa"/>
            </w:tcMar>
            <w:vAlign w:val="center"/>
          </w:tcPr>
          <w:p w14:paraId="2D27B432">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环保投资（万元）</w:t>
            </w:r>
          </w:p>
        </w:tc>
        <w:tc>
          <w:tcPr>
            <w:tcW w:w="3325" w:type="dxa"/>
            <w:vAlign w:val="center"/>
          </w:tcPr>
          <w:p w14:paraId="71D570F8">
            <w:pPr>
              <w:adjustRightInd w:val="0"/>
              <w:snapToGrid w:val="0"/>
              <w:jc w:val="center"/>
              <w:rPr>
                <w:rFonts w:hint="default" w:ascii="Times New Roman" w:hAnsi="Times New Roman" w:eastAsia="宋体" w:cs="Times New Roman"/>
                <w:color w:val="auto"/>
                <w:sz w:val="24"/>
                <w:lang w:val="en-US"/>
              </w:rPr>
            </w:pPr>
            <w:r>
              <w:rPr>
                <w:rFonts w:hint="eastAsia" w:cs="Times New Roman"/>
                <w:color w:val="auto"/>
                <w:sz w:val="24"/>
                <w:lang w:val="en-US" w:eastAsia="zh-CN"/>
              </w:rPr>
              <w:t>30</w:t>
            </w:r>
          </w:p>
        </w:tc>
      </w:tr>
      <w:tr w14:paraId="6CB1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72A1038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913" w:type="dxa"/>
            <w:vAlign w:val="center"/>
          </w:tcPr>
          <w:p w14:paraId="7DF5DDEC">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1.0</w:t>
            </w:r>
          </w:p>
        </w:tc>
        <w:tc>
          <w:tcPr>
            <w:tcW w:w="1932" w:type="dxa"/>
            <w:tcMar>
              <w:top w:w="16" w:type="dxa"/>
              <w:left w:w="16" w:type="dxa"/>
              <w:right w:w="16" w:type="dxa"/>
            </w:tcMar>
            <w:vAlign w:val="center"/>
          </w:tcPr>
          <w:p w14:paraId="0D2118BF">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3325" w:type="dxa"/>
            <w:vAlign w:val="center"/>
          </w:tcPr>
          <w:p w14:paraId="06A4F1E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6</w:t>
            </w:r>
            <w:r>
              <w:rPr>
                <w:rFonts w:hint="default" w:ascii="Times New Roman" w:hAnsi="Times New Roman" w:eastAsia="宋体" w:cs="Times New Roman"/>
                <w:color w:val="auto"/>
                <w:sz w:val="24"/>
                <w:lang w:val="en-US" w:eastAsia="zh-CN"/>
              </w:rPr>
              <w:t>个月</w:t>
            </w:r>
          </w:p>
        </w:tc>
      </w:tr>
      <w:tr w14:paraId="526C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14:paraId="3DCE4DDD">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913" w:type="dxa"/>
            <w:vAlign w:val="center"/>
          </w:tcPr>
          <w:p w14:paraId="6043B63A">
            <w:pPr>
              <w:adjustRightInd w:val="0"/>
              <w:snapToGrid w:val="0"/>
              <w:rPr>
                <w:rFonts w:hint="default" w:ascii="Times New Roman" w:hAnsi="Times New Roman" w:eastAsia="宋体" w:cs="Times New Roman"/>
                <w:color w:val="auto"/>
                <w:sz w:val="24"/>
              </w:rPr>
            </w:pPr>
            <w:r>
              <w:rPr>
                <w:rFonts w:hint="default" w:ascii="Arial" w:hAnsi="Arial" w:eastAsia="宋体" w:cs="Arial"/>
                <w:color w:val="auto"/>
                <w:sz w:val="24"/>
              </w:rPr>
              <w:t>√</w:t>
            </w:r>
            <w:r>
              <w:rPr>
                <w:rFonts w:hint="default" w:ascii="Times New Roman" w:hAnsi="Times New Roman" w:eastAsia="宋体" w:cs="Times New Roman"/>
                <w:color w:val="auto"/>
                <w:sz w:val="24"/>
              </w:rPr>
              <w:t>否</w:t>
            </w:r>
          </w:p>
          <w:p w14:paraId="7B3AB251">
            <w:pPr>
              <w:adjustRightInd w:val="0"/>
              <w:snapToGrid w:val="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sym w:font="Wingdings 2" w:char="00A3"/>
            </w:r>
            <w:r>
              <w:rPr>
                <w:rFonts w:hint="default" w:ascii="Times New Roman" w:hAnsi="Times New Roman" w:eastAsia="宋体" w:cs="Times New Roman"/>
                <w:color w:val="auto"/>
                <w:sz w:val="24"/>
              </w:rPr>
              <w:t>是：</w:t>
            </w:r>
          </w:p>
        </w:tc>
        <w:tc>
          <w:tcPr>
            <w:tcW w:w="1932" w:type="dxa"/>
            <w:tcMar>
              <w:top w:w="16" w:type="dxa"/>
              <w:left w:w="16" w:type="dxa"/>
              <w:right w:w="16" w:type="dxa"/>
            </w:tcMar>
            <w:vAlign w:val="center"/>
          </w:tcPr>
          <w:p w14:paraId="0C09A1DE">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6"/>
                <w:sz w:val="24"/>
              </w:rPr>
              <w:t>用地面积（m</w:t>
            </w:r>
            <w:r>
              <w:rPr>
                <w:rFonts w:hint="default" w:ascii="Times New Roman" w:hAnsi="Times New Roman" w:eastAsia="宋体" w:cs="Times New Roman"/>
                <w:color w:val="auto"/>
                <w:spacing w:val="-6"/>
                <w:sz w:val="24"/>
                <w:vertAlign w:val="superscript"/>
              </w:rPr>
              <w:t>2</w:t>
            </w:r>
            <w:r>
              <w:rPr>
                <w:rFonts w:hint="default" w:ascii="Times New Roman" w:hAnsi="Times New Roman" w:eastAsia="宋体" w:cs="Times New Roman"/>
                <w:color w:val="auto"/>
                <w:spacing w:val="-6"/>
                <w:sz w:val="24"/>
              </w:rPr>
              <w:t>）</w:t>
            </w:r>
          </w:p>
        </w:tc>
        <w:tc>
          <w:tcPr>
            <w:tcW w:w="3325" w:type="dxa"/>
            <w:vAlign w:val="center"/>
          </w:tcPr>
          <w:p w14:paraId="46EC4C13">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000（租用）</w:t>
            </w:r>
          </w:p>
        </w:tc>
      </w:tr>
      <w:tr w14:paraId="4EF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4" w:type="dxa"/>
            <w:gridSpan w:val="2"/>
            <w:vAlign w:val="center"/>
          </w:tcPr>
          <w:p w14:paraId="66E051C0">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7170" w:type="dxa"/>
            <w:gridSpan w:val="3"/>
            <w:vAlign w:val="center"/>
          </w:tcPr>
          <w:p w14:paraId="5264EECB">
            <w:pPr>
              <w:keepNext w:val="0"/>
              <w:keepLines w:val="0"/>
              <w:widowControl/>
              <w:suppressLineNumbers w:val="0"/>
              <w:spacing w:before="0" w:beforeAutospacing="0" w:after="0" w:afterAutospacing="0"/>
              <w:ind w:left="0" w:right="0"/>
              <w:jc w:val="left"/>
              <w:rPr>
                <w:rFonts w:hint="default" w:cs="Times New Roman"/>
                <w:color w:val="auto"/>
                <w:sz w:val="24"/>
                <w:szCs w:val="24"/>
              </w:rPr>
            </w:pPr>
            <w:r>
              <w:rPr>
                <w:rFonts w:hint="eastAsia" w:ascii="宋体" w:hAnsi="宋体" w:eastAsia="宋体" w:cs="宋体"/>
                <w:color w:val="auto"/>
                <w:kern w:val="0"/>
                <w:sz w:val="24"/>
                <w:szCs w:val="24"/>
                <w:lang w:val="en-US" w:eastAsia="zh-CN" w:bidi="ar"/>
              </w:rPr>
              <w:t>专项评价设置对照表对照情况如下：</w:t>
            </w:r>
          </w:p>
          <w:p w14:paraId="6BD76168">
            <w:pPr>
              <w:pStyle w:val="5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表</w:t>
            </w:r>
            <w:r>
              <w:rPr>
                <w:rFonts w:hint="default" w:ascii="Times New Roman" w:hAnsi="Times New Roman" w:eastAsia="宋体" w:cs="Times New Roman"/>
                <w:b/>
                <w:bCs/>
                <w:color w:val="auto"/>
                <w:kern w:val="2"/>
                <w:sz w:val="21"/>
                <w:szCs w:val="24"/>
                <w:lang w:val="en-US" w:eastAsia="zh-CN" w:bidi="ar-SA"/>
              </w:rPr>
              <w:t xml:space="preserve">1-1 </w:t>
            </w:r>
            <w:r>
              <w:rPr>
                <w:rFonts w:hint="eastAsia" w:ascii="Times New Roman" w:hAnsi="Times New Roman" w:eastAsia="宋体" w:cs="Times New Roman"/>
                <w:b/>
                <w:bCs/>
                <w:color w:val="auto"/>
                <w:kern w:val="2"/>
                <w:sz w:val="21"/>
                <w:szCs w:val="24"/>
                <w:lang w:val="en-US" w:eastAsia="zh-CN" w:bidi="ar-SA"/>
              </w:rPr>
              <w:t xml:space="preserve"> 专项评价设置对照表</w:t>
            </w:r>
          </w:p>
          <w:tbl>
            <w:tblPr>
              <w:tblStyle w:val="2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2875"/>
              <w:gridCol w:w="2320"/>
              <w:gridCol w:w="723"/>
            </w:tblGrid>
            <w:tr w14:paraId="2997E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43" w:type="pct"/>
                  <w:tcBorders>
                    <w:tl2br w:val="nil"/>
                    <w:tr2bl w:val="nil"/>
                  </w:tcBorders>
                  <w:noWrap w:val="0"/>
                  <w:vAlign w:val="center"/>
                </w:tcPr>
                <w:p w14:paraId="6B0AAF1A">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专项评价的类别</w:t>
                  </w:r>
                </w:p>
              </w:tc>
              <w:tc>
                <w:tcPr>
                  <w:tcW w:w="2067" w:type="pct"/>
                  <w:tcBorders>
                    <w:tl2br w:val="nil"/>
                    <w:tr2bl w:val="nil"/>
                  </w:tcBorders>
                  <w:noWrap w:val="0"/>
                  <w:vAlign w:val="center"/>
                </w:tcPr>
                <w:p w14:paraId="689BA091">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设置原则</w:t>
                  </w:r>
                </w:p>
              </w:tc>
              <w:tc>
                <w:tcPr>
                  <w:tcW w:w="1668" w:type="pct"/>
                  <w:tcBorders>
                    <w:tl2br w:val="nil"/>
                    <w:tr2bl w:val="nil"/>
                  </w:tcBorders>
                  <w:noWrap w:val="0"/>
                  <w:vAlign w:val="center"/>
                </w:tcPr>
                <w:p w14:paraId="52952B6E">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对照情况</w:t>
                  </w:r>
                </w:p>
              </w:tc>
              <w:tc>
                <w:tcPr>
                  <w:tcW w:w="520" w:type="pct"/>
                  <w:tcBorders>
                    <w:tl2br w:val="nil"/>
                    <w:tr2bl w:val="nil"/>
                  </w:tcBorders>
                  <w:noWrap w:val="0"/>
                  <w:vAlign w:val="center"/>
                </w:tcPr>
                <w:p w14:paraId="518B8C79">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是否设置</w:t>
                  </w:r>
                </w:p>
              </w:tc>
            </w:tr>
            <w:tr w14:paraId="284C99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43" w:type="pct"/>
                  <w:tcBorders>
                    <w:tl2br w:val="nil"/>
                    <w:tr2bl w:val="nil"/>
                  </w:tcBorders>
                  <w:noWrap w:val="0"/>
                  <w:vAlign w:val="center"/>
                </w:tcPr>
                <w:p w14:paraId="5914A729">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w:t>
                  </w:r>
                </w:p>
              </w:tc>
              <w:tc>
                <w:tcPr>
                  <w:tcW w:w="2067" w:type="pct"/>
                  <w:tcBorders>
                    <w:tl2br w:val="nil"/>
                    <w:tr2bl w:val="nil"/>
                  </w:tcBorders>
                  <w:noWrap w:val="0"/>
                  <w:vAlign w:val="center"/>
                </w:tcPr>
                <w:p w14:paraId="38F9B240">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排放废气含有毒有害污染物</w:t>
                  </w:r>
                  <w:r>
                    <w:rPr>
                      <w:rFonts w:hint="default" w:ascii="Times New Roman" w:hAnsi="Times New Roman" w:eastAsia="宋体" w:cs="Times New Roman"/>
                      <w:color w:val="auto"/>
                      <w:sz w:val="21"/>
                      <w:szCs w:val="21"/>
                      <w:vertAlign w:val="superscript"/>
                      <w:lang w:val="en-US" w:eastAsia="zh-CN"/>
                    </w:rPr>
                    <w:t>1</w:t>
                  </w:r>
                  <w:r>
                    <w:rPr>
                      <w:rFonts w:hint="default" w:ascii="Times New Roman" w:hAnsi="Times New Roman" w:eastAsia="宋体" w:cs="Times New Roman"/>
                      <w:color w:val="auto"/>
                      <w:sz w:val="21"/>
                      <w:szCs w:val="21"/>
                      <w:lang w:val="en-US" w:eastAsia="zh-CN"/>
                    </w:rPr>
                    <w:t>、二嗯英、苯并〔a〕芘、氰化物、氯气且厂界外500米范围内有环境空气保护目标</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的建设项目</w:t>
                  </w:r>
                </w:p>
              </w:tc>
              <w:tc>
                <w:tcPr>
                  <w:tcW w:w="1668" w:type="pct"/>
                  <w:tcBorders>
                    <w:tl2br w:val="nil"/>
                    <w:tr2bl w:val="nil"/>
                  </w:tcBorders>
                  <w:noWrap w:val="0"/>
                  <w:vAlign w:val="center"/>
                </w:tcPr>
                <w:p w14:paraId="239F28D5">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w:t>
                  </w:r>
                  <w:r>
                    <w:rPr>
                      <w:rFonts w:hint="eastAsia" w:ascii="Times New Roman" w:hAnsi="Times New Roman" w:eastAsia="宋体" w:cs="Times New Roman"/>
                      <w:b w:val="0"/>
                      <w:bCs w:val="0"/>
                      <w:color w:val="auto"/>
                      <w:sz w:val="21"/>
                      <w:szCs w:val="21"/>
                      <w:lang w:val="en-US" w:eastAsia="zh-CN"/>
                    </w:rPr>
                    <w:t>不</w:t>
                  </w:r>
                  <w:r>
                    <w:rPr>
                      <w:rFonts w:hint="default" w:ascii="Times New Roman" w:hAnsi="Times New Roman" w:eastAsia="宋体" w:cs="Times New Roman"/>
                      <w:b w:val="0"/>
                      <w:bCs w:val="0"/>
                      <w:color w:val="auto"/>
                      <w:sz w:val="21"/>
                      <w:szCs w:val="21"/>
                      <w:lang w:val="en-US" w:eastAsia="zh-CN"/>
                    </w:rPr>
                    <w:t>涉及有毒有害污染物</w:t>
                  </w:r>
                </w:p>
              </w:tc>
              <w:tc>
                <w:tcPr>
                  <w:tcW w:w="520" w:type="pct"/>
                  <w:tcBorders>
                    <w:tl2br w:val="nil"/>
                    <w:tr2bl w:val="nil"/>
                  </w:tcBorders>
                  <w:noWrap w:val="0"/>
                  <w:vAlign w:val="center"/>
                </w:tcPr>
                <w:p w14:paraId="314F628F">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6E5E55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43" w:type="pct"/>
                  <w:tcBorders>
                    <w:tl2br w:val="nil"/>
                    <w:tr2bl w:val="nil"/>
                  </w:tcBorders>
                  <w:noWrap w:val="0"/>
                  <w:vAlign w:val="center"/>
                </w:tcPr>
                <w:p w14:paraId="5A8AF889">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2067" w:type="pct"/>
                  <w:tcBorders>
                    <w:tl2br w:val="nil"/>
                    <w:tr2bl w:val="nil"/>
                  </w:tcBorders>
                  <w:noWrap w:val="0"/>
                  <w:vAlign w:val="center"/>
                </w:tcPr>
                <w:p w14:paraId="55E85BDC">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新增工业废水直排建设项目（槽罐车外送污水处理厂的除外）；新增废水直排的污水集中处理厂</w:t>
                  </w:r>
                </w:p>
              </w:tc>
              <w:tc>
                <w:tcPr>
                  <w:tcW w:w="1668" w:type="pct"/>
                  <w:tcBorders>
                    <w:tl2br w:val="nil"/>
                    <w:tr2bl w:val="nil"/>
                  </w:tcBorders>
                  <w:noWrap w:val="0"/>
                  <w:vAlign w:val="center"/>
                </w:tcPr>
                <w:p w14:paraId="1FA313ED">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本项目不涉及工业废水的直排</w:t>
                  </w:r>
                </w:p>
              </w:tc>
              <w:tc>
                <w:tcPr>
                  <w:tcW w:w="520" w:type="pct"/>
                  <w:tcBorders>
                    <w:tl2br w:val="nil"/>
                    <w:tr2bl w:val="nil"/>
                  </w:tcBorders>
                  <w:noWrap w:val="0"/>
                  <w:vAlign w:val="center"/>
                </w:tcPr>
                <w:p w14:paraId="1473E68C">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4C4FB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43" w:type="pct"/>
                  <w:tcBorders>
                    <w:tl2br w:val="nil"/>
                    <w:tr2bl w:val="nil"/>
                  </w:tcBorders>
                  <w:noWrap w:val="0"/>
                  <w:vAlign w:val="center"/>
                </w:tcPr>
                <w:p w14:paraId="4EFE8A50">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tc>
              <w:tc>
                <w:tcPr>
                  <w:tcW w:w="2067" w:type="pct"/>
                  <w:tcBorders>
                    <w:tl2br w:val="nil"/>
                    <w:tr2bl w:val="nil"/>
                  </w:tcBorders>
                  <w:noWrap w:val="0"/>
                  <w:vAlign w:val="center"/>
                </w:tcPr>
                <w:p w14:paraId="6F7CA18E">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有毒有害和易燃易爆危险物质存储量超过临界量</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的建设项目</w:t>
                  </w:r>
                </w:p>
              </w:tc>
              <w:tc>
                <w:tcPr>
                  <w:tcW w:w="1668" w:type="pct"/>
                  <w:tcBorders>
                    <w:tl2br w:val="nil"/>
                    <w:tr2bl w:val="nil"/>
                  </w:tcBorders>
                  <w:noWrap w:val="0"/>
                  <w:vAlign w:val="center"/>
                </w:tcPr>
                <w:p w14:paraId="3F5DBB4C">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本项目危险物质存储量不超过临界量</w:t>
                  </w:r>
                </w:p>
              </w:tc>
              <w:tc>
                <w:tcPr>
                  <w:tcW w:w="520" w:type="pct"/>
                  <w:tcBorders>
                    <w:tl2br w:val="nil"/>
                    <w:tr2bl w:val="nil"/>
                  </w:tcBorders>
                  <w:noWrap w:val="0"/>
                  <w:vAlign w:val="center"/>
                </w:tcPr>
                <w:p w14:paraId="1306FAB3">
                  <w:pPr>
                    <w:pStyle w:val="106"/>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481CFD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43" w:type="pct"/>
                  <w:tcBorders>
                    <w:tl2br w:val="nil"/>
                    <w:tr2bl w:val="nil"/>
                  </w:tcBorders>
                  <w:noWrap w:val="0"/>
                  <w:vAlign w:val="center"/>
                </w:tcPr>
                <w:p w14:paraId="22B97C0A">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生态</w:t>
                  </w:r>
                </w:p>
              </w:tc>
              <w:tc>
                <w:tcPr>
                  <w:tcW w:w="2067" w:type="pct"/>
                  <w:tcBorders>
                    <w:tl2br w:val="nil"/>
                    <w:tr2bl w:val="nil"/>
                  </w:tcBorders>
                  <w:noWrap w:val="0"/>
                  <w:vAlign w:val="center"/>
                </w:tcPr>
                <w:p w14:paraId="6BA8BC88">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取水口下游500米范围内有重要水生生物的自然产卵场、索饵场、越冬场和洄游通道的新增河道取水的污染类建设项目</w:t>
                  </w:r>
                </w:p>
              </w:tc>
              <w:tc>
                <w:tcPr>
                  <w:tcW w:w="1668" w:type="pct"/>
                  <w:tcBorders>
                    <w:tl2br w:val="nil"/>
                    <w:tr2bl w:val="nil"/>
                  </w:tcBorders>
                  <w:noWrap w:val="0"/>
                  <w:vAlign w:val="center"/>
                </w:tcPr>
                <w:p w14:paraId="27ECAA48">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p>
              </w:tc>
              <w:tc>
                <w:tcPr>
                  <w:tcW w:w="520" w:type="pct"/>
                  <w:tcBorders>
                    <w:tl2br w:val="nil"/>
                    <w:tr2bl w:val="nil"/>
                  </w:tcBorders>
                  <w:noWrap w:val="0"/>
                  <w:vAlign w:val="center"/>
                </w:tcPr>
                <w:p w14:paraId="641D9DC0">
                  <w:pPr>
                    <w:pStyle w:val="106"/>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14:paraId="680EB3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43" w:type="pct"/>
                  <w:tcBorders>
                    <w:tl2br w:val="nil"/>
                    <w:tr2bl w:val="nil"/>
                  </w:tcBorders>
                  <w:noWrap w:val="0"/>
                  <w:vAlign w:val="center"/>
                </w:tcPr>
                <w:p w14:paraId="1AC8F24F">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海洋</w:t>
                  </w:r>
                </w:p>
              </w:tc>
              <w:tc>
                <w:tcPr>
                  <w:tcW w:w="2067" w:type="pct"/>
                  <w:tcBorders>
                    <w:tl2br w:val="nil"/>
                    <w:tr2bl w:val="nil"/>
                  </w:tcBorders>
                  <w:noWrap w:val="0"/>
                  <w:vAlign w:val="center"/>
                </w:tcPr>
                <w:p w14:paraId="70DC9FF9">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直接向海排放污染物的海洋工程建设项目</w:t>
                  </w:r>
                </w:p>
              </w:tc>
              <w:tc>
                <w:tcPr>
                  <w:tcW w:w="1668" w:type="pct"/>
                  <w:tcBorders>
                    <w:tl2br w:val="nil"/>
                    <w:tr2bl w:val="nil"/>
                  </w:tcBorders>
                  <w:noWrap w:val="0"/>
                  <w:vAlign w:val="center"/>
                </w:tcPr>
                <w:p w14:paraId="66B49CE0">
                  <w:pPr>
                    <w:pStyle w:val="106"/>
                    <w:keepNext w:val="0"/>
                    <w:keepLines w:val="0"/>
                    <w:pageBreakBefore w:val="0"/>
                    <w:widowControl w:val="0"/>
                    <w:suppressLineNumbers w:val="0"/>
                    <w:kinsoku/>
                    <w:wordWrap/>
                    <w:overflowPunct/>
                    <w:topLinePunct w:val="0"/>
                    <w:bidi w:val="0"/>
                    <w:spacing w:before="0" w:beforeAutospacing="0" w:after="0" w:afterAutospacing="0"/>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p>
              </w:tc>
              <w:tc>
                <w:tcPr>
                  <w:tcW w:w="520" w:type="pct"/>
                  <w:tcBorders>
                    <w:tl2br w:val="nil"/>
                    <w:tr2bl w:val="nil"/>
                  </w:tcBorders>
                  <w:noWrap w:val="0"/>
                  <w:vAlign w:val="center"/>
                </w:tcPr>
                <w:p w14:paraId="12F5C070">
                  <w:pPr>
                    <w:pStyle w:val="106"/>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bl>
          <w:p w14:paraId="3DFE6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注：1.废气中有毒有害污染物指纳入《有毒有害大气污染物名录》的污染物（不包括无排放标准的污染物）。</w:t>
            </w:r>
          </w:p>
          <w:p w14:paraId="5F546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2.环境空气保护目标指自然保护区、风景名胜区、居住区、文化区和农村地区中人群较集中的区域。</w:t>
            </w:r>
          </w:p>
          <w:p w14:paraId="2FA78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Cs w:val="21"/>
                <w:lang w:eastAsia="zh-CN"/>
              </w:rPr>
              <w:t>3.临界量及其计算方法可参考《建设项目环境风险评价技术导则》（HJ 169）附录B、附录C。</w:t>
            </w:r>
          </w:p>
        </w:tc>
      </w:tr>
      <w:tr w14:paraId="4BF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1734" w:type="dxa"/>
            <w:gridSpan w:val="2"/>
            <w:vAlign w:val="center"/>
          </w:tcPr>
          <w:p w14:paraId="0692DB62">
            <w:pPr>
              <w:autoSpaceDE w:val="0"/>
              <w:autoSpaceDN w:val="0"/>
              <w:adjustRightInd w:val="0"/>
              <w:snapToGrid w:val="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规划情况</w:t>
            </w:r>
          </w:p>
        </w:tc>
        <w:tc>
          <w:tcPr>
            <w:tcW w:w="7170" w:type="dxa"/>
            <w:gridSpan w:val="3"/>
            <w:vAlign w:val="center"/>
          </w:tcPr>
          <w:p w14:paraId="48D5368F">
            <w:pPr>
              <w:pStyle w:val="8"/>
              <w:keepNext w:val="0"/>
              <w:keepLines w:val="0"/>
              <w:pageBreakBefore w:val="0"/>
              <w:widowControl w:val="0"/>
              <w:kinsoku/>
              <w:wordWrap/>
              <w:overflowPunct/>
              <w:topLinePunct w:val="0"/>
              <w:autoSpaceDE/>
              <w:autoSpaceDN/>
              <w:bidi w:val="0"/>
              <w:adjustRightInd/>
              <w:snapToGrid/>
              <w:spacing w:line="360" w:lineRule="auto"/>
              <w:ind w:right="113"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w:t>
            </w:r>
          </w:p>
        </w:tc>
      </w:tr>
      <w:tr w14:paraId="5C8B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34" w:type="dxa"/>
            <w:gridSpan w:val="2"/>
            <w:vAlign w:val="center"/>
          </w:tcPr>
          <w:p w14:paraId="0AB91525">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w:t>
            </w:r>
          </w:p>
          <w:p w14:paraId="6FB1891C">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评价情况</w:t>
            </w:r>
          </w:p>
        </w:tc>
        <w:tc>
          <w:tcPr>
            <w:tcW w:w="7170" w:type="dxa"/>
            <w:gridSpan w:val="3"/>
            <w:vAlign w:val="center"/>
          </w:tcPr>
          <w:p w14:paraId="3B028DF9">
            <w:pPr>
              <w:pStyle w:val="8"/>
              <w:keepNext w:val="0"/>
              <w:keepLines w:val="0"/>
              <w:pageBreakBefore w:val="0"/>
              <w:widowControl w:val="0"/>
              <w:kinsoku/>
              <w:wordWrap/>
              <w:overflowPunct/>
              <w:topLinePunct w:val="0"/>
              <w:autoSpaceDE/>
              <w:autoSpaceDN/>
              <w:bidi w:val="0"/>
              <w:adjustRightInd/>
              <w:snapToGrid/>
              <w:spacing w:line="360" w:lineRule="auto"/>
              <w:ind w:right="113" w:rightChars="0" w:firstLine="0" w:firstLineChars="0"/>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lang w:val="en-US" w:eastAsia="zh-CN"/>
              </w:rPr>
              <w:t>/</w:t>
            </w:r>
          </w:p>
        </w:tc>
      </w:tr>
      <w:tr w14:paraId="364D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734" w:type="dxa"/>
            <w:gridSpan w:val="2"/>
            <w:vAlign w:val="center"/>
          </w:tcPr>
          <w:p w14:paraId="782655B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规划及规划环境影响评价符合性分析</w:t>
            </w:r>
          </w:p>
        </w:tc>
        <w:tc>
          <w:tcPr>
            <w:tcW w:w="7170" w:type="dxa"/>
            <w:gridSpan w:val="3"/>
            <w:vAlign w:val="center"/>
          </w:tcPr>
          <w:p w14:paraId="2FCC8A9E">
            <w:pPr>
              <w:pStyle w:val="8"/>
              <w:widowControl/>
              <w:adjustRightInd w:val="0"/>
              <w:snapToGrid w:val="0"/>
              <w:spacing w:line="480" w:lineRule="exact"/>
              <w:ind w:right="113" w:rightChars="0"/>
              <w:jc w:val="center"/>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lang w:val="en-US" w:eastAsia="zh-CN"/>
              </w:rPr>
              <w:t>/</w:t>
            </w:r>
          </w:p>
        </w:tc>
      </w:tr>
      <w:tr w14:paraId="3768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867" w:type="dxa"/>
            <w:vAlign w:val="center"/>
          </w:tcPr>
          <w:p w14:paraId="70715191">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rPr>
              <w:t>其他符合性分析</w:t>
            </w:r>
          </w:p>
        </w:tc>
        <w:tc>
          <w:tcPr>
            <w:tcW w:w="8037" w:type="dxa"/>
            <w:gridSpan w:val="4"/>
            <w:vAlign w:val="center"/>
          </w:tcPr>
          <w:p w14:paraId="1A5D09D9">
            <w:pPr>
              <w:keepNext w:val="0"/>
              <w:keepLines w:val="0"/>
              <w:pageBreakBefore w:val="0"/>
              <w:widowControl w:val="0"/>
              <w:kinsoku/>
              <w:wordWrap/>
              <w:overflowPunct/>
              <w:topLinePunct w:val="0"/>
              <w:bidi w:val="0"/>
              <w:snapToGrid w:val="0"/>
              <w:spacing w:line="500" w:lineRule="exact"/>
              <w:ind w:firstLine="482" w:firstLineChars="200"/>
              <w:textAlignment w:val="auto"/>
              <w:rPr>
                <w:rFonts w:hint="eastAsia" w:ascii="Times New Roman" w:hAnsi="Times New Roman" w:eastAsia="宋体" w:cs="Times New Roman"/>
                <w:b/>
                <w:bCs w:val="0"/>
                <w:color w:val="auto"/>
                <w:sz w:val="24"/>
                <w:lang w:eastAsia="zh-CN"/>
              </w:rPr>
            </w:pPr>
            <w:r>
              <w:rPr>
                <w:rFonts w:hint="eastAsia" w:cs="Times New Roman"/>
                <w:b/>
                <w:color w:val="auto"/>
                <w:sz w:val="24"/>
                <w:lang w:val="en-US" w:eastAsia="zh-CN"/>
              </w:rPr>
              <w:t>1</w:t>
            </w:r>
            <w:r>
              <w:rPr>
                <w:rFonts w:hint="default" w:ascii="Times New Roman" w:hAnsi="Times New Roman" w:eastAsia="宋体" w:cs="Times New Roman"/>
                <w:b/>
                <w:color w:val="auto"/>
                <w:sz w:val="24"/>
              </w:rPr>
              <w:t>、</w:t>
            </w:r>
            <w:r>
              <w:rPr>
                <w:rFonts w:hint="eastAsia" w:cs="Times New Roman"/>
                <w:b/>
                <w:bCs w:val="0"/>
                <w:color w:val="auto"/>
                <w:sz w:val="24"/>
                <w:lang w:eastAsia="zh-CN"/>
              </w:rPr>
              <w:t>与金坛区</w:t>
            </w:r>
            <w:r>
              <w:rPr>
                <w:rFonts w:hint="eastAsia"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lang w:eastAsia="zh-CN"/>
              </w:rPr>
              <w:t>三区三线</w:t>
            </w:r>
            <w:r>
              <w:rPr>
                <w:rFonts w:hint="eastAsia" w:ascii="Times New Roman" w:hAnsi="Times New Roman" w:eastAsia="宋体" w:cs="Times New Roman"/>
                <w:b/>
                <w:bCs w:val="0"/>
                <w:color w:val="auto"/>
                <w:sz w:val="24"/>
                <w:lang w:val="en-US" w:eastAsia="zh-CN"/>
              </w:rPr>
              <w:t>”相符性分析。</w:t>
            </w:r>
          </w:p>
          <w:p w14:paraId="62DC498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color w:val="auto"/>
                <w:sz w:val="24"/>
              </w:rPr>
            </w:pPr>
            <w:r>
              <w:rPr>
                <w:rFonts w:hint="eastAsia" w:ascii="Times New Roman" w:hAnsi="Times New Roman" w:eastAsia="宋体" w:cs="Times New Roman"/>
                <w:color w:val="auto"/>
                <w:sz w:val="24"/>
                <w:lang w:val="en-US" w:eastAsia="zh-CN"/>
              </w:rPr>
              <w:t>金坛区“</w:t>
            </w:r>
            <w:r>
              <w:rPr>
                <w:rFonts w:hint="default" w:ascii="Times New Roman" w:hAnsi="Times New Roman" w:eastAsia="宋体" w:cs="Times New Roman"/>
                <w:color w:val="auto"/>
                <w:sz w:val="24"/>
                <w:lang w:eastAsia="zh-CN"/>
              </w:rPr>
              <w:t>三区三线</w:t>
            </w:r>
            <w:r>
              <w:rPr>
                <w:rFonts w:hint="eastAsia" w:ascii="Times New Roman" w:hAnsi="Times New Roman" w:eastAsia="宋体" w:cs="Times New Roman"/>
                <w:color w:val="auto"/>
                <w:sz w:val="24"/>
                <w:lang w:val="en-US" w:eastAsia="zh-CN"/>
              </w:rPr>
              <w:t>”划定成果已正式启用，</w:t>
            </w:r>
            <w:r>
              <w:rPr>
                <w:rFonts w:hint="default" w:ascii="Times New Roman" w:hAnsi="Times New Roman" w:eastAsia="宋体" w:cs="Times New Roman"/>
                <w:color w:val="auto"/>
                <w:sz w:val="24"/>
                <w:lang w:eastAsia="zh-CN"/>
              </w:rPr>
              <w:t>共划定耕地保护目标图斑31.3788万亩，永久基本农田28.264万亩，生态保护红线98.67平方公里，城镇开发边界115.67平方公里。</w:t>
            </w:r>
            <w:r>
              <w:rPr>
                <w:rFonts w:hint="eastAsia" w:ascii="Times New Roman" w:hAnsi="Times New Roman" w:eastAsia="宋体" w:cs="Times New Roman"/>
                <w:color w:val="auto"/>
                <w:sz w:val="24"/>
                <w:lang w:val="en-US" w:eastAsia="zh-CN"/>
              </w:rPr>
              <w:t>本项目位于</w:t>
            </w:r>
            <w:r>
              <w:rPr>
                <w:rFonts w:hint="eastAsia" w:cs="Times New Roman"/>
                <w:color w:val="auto"/>
                <w:sz w:val="24"/>
                <w:lang w:eastAsia="zh-CN"/>
              </w:rPr>
              <w:t>常州市金坛区指前镇洮西集镇府前路58号</w:t>
            </w:r>
            <w:r>
              <w:rPr>
                <w:rFonts w:hint="eastAsia" w:ascii="Times New Roman" w:hAnsi="Times New Roman" w:eastAsia="宋体" w:cs="Times New Roman"/>
                <w:color w:val="auto"/>
                <w:sz w:val="24"/>
                <w:lang w:val="en-US" w:eastAsia="zh-CN"/>
              </w:rPr>
              <w:t>，属于</w:t>
            </w:r>
            <w:r>
              <w:rPr>
                <w:rFonts w:hint="eastAsia" w:cs="Times New Roman"/>
                <w:color w:val="auto"/>
                <w:sz w:val="24"/>
                <w:lang w:val="en-US" w:eastAsia="zh-CN"/>
              </w:rPr>
              <w:t>综合服务区</w:t>
            </w:r>
            <w:r>
              <w:rPr>
                <w:rFonts w:hint="eastAsia" w:ascii="Times New Roman" w:hAnsi="Times New Roman" w:eastAsia="宋体" w:cs="Times New Roman"/>
                <w:color w:val="auto"/>
                <w:sz w:val="24"/>
                <w:lang w:val="en-US" w:eastAsia="zh-CN"/>
              </w:rPr>
              <w:t>，不属于</w:t>
            </w:r>
            <w:r>
              <w:rPr>
                <w:rFonts w:hint="default" w:ascii="Times New Roman" w:hAnsi="Times New Roman" w:eastAsia="宋体" w:cs="Times New Roman"/>
                <w:color w:val="auto"/>
                <w:sz w:val="24"/>
                <w:lang w:eastAsia="zh-CN"/>
              </w:rPr>
              <w:t>城镇开发边界</w:t>
            </w:r>
            <w:r>
              <w:rPr>
                <w:rFonts w:hint="eastAsia" w:cs="Times New Roman"/>
                <w:color w:val="auto"/>
                <w:sz w:val="24"/>
                <w:lang w:eastAsia="zh-CN"/>
              </w:rPr>
              <w:t>、</w:t>
            </w:r>
            <w:r>
              <w:rPr>
                <w:rFonts w:hint="default" w:ascii="Times New Roman" w:hAnsi="Times New Roman" w:eastAsia="宋体" w:cs="Times New Roman"/>
                <w:color w:val="auto"/>
                <w:sz w:val="24"/>
                <w:lang w:eastAsia="zh-CN"/>
              </w:rPr>
              <w:t>永久基本农田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生态保护红线</w:t>
            </w:r>
            <w:r>
              <w:rPr>
                <w:rFonts w:hint="eastAsia" w:ascii="Times New Roman" w:hAnsi="Times New Roman" w:eastAsia="宋体" w:cs="Times New Roman"/>
                <w:color w:val="auto"/>
                <w:sz w:val="24"/>
                <w:lang w:eastAsia="zh-CN"/>
              </w:rPr>
              <w:t>范围。</w:t>
            </w:r>
          </w:p>
          <w:p w14:paraId="011BA136">
            <w:pPr>
              <w:numPr>
                <w:ilvl w:val="0"/>
                <w:numId w:val="2"/>
              </w:numPr>
              <w:autoSpaceDE w:val="0"/>
              <w:autoSpaceDN w:val="0"/>
              <w:adjustRightInd w:val="0"/>
              <w:snapToGrid w:val="0"/>
              <w:spacing w:line="500" w:lineRule="exact"/>
              <w:ind w:left="239" w:leftChars="114" w:firstLine="241" w:firstLineChars="100"/>
              <w:rPr>
                <w:rFonts w:hint="eastAsia" w:cs="Times New Roman"/>
                <w:b/>
                <w:bCs/>
                <w:color w:val="auto"/>
                <w:sz w:val="24"/>
                <w:lang w:val="en-US" w:eastAsia="zh-CN"/>
              </w:rPr>
            </w:pPr>
            <w:r>
              <w:rPr>
                <w:rFonts w:hint="eastAsia" w:cs="Times New Roman"/>
                <w:b/>
                <w:bCs/>
                <w:color w:val="auto"/>
                <w:sz w:val="24"/>
                <w:lang w:val="en-US" w:eastAsia="zh-CN"/>
              </w:rPr>
              <w:t>分区管控要求相符性分析</w:t>
            </w:r>
          </w:p>
          <w:p w14:paraId="68BD6409">
            <w:pPr>
              <w:numPr>
                <w:ilvl w:val="0"/>
                <w:numId w:val="0"/>
              </w:numPr>
              <w:autoSpaceDE w:val="0"/>
              <w:autoSpaceDN w:val="0"/>
              <w:adjustRightInd w:val="0"/>
              <w:snapToGrid w:val="0"/>
              <w:spacing w:line="500" w:lineRule="exact"/>
              <w:ind w:firstLine="482" w:firstLineChars="200"/>
              <w:rPr>
                <w:rFonts w:hint="default" w:ascii="Times New Roman" w:hAnsi="Times New Roman" w:eastAsia="宋体" w:cs="Times New Roman"/>
                <w:b/>
                <w:color w:val="auto"/>
                <w:sz w:val="24"/>
              </w:rPr>
            </w:pPr>
            <w:r>
              <w:rPr>
                <w:rFonts w:hint="eastAsia" w:cs="Times New Roman"/>
                <w:b/>
                <w:color w:val="auto"/>
                <w:sz w:val="24"/>
                <w:lang w:eastAsia="zh-CN"/>
              </w:rPr>
              <w:t>（</w:t>
            </w:r>
            <w:r>
              <w:rPr>
                <w:rFonts w:hint="eastAsia" w:cs="Times New Roman"/>
                <w:b/>
                <w:color w:val="auto"/>
                <w:sz w:val="24"/>
                <w:lang w:val="en-US" w:eastAsia="zh-CN"/>
              </w:rPr>
              <w:t>1</w:t>
            </w:r>
            <w:r>
              <w:rPr>
                <w:rFonts w:hint="eastAsia" w:cs="Times New Roman"/>
                <w:b/>
                <w:color w:val="auto"/>
                <w:sz w:val="24"/>
                <w:lang w:eastAsia="zh-CN"/>
              </w:rPr>
              <w:t>）</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w:t>
            </w:r>
            <w:r>
              <w:rPr>
                <w:rFonts w:hint="default" w:ascii="Times New Roman" w:hAnsi="Times New Roman" w:cs="Times New Roman"/>
                <w:b/>
                <w:bCs w:val="0"/>
                <w:color w:val="auto"/>
                <w:sz w:val="24"/>
                <w:lang w:eastAsia="zh-CN"/>
              </w:rPr>
              <w:t>江苏省2023年度生态环境分区管控动态更新成果公告》</w:t>
            </w:r>
            <w:r>
              <w:rPr>
                <w:rFonts w:hint="default" w:ascii="Times New Roman" w:hAnsi="Times New Roman" w:eastAsia="宋体" w:cs="Times New Roman"/>
                <w:b/>
                <w:bCs w:val="0"/>
                <w:color w:val="auto"/>
                <w:sz w:val="24"/>
              </w:rPr>
              <w:t>相符性分析</w:t>
            </w:r>
          </w:p>
          <w:p w14:paraId="64272F3D">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eastAsia" w:cs="Times New Roman"/>
                <w:color w:val="auto"/>
                <w:sz w:val="24"/>
                <w:lang w:eastAsia="zh-CN"/>
              </w:rPr>
              <w:t>常州市金坛区指前镇洮西集镇府前路58号</w:t>
            </w:r>
            <w:r>
              <w:rPr>
                <w:rFonts w:hint="default" w:ascii="Times New Roman" w:hAnsi="Times New Roman" w:eastAsia="宋体" w:cs="Times New Roman"/>
                <w:bCs/>
                <w:color w:val="auto"/>
                <w:sz w:val="24"/>
              </w:rPr>
              <w:t>，对照</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cs="Times New Roman"/>
                <w:b w:val="0"/>
                <w:bCs/>
                <w:color w:val="auto"/>
                <w:sz w:val="24"/>
                <w:lang w:eastAsia="zh-CN"/>
              </w:rPr>
              <w:t>》</w:t>
            </w:r>
            <w:r>
              <w:rPr>
                <w:rFonts w:hint="default" w:ascii="Times New Roman" w:hAnsi="Times New Roman" w:eastAsia="宋体" w:cs="Times New Roman"/>
                <w:b w:val="0"/>
                <w:bCs/>
                <w:color w:val="auto"/>
                <w:sz w:val="24"/>
              </w:rPr>
              <w:t>可</w:t>
            </w:r>
            <w:r>
              <w:rPr>
                <w:rFonts w:hint="default" w:ascii="Times New Roman" w:hAnsi="Times New Roman" w:eastAsia="宋体" w:cs="Times New Roman"/>
                <w:bCs/>
                <w:color w:val="auto"/>
                <w:sz w:val="24"/>
              </w:rPr>
              <w:t>知，项目位于</w:t>
            </w:r>
            <w:r>
              <w:rPr>
                <w:rFonts w:hint="default" w:ascii="Times New Roman" w:hAnsi="Times New Roman" w:eastAsia="宋体" w:cs="Times New Roman"/>
                <w:bCs/>
                <w:color w:val="auto"/>
                <w:sz w:val="24"/>
                <w:highlight w:val="none"/>
              </w:rPr>
              <w:t>重点管控单元</w:t>
            </w:r>
            <w:r>
              <w:rPr>
                <w:rFonts w:hint="eastAsia" w:cs="Times New Roman"/>
                <w:bCs/>
                <w:color w:val="auto"/>
                <w:sz w:val="24"/>
                <w:highlight w:val="none"/>
                <w:lang w:val="en-US" w:eastAsia="zh-CN"/>
              </w:rPr>
              <w:t>-</w:t>
            </w:r>
            <w:r>
              <w:rPr>
                <w:rFonts w:hint="eastAsia" w:ascii="Times New Roman" w:hAnsi="Times New Roman" w:eastAsia="宋体" w:cs="Times New Roman"/>
                <w:color w:val="auto"/>
                <w:sz w:val="24"/>
                <w:lang w:val="en-US" w:eastAsia="zh-CN"/>
              </w:rPr>
              <w:t>太湖流域、长江流域</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rPr>
              <w:t>其重点管控要求与本项目的相符性分析见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7C774E5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《江苏省2023年度生态环境分区管控动态更新成果公告》</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792"/>
              <w:gridCol w:w="4556"/>
              <w:gridCol w:w="1404"/>
              <w:gridCol w:w="1066"/>
            </w:tblGrid>
            <w:tr w14:paraId="07BB3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567" w:hRule="atLeast"/>
                <w:jc w:val="center"/>
              </w:trPr>
              <w:tc>
                <w:tcPr>
                  <w:tcW w:w="506" w:type="pct"/>
                  <w:vAlign w:val="center"/>
                </w:tcPr>
                <w:p w14:paraId="156F4A0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管控类别</w:t>
                  </w:r>
                </w:p>
              </w:tc>
              <w:tc>
                <w:tcPr>
                  <w:tcW w:w="2913" w:type="pct"/>
                  <w:vAlign w:val="center"/>
                </w:tcPr>
                <w:p w14:paraId="2C98BB5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重点管控要求</w:t>
                  </w:r>
                </w:p>
              </w:tc>
              <w:tc>
                <w:tcPr>
                  <w:tcW w:w="897" w:type="pct"/>
                  <w:vAlign w:val="center"/>
                </w:tcPr>
                <w:p w14:paraId="3EA21E43">
                  <w:pPr>
                    <w:jc w:val="center"/>
                    <w:rPr>
                      <w:rFonts w:hint="default" w:ascii="Times New Roman" w:hAnsi="Times New Roman" w:eastAsia="宋体" w:cs="Times New Roman"/>
                      <w:b/>
                      <w:color w:val="auto"/>
                    </w:rPr>
                  </w:pPr>
                  <w:r>
                    <w:rPr>
                      <w:rFonts w:hint="default" w:ascii="Times New Roman" w:hAnsi="Times New Roman" w:cs="Times New Roman"/>
                      <w:b/>
                      <w:bCs/>
                      <w:color w:val="auto"/>
                      <w:szCs w:val="21"/>
                    </w:rPr>
                    <w:t>本项目</w:t>
                  </w:r>
                </w:p>
              </w:tc>
              <w:tc>
                <w:tcPr>
                  <w:tcW w:w="681" w:type="pct"/>
                  <w:vAlign w:val="center"/>
                </w:tcPr>
                <w:p w14:paraId="39649AC2">
                  <w:pPr>
                    <w:jc w:val="center"/>
                    <w:rPr>
                      <w:rFonts w:hint="default" w:ascii="Times New Roman" w:hAnsi="Times New Roman" w:eastAsia="宋体" w:cs="Times New Roman"/>
                      <w:b/>
                      <w:color w:val="auto"/>
                    </w:rPr>
                  </w:pPr>
                  <w:r>
                    <w:rPr>
                      <w:rFonts w:hint="default" w:ascii="Times New Roman" w:hAnsi="Times New Roman" w:cs="Times New Roman"/>
                      <w:b/>
                      <w:bCs/>
                      <w:color w:val="auto"/>
                      <w:szCs w:val="21"/>
                    </w:rPr>
                    <w:t>相符性</w:t>
                  </w:r>
                </w:p>
              </w:tc>
            </w:tr>
            <w:tr w14:paraId="7FD6B2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6D1D8FC0">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长江流域</w:t>
                  </w:r>
                </w:p>
              </w:tc>
            </w:tr>
            <w:tr w14:paraId="10045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508DB90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2913" w:type="pct"/>
                  <w:tcBorders>
                    <w:bottom w:val="single" w:color="auto" w:sz="2" w:space="0"/>
                  </w:tcBorders>
                  <w:vAlign w:val="center"/>
                </w:tcPr>
                <w:p w14:paraId="5D880B16">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1、始终把长江生态修复放在首位，坚持共抓大保护、不搞大开发，引导长江流域产业转型升级和布局优化调整，实现科学发展、有序发展、高质量发展。</w:t>
                  </w:r>
                </w:p>
                <w:p w14:paraId="758000F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F99958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7E09F6E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4、强化港口布局优化，禁止建设不符合国家港口布局规划和《江苏省沿江沿海港口布局规划（2015-2030年）》《江苏省内河港口布局规划（2017-2035年）》的码头项</w:t>
                  </w:r>
                  <w:r>
                    <w:rPr>
                      <w:rFonts w:hint="default" w:ascii="Times New Roman" w:hAnsi="Times New Roman" w:cs="Times New Roman"/>
                      <w:color w:val="auto"/>
                      <w:lang w:eastAsia="zh-CN"/>
                    </w:rPr>
                    <w:t>目</w:t>
                  </w:r>
                  <w:r>
                    <w:rPr>
                      <w:rFonts w:hint="default" w:ascii="Times New Roman" w:hAnsi="Times New Roman" w:cs="Times New Roman"/>
                      <w:color w:val="auto"/>
                      <w:lang w:val="en-US" w:eastAsia="zh-CN"/>
                    </w:rPr>
                    <w:t>，禁止建设未纳入《长江干线过江通道布局规划》的过江干线通道项目</w:t>
                  </w:r>
                  <w:r>
                    <w:rPr>
                      <w:rFonts w:hint="default" w:ascii="Times New Roman" w:hAnsi="Times New Roman" w:eastAsia="宋体" w:cs="Times New Roman"/>
                      <w:color w:val="auto"/>
                    </w:rPr>
                    <w:t>。</w:t>
                  </w:r>
                </w:p>
                <w:p w14:paraId="0D75929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5、禁止新建独立焦化项目。</w:t>
                  </w:r>
                </w:p>
              </w:tc>
              <w:tc>
                <w:tcPr>
                  <w:tcW w:w="897" w:type="pct"/>
                  <w:tcBorders>
                    <w:bottom w:val="single" w:color="auto" w:sz="2" w:space="0"/>
                  </w:tcBorders>
                  <w:vAlign w:val="center"/>
                </w:tcPr>
                <w:p w14:paraId="66070389">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eastAsia="zh-CN"/>
                    </w:rPr>
                    <w:t>常州市金坛区指前镇洮西集镇府前路58号</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val="0"/>
                      <w:color w:val="auto"/>
                      <w:sz w:val="21"/>
                      <w:szCs w:val="21"/>
                      <w:lang w:eastAsia="zh-CN"/>
                    </w:rPr>
                    <w:t>属于长江流域内，选址</w:t>
                  </w:r>
                  <w:r>
                    <w:rPr>
                      <w:rFonts w:hint="default" w:ascii="Times New Roman" w:hAnsi="Times New Roman" w:eastAsia="宋体" w:cs="Times New Roman"/>
                      <w:color w:val="auto"/>
                      <w:sz w:val="21"/>
                      <w:szCs w:val="21"/>
                    </w:rPr>
                    <w:t>不在国家确定的生态保护红线和永久基本农田范围内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本项目属于</w:t>
                  </w:r>
                  <w:r>
                    <w:rPr>
                      <w:rFonts w:hint="eastAsia" w:cs="Times New Roman"/>
                      <w:color w:val="auto"/>
                      <w:sz w:val="21"/>
                      <w:szCs w:val="21"/>
                      <w:lang w:eastAsia="zh-CN"/>
                    </w:rPr>
                    <w:t>C3821变压器、整流器和电感器制造</w:t>
                  </w:r>
                  <w:r>
                    <w:rPr>
                      <w:rFonts w:hint="default" w:ascii="Times New Roman" w:hAnsi="Times New Roman" w:eastAsia="宋体" w:cs="Times New Roman"/>
                      <w:color w:val="auto"/>
                      <w:sz w:val="21"/>
                      <w:szCs w:val="21"/>
                    </w:rPr>
                    <w:t>，不属于上述禁止建设的项目</w:t>
                  </w:r>
                  <w:r>
                    <w:rPr>
                      <w:rFonts w:hint="default" w:ascii="Times New Roman" w:hAnsi="Times New Roman" w:eastAsia="宋体" w:cs="Times New Roman"/>
                      <w:color w:val="auto"/>
                    </w:rPr>
                    <w:t>。</w:t>
                  </w:r>
                </w:p>
              </w:tc>
              <w:tc>
                <w:tcPr>
                  <w:tcW w:w="681" w:type="pct"/>
                  <w:tcBorders>
                    <w:bottom w:val="single" w:color="auto" w:sz="2" w:space="0"/>
                  </w:tcBorders>
                  <w:vAlign w:val="center"/>
                </w:tcPr>
                <w:p w14:paraId="7B9D0024">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相符</w:t>
                  </w:r>
                </w:p>
              </w:tc>
            </w:tr>
            <w:tr w14:paraId="088009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2F3C9B3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2913" w:type="pct"/>
                  <w:vAlign w:val="center"/>
                </w:tcPr>
                <w:p w14:paraId="7A4D840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1、根据《江苏省长江水污染防治条例》实施污染物总量控制制度。</w:t>
                  </w:r>
                </w:p>
                <w:p w14:paraId="6175C76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2、全面加强和规范长江入河排污口管理，有效管控入河污染物排放，形成权责清晰、监控到位、管理规范的长江入河排污口监管体系，加快改善长江水环境质量。</w:t>
                  </w:r>
                </w:p>
              </w:tc>
              <w:tc>
                <w:tcPr>
                  <w:tcW w:w="897" w:type="pct"/>
                  <w:vAlign w:val="center"/>
                </w:tcPr>
                <w:p w14:paraId="21D6C56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实施总量控制，不涉及长江入河排污口。</w:t>
                  </w:r>
                </w:p>
              </w:tc>
              <w:tc>
                <w:tcPr>
                  <w:tcW w:w="681" w:type="pct"/>
                  <w:vAlign w:val="center"/>
                </w:tcPr>
                <w:p w14:paraId="6B54CE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41706F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757523B5">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2913" w:type="pct"/>
                  <w:vAlign w:val="center"/>
                </w:tcPr>
                <w:p w14:paraId="65CD5627">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1、防范沿江环境风险。深化沿江石化、化工、医药、纺织、印染、化纤、危化品和石油类仓储、涉重金属和危险废物处置等重点企业环境风险防控。</w:t>
                  </w:r>
                </w:p>
                <w:p w14:paraId="39F83C74">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2、加强饮用水水源保护。优化水源保护区划定，推动饮用水水源地规范化建设。</w:t>
                  </w:r>
                </w:p>
              </w:tc>
              <w:tc>
                <w:tcPr>
                  <w:tcW w:w="897" w:type="pct"/>
                  <w:vAlign w:val="center"/>
                </w:tcPr>
                <w:p w14:paraId="08404E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本项目建设单位不属于环境风险防控重点企业。</w:t>
                  </w:r>
                </w:p>
              </w:tc>
              <w:tc>
                <w:tcPr>
                  <w:tcW w:w="681" w:type="pct"/>
                  <w:vAlign w:val="center"/>
                </w:tcPr>
                <w:p w14:paraId="2350EF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7F557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3EB4A542">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资源利用效率要求</w:t>
                  </w:r>
                </w:p>
              </w:tc>
              <w:tc>
                <w:tcPr>
                  <w:tcW w:w="2913" w:type="pct"/>
                  <w:vAlign w:val="center"/>
                </w:tcPr>
                <w:p w14:paraId="7259F94C">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897" w:type="pct"/>
                  <w:vAlign w:val="center"/>
                </w:tcPr>
                <w:p w14:paraId="5886FA0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w:t>
                  </w:r>
                  <w:r>
                    <w:rPr>
                      <w:rFonts w:hint="eastAsia" w:cs="Times New Roman"/>
                      <w:b w:val="0"/>
                      <w:bCs w:val="0"/>
                      <w:color w:val="auto"/>
                      <w:sz w:val="21"/>
                      <w:szCs w:val="21"/>
                      <w:lang w:val="en-US" w:eastAsia="zh-CN"/>
                    </w:rPr>
                    <w:t>不属于</w:t>
                  </w:r>
                  <w:r>
                    <w:rPr>
                      <w:rFonts w:hint="default" w:ascii="Times New Roman" w:hAnsi="Times New Roman" w:eastAsia="宋体" w:cs="Times New Roman"/>
                      <w:color w:val="auto"/>
                    </w:rPr>
                    <w:t>化工项目</w:t>
                  </w:r>
                  <w:r>
                    <w:rPr>
                      <w:rFonts w:hint="eastAsia" w:cs="Times New Roman"/>
                      <w:color w:val="auto"/>
                      <w:lang w:val="en-US" w:eastAsia="zh-CN"/>
                    </w:rPr>
                    <w:t>和</w:t>
                  </w:r>
                  <w:r>
                    <w:rPr>
                      <w:rFonts w:hint="default" w:ascii="Times New Roman" w:hAnsi="Times New Roman" w:eastAsia="宋体" w:cs="Times New Roman"/>
                      <w:color w:val="auto"/>
                    </w:rPr>
                    <w:t>尾矿库</w:t>
                  </w:r>
                  <w:r>
                    <w:rPr>
                      <w:rFonts w:hint="eastAsia" w:cs="Times New Roman"/>
                      <w:color w:val="auto"/>
                      <w:lang w:val="en-US" w:eastAsia="zh-CN"/>
                    </w:rPr>
                    <w:t>项目</w:t>
                  </w:r>
                  <w:r>
                    <w:rPr>
                      <w:rFonts w:hint="default" w:ascii="Times New Roman" w:hAnsi="Times New Roman" w:eastAsia="宋体" w:cs="Times New Roman"/>
                      <w:b w:val="0"/>
                      <w:bCs w:val="0"/>
                      <w:color w:val="auto"/>
                      <w:sz w:val="21"/>
                      <w:szCs w:val="21"/>
                      <w:lang w:eastAsia="zh-CN"/>
                    </w:rPr>
                    <w:t>。</w:t>
                  </w:r>
                </w:p>
              </w:tc>
              <w:tc>
                <w:tcPr>
                  <w:tcW w:w="681" w:type="pct"/>
                  <w:vAlign w:val="center"/>
                </w:tcPr>
                <w:p w14:paraId="0C75E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39786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00" w:type="pct"/>
                  <w:gridSpan w:val="4"/>
                  <w:vAlign w:val="center"/>
                </w:tcPr>
                <w:p w14:paraId="5262F74D">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太湖流域</w:t>
                  </w:r>
                </w:p>
              </w:tc>
            </w:tr>
            <w:tr w14:paraId="4E96E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0C5A928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2913" w:type="pct"/>
                  <w:vAlign w:val="center"/>
                </w:tcPr>
                <w:p w14:paraId="3859BA6F">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1F65E5E">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在</w:t>
                  </w:r>
                  <w:r>
                    <w:rPr>
                      <w:rFonts w:hint="eastAsia" w:cs="Times New Roman"/>
                      <w:color w:val="auto"/>
                      <w:lang w:eastAsia="zh-CN"/>
                    </w:rPr>
                    <w:t>太湖流域</w:t>
                  </w:r>
                  <w:r>
                    <w:rPr>
                      <w:rFonts w:hint="default" w:ascii="Times New Roman" w:hAnsi="Times New Roman" w:eastAsia="宋体" w:cs="Times New Roman"/>
                      <w:color w:val="auto"/>
                    </w:rPr>
                    <w:t>一级保护区，禁止新建、扩建向水体排放污染物的建设项目，禁止新建、扩建畜禽养殖场，禁止新建、扩建高尔夫球场、水上游乐等开发项目以及设置水上餐饮经营设施。</w:t>
                  </w:r>
                </w:p>
                <w:p w14:paraId="537A790B">
                  <w:pPr>
                    <w:ind w:firstLine="42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在太湖流域二级保护区，禁止新建、扩建化工、医药生产项目，禁止新建、扩建污水集中处理设施排污口以外的排污口。</w:t>
                  </w:r>
                </w:p>
              </w:tc>
              <w:tc>
                <w:tcPr>
                  <w:tcW w:w="897" w:type="pct"/>
                  <w:vAlign w:val="center"/>
                </w:tcPr>
                <w:p w14:paraId="7B5389D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eastAsia" w:cs="Times New Roman"/>
                      <w:color w:val="auto"/>
                      <w:sz w:val="21"/>
                      <w:szCs w:val="21"/>
                      <w:lang w:eastAsia="zh-CN"/>
                    </w:rPr>
                    <w:t>常州市金坛区指前镇洮西集镇府前路58号</w:t>
                  </w:r>
                  <w:r>
                    <w:rPr>
                      <w:rFonts w:hint="default" w:ascii="Times New Roman" w:hAnsi="Times New Roman" w:eastAsia="宋体" w:cs="Times New Roman"/>
                      <w:color w:val="auto"/>
                      <w:szCs w:val="21"/>
                    </w:rPr>
                    <w:t>，属于太湖流域三级保护区；本项目</w:t>
                  </w:r>
                  <w:r>
                    <w:rPr>
                      <w:rFonts w:hint="default" w:ascii="Times New Roman" w:hAnsi="Times New Roman" w:eastAsia="宋体" w:cs="Times New Roman"/>
                      <w:b w:val="0"/>
                      <w:bCs w:val="0"/>
                      <w:color w:val="auto"/>
                      <w:sz w:val="21"/>
                      <w:szCs w:val="21"/>
                      <w:lang w:val="en-US" w:eastAsia="zh-CN"/>
                    </w:rPr>
                    <w:t>不属于禁止新建的行业</w:t>
                  </w:r>
                  <w:r>
                    <w:rPr>
                      <w:rFonts w:hint="default" w:ascii="Times New Roman" w:hAnsi="Times New Roman" w:eastAsia="宋体" w:cs="Times New Roman"/>
                      <w:color w:val="auto"/>
                      <w:szCs w:val="21"/>
                    </w:rPr>
                    <w:t>，</w:t>
                  </w:r>
                  <w:r>
                    <w:rPr>
                      <w:rFonts w:hint="default" w:ascii="Times New Roman" w:hAnsi="Times New Roman" w:eastAsia="宋体" w:cs="Times New Roman"/>
                      <w:b w:val="0"/>
                      <w:bCs w:val="0"/>
                      <w:color w:val="auto"/>
                      <w:sz w:val="21"/>
                      <w:szCs w:val="21"/>
                      <w:lang w:val="en-US" w:eastAsia="zh-CN"/>
                    </w:rPr>
                    <w:t>无含磷、氮生产废水排放</w:t>
                  </w:r>
                  <w:r>
                    <w:rPr>
                      <w:rFonts w:hint="default" w:ascii="Times New Roman" w:hAnsi="Times New Roman" w:eastAsia="宋体" w:cs="Times New Roman"/>
                      <w:color w:val="auto"/>
                      <w:szCs w:val="21"/>
                    </w:rPr>
                    <w:t>。</w:t>
                  </w:r>
                </w:p>
              </w:tc>
              <w:tc>
                <w:tcPr>
                  <w:tcW w:w="681" w:type="pct"/>
                  <w:vAlign w:val="center"/>
                </w:tcPr>
                <w:p w14:paraId="160D7819">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相符</w:t>
                  </w:r>
                </w:p>
              </w:tc>
            </w:tr>
            <w:tr w14:paraId="42C439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7460B76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2913" w:type="pct"/>
                  <w:vAlign w:val="center"/>
                </w:tcPr>
                <w:p w14:paraId="5F55FD0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城镇污水处理厂、纺织工业、化学工业、造纸工业、钢铁工业、电镀工业和食品工业的污水处理设施执行《太湖地区城镇污水处理厂及重点工业行业主要水污染物排放限值》。</w:t>
                  </w:r>
                </w:p>
              </w:tc>
              <w:tc>
                <w:tcPr>
                  <w:tcW w:w="897" w:type="pct"/>
                  <w:vAlign w:val="center"/>
                </w:tcPr>
                <w:p w14:paraId="3F8E7B1A">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本项目不属于上述行业。</w:t>
                  </w:r>
                </w:p>
              </w:tc>
              <w:tc>
                <w:tcPr>
                  <w:tcW w:w="681" w:type="pct"/>
                  <w:vAlign w:val="center"/>
                </w:tcPr>
                <w:p w14:paraId="3E38668B">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rPr>
                    <w:t>相符</w:t>
                  </w:r>
                </w:p>
              </w:tc>
            </w:tr>
            <w:tr w14:paraId="12A432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762A2E4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2913" w:type="pct"/>
                  <w:vAlign w:val="center"/>
                </w:tcPr>
                <w:p w14:paraId="3CB6F5B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1、运输剧毒物质、危险化学品的船舶不得进入太湖。</w:t>
                  </w:r>
                </w:p>
                <w:p w14:paraId="7C986E8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2、禁止向太湖流域水体排放或者倾倒油类、酸液、碱液、剧毒废渣废液、含放射性废渣废液、含病原体污水、工业废渣以及其他废弃物。</w:t>
                  </w:r>
                </w:p>
                <w:p w14:paraId="5046FC7B">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3、加强太湖流域生态环境风险应急管控，着力提高防控太湖蓝藻水华风险预警和应急处置能力。</w:t>
                  </w:r>
                </w:p>
              </w:tc>
              <w:tc>
                <w:tcPr>
                  <w:tcW w:w="897" w:type="pct"/>
                  <w:vAlign w:val="center"/>
                </w:tcPr>
                <w:p w14:paraId="678EADF1">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eastAsia="zh-CN"/>
                    </w:rPr>
                    <w:t>本项目</w:t>
                  </w:r>
                  <w:r>
                    <w:rPr>
                      <w:rFonts w:hint="default" w:ascii="Times New Roman" w:hAnsi="Times New Roman" w:eastAsia="宋体" w:cs="Times New Roman"/>
                      <w:b w:val="0"/>
                      <w:bCs w:val="0"/>
                      <w:color w:val="auto"/>
                      <w:sz w:val="21"/>
                      <w:szCs w:val="21"/>
                      <w:lang w:val="en-US" w:eastAsia="zh-CN"/>
                    </w:rPr>
                    <w:t>不涉及文件中相关行为</w:t>
                  </w:r>
                  <w:r>
                    <w:rPr>
                      <w:rFonts w:hint="default" w:ascii="Times New Roman" w:hAnsi="Times New Roman" w:eastAsia="宋体" w:cs="Times New Roman"/>
                      <w:color w:val="auto"/>
                    </w:rPr>
                    <w:t>。</w:t>
                  </w:r>
                </w:p>
              </w:tc>
              <w:tc>
                <w:tcPr>
                  <w:tcW w:w="681" w:type="pct"/>
                  <w:vAlign w:val="center"/>
                </w:tcPr>
                <w:p w14:paraId="0B5F4466">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color w:val="auto"/>
                      <w:szCs w:val="21"/>
                    </w:rPr>
                    <w:t>相符</w:t>
                  </w:r>
                </w:p>
              </w:tc>
            </w:tr>
            <w:tr w14:paraId="3B322E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506" w:type="pct"/>
                  <w:vAlign w:val="center"/>
                </w:tcPr>
                <w:p w14:paraId="71D872B3">
                  <w:pPr>
                    <w:jc w:val="center"/>
                    <w:rPr>
                      <w:rFonts w:hint="default" w:ascii="Times New Roman" w:hAnsi="Times New Roman" w:eastAsia="宋体" w:cs="Times New Roman"/>
                      <w:color w:val="auto"/>
                    </w:rPr>
                  </w:pPr>
                  <w:r>
                    <w:rPr>
                      <w:rFonts w:hint="default" w:ascii="Times New Roman" w:hAnsi="Times New Roman" w:cs="Times New Roman"/>
                      <w:color w:val="auto"/>
                      <w:szCs w:val="21"/>
                    </w:rPr>
                    <w:t>资源利用效率要求</w:t>
                  </w:r>
                </w:p>
              </w:tc>
              <w:tc>
                <w:tcPr>
                  <w:tcW w:w="2913" w:type="pct"/>
                  <w:vAlign w:val="center"/>
                </w:tcPr>
                <w:p w14:paraId="0A3E28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1.严格用水定额管理制度，推进取用水规范化管理，科学制定用水定额并动态调整，对超过用水定额标准的企业分类分步先期实施节水改造，鼓励重点用水企业、园区建立智慧用水管理系统。</w:t>
                  </w:r>
                </w:p>
                <w:p w14:paraId="07E2671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 推进新孟河、新沟河、望虞河、走马塘等河道联合调度，科学调控太湖水位。</w:t>
                  </w:r>
                </w:p>
              </w:tc>
              <w:tc>
                <w:tcPr>
                  <w:tcW w:w="897" w:type="pct"/>
                  <w:vAlign w:val="center"/>
                </w:tcPr>
                <w:p w14:paraId="512F83D1">
                  <w:pPr>
                    <w:ind w:firstLine="420" w:firstLineChars="20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当地自来水厂能够满足本项目用水需求</w:t>
                  </w:r>
                  <w:r>
                    <w:rPr>
                      <w:rFonts w:hint="default" w:ascii="Times New Roman" w:hAnsi="Times New Roman" w:eastAsia="宋体" w:cs="Times New Roman"/>
                      <w:color w:val="auto"/>
                    </w:rPr>
                    <w:t>。</w:t>
                  </w:r>
                </w:p>
              </w:tc>
              <w:tc>
                <w:tcPr>
                  <w:tcW w:w="681" w:type="pct"/>
                  <w:vAlign w:val="center"/>
                </w:tcPr>
                <w:p w14:paraId="02AEED90">
                  <w:pPr>
                    <w:jc w:val="center"/>
                    <w:rPr>
                      <w:rFonts w:hint="eastAsia" w:cs="Times New Roman"/>
                      <w:b w:val="0"/>
                      <w:bCs w:val="0"/>
                      <w:color w:val="auto"/>
                      <w:sz w:val="21"/>
                      <w:szCs w:val="21"/>
                      <w:lang w:val="en-US" w:eastAsia="zh-CN"/>
                    </w:rPr>
                  </w:pPr>
                  <w:r>
                    <w:rPr>
                      <w:rFonts w:hint="default" w:ascii="Times New Roman" w:hAnsi="Times New Roman" w:cs="Times New Roman"/>
                      <w:color w:val="auto"/>
                      <w:szCs w:val="21"/>
                    </w:rPr>
                    <w:t>相符</w:t>
                  </w:r>
                </w:p>
              </w:tc>
            </w:tr>
          </w:tbl>
          <w:p w14:paraId="2D4E108B">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《江苏省2023年度生态环境分区管控动态更新成果公告》</w:t>
            </w:r>
            <w:r>
              <w:rPr>
                <w:rFonts w:hint="default" w:ascii="Times New Roman" w:hAnsi="Times New Roman" w:eastAsia="宋体" w:cs="Times New Roman"/>
                <w:bCs/>
                <w:color w:val="auto"/>
                <w:sz w:val="24"/>
              </w:rPr>
              <w:t>的要求相符。</w:t>
            </w:r>
          </w:p>
          <w:p w14:paraId="0837B610">
            <w:pPr>
              <w:autoSpaceDE w:val="0"/>
              <w:autoSpaceDN w:val="0"/>
              <w:snapToGrid w:val="0"/>
              <w:spacing w:line="500" w:lineRule="exact"/>
              <w:rPr>
                <w:rFonts w:hint="default" w:ascii="Times New Roman" w:hAnsi="Times New Roman" w:eastAsia="宋体" w:cs="Times New Roman"/>
                <w:b/>
                <w:color w:val="auto"/>
                <w:sz w:val="24"/>
              </w:rPr>
            </w:pPr>
            <w:r>
              <w:rPr>
                <w:rFonts w:hint="eastAsia" w:cs="Times New Roman"/>
                <w:b/>
                <w:color w:val="auto"/>
                <w:sz w:val="24"/>
                <w:lang w:val="en-US" w:eastAsia="zh-CN"/>
              </w:rPr>
              <w:t>3、</w:t>
            </w:r>
            <w:r>
              <w:rPr>
                <w:rFonts w:hint="default" w:ascii="Times New Roman" w:hAnsi="Times New Roman" w:eastAsia="宋体" w:cs="Times New Roman"/>
                <w:b/>
                <w:color w:val="auto"/>
                <w:sz w:val="24"/>
              </w:rPr>
              <w:t>与</w:t>
            </w:r>
            <w:r>
              <w:rPr>
                <w:rFonts w:hint="default" w:ascii="Times New Roman" w:hAnsi="Times New Roman" w:cs="Times New Roman"/>
                <w:b/>
                <w:color w:val="auto"/>
                <w:sz w:val="24"/>
                <w:lang w:eastAsia="zh-CN"/>
              </w:rPr>
              <w:t>《常州市生态环境分区管控动态更新成果》（2023年版）</w:t>
            </w:r>
            <w:r>
              <w:rPr>
                <w:rFonts w:hint="default" w:ascii="Times New Roman" w:hAnsi="Times New Roman" w:eastAsia="宋体" w:cs="Times New Roman"/>
                <w:b/>
                <w:color w:val="auto"/>
                <w:sz w:val="24"/>
              </w:rPr>
              <w:t>相符性分析</w:t>
            </w:r>
          </w:p>
          <w:p w14:paraId="0797407D">
            <w:pPr>
              <w:autoSpaceDE w:val="0"/>
              <w:autoSpaceDN w:val="0"/>
              <w:adjustRightInd w:val="0"/>
              <w:snapToGrid w:val="0"/>
              <w:spacing w:line="500" w:lineRule="exact"/>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bCs/>
                <w:color w:val="auto"/>
                <w:sz w:val="24"/>
              </w:rPr>
              <w:t>本项目位于</w:t>
            </w:r>
            <w:r>
              <w:rPr>
                <w:rFonts w:hint="eastAsia" w:cs="Times New Roman"/>
                <w:color w:val="auto"/>
                <w:sz w:val="24"/>
                <w:szCs w:val="24"/>
                <w:lang w:eastAsia="zh-CN"/>
              </w:rPr>
              <w:t>指前镇洮西集镇府前路58号</w:t>
            </w:r>
            <w:r>
              <w:rPr>
                <w:rFonts w:hint="default" w:ascii="Times New Roman" w:hAnsi="Times New Roman" w:eastAsia="宋体" w:cs="Times New Roman"/>
                <w:bCs/>
                <w:color w:val="auto"/>
                <w:sz w:val="24"/>
              </w:rPr>
              <w:t>，根据《常州市“三线一单”生态环境分区管控实施方案》附件3中常州市环境管控单元名录，</w:t>
            </w:r>
            <w:r>
              <w:rPr>
                <w:rFonts w:hint="default" w:ascii="Times New Roman" w:hAnsi="Times New Roman" w:eastAsia="宋体" w:cs="Times New Roman"/>
                <w:color w:val="auto"/>
                <w:sz w:val="24"/>
                <w:szCs w:val="24"/>
                <w:lang w:eastAsia="zh-CN"/>
              </w:rPr>
              <w:t>属于“</w:t>
            </w:r>
            <w:r>
              <w:rPr>
                <w:rFonts w:hint="eastAsia" w:cs="Times New Roman"/>
                <w:color w:val="auto"/>
                <w:sz w:val="24"/>
                <w:szCs w:val="24"/>
                <w:lang w:val="en-US" w:eastAsia="zh-CN"/>
              </w:rPr>
              <w:t>一般</w:t>
            </w:r>
            <w:r>
              <w:rPr>
                <w:rFonts w:hint="default" w:ascii="Times New Roman" w:hAnsi="Times New Roman" w:eastAsia="宋体" w:cs="Times New Roman"/>
                <w:color w:val="auto"/>
                <w:sz w:val="24"/>
                <w:szCs w:val="24"/>
                <w:lang w:eastAsia="zh-CN"/>
              </w:rPr>
              <w:t>管控单元</w:t>
            </w:r>
            <w:r>
              <w:rPr>
                <w:rFonts w:hint="eastAsia" w:cs="Times New Roman"/>
                <w:color w:val="auto"/>
                <w:sz w:val="24"/>
                <w:szCs w:val="24"/>
                <w:lang w:val="en-US" w:eastAsia="zh-CN"/>
              </w:rPr>
              <w:t>-指前镇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rPr>
              <w:t>其管控要求与本项目的相符性分析见</w:t>
            </w:r>
            <w:r>
              <w:rPr>
                <w:rFonts w:hint="default" w:ascii="Times New Roman" w:hAnsi="Times New Roman" w:eastAsia="宋体" w:cs="Times New Roman"/>
                <w:bCs/>
                <w:color w:val="auto"/>
                <w:sz w:val="24"/>
                <w:lang w:val="en-US" w:eastAsia="zh-CN"/>
              </w:rPr>
              <w:t>下表</w:t>
            </w:r>
            <w:r>
              <w:rPr>
                <w:rFonts w:hint="default" w:ascii="Times New Roman" w:hAnsi="Times New Roman" w:eastAsia="宋体" w:cs="Times New Roman"/>
                <w:bCs/>
                <w:color w:val="auto"/>
                <w:sz w:val="24"/>
              </w:rPr>
              <w:t>。</w:t>
            </w:r>
          </w:p>
          <w:p w14:paraId="6D67AB8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eastAsia="zh-CN"/>
              </w:rPr>
              <w:t>《常州市生态环境分区管控动态更新成果》（2023年版）</w:t>
            </w:r>
            <w:r>
              <w:rPr>
                <w:rFonts w:hint="default" w:ascii="Times New Roman" w:hAnsi="Times New Roman" w:eastAsia="宋体" w:cs="Times New Roman"/>
                <w:b/>
                <w:bCs/>
                <w:color w:val="auto"/>
                <w:sz w:val="21"/>
                <w:szCs w:val="21"/>
              </w:rPr>
              <w:t>相符性分析</w:t>
            </w:r>
          </w:p>
          <w:tbl>
            <w:tblPr>
              <w:tblStyle w:val="28"/>
              <w:tblW w:w="4996"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586"/>
              <w:gridCol w:w="2386"/>
              <w:gridCol w:w="801"/>
            </w:tblGrid>
            <w:tr w14:paraId="3D9560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noWrap w:val="0"/>
                  <w:vAlign w:val="center"/>
                </w:tcPr>
                <w:p w14:paraId="62609500">
                  <w:pPr>
                    <w:pStyle w:val="9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管控类别</w:t>
                  </w:r>
                </w:p>
              </w:tc>
              <w:tc>
                <w:tcPr>
                  <w:tcW w:w="2294" w:type="pct"/>
                  <w:noWrap w:val="0"/>
                  <w:vAlign w:val="center"/>
                </w:tcPr>
                <w:p w14:paraId="78D2DFC6">
                  <w:pPr>
                    <w:pStyle w:val="9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指前镇</w:t>
                  </w:r>
                  <w:r>
                    <w:rPr>
                      <w:rFonts w:hint="default" w:ascii="Times New Roman" w:hAnsi="Times New Roman" w:eastAsia="宋体" w:cs="Times New Roman"/>
                      <w:b/>
                      <w:bCs/>
                      <w:color w:val="auto"/>
                      <w:sz w:val="21"/>
                      <w:szCs w:val="21"/>
                    </w:rPr>
                    <w:t>）</w:t>
                  </w:r>
                </w:p>
              </w:tc>
              <w:tc>
                <w:tcPr>
                  <w:tcW w:w="1526" w:type="pct"/>
                  <w:noWrap w:val="0"/>
                  <w:vAlign w:val="center"/>
                </w:tcPr>
                <w:p w14:paraId="56F473BD">
                  <w:pPr>
                    <w:pStyle w:val="9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12" w:type="pct"/>
                  <w:noWrap w:val="0"/>
                  <w:vAlign w:val="center"/>
                </w:tcPr>
                <w:p w14:paraId="58F197D6">
                  <w:pPr>
                    <w:pStyle w:val="9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2CD91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02F367D4">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2294" w:type="pct"/>
                  <w:noWrap w:val="0"/>
                  <w:vAlign w:val="center"/>
                </w:tcPr>
                <w:p w14:paraId="54E950EB">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各类开发建设活动应符合常州市总体规划、控制性详细规划、土地利用规划等相关要求。 </w:t>
                  </w:r>
                </w:p>
              </w:tc>
              <w:tc>
                <w:tcPr>
                  <w:tcW w:w="1526" w:type="pct"/>
                  <w:noWrap w:val="0"/>
                  <w:vAlign w:val="center"/>
                </w:tcPr>
                <w:p w14:paraId="157D9B14">
                  <w:pPr>
                    <w:pStyle w:val="97"/>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本项目</w:t>
                  </w:r>
                  <w:r>
                    <w:rPr>
                      <w:rFonts w:hint="default" w:ascii="Times New Roman" w:hAnsi="Times New Roman" w:eastAsia="宋体" w:cs="Times New Roman"/>
                      <w:color w:val="auto"/>
                      <w:sz w:val="21"/>
                      <w:szCs w:val="21"/>
                      <w:lang w:val="en-US" w:eastAsia="zh-CN"/>
                    </w:rPr>
                    <w:t>建设符合常州市总体规划、控制性详细规划、土地利用规划等相关要求</w:t>
                  </w:r>
                  <w:r>
                    <w:rPr>
                      <w:rFonts w:hint="default" w:ascii="Times New Roman" w:hAnsi="Times New Roman" w:cs="Times New Roman"/>
                      <w:color w:val="auto"/>
                      <w:sz w:val="21"/>
                      <w:szCs w:val="21"/>
                    </w:rPr>
                    <w:t>。</w:t>
                  </w:r>
                </w:p>
              </w:tc>
              <w:tc>
                <w:tcPr>
                  <w:tcW w:w="512" w:type="pct"/>
                  <w:vMerge w:val="restart"/>
                  <w:noWrap w:val="0"/>
                  <w:vAlign w:val="center"/>
                </w:tcPr>
                <w:p w14:paraId="1C871BDD">
                  <w:pPr>
                    <w:pStyle w:val="97"/>
                    <w:rPr>
                      <w:rFonts w:hint="default" w:ascii="Times New Roman" w:hAnsi="Times New Roman" w:cs="Times New Roman"/>
                      <w:b/>
                      <w:bCs/>
                      <w:color w:val="auto"/>
                      <w:sz w:val="21"/>
                      <w:szCs w:val="21"/>
                    </w:rPr>
                  </w:pPr>
                  <w:r>
                    <w:rPr>
                      <w:rFonts w:hint="default" w:ascii="Times New Roman" w:hAnsi="Times New Roman" w:cs="Times New Roman"/>
                      <w:color w:val="auto"/>
                      <w:szCs w:val="21"/>
                    </w:rPr>
                    <w:t>相符</w:t>
                  </w:r>
                </w:p>
              </w:tc>
            </w:tr>
            <w:tr w14:paraId="70EFE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057F92AB">
                  <w:pPr>
                    <w:pStyle w:val="97"/>
                    <w:rPr>
                      <w:rFonts w:hint="default" w:ascii="Times New Roman" w:hAnsi="Times New Roman" w:cs="Times New Roman"/>
                      <w:color w:val="auto"/>
                      <w:sz w:val="21"/>
                      <w:szCs w:val="21"/>
                    </w:rPr>
                  </w:pPr>
                </w:p>
              </w:tc>
              <w:tc>
                <w:tcPr>
                  <w:tcW w:w="2294" w:type="pct"/>
                  <w:noWrap w:val="0"/>
                  <w:vAlign w:val="center"/>
                </w:tcPr>
                <w:p w14:paraId="647832DA">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禁止引入列入《产业结构调整指导目录（2019年本）》、《江苏省产业结构调整限制、淘汰和禁止目录》、《江苏省工业和信息产业结构调整、限制、淘汰目录及能耗限额》淘汰类的产业。</w:t>
                  </w:r>
                </w:p>
              </w:tc>
              <w:tc>
                <w:tcPr>
                  <w:tcW w:w="1526" w:type="pct"/>
                  <w:noWrap w:val="0"/>
                  <w:vAlign w:val="center"/>
                </w:tcPr>
                <w:p w14:paraId="68D41D1F">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lang w:val="en-US" w:eastAsia="zh-CN"/>
                    </w:rPr>
                    <w:t>《产业结构调整指导目录（2019年本）》、《江苏省产业结构调整限制、淘汰和禁止目录》、《江苏省工业和信息产业结构调整、限制、淘汰目录及能耗限额》淘汰类的产业。</w:t>
                  </w:r>
                </w:p>
              </w:tc>
              <w:tc>
                <w:tcPr>
                  <w:tcW w:w="512" w:type="pct"/>
                  <w:vMerge w:val="continue"/>
                  <w:noWrap w:val="0"/>
                  <w:vAlign w:val="center"/>
                </w:tcPr>
                <w:p w14:paraId="051BAB4F">
                  <w:pPr>
                    <w:pStyle w:val="97"/>
                    <w:rPr>
                      <w:rFonts w:hint="default" w:ascii="Times New Roman" w:hAnsi="Times New Roman" w:cs="Times New Roman"/>
                      <w:color w:val="auto"/>
                      <w:sz w:val="21"/>
                      <w:szCs w:val="21"/>
                    </w:rPr>
                  </w:pPr>
                </w:p>
              </w:tc>
            </w:tr>
            <w:tr w14:paraId="671BCB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67" w:type="pct"/>
                  <w:vMerge w:val="continue"/>
                  <w:noWrap w:val="0"/>
                  <w:vAlign w:val="center"/>
                </w:tcPr>
                <w:p w14:paraId="1E254AB0">
                  <w:pPr>
                    <w:pStyle w:val="97"/>
                    <w:rPr>
                      <w:rFonts w:hint="default" w:ascii="Times New Roman" w:hAnsi="Times New Roman" w:cs="Times New Roman"/>
                      <w:color w:val="auto"/>
                      <w:sz w:val="21"/>
                      <w:szCs w:val="21"/>
                    </w:rPr>
                  </w:pPr>
                </w:p>
              </w:tc>
              <w:tc>
                <w:tcPr>
                  <w:tcW w:w="2294" w:type="pct"/>
                  <w:noWrap w:val="0"/>
                  <w:vAlign w:val="center"/>
                </w:tcPr>
                <w:p w14:paraId="5B3DF7C1">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禁止引入不符合《</w:t>
                  </w:r>
                  <w:r>
                    <w:rPr>
                      <w:rFonts w:hint="eastAsia" w:cs="Times New Roman"/>
                      <w:color w:val="auto"/>
                      <w:sz w:val="21"/>
                      <w:szCs w:val="21"/>
                      <w:lang w:val="en-US" w:eastAsia="zh-CN"/>
                    </w:rPr>
                    <w:t>江苏省太湖水污染防治条例</w:t>
                  </w:r>
                  <w:r>
                    <w:rPr>
                      <w:rFonts w:hint="default" w:ascii="Times New Roman" w:hAnsi="Times New Roman" w:eastAsia="宋体" w:cs="Times New Roman"/>
                      <w:color w:val="auto"/>
                      <w:sz w:val="21"/>
                      <w:szCs w:val="21"/>
                      <w:lang w:val="en-US" w:eastAsia="zh-CN"/>
                    </w:rPr>
                    <w:t xml:space="preserve">》要求的项目。 </w:t>
                  </w:r>
                </w:p>
              </w:tc>
              <w:tc>
                <w:tcPr>
                  <w:tcW w:w="1526" w:type="pct"/>
                  <w:noWrap w:val="0"/>
                  <w:vAlign w:val="center"/>
                </w:tcPr>
                <w:p w14:paraId="2676B9AB">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本项目的建设</w:t>
                  </w:r>
                  <w:r>
                    <w:rPr>
                      <w:rFonts w:hint="default" w:ascii="Times New Roman" w:hAnsi="Times New Roman" w:eastAsia="宋体" w:cs="Times New Roman"/>
                      <w:color w:val="auto"/>
                      <w:sz w:val="21"/>
                      <w:szCs w:val="21"/>
                      <w:lang w:val="en-US" w:eastAsia="zh-CN"/>
                    </w:rPr>
                    <w:t>符合《</w:t>
                  </w:r>
                  <w:r>
                    <w:rPr>
                      <w:rFonts w:hint="eastAsia" w:cs="Times New Roman"/>
                      <w:color w:val="auto"/>
                      <w:sz w:val="21"/>
                      <w:szCs w:val="21"/>
                      <w:lang w:val="en-US" w:eastAsia="zh-CN"/>
                    </w:rPr>
                    <w:t>江苏省太湖水污染防治条例</w:t>
                  </w:r>
                  <w:r>
                    <w:rPr>
                      <w:rFonts w:hint="default" w:ascii="Times New Roman" w:hAnsi="Times New Roman" w:eastAsia="宋体" w:cs="Times New Roman"/>
                      <w:color w:val="auto"/>
                      <w:sz w:val="21"/>
                      <w:szCs w:val="21"/>
                      <w:lang w:val="en-US" w:eastAsia="zh-CN"/>
                    </w:rPr>
                    <w:t>》要求</w:t>
                  </w:r>
                </w:p>
              </w:tc>
              <w:tc>
                <w:tcPr>
                  <w:tcW w:w="512" w:type="pct"/>
                  <w:vMerge w:val="continue"/>
                  <w:noWrap w:val="0"/>
                  <w:vAlign w:val="center"/>
                </w:tcPr>
                <w:p w14:paraId="5DD4A39C">
                  <w:pPr>
                    <w:pStyle w:val="97"/>
                    <w:rPr>
                      <w:rFonts w:hint="default" w:ascii="Times New Roman" w:hAnsi="Times New Roman" w:cs="Times New Roman"/>
                      <w:b/>
                      <w:bCs/>
                      <w:color w:val="auto"/>
                      <w:sz w:val="21"/>
                      <w:szCs w:val="21"/>
                    </w:rPr>
                  </w:pPr>
                </w:p>
              </w:tc>
            </w:tr>
            <w:tr w14:paraId="19486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9DC2264">
                  <w:pPr>
                    <w:pStyle w:val="97"/>
                    <w:rPr>
                      <w:rFonts w:hint="default" w:ascii="Times New Roman" w:hAnsi="Times New Roman" w:cs="Times New Roman"/>
                      <w:color w:val="auto"/>
                      <w:sz w:val="21"/>
                      <w:szCs w:val="21"/>
                    </w:rPr>
                  </w:pPr>
                </w:p>
              </w:tc>
              <w:tc>
                <w:tcPr>
                  <w:tcW w:w="2294" w:type="pct"/>
                  <w:noWrap w:val="0"/>
                  <w:vAlign w:val="center"/>
                </w:tcPr>
                <w:p w14:paraId="4BDD9062">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不得新建、改建、扩建印染项目。</w:t>
                  </w:r>
                </w:p>
              </w:tc>
              <w:tc>
                <w:tcPr>
                  <w:tcW w:w="1526" w:type="pct"/>
                  <w:noWrap w:val="0"/>
                  <w:vAlign w:val="center"/>
                </w:tcPr>
                <w:p w14:paraId="6185FE70">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lang w:val="en-US" w:eastAsia="zh-CN"/>
                    </w:rPr>
                    <w:t>印染项目。</w:t>
                  </w:r>
                </w:p>
              </w:tc>
              <w:tc>
                <w:tcPr>
                  <w:tcW w:w="512" w:type="pct"/>
                  <w:vMerge w:val="continue"/>
                  <w:noWrap w:val="0"/>
                  <w:vAlign w:val="center"/>
                </w:tcPr>
                <w:p w14:paraId="189A1679">
                  <w:pPr>
                    <w:pStyle w:val="97"/>
                    <w:rPr>
                      <w:rFonts w:hint="default" w:ascii="Times New Roman" w:hAnsi="Times New Roman" w:cs="Times New Roman"/>
                      <w:b/>
                      <w:bCs/>
                      <w:color w:val="auto"/>
                      <w:sz w:val="21"/>
                      <w:szCs w:val="21"/>
                    </w:rPr>
                  </w:pPr>
                </w:p>
              </w:tc>
            </w:tr>
            <w:tr w14:paraId="4A0197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636500CF">
                  <w:pPr>
                    <w:pStyle w:val="97"/>
                    <w:rPr>
                      <w:rFonts w:hint="default" w:ascii="Times New Roman" w:hAnsi="Times New Roman" w:cs="Times New Roman"/>
                      <w:color w:val="auto"/>
                      <w:sz w:val="21"/>
                      <w:szCs w:val="21"/>
                    </w:rPr>
                  </w:pPr>
                </w:p>
              </w:tc>
              <w:tc>
                <w:tcPr>
                  <w:tcW w:w="2294" w:type="pct"/>
                  <w:noWrap w:val="0"/>
                  <w:vAlign w:val="center"/>
                </w:tcPr>
                <w:p w14:paraId="6501C894">
                  <w:pPr>
                    <w:pStyle w:val="9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禁养区范围内禁止建设畜禽养殖场、养殖小区。</w:t>
                  </w:r>
                </w:p>
              </w:tc>
              <w:tc>
                <w:tcPr>
                  <w:tcW w:w="1526" w:type="pct"/>
                  <w:noWrap w:val="0"/>
                  <w:vAlign w:val="center"/>
                </w:tcPr>
                <w:p w14:paraId="7DD4B2E9">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lang w:val="en-US" w:eastAsia="zh-CN"/>
                    </w:rPr>
                    <w:t>禽养殖场、养殖小区。</w:t>
                  </w:r>
                </w:p>
              </w:tc>
              <w:tc>
                <w:tcPr>
                  <w:tcW w:w="512" w:type="pct"/>
                  <w:vMerge w:val="continue"/>
                  <w:noWrap w:val="0"/>
                  <w:vAlign w:val="center"/>
                </w:tcPr>
                <w:p w14:paraId="43372459">
                  <w:pPr>
                    <w:pStyle w:val="97"/>
                    <w:rPr>
                      <w:rFonts w:hint="default" w:ascii="Times New Roman" w:hAnsi="Times New Roman" w:cs="Times New Roman"/>
                      <w:b/>
                      <w:bCs/>
                      <w:color w:val="auto"/>
                      <w:sz w:val="21"/>
                      <w:szCs w:val="21"/>
                    </w:rPr>
                  </w:pPr>
                </w:p>
              </w:tc>
            </w:tr>
            <w:tr w14:paraId="62516B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66F255CA">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2294" w:type="pct"/>
                  <w:noWrap w:val="0"/>
                  <w:vAlign w:val="center"/>
                </w:tcPr>
                <w:p w14:paraId="72937BD4">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落实污染物总量控制制度，根据区域环境质量改善目标，削减污染物排放总量。</w:t>
                  </w:r>
                </w:p>
              </w:tc>
              <w:tc>
                <w:tcPr>
                  <w:tcW w:w="1526" w:type="pct"/>
                  <w:noWrap w:val="0"/>
                  <w:vAlign w:val="center"/>
                </w:tcPr>
                <w:p w14:paraId="2FF088C0">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cs="Times New Roman"/>
                      <w:color w:val="auto"/>
                      <w:sz w:val="21"/>
                      <w:szCs w:val="21"/>
                      <w:lang w:val="en-US" w:eastAsia="zh-CN"/>
                    </w:rPr>
                    <w:t>锡及其化合物废气</w:t>
                  </w:r>
                  <w:r>
                    <w:rPr>
                      <w:rFonts w:hint="default" w:ascii="Times New Roman" w:hAnsi="Times New Roman" w:cs="Times New Roman"/>
                      <w:color w:val="auto"/>
                      <w:sz w:val="21"/>
                      <w:szCs w:val="21"/>
                    </w:rPr>
                    <w:t>经处理后达标排放，废气排放总量</w:t>
                  </w:r>
                  <w:r>
                    <w:rPr>
                      <w:rFonts w:hint="eastAsia" w:cs="Times New Roman"/>
                      <w:color w:val="auto"/>
                      <w:sz w:val="21"/>
                      <w:szCs w:val="21"/>
                      <w:lang w:val="en-US" w:eastAsia="zh-CN"/>
                    </w:rPr>
                    <w:t>在金坛区内平衡</w:t>
                  </w:r>
                  <w:r>
                    <w:rPr>
                      <w:rFonts w:hint="default" w:ascii="Times New Roman" w:hAnsi="Times New Roman" w:cs="Times New Roman"/>
                      <w:color w:val="auto"/>
                      <w:sz w:val="21"/>
                      <w:szCs w:val="21"/>
                    </w:rPr>
                    <w:t>。</w:t>
                  </w:r>
                </w:p>
              </w:tc>
              <w:tc>
                <w:tcPr>
                  <w:tcW w:w="512" w:type="pct"/>
                  <w:vMerge w:val="restart"/>
                  <w:noWrap w:val="0"/>
                  <w:vAlign w:val="center"/>
                </w:tcPr>
                <w:p w14:paraId="33CF6CA3">
                  <w:pPr>
                    <w:pStyle w:val="97"/>
                    <w:rPr>
                      <w:rFonts w:hint="default" w:ascii="Times New Roman" w:hAnsi="Times New Roman" w:cs="Times New Roman"/>
                      <w:b/>
                      <w:bCs/>
                      <w:color w:val="auto"/>
                      <w:sz w:val="21"/>
                      <w:szCs w:val="21"/>
                    </w:rPr>
                  </w:pPr>
                  <w:r>
                    <w:rPr>
                      <w:rFonts w:hint="default" w:ascii="Times New Roman" w:hAnsi="Times New Roman" w:cs="Times New Roman"/>
                      <w:color w:val="auto"/>
                      <w:szCs w:val="21"/>
                    </w:rPr>
                    <w:t>相符</w:t>
                  </w:r>
                </w:p>
              </w:tc>
            </w:tr>
            <w:tr w14:paraId="12EA1A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22DBE8F6">
                  <w:pPr>
                    <w:pStyle w:val="97"/>
                    <w:rPr>
                      <w:rFonts w:hint="default" w:ascii="Times New Roman" w:hAnsi="Times New Roman" w:cs="Times New Roman"/>
                      <w:color w:val="auto"/>
                      <w:sz w:val="21"/>
                      <w:szCs w:val="21"/>
                    </w:rPr>
                  </w:pPr>
                </w:p>
              </w:tc>
              <w:tc>
                <w:tcPr>
                  <w:tcW w:w="2294" w:type="pct"/>
                  <w:noWrap w:val="0"/>
                  <w:vAlign w:val="center"/>
                </w:tcPr>
                <w:p w14:paraId="294154C2">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进一步开展管网排查，提升污水收集效率。强化餐饮油烟治理，加强噪声污染防治，严格施工扬尘监管，加强土壤和地下水污染防治与修复。</w:t>
                  </w:r>
                </w:p>
              </w:tc>
              <w:tc>
                <w:tcPr>
                  <w:tcW w:w="1526" w:type="pct"/>
                  <w:noWrap w:val="0"/>
                  <w:vAlign w:val="center"/>
                </w:tcPr>
                <w:p w14:paraId="53E8DF98">
                  <w:pPr>
                    <w:pStyle w:val="97"/>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项目生活污水</w:t>
                  </w:r>
                  <w:r>
                    <w:rPr>
                      <w:rFonts w:hint="eastAsia" w:cs="Times New Roman"/>
                      <w:color w:val="auto"/>
                      <w:sz w:val="21"/>
                      <w:szCs w:val="21"/>
                      <w:lang w:val="en-US" w:eastAsia="zh-CN"/>
                    </w:rPr>
                    <w:t>接管至金坛区指前镇新河村农村生活污水处理站</w:t>
                  </w:r>
                  <w:r>
                    <w:rPr>
                      <w:rFonts w:hint="eastAsia" w:ascii="Times New Roman" w:hAnsi="Times New Roman" w:cs="Times New Roman"/>
                      <w:color w:val="auto"/>
                      <w:sz w:val="21"/>
                      <w:szCs w:val="21"/>
                      <w:lang w:val="en-US" w:eastAsia="zh-CN"/>
                    </w:rPr>
                    <w:t>处理。</w:t>
                  </w:r>
                </w:p>
              </w:tc>
              <w:tc>
                <w:tcPr>
                  <w:tcW w:w="512" w:type="pct"/>
                  <w:vMerge w:val="continue"/>
                  <w:noWrap w:val="0"/>
                  <w:vAlign w:val="center"/>
                </w:tcPr>
                <w:p w14:paraId="6D2927E0">
                  <w:pPr>
                    <w:pStyle w:val="97"/>
                    <w:rPr>
                      <w:rFonts w:hint="default" w:ascii="Times New Roman" w:hAnsi="Times New Roman" w:cs="Times New Roman"/>
                      <w:color w:val="auto"/>
                      <w:szCs w:val="21"/>
                    </w:rPr>
                  </w:pPr>
                </w:p>
              </w:tc>
            </w:tr>
            <w:tr w14:paraId="59AF96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1B001519">
                  <w:pPr>
                    <w:pStyle w:val="97"/>
                    <w:rPr>
                      <w:rFonts w:hint="default" w:ascii="Times New Roman" w:hAnsi="Times New Roman" w:cs="Times New Roman"/>
                      <w:color w:val="auto"/>
                      <w:sz w:val="21"/>
                      <w:szCs w:val="21"/>
                    </w:rPr>
                  </w:pPr>
                </w:p>
              </w:tc>
              <w:tc>
                <w:tcPr>
                  <w:tcW w:w="2294" w:type="pct"/>
                  <w:noWrap w:val="0"/>
                  <w:vAlign w:val="center"/>
                </w:tcPr>
                <w:p w14:paraId="746DAEFF">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加强农业面源污染治理，严格控制化肥农药施加量，合理水产养殖布局，控制水产养殖污染，逐步削减农业面源污染物排放量。</w:t>
                  </w:r>
                </w:p>
              </w:tc>
              <w:tc>
                <w:tcPr>
                  <w:tcW w:w="1526" w:type="pct"/>
                  <w:noWrap w:val="0"/>
                  <w:vAlign w:val="center"/>
                </w:tcPr>
                <w:p w14:paraId="67BCE4CF">
                  <w:pPr>
                    <w:pStyle w:val="97"/>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项目不涉及</w:t>
                  </w:r>
                  <w:r>
                    <w:rPr>
                      <w:rFonts w:hint="default" w:ascii="Times New Roman" w:hAnsi="Times New Roman" w:eastAsia="宋体" w:cs="Times New Roman"/>
                      <w:color w:val="auto"/>
                      <w:sz w:val="21"/>
                      <w:szCs w:val="21"/>
                      <w:lang w:val="en-US" w:eastAsia="zh-CN"/>
                    </w:rPr>
                    <w:t>。</w:t>
                  </w:r>
                </w:p>
              </w:tc>
              <w:tc>
                <w:tcPr>
                  <w:tcW w:w="512" w:type="pct"/>
                  <w:vMerge w:val="continue"/>
                  <w:noWrap w:val="0"/>
                  <w:vAlign w:val="center"/>
                </w:tcPr>
                <w:p w14:paraId="2F1DD7F8">
                  <w:pPr>
                    <w:pStyle w:val="97"/>
                    <w:rPr>
                      <w:rFonts w:hint="default" w:ascii="Times New Roman" w:hAnsi="Times New Roman" w:cs="Times New Roman"/>
                      <w:b/>
                      <w:bCs/>
                      <w:color w:val="auto"/>
                      <w:sz w:val="21"/>
                      <w:szCs w:val="21"/>
                    </w:rPr>
                  </w:pPr>
                </w:p>
              </w:tc>
            </w:tr>
            <w:tr w14:paraId="46886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5F9E810C">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2294" w:type="pct"/>
                  <w:noWrap w:val="0"/>
                  <w:vAlign w:val="center"/>
                </w:tcPr>
                <w:p w14:paraId="6F114C3F">
                  <w:pPr>
                    <w:pStyle w:val="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加强环境风险防范应急体系建设，加强环境应急预案管理，定期开展应急演练，持续开展环境安全隐患排查整治，提升应急监测能力，加强应急物资管理。</w:t>
                  </w:r>
                </w:p>
              </w:tc>
              <w:tc>
                <w:tcPr>
                  <w:tcW w:w="1526" w:type="pct"/>
                  <w:vMerge w:val="restart"/>
                  <w:noWrap w:val="0"/>
                  <w:vAlign w:val="center"/>
                </w:tcPr>
                <w:p w14:paraId="63923B60">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项目建设</w:t>
                  </w:r>
                  <w:r>
                    <w:rPr>
                      <w:rFonts w:hint="default" w:ascii="Times New Roman" w:hAnsi="Times New Roman" w:cs="Times New Roman"/>
                      <w:color w:val="auto"/>
                      <w:sz w:val="21"/>
                      <w:szCs w:val="21"/>
                      <w:lang w:val="en-US" w:eastAsia="zh-CN"/>
                    </w:rPr>
                    <w:t>后将</w:t>
                  </w:r>
                  <w:r>
                    <w:rPr>
                      <w:rFonts w:hint="default" w:ascii="Times New Roman" w:hAnsi="Times New Roman" w:cs="Times New Roman"/>
                      <w:color w:val="auto"/>
                      <w:sz w:val="21"/>
                      <w:szCs w:val="21"/>
                    </w:rPr>
                    <w:t>委托专业单位编制突发环境事件应急预案并在金坛生态环境局备案；项目建成后将</w:t>
                  </w:r>
                  <w:r>
                    <w:rPr>
                      <w:rFonts w:hint="default" w:ascii="Times New Roman" w:hAnsi="Times New Roman" w:eastAsia="宋体" w:cs="Times New Roman"/>
                      <w:color w:val="auto"/>
                      <w:sz w:val="21"/>
                      <w:szCs w:val="21"/>
                    </w:rPr>
                    <w:t>加强环境风险防</w:t>
                  </w:r>
                  <w:r>
                    <w:rPr>
                      <w:rFonts w:hint="eastAsia" w:cs="Times New Roman"/>
                      <w:color w:val="auto"/>
                      <w:sz w:val="21"/>
                      <w:szCs w:val="21"/>
                      <w:lang w:eastAsia="zh-CN"/>
                    </w:rPr>
                    <w:t>范和</w:t>
                  </w:r>
                  <w:r>
                    <w:rPr>
                      <w:rFonts w:hint="default" w:ascii="Times New Roman" w:hAnsi="Times New Roman" w:eastAsia="宋体" w:cs="Times New Roman"/>
                      <w:color w:val="auto"/>
                      <w:sz w:val="21"/>
                      <w:szCs w:val="21"/>
                    </w:rPr>
                    <w:t>应急体系建设，定期开展应急演练，持续开展环境安全隐患排查整治</w:t>
                  </w:r>
                  <w:r>
                    <w:rPr>
                      <w:rFonts w:hint="default" w:ascii="Times New Roman" w:hAnsi="Times New Roman" w:cs="Times New Roman"/>
                      <w:color w:val="auto"/>
                      <w:sz w:val="21"/>
                      <w:szCs w:val="21"/>
                    </w:rPr>
                    <w:t>。</w:t>
                  </w:r>
                </w:p>
              </w:tc>
              <w:tc>
                <w:tcPr>
                  <w:tcW w:w="512" w:type="pct"/>
                  <w:vMerge w:val="restart"/>
                  <w:noWrap w:val="0"/>
                  <w:vAlign w:val="center"/>
                </w:tcPr>
                <w:p w14:paraId="49975A49">
                  <w:pPr>
                    <w:pStyle w:val="97"/>
                    <w:rPr>
                      <w:rFonts w:hint="default" w:ascii="Times New Roman" w:hAnsi="Times New Roman" w:cs="Times New Roman"/>
                      <w:b/>
                      <w:bCs/>
                      <w:color w:val="auto"/>
                      <w:sz w:val="21"/>
                      <w:szCs w:val="21"/>
                    </w:rPr>
                  </w:pPr>
                  <w:r>
                    <w:rPr>
                      <w:rFonts w:hint="default" w:ascii="Times New Roman" w:hAnsi="Times New Roman" w:cs="Times New Roman"/>
                      <w:color w:val="auto"/>
                      <w:szCs w:val="21"/>
                    </w:rPr>
                    <w:t>相符</w:t>
                  </w:r>
                </w:p>
              </w:tc>
            </w:tr>
            <w:tr w14:paraId="2D851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35DC9A0C">
                  <w:pPr>
                    <w:pStyle w:val="97"/>
                    <w:rPr>
                      <w:rFonts w:hint="default" w:ascii="Times New Roman" w:hAnsi="Times New Roman" w:cs="Times New Roman"/>
                      <w:color w:val="auto"/>
                      <w:sz w:val="21"/>
                      <w:szCs w:val="21"/>
                    </w:rPr>
                  </w:pPr>
                </w:p>
              </w:tc>
              <w:tc>
                <w:tcPr>
                  <w:tcW w:w="2294" w:type="pct"/>
                  <w:noWrap w:val="0"/>
                  <w:vAlign w:val="center"/>
                </w:tcPr>
                <w:p w14:paraId="40468D1D">
                  <w:pPr>
                    <w:pStyle w:val="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合理布局商业、居住、科教等功能区块，严格控制噪声、恶臭、油烟等污染排放较大的建设项目布局。</w:t>
                  </w:r>
                </w:p>
              </w:tc>
              <w:tc>
                <w:tcPr>
                  <w:tcW w:w="1526" w:type="pct"/>
                  <w:vMerge w:val="continue"/>
                  <w:noWrap w:val="0"/>
                  <w:vAlign w:val="center"/>
                </w:tcPr>
                <w:p w14:paraId="50D7AA2A">
                  <w:pPr>
                    <w:pStyle w:val="97"/>
                    <w:rPr>
                      <w:rFonts w:hint="default" w:ascii="Times New Roman" w:hAnsi="Times New Roman" w:cs="Times New Roman"/>
                      <w:b/>
                      <w:bCs/>
                      <w:color w:val="auto"/>
                      <w:sz w:val="21"/>
                      <w:szCs w:val="21"/>
                    </w:rPr>
                  </w:pPr>
                </w:p>
              </w:tc>
              <w:tc>
                <w:tcPr>
                  <w:tcW w:w="512" w:type="pct"/>
                  <w:vMerge w:val="continue"/>
                  <w:noWrap w:val="0"/>
                  <w:vAlign w:val="center"/>
                </w:tcPr>
                <w:p w14:paraId="01050829">
                  <w:pPr>
                    <w:pStyle w:val="97"/>
                    <w:rPr>
                      <w:rFonts w:hint="default" w:ascii="Times New Roman" w:hAnsi="Times New Roman" w:cs="Times New Roman"/>
                      <w:b/>
                      <w:bCs/>
                      <w:color w:val="auto"/>
                      <w:sz w:val="21"/>
                      <w:szCs w:val="21"/>
                    </w:rPr>
                  </w:pPr>
                </w:p>
              </w:tc>
            </w:tr>
            <w:tr w14:paraId="5313B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restart"/>
                  <w:noWrap w:val="0"/>
                  <w:vAlign w:val="center"/>
                </w:tcPr>
                <w:p w14:paraId="149994FF">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资源开发效率要求</w:t>
                  </w:r>
                </w:p>
              </w:tc>
              <w:tc>
                <w:tcPr>
                  <w:tcW w:w="2294" w:type="pct"/>
                  <w:noWrap w:val="0"/>
                  <w:vAlign w:val="center"/>
                </w:tcPr>
                <w:p w14:paraId="1211EB20">
                  <w:pPr>
                    <w:pStyle w:val="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优化能源结构，加强能源清洁利用。 </w:t>
                  </w:r>
                </w:p>
              </w:tc>
              <w:tc>
                <w:tcPr>
                  <w:tcW w:w="1526" w:type="pct"/>
                  <w:noWrap w:val="0"/>
                  <w:vAlign w:val="center"/>
                </w:tcPr>
                <w:p w14:paraId="67DD0F52">
                  <w:pPr>
                    <w:pStyle w:val="9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本项目使用清洁能源电力。</w:t>
                  </w:r>
                </w:p>
              </w:tc>
              <w:tc>
                <w:tcPr>
                  <w:tcW w:w="512" w:type="pct"/>
                  <w:vMerge w:val="restart"/>
                  <w:noWrap w:val="0"/>
                  <w:vAlign w:val="center"/>
                </w:tcPr>
                <w:p w14:paraId="0F242745">
                  <w:pPr>
                    <w:pStyle w:val="97"/>
                    <w:rPr>
                      <w:rFonts w:hint="default" w:ascii="Times New Roman" w:hAnsi="Times New Roman" w:cs="Times New Roman"/>
                      <w:color w:val="auto"/>
                      <w:sz w:val="21"/>
                      <w:szCs w:val="21"/>
                    </w:rPr>
                  </w:pPr>
                  <w:r>
                    <w:rPr>
                      <w:rFonts w:hint="default" w:ascii="Times New Roman" w:hAnsi="Times New Roman" w:cs="Times New Roman"/>
                      <w:color w:val="auto"/>
                      <w:szCs w:val="21"/>
                    </w:rPr>
                    <w:t>相符</w:t>
                  </w:r>
                </w:p>
              </w:tc>
            </w:tr>
            <w:tr w14:paraId="6A7675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1AAD7820">
                  <w:pPr>
                    <w:pStyle w:val="97"/>
                    <w:rPr>
                      <w:rFonts w:hint="default" w:ascii="Times New Roman" w:hAnsi="Times New Roman" w:cs="Times New Roman"/>
                      <w:color w:val="auto"/>
                      <w:sz w:val="21"/>
                      <w:szCs w:val="21"/>
                    </w:rPr>
                  </w:pPr>
                </w:p>
              </w:tc>
              <w:tc>
                <w:tcPr>
                  <w:tcW w:w="2294" w:type="pct"/>
                  <w:noWrap w:val="0"/>
                  <w:vAlign w:val="center"/>
                </w:tcPr>
                <w:p w14:paraId="14B90268">
                  <w:pPr>
                    <w:pStyle w:val="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万元GDP能耗、万元GDP用水量等指标达到市定目标。 </w:t>
                  </w:r>
                </w:p>
              </w:tc>
              <w:tc>
                <w:tcPr>
                  <w:tcW w:w="1526" w:type="pct"/>
                  <w:noWrap w:val="0"/>
                  <w:vAlign w:val="center"/>
                </w:tcPr>
                <w:p w14:paraId="127C2E47">
                  <w:pPr>
                    <w:pStyle w:val="97"/>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w:t>
                  </w:r>
                  <w:r>
                    <w:rPr>
                      <w:rFonts w:hint="default" w:ascii="Times New Roman" w:hAnsi="Times New Roman" w:eastAsia="宋体" w:cs="Times New Roman"/>
                      <w:color w:val="auto"/>
                      <w:sz w:val="21"/>
                      <w:szCs w:val="21"/>
                    </w:rPr>
                    <w:t>万元GDP能耗、万元GDP用水量等指标</w:t>
                  </w:r>
                  <w:r>
                    <w:rPr>
                      <w:rFonts w:hint="eastAsia" w:ascii="Times New Roman" w:hAnsi="Times New Roman" w:cs="Times New Roman"/>
                      <w:color w:val="auto"/>
                      <w:sz w:val="21"/>
                      <w:szCs w:val="21"/>
                      <w:lang w:val="en-US" w:eastAsia="zh-CN"/>
                    </w:rPr>
                    <w:t>能</w:t>
                  </w:r>
                  <w:r>
                    <w:rPr>
                      <w:rFonts w:hint="default" w:ascii="Times New Roman" w:hAnsi="Times New Roman" w:eastAsia="宋体" w:cs="Times New Roman"/>
                      <w:color w:val="auto"/>
                      <w:sz w:val="21"/>
                      <w:szCs w:val="21"/>
                    </w:rPr>
                    <w:t xml:space="preserve">达到市定目标。 </w:t>
                  </w:r>
                </w:p>
              </w:tc>
              <w:tc>
                <w:tcPr>
                  <w:tcW w:w="512" w:type="pct"/>
                  <w:vMerge w:val="continue"/>
                  <w:noWrap w:val="0"/>
                  <w:vAlign w:val="center"/>
                </w:tcPr>
                <w:p w14:paraId="2E6A7592">
                  <w:pPr>
                    <w:pStyle w:val="97"/>
                    <w:rPr>
                      <w:rFonts w:hint="default" w:ascii="Times New Roman" w:hAnsi="Times New Roman" w:cs="Times New Roman"/>
                      <w:color w:val="auto"/>
                      <w:szCs w:val="21"/>
                    </w:rPr>
                  </w:pPr>
                </w:p>
              </w:tc>
            </w:tr>
            <w:tr w14:paraId="7FD9C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7" w:type="pct"/>
                  <w:vMerge w:val="continue"/>
                  <w:noWrap w:val="0"/>
                  <w:vAlign w:val="center"/>
                </w:tcPr>
                <w:p w14:paraId="6AC6CDE9">
                  <w:pPr>
                    <w:pStyle w:val="97"/>
                    <w:rPr>
                      <w:rFonts w:hint="default" w:ascii="Times New Roman" w:hAnsi="Times New Roman" w:cs="Times New Roman"/>
                      <w:color w:val="auto"/>
                      <w:sz w:val="21"/>
                      <w:szCs w:val="21"/>
                    </w:rPr>
                  </w:pPr>
                </w:p>
              </w:tc>
              <w:tc>
                <w:tcPr>
                  <w:tcW w:w="2294" w:type="pct"/>
                  <w:noWrap w:val="0"/>
                  <w:vAlign w:val="center"/>
                </w:tcPr>
                <w:p w14:paraId="4A329957">
                  <w:pPr>
                    <w:pStyle w:val="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提高土地利用效率、节约集约利用土地资源。</w:t>
                  </w:r>
                </w:p>
              </w:tc>
              <w:tc>
                <w:tcPr>
                  <w:tcW w:w="1526" w:type="pct"/>
                  <w:noWrap w:val="0"/>
                  <w:vAlign w:val="center"/>
                </w:tcPr>
                <w:p w14:paraId="7B95C21A">
                  <w:pPr>
                    <w:pStyle w:val="97"/>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项目租用已建厂房生产，不新增工业占地</w:t>
                  </w:r>
                  <w:r>
                    <w:rPr>
                      <w:rFonts w:hint="default" w:ascii="Times New Roman" w:hAnsi="Times New Roman" w:cs="Times New Roman"/>
                      <w:color w:val="auto"/>
                      <w:sz w:val="21"/>
                      <w:szCs w:val="21"/>
                    </w:rPr>
                    <w:t>。</w:t>
                  </w:r>
                </w:p>
              </w:tc>
              <w:tc>
                <w:tcPr>
                  <w:tcW w:w="512" w:type="pct"/>
                  <w:vMerge w:val="continue"/>
                  <w:noWrap w:val="0"/>
                  <w:vAlign w:val="center"/>
                </w:tcPr>
                <w:p w14:paraId="090DE7DE">
                  <w:pPr>
                    <w:pStyle w:val="97"/>
                    <w:rPr>
                      <w:rFonts w:hint="default" w:ascii="Times New Roman" w:hAnsi="Times New Roman" w:cs="Times New Roman"/>
                      <w:color w:val="auto"/>
                      <w:sz w:val="21"/>
                      <w:szCs w:val="21"/>
                    </w:rPr>
                  </w:pPr>
                </w:p>
              </w:tc>
            </w:tr>
            <w:tr w14:paraId="49D8A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67" w:type="pct"/>
                  <w:vMerge w:val="continue"/>
                  <w:noWrap w:val="0"/>
                  <w:vAlign w:val="center"/>
                </w:tcPr>
                <w:p w14:paraId="49889946">
                  <w:pPr>
                    <w:pStyle w:val="97"/>
                    <w:rPr>
                      <w:rFonts w:hint="default" w:ascii="Times New Roman" w:hAnsi="Times New Roman" w:cs="Times New Roman"/>
                      <w:color w:val="auto"/>
                      <w:sz w:val="21"/>
                      <w:szCs w:val="21"/>
                    </w:rPr>
                  </w:pPr>
                </w:p>
              </w:tc>
              <w:tc>
                <w:tcPr>
                  <w:tcW w:w="2294" w:type="pct"/>
                  <w:noWrap w:val="0"/>
                  <w:vAlign w:val="center"/>
                </w:tcPr>
                <w:p w14:paraId="7BC1ECED">
                  <w:pPr>
                    <w:pStyle w:val="58"/>
                    <w:keepNext w:val="0"/>
                    <w:keepLines w:val="0"/>
                    <w:pageBreakBefore w:val="0"/>
                    <w:widowControl w:val="0"/>
                    <w:numPr>
                      <w:ilvl w:val="0"/>
                      <w:numId w:val="0"/>
                    </w:numPr>
                    <w:tabs>
                      <w:tab w:val="left" w:pos="609"/>
                    </w:tabs>
                    <w:kinsoku/>
                    <w:wordWrap/>
                    <w:overflowPunct/>
                    <w:topLinePunct w:val="0"/>
                    <w:bidi w:val="0"/>
                    <w:adjustRightInd w:val="0"/>
                    <w:snapToGrid/>
                    <w:spacing w:after="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严格按照《高污染燃料目录》要求，落实相应的禁燃区管控要求。</w:t>
                  </w:r>
                </w:p>
              </w:tc>
              <w:tc>
                <w:tcPr>
                  <w:tcW w:w="1526" w:type="pct"/>
                  <w:noWrap w:val="0"/>
                  <w:vAlign w:val="center"/>
                </w:tcPr>
                <w:p w14:paraId="67EE59F3">
                  <w:pPr>
                    <w:pStyle w:val="97"/>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项目不涉及</w:t>
                  </w:r>
                  <w:r>
                    <w:rPr>
                      <w:rFonts w:hint="default" w:ascii="Times New Roman" w:hAnsi="Times New Roman" w:eastAsia="宋体" w:cs="Times New Roman"/>
                      <w:color w:val="auto"/>
                      <w:sz w:val="21"/>
                      <w:szCs w:val="21"/>
                    </w:rPr>
                    <w:t>高污染燃料</w:t>
                  </w:r>
                  <w:r>
                    <w:rPr>
                      <w:rFonts w:hint="default" w:ascii="Times New Roman" w:hAnsi="Times New Roman" w:cs="Times New Roman"/>
                      <w:color w:val="auto"/>
                      <w:sz w:val="21"/>
                      <w:szCs w:val="21"/>
                    </w:rPr>
                    <w:t>。</w:t>
                  </w:r>
                </w:p>
              </w:tc>
              <w:tc>
                <w:tcPr>
                  <w:tcW w:w="512" w:type="pct"/>
                  <w:vMerge w:val="continue"/>
                  <w:noWrap w:val="0"/>
                  <w:vAlign w:val="center"/>
                </w:tcPr>
                <w:p w14:paraId="416F4247">
                  <w:pPr>
                    <w:pStyle w:val="97"/>
                    <w:rPr>
                      <w:rFonts w:hint="default" w:ascii="Times New Roman" w:hAnsi="Times New Roman" w:cs="Times New Roman"/>
                      <w:color w:val="auto"/>
                      <w:sz w:val="21"/>
                      <w:szCs w:val="21"/>
                    </w:rPr>
                  </w:pPr>
                </w:p>
              </w:tc>
            </w:tr>
          </w:tbl>
          <w:p w14:paraId="4664D873">
            <w:pPr>
              <w:autoSpaceDE w:val="0"/>
              <w:autoSpaceDN w:val="0"/>
              <w:adjustRightInd w:val="0"/>
              <w:snapToGrid w:val="0"/>
              <w:spacing w:line="500" w:lineRule="exact"/>
              <w:ind w:firstLine="480"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Cs/>
                <w:color w:val="auto"/>
                <w:sz w:val="24"/>
              </w:rPr>
              <w:t>综上，本项目与</w:t>
            </w:r>
            <w:r>
              <w:rPr>
                <w:rFonts w:hint="default" w:ascii="Times New Roman" w:hAnsi="Times New Roman" w:cs="Times New Roman"/>
                <w:bCs/>
                <w:color w:val="auto"/>
                <w:sz w:val="24"/>
                <w:lang w:eastAsia="zh-CN"/>
              </w:rPr>
              <w:t>《常州市生态环境分区管控动态更新成果》（2023年版）</w:t>
            </w:r>
            <w:r>
              <w:rPr>
                <w:rFonts w:hint="default" w:ascii="Times New Roman" w:hAnsi="Times New Roman" w:eastAsia="宋体" w:cs="Times New Roman"/>
                <w:bCs/>
                <w:color w:val="auto"/>
                <w:sz w:val="24"/>
              </w:rPr>
              <w:t>的要求相符。</w:t>
            </w:r>
          </w:p>
          <w:p w14:paraId="1139C6C0">
            <w:pPr>
              <w:autoSpaceDE w:val="0"/>
              <w:autoSpaceDN w:val="0"/>
              <w:adjustRightInd w:val="0"/>
              <w:snapToGrid w:val="0"/>
              <w:spacing w:line="500" w:lineRule="exact"/>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产业政策相符性分析</w:t>
            </w:r>
          </w:p>
          <w:p w14:paraId="270AB02A">
            <w:pPr>
              <w:autoSpaceDE w:val="0"/>
              <w:autoSpaceDN w:val="0"/>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本项目属于</w:t>
            </w:r>
            <w:r>
              <w:rPr>
                <w:rFonts w:hint="eastAsia" w:cs="Times New Roman"/>
                <w:color w:val="auto"/>
                <w:sz w:val="24"/>
                <w:lang w:val="en-US" w:eastAsia="zh-CN"/>
              </w:rPr>
              <w:t>C3821变压器、整流器和电感器制造</w:t>
            </w:r>
            <w:r>
              <w:rPr>
                <w:rFonts w:hint="eastAsia" w:ascii="Times New Roman" w:hAnsi="Times New Roman" w:eastAsia="宋体" w:cs="Times New Roman"/>
                <w:bCs/>
                <w:color w:val="auto"/>
                <w:sz w:val="24"/>
                <w:lang w:val="en-US" w:eastAsia="zh-CN"/>
              </w:rPr>
              <w:t>，对照相关产业政策相符性分析如下：</w:t>
            </w:r>
          </w:p>
          <w:p w14:paraId="6B8789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w:t>
            </w:r>
            <w:r>
              <w:rPr>
                <w:rFonts w:hint="default" w:ascii="Times New Roman" w:hAnsi="Times New Roman" w:eastAsia="宋体" w:cs="Times New Roman"/>
                <w:b/>
                <w:bCs/>
                <w:color w:val="auto"/>
                <w:sz w:val="21"/>
                <w:szCs w:val="21"/>
                <w:lang w:val="en-US" w:eastAsia="zh-CN"/>
              </w:rPr>
              <w:t>产业政策</w:t>
            </w:r>
            <w:r>
              <w:rPr>
                <w:rFonts w:hint="default" w:ascii="Times New Roman" w:hAnsi="Times New Roman" w:eastAsia="宋体" w:cs="Times New Roman"/>
                <w:b/>
                <w:bCs/>
                <w:color w:val="auto"/>
                <w:sz w:val="21"/>
                <w:szCs w:val="21"/>
              </w:rPr>
              <w:t>相符性分析</w:t>
            </w:r>
          </w:p>
          <w:tbl>
            <w:tblPr>
              <w:tblStyle w:val="29"/>
              <w:tblW w:w="76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09"/>
              <w:gridCol w:w="1082"/>
            </w:tblGrid>
            <w:tr w14:paraId="3AA87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Align w:val="center"/>
                </w:tcPr>
                <w:p w14:paraId="5557DA9A">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序号</w:t>
                  </w:r>
                </w:p>
              </w:tc>
              <w:tc>
                <w:tcPr>
                  <w:tcW w:w="4009" w:type="pct"/>
                  <w:vAlign w:val="center"/>
                </w:tcPr>
                <w:p w14:paraId="32581970">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对照简析</w:t>
                  </w:r>
                </w:p>
              </w:tc>
              <w:tc>
                <w:tcPr>
                  <w:tcW w:w="710" w:type="pct"/>
                  <w:vAlign w:val="center"/>
                </w:tcPr>
                <w:p w14:paraId="4B61CF69">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5F985D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bottom w:val="single" w:color="auto" w:sz="2" w:space="0"/>
                  </w:tcBorders>
                  <w:vAlign w:val="center"/>
                </w:tcPr>
                <w:p w14:paraId="582CDD3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009" w:type="pct"/>
                  <w:tcBorders>
                    <w:bottom w:val="single" w:color="auto" w:sz="2" w:space="0"/>
                  </w:tcBorders>
                  <w:vAlign w:val="center"/>
                </w:tcPr>
                <w:p w14:paraId="597ECFB3">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本项目不属于国家发改委《产业结构调整指导目录（2024年本）》中限制类和淘汰类项目。</w:t>
                  </w:r>
                </w:p>
              </w:tc>
              <w:tc>
                <w:tcPr>
                  <w:tcW w:w="710" w:type="pct"/>
                  <w:tcBorders>
                    <w:bottom w:val="single" w:color="auto" w:sz="2" w:space="0"/>
                  </w:tcBorders>
                  <w:vAlign w:val="center"/>
                </w:tcPr>
                <w:p w14:paraId="3E63998F">
                  <w:pPr>
                    <w:jc w:val="center"/>
                    <w:rPr>
                      <w:rFonts w:hint="default" w:ascii="Times New Roman" w:hAnsi="Times New Roman" w:eastAsia="宋体" w:cs="Times New Roman"/>
                      <w:color w:val="auto"/>
                      <w:sz w:val="21"/>
                      <w:szCs w:val="21"/>
                      <w:lang w:val="en-US"/>
                    </w:rPr>
                  </w:pPr>
                  <w:r>
                    <w:rPr>
                      <w:rFonts w:hint="eastAsia" w:cs="Times New Roman"/>
                      <w:color w:val="auto"/>
                      <w:kern w:val="2"/>
                      <w:sz w:val="21"/>
                      <w:szCs w:val="21"/>
                      <w:lang w:val="en-US" w:eastAsia="zh-CN" w:bidi="ar-SA"/>
                    </w:rPr>
                    <w:t>相符</w:t>
                  </w:r>
                </w:p>
              </w:tc>
            </w:tr>
            <w:tr w14:paraId="1AAA17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top w:val="single" w:color="auto" w:sz="2" w:space="0"/>
                    <w:bottom w:val="single" w:color="auto" w:sz="2" w:space="0"/>
                  </w:tcBorders>
                  <w:vAlign w:val="center"/>
                </w:tcPr>
                <w:p w14:paraId="5099B29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4009" w:type="pct"/>
                  <w:tcBorders>
                    <w:top w:val="single" w:color="auto" w:sz="2" w:space="0"/>
                    <w:bottom w:val="single" w:color="auto" w:sz="2" w:space="0"/>
                  </w:tcBorders>
                  <w:vAlign w:val="center"/>
                </w:tcPr>
                <w:p w14:paraId="3981AF5F">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本项目不属于《江苏省产业结构调整限制、淘汰和禁止目录（2018年本）》中限制、淘汰和禁止类有关条款。</w:t>
                  </w:r>
                </w:p>
              </w:tc>
              <w:tc>
                <w:tcPr>
                  <w:tcW w:w="710" w:type="pct"/>
                  <w:tcBorders>
                    <w:top w:val="single" w:color="auto" w:sz="2" w:space="0"/>
                    <w:bottom w:val="single" w:color="auto" w:sz="2" w:space="0"/>
                  </w:tcBorders>
                  <w:vAlign w:val="center"/>
                </w:tcPr>
                <w:p w14:paraId="419F10D1">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1D52EA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top w:val="single" w:color="auto" w:sz="2" w:space="0"/>
                    <w:bottom w:val="single" w:color="auto" w:sz="2" w:space="0"/>
                  </w:tcBorders>
                  <w:vAlign w:val="center"/>
                </w:tcPr>
                <w:p w14:paraId="5AB36E0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009" w:type="pct"/>
                  <w:tcBorders>
                    <w:top w:val="single" w:color="auto" w:sz="2" w:space="0"/>
                    <w:bottom w:val="single" w:color="auto" w:sz="2" w:space="0"/>
                  </w:tcBorders>
                  <w:vAlign w:val="center"/>
                </w:tcPr>
                <w:p w14:paraId="2F62D370">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kern w:val="2"/>
                      <w:sz w:val="21"/>
                      <w:szCs w:val="21"/>
                      <w:lang w:val="en-US" w:eastAsia="zh-CN" w:bidi="ar-SA"/>
                    </w:rPr>
                    <w:t>不属于《长江经济带发展负面清单指南（试行，2022年版）》未列入长江经济带发展负面清单，也不属于《市场准入负面清单（202</w:t>
                  </w:r>
                  <w:r>
                    <w:rPr>
                      <w:rFonts w:hint="eastAsia"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年版）》中禁止准入类。</w:t>
                  </w:r>
                </w:p>
              </w:tc>
              <w:tc>
                <w:tcPr>
                  <w:tcW w:w="710" w:type="pct"/>
                  <w:tcBorders>
                    <w:top w:val="single" w:color="auto" w:sz="2" w:space="0"/>
                    <w:bottom w:val="single" w:color="auto" w:sz="2" w:space="0"/>
                  </w:tcBorders>
                  <w:vAlign w:val="center"/>
                </w:tcPr>
                <w:p w14:paraId="241628B8">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195FB1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top w:val="single" w:color="auto" w:sz="2" w:space="0"/>
                    <w:bottom w:val="single" w:color="auto" w:sz="2" w:space="0"/>
                  </w:tcBorders>
                  <w:vAlign w:val="center"/>
                </w:tcPr>
                <w:p w14:paraId="7DDBDDB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009" w:type="pct"/>
                  <w:tcBorders>
                    <w:top w:val="single" w:color="auto" w:sz="2" w:space="0"/>
                    <w:bottom w:val="single" w:color="auto" w:sz="2" w:space="0"/>
                  </w:tcBorders>
                  <w:vAlign w:val="center"/>
                </w:tcPr>
                <w:p w14:paraId="04C7B039">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本项目产品不在《江苏省太湖流域禁止和限制的产品目录（2024年本）》（苏发改规发〔2024〕3号）中禁止和限制的产业产品目录范围</w:t>
                  </w: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w:t>
                  </w:r>
                </w:p>
              </w:tc>
              <w:tc>
                <w:tcPr>
                  <w:tcW w:w="710" w:type="pct"/>
                  <w:tcBorders>
                    <w:top w:val="single" w:color="auto" w:sz="2" w:space="0"/>
                    <w:bottom w:val="single" w:color="auto" w:sz="2" w:space="0"/>
                  </w:tcBorders>
                  <w:vAlign w:val="center"/>
                </w:tcPr>
                <w:p w14:paraId="016B9E9B">
                  <w:pPr>
                    <w:jc w:val="center"/>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相符</w:t>
                  </w:r>
                </w:p>
              </w:tc>
            </w:tr>
            <w:tr w14:paraId="6DE543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top w:val="single" w:color="auto" w:sz="2" w:space="0"/>
                    <w:bottom w:val="single" w:color="auto" w:sz="2" w:space="0"/>
                  </w:tcBorders>
                  <w:vAlign w:val="center"/>
                </w:tcPr>
                <w:p w14:paraId="490002E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009" w:type="pct"/>
                  <w:tcBorders>
                    <w:top w:val="single" w:color="auto" w:sz="2" w:space="0"/>
                    <w:bottom w:val="single" w:color="auto" w:sz="2" w:space="0"/>
                  </w:tcBorders>
                  <w:vAlign w:val="center"/>
                </w:tcPr>
                <w:p w14:paraId="09B0FB5C">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本项目产品不属于《环境保护综合名录》（2021年版）中“高污染、高环境风险”产品名录范围</w:t>
                  </w: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w:t>
                  </w:r>
                </w:p>
              </w:tc>
              <w:tc>
                <w:tcPr>
                  <w:tcW w:w="710" w:type="pct"/>
                  <w:tcBorders>
                    <w:top w:val="single" w:color="auto" w:sz="2" w:space="0"/>
                    <w:bottom w:val="single" w:color="auto" w:sz="2" w:space="0"/>
                  </w:tcBorders>
                  <w:vAlign w:val="center"/>
                </w:tcPr>
                <w:p w14:paraId="5A2BB1C8">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r w14:paraId="32A88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top w:val="single" w:color="auto" w:sz="2" w:space="0"/>
                    <w:bottom w:val="single" w:color="auto" w:sz="2" w:space="0"/>
                  </w:tcBorders>
                  <w:vAlign w:val="center"/>
                </w:tcPr>
                <w:p w14:paraId="7C2BEF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4009" w:type="pct"/>
                  <w:tcBorders>
                    <w:top w:val="single" w:color="auto" w:sz="2" w:space="0"/>
                    <w:bottom w:val="single" w:color="auto" w:sz="2" w:space="0"/>
                  </w:tcBorders>
                  <w:vAlign w:val="center"/>
                </w:tcPr>
                <w:p w14:paraId="7C60328D">
                  <w:pPr>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本项目不属于《江苏省 “两高” 项目管理目录（2024 年版）》中“两高” 项目范围</w:t>
                  </w: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w:t>
                  </w:r>
                </w:p>
              </w:tc>
              <w:tc>
                <w:tcPr>
                  <w:tcW w:w="710" w:type="pct"/>
                  <w:tcBorders>
                    <w:top w:val="single" w:color="auto" w:sz="2" w:space="0"/>
                    <w:bottom w:val="single" w:color="auto" w:sz="2" w:space="0"/>
                  </w:tcBorders>
                  <w:vAlign w:val="center"/>
                </w:tcPr>
                <w:p w14:paraId="46E7662F">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相符</w:t>
                  </w:r>
                </w:p>
              </w:tc>
            </w:tr>
            <w:tr w14:paraId="33F8EC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tcBorders>
                    <w:top w:val="single" w:color="auto" w:sz="2" w:space="0"/>
                    <w:bottom w:val="single" w:color="auto" w:sz="2" w:space="0"/>
                  </w:tcBorders>
                  <w:vAlign w:val="center"/>
                </w:tcPr>
                <w:p w14:paraId="08CB4B1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4009" w:type="pct"/>
                  <w:tcBorders>
                    <w:top w:val="single" w:color="auto" w:sz="2" w:space="0"/>
                    <w:bottom w:val="single" w:color="auto" w:sz="2" w:space="0"/>
                  </w:tcBorders>
                  <w:vAlign w:val="center"/>
                </w:tcPr>
                <w:p w14:paraId="40283244">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本项目已</w:t>
                  </w:r>
                  <w:r>
                    <w:rPr>
                      <w:rFonts w:hint="default" w:ascii="Times New Roman" w:hAnsi="Times New Roman" w:eastAsia="宋体" w:cs="Times New Roman"/>
                      <w:b w:val="0"/>
                      <w:bCs/>
                      <w:color w:val="auto"/>
                      <w:sz w:val="21"/>
                      <w:szCs w:val="21"/>
                      <w:lang w:val="en-US" w:eastAsia="zh-CN"/>
                    </w:rPr>
                    <w:t>于</w:t>
                  </w:r>
                  <w:r>
                    <w:rPr>
                      <w:rFonts w:hint="default" w:ascii="Times New Roman" w:hAnsi="Times New Roman" w:eastAsia="宋体" w:cs="Times New Roman"/>
                      <w:color w:val="auto"/>
                      <w:sz w:val="21"/>
                      <w:szCs w:val="21"/>
                      <w:lang w:eastAsia="zh-CN"/>
                    </w:rPr>
                    <w:t>202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eastAsia="zh-CN"/>
                    </w:rPr>
                    <w:t>年</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kern w:val="2"/>
                      <w:sz w:val="21"/>
                      <w:szCs w:val="21"/>
                      <w:lang w:val="en-US" w:eastAsia="zh-CN" w:bidi="ar-SA"/>
                    </w:rPr>
                    <w:t>在</w:t>
                  </w:r>
                  <w:r>
                    <w:rPr>
                      <w:rFonts w:hint="eastAsia" w:cs="Times New Roman"/>
                      <w:color w:val="auto"/>
                      <w:sz w:val="21"/>
                      <w:szCs w:val="21"/>
                      <w:lang w:eastAsia="zh-CN"/>
                    </w:rPr>
                    <w:t>常州市金坛区发展和改革局</w:t>
                  </w:r>
                  <w:r>
                    <w:rPr>
                      <w:rFonts w:hint="default" w:ascii="Times New Roman" w:hAnsi="Times New Roman" w:eastAsia="宋体" w:cs="Times New Roman"/>
                      <w:color w:val="auto"/>
                      <w:kern w:val="2"/>
                      <w:sz w:val="21"/>
                      <w:szCs w:val="21"/>
                      <w:lang w:val="en-US" w:eastAsia="zh-CN" w:bidi="ar-SA"/>
                    </w:rPr>
                    <w:t>进行了备案（</w:t>
                  </w:r>
                  <w:r>
                    <w:rPr>
                      <w:rFonts w:hint="eastAsia" w:cs="Times New Roman"/>
                      <w:color w:val="auto"/>
                      <w:sz w:val="21"/>
                      <w:szCs w:val="21"/>
                      <w:lang w:eastAsia="zh-CN"/>
                    </w:rPr>
                    <w:t>坛发改备〔2025〕171 号</w:t>
                  </w:r>
                  <w:r>
                    <w:rPr>
                      <w:rFonts w:hint="default" w:ascii="Times New Roman" w:hAnsi="Times New Roman" w:eastAsia="宋体" w:cs="Times New Roman"/>
                      <w:color w:val="auto"/>
                      <w:kern w:val="2"/>
                      <w:sz w:val="21"/>
                      <w:szCs w:val="21"/>
                      <w:lang w:val="en-US" w:eastAsia="zh-CN" w:bidi="ar-SA"/>
                    </w:rPr>
                    <w:t>，见附件</w:t>
                  </w: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），符合区域产业政策</w:t>
                  </w:r>
                  <w:r>
                    <w:rPr>
                      <w:rFonts w:hint="default" w:ascii="Times New Roman" w:hAnsi="Times New Roman" w:eastAsia="宋体" w:cs="Times New Roman"/>
                      <w:color w:val="auto"/>
                      <w:kern w:val="2"/>
                      <w:sz w:val="21"/>
                      <w:szCs w:val="21"/>
                      <w:lang w:val="en-US" w:eastAsia="zh-CN" w:bidi="ar-SA"/>
                    </w:rPr>
                    <w:tab/>
                  </w:r>
                  <w:r>
                    <w:rPr>
                      <w:rFonts w:hint="default" w:ascii="Times New Roman" w:hAnsi="Times New Roman" w:eastAsia="宋体" w:cs="Times New Roman"/>
                      <w:color w:val="auto"/>
                      <w:kern w:val="2"/>
                      <w:sz w:val="21"/>
                      <w:szCs w:val="21"/>
                      <w:lang w:val="en-US" w:eastAsia="zh-CN" w:bidi="ar-SA"/>
                    </w:rPr>
                    <w:t>。</w:t>
                  </w:r>
                </w:p>
              </w:tc>
              <w:tc>
                <w:tcPr>
                  <w:tcW w:w="710" w:type="pct"/>
                  <w:tcBorders>
                    <w:top w:val="single" w:color="auto" w:sz="2" w:space="0"/>
                    <w:bottom w:val="single" w:color="auto" w:sz="2" w:space="0"/>
                  </w:tcBorders>
                  <w:vAlign w:val="center"/>
                </w:tcPr>
                <w:p w14:paraId="39841A8A">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相符</w:t>
                  </w:r>
                </w:p>
              </w:tc>
            </w:tr>
          </w:tbl>
          <w:p w14:paraId="6C606410">
            <w:pPr>
              <w:autoSpaceDE w:val="0"/>
              <w:autoSpaceDN w:val="0"/>
              <w:adjustRightInd w:val="0"/>
              <w:snapToGrid w:val="0"/>
              <w:spacing w:line="500" w:lineRule="exact"/>
              <w:jc w:val="left"/>
              <w:rPr>
                <w:rFonts w:hint="default" w:ascii="Times New Roman" w:hAnsi="Times New Roman" w:eastAsia="宋体" w:cs="Times New Roman"/>
                <w:b/>
                <w:bCs/>
                <w:color w:val="auto"/>
                <w:sz w:val="21"/>
                <w:szCs w:val="21"/>
              </w:rPr>
            </w:pPr>
            <w:r>
              <w:rPr>
                <w:rFonts w:hint="eastAsia" w:cs="Times New Roman"/>
                <w:b/>
                <w:color w:val="auto"/>
                <w:sz w:val="24"/>
                <w:lang w:val="en-US" w:eastAsia="zh-CN"/>
              </w:rPr>
              <w:t>5、本项目位于</w:t>
            </w:r>
            <w:r>
              <w:rPr>
                <w:rFonts w:hint="default" w:ascii="Times New Roman" w:hAnsi="Times New Roman" w:eastAsia="宋体" w:cs="Times New Roman"/>
                <w:b/>
                <w:bCs w:val="0"/>
                <w:color w:val="auto"/>
                <w:sz w:val="24"/>
                <w:szCs w:val="24"/>
              </w:rPr>
              <w:t>太湖流域</w:t>
            </w:r>
            <w:r>
              <w:rPr>
                <w:rFonts w:hint="eastAsia" w:cs="Times New Roman"/>
                <w:b/>
                <w:bCs w:val="0"/>
                <w:color w:val="auto"/>
                <w:sz w:val="24"/>
                <w:szCs w:val="24"/>
                <w:lang w:val="en-US" w:eastAsia="zh-CN"/>
              </w:rPr>
              <w:t>三级保护区，项目</w:t>
            </w:r>
            <w:r>
              <w:rPr>
                <w:rFonts w:hint="default" w:ascii="Times New Roman" w:hAnsi="Times New Roman" w:eastAsia="宋体" w:cs="Times New Roman"/>
                <w:b/>
                <w:color w:val="auto"/>
                <w:sz w:val="24"/>
                <w:szCs w:val="24"/>
              </w:rPr>
              <w:t>与</w:t>
            </w:r>
            <w:r>
              <w:rPr>
                <w:rFonts w:hint="default" w:ascii="Times New Roman" w:hAnsi="Times New Roman" w:eastAsia="宋体" w:cs="Times New Roman"/>
                <w:b/>
                <w:bCs w:val="0"/>
                <w:color w:val="auto"/>
                <w:sz w:val="24"/>
                <w:szCs w:val="24"/>
              </w:rPr>
              <w:t>《太湖流域管理条例》（国务院令第604号）</w:t>
            </w:r>
            <w:r>
              <w:rPr>
                <w:rFonts w:hint="eastAsia" w:cs="Times New Roman"/>
                <w:b/>
                <w:color w:val="auto"/>
                <w:sz w:val="24"/>
                <w:szCs w:val="24"/>
                <w:lang w:eastAsia="zh-CN"/>
              </w:rPr>
              <w:t>、</w:t>
            </w:r>
            <w:r>
              <w:rPr>
                <w:rFonts w:hint="default" w:ascii="Times New Roman" w:hAnsi="Times New Roman" w:eastAsia="宋体" w:cs="Times New Roman"/>
                <w:b/>
                <w:bCs/>
                <w:color w:val="auto"/>
                <w:sz w:val="24"/>
                <w:szCs w:val="24"/>
              </w:rPr>
              <w:t>《江苏省太湖水污染防治条例》</w:t>
            </w:r>
            <w:r>
              <w:rPr>
                <w:rFonts w:hint="default" w:ascii="Times New Roman" w:hAnsi="Times New Roman" w:eastAsia="宋体" w:cs="Times New Roman"/>
                <w:b/>
                <w:color w:val="auto"/>
                <w:sz w:val="24"/>
                <w:szCs w:val="24"/>
              </w:rPr>
              <w:t>相符性分析</w:t>
            </w:r>
            <w:r>
              <w:rPr>
                <w:rFonts w:hint="eastAsia" w:cs="Times New Roman"/>
                <w:b/>
                <w:color w:val="auto"/>
                <w:sz w:val="24"/>
                <w:szCs w:val="24"/>
                <w:lang w:val="en-US" w:eastAsia="zh-CN"/>
              </w:rPr>
              <w:t>如下</w:t>
            </w:r>
          </w:p>
          <w:p w14:paraId="493BDA1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与《太湖流域管理条例》相符性分析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5260"/>
              <w:gridCol w:w="1092"/>
              <w:gridCol w:w="860"/>
            </w:tblGrid>
            <w:tr w14:paraId="60860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4F54C87B">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条款</w:t>
                  </w:r>
                </w:p>
              </w:tc>
              <w:tc>
                <w:tcPr>
                  <w:tcW w:w="3364" w:type="pct"/>
                  <w:vAlign w:val="center"/>
                </w:tcPr>
                <w:p w14:paraId="0EE5E7F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Cs w:val="21"/>
                    </w:rPr>
                    <w:t>内容</w:t>
                  </w:r>
                </w:p>
              </w:tc>
              <w:tc>
                <w:tcPr>
                  <w:tcW w:w="698" w:type="pct"/>
                  <w:vAlign w:val="center"/>
                </w:tcPr>
                <w:p w14:paraId="292E8A3B">
                  <w:pPr>
                    <w:jc w:val="center"/>
                    <w:rPr>
                      <w:rFonts w:hint="eastAsia" w:ascii="Times New Roman" w:hAnsi="Times New Roman" w:eastAsia="宋体" w:cs="Times New Roman"/>
                      <w:b/>
                      <w:color w:val="auto"/>
                      <w:lang w:eastAsia="zh-CN"/>
                    </w:rPr>
                  </w:pPr>
                  <w:r>
                    <w:rPr>
                      <w:rFonts w:hint="eastAsia" w:cs="Times New Roman"/>
                      <w:b/>
                      <w:color w:val="auto"/>
                      <w:lang w:val="en-US" w:eastAsia="zh-CN"/>
                    </w:rPr>
                    <w:t>本项目</w:t>
                  </w:r>
                </w:p>
              </w:tc>
              <w:tc>
                <w:tcPr>
                  <w:tcW w:w="550" w:type="pct"/>
                  <w:vAlign w:val="center"/>
                </w:tcPr>
                <w:p w14:paraId="24654030">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相符性</w:t>
                  </w:r>
                </w:p>
              </w:tc>
            </w:tr>
            <w:tr w14:paraId="17AB3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87" w:type="pct"/>
                  <w:tcBorders>
                    <w:bottom w:val="single" w:color="auto" w:sz="2" w:space="0"/>
                  </w:tcBorders>
                  <w:vAlign w:val="center"/>
                </w:tcPr>
                <w:p w14:paraId="43795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第二十八条</w:t>
                  </w:r>
                </w:p>
              </w:tc>
              <w:tc>
                <w:tcPr>
                  <w:tcW w:w="3364" w:type="pct"/>
                  <w:tcBorders>
                    <w:bottom w:val="single" w:color="auto" w:sz="2" w:space="0"/>
                  </w:tcBorders>
                  <w:vAlign w:val="center"/>
                </w:tcPr>
                <w:p w14:paraId="59EDD2F3">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p w14:paraId="11FC9E86">
                  <w:pPr>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禁止在太湖流域设置不符合国家产业政策和水环境综合治理要求的造纸、制革、酒精、淀粉、冶金、酿造、印染、电镀等排放水污染物的生产项目，现有的生产项目不能实现达标排放的，应当依法关闭。</w:t>
                  </w:r>
                </w:p>
                <w:p w14:paraId="44BF69EB">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rPr>
                    <w:t>在太湖流域新设企业应当符合国家规定的清洁生产要求，现有的企业尚未达到清洁生产要求的，应当按照清洁生产规划要求进行技术改造，两省一市人民政府应当加强监督检查。</w:t>
                  </w:r>
                </w:p>
              </w:tc>
              <w:tc>
                <w:tcPr>
                  <w:tcW w:w="698" w:type="pct"/>
                  <w:tcBorders>
                    <w:bottom w:val="single" w:color="auto" w:sz="2" w:space="0"/>
                  </w:tcBorders>
                  <w:vAlign w:val="center"/>
                </w:tcPr>
                <w:p w14:paraId="37F6E163">
                  <w:pPr>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本项目属于</w:t>
                  </w:r>
                  <w:r>
                    <w:rPr>
                      <w:rFonts w:hint="eastAsia" w:cs="Times New Roman"/>
                      <w:color w:val="auto"/>
                      <w:lang w:val="en-US" w:eastAsia="zh-CN"/>
                    </w:rPr>
                    <w:t>C3821变压器、整流器和电感器制造</w:t>
                  </w:r>
                  <w:r>
                    <w:rPr>
                      <w:rFonts w:hint="default" w:ascii="Times New Roman" w:hAnsi="Times New Roman" w:eastAsia="宋体" w:cs="Times New Roman"/>
                      <w:color w:val="auto"/>
                    </w:rPr>
                    <w:t>，不属于禁止类项目。</w:t>
                  </w:r>
                </w:p>
              </w:tc>
              <w:tc>
                <w:tcPr>
                  <w:tcW w:w="550" w:type="pct"/>
                  <w:tcBorders>
                    <w:bottom w:val="single" w:color="auto" w:sz="2" w:space="0"/>
                  </w:tcBorders>
                  <w:vAlign w:val="center"/>
                </w:tcPr>
                <w:p w14:paraId="034A57DC">
                  <w:pPr>
                    <w:jc w:val="center"/>
                    <w:rPr>
                      <w:rFonts w:hint="default" w:ascii="Times New Roman" w:hAnsi="Times New Roman" w:eastAsia="宋体" w:cs="Times New Roman"/>
                      <w:color w:val="auto"/>
                    </w:rPr>
                  </w:pPr>
                  <w:r>
                    <w:rPr>
                      <w:rFonts w:hint="default" w:ascii="Times New Roman" w:hAnsi="Times New Roman" w:eastAsia="宋体" w:cs="Times New Roman"/>
                      <w:b w:val="0"/>
                      <w:bCs/>
                      <w:color w:val="auto"/>
                    </w:rPr>
                    <w:t>相符</w:t>
                  </w:r>
                </w:p>
              </w:tc>
            </w:tr>
            <w:tr w14:paraId="1788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7" w:type="pct"/>
                  <w:tcBorders>
                    <w:top w:val="single" w:color="auto" w:sz="2" w:space="0"/>
                    <w:bottom w:val="single" w:color="auto" w:sz="2" w:space="0"/>
                  </w:tcBorders>
                  <w:vAlign w:val="center"/>
                </w:tcPr>
                <w:p w14:paraId="456B33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第二十九条</w:t>
                  </w:r>
                </w:p>
              </w:tc>
              <w:tc>
                <w:tcPr>
                  <w:tcW w:w="3364" w:type="pct"/>
                  <w:tcBorders>
                    <w:top w:val="single" w:color="auto" w:sz="2" w:space="0"/>
                    <w:bottom w:val="single" w:color="auto" w:sz="2" w:space="0"/>
                  </w:tcBorders>
                  <w:vAlign w:val="center"/>
                </w:tcPr>
                <w:p w14:paraId="4E8CEBED">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新孟河、望虞河以外的其他主要入太湖河道，自河口1万米上溯至5万米河道岸线内及其岸线两侧各1000米范围内，禁止下列行为：</w:t>
                  </w:r>
                </w:p>
                <w:p w14:paraId="7039B32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（一）新建、扩建化工、医药生产项目；</w:t>
                  </w:r>
                </w:p>
                <w:p w14:paraId="1A40BF5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（二）新建、扩建污水集中处理设施排污口以外的排污口；</w:t>
                  </w:r>
                </w:p>
                <w:p w14:paraId="0BDAE0D4">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（三）扩大水产养殖规模。</w:t>
                  </w:r>
                </w:p>
              </w:tc>
              <w:tc>
                <w:tcPr>
                  <w:tcW w:w="698" w:type="pct"/>
                  <w:tcBorders>
                    <w:top w:val="single" w:color="auto" w:sz="2" w:space="0"/>
                    <w:bottom w:val="single" w:color="auto" w:sz="2" w:space="0"/>
                  </w:tcBorders>
                  <w:vAlign w:val="center"/>
                </w:tcPr>
                <w:p w14:paraId="637E0EA5">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本项目周边不涉及入太湖河道。</w:t>
                  </w:r>
                </w:p>
              </w:tc>
              <w:tc>
                <w:tcPr>
                  <w:tcW w:w="550" w:type="pct"/>
                  <w:tcBorders>
                    <w:top w:val="single" w:color="auto" w:sz="2" w:space="0"/>
                    <w:bottom w:val="single" w:color="auto" w:sz="2" w:space="0"/>
                  </w:tcBorders>
                  <w:vAlign w:val="center"/>
                </w:tcPr>
                <w:p w14:paraId="46A20DF6">
                  <w:pPr>
                    <w:jc w:val="center"/>
                    <w:rPr>
                      <w:rFonts w:hint="default" w:ascii="Times New Roman" w:hAnsi="Times New Roman" w:eastAsia="宋体" w:cs="Times New Roman"/>
                      <w:color w:val="auto"/>
                    </w:rPr>
                  </w:pPr>
                  <w:r>
                    <w:rPr>
                      <w:rFonts w:hint="default" w:ascii="Times New Roman" w:hAnsi="Times New Roman" w:eastAsia="宋体" w:cs="Times New Roman"/>
                      <w:b w:val="0"/>
                      <w:bCs/>
                      <w:color w:val="auto"/>
                    </w:rPr>
                    <w:t>相符</w:t>
                  </w:r>
                </w:p>
              </w:tc>
            </w:tr>
            <w:tr w14:paraId="7BB56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387" w:type="pct"/>
                  <w:tcBorders>
                    <w:top w:val="single" w:color="auto" w:sz="2" w:space="0"/>
                  </w:tcBorders>
                  <w:vAlign w:val="center"/>
                </w:tcPr>
                <w:p w14:paraId="07D18F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第三十条</w:t>
                  </w:r>
                </w:p>
              </w:tc>
              <w:tc>
                <w:tcPr>
                  <w:tcW w:w="3364" w:type="pct"/>
                  <w:tcBorders>
                    <w:top w:val="single" w:color="auto" w:sz="2" w:space="0"/>
                  </w:tcBorders>
                  <w:vAlign w:val="center"/>
                </w:tcPr>
                <w:p w14:paraId="43D2D728">
                  <w:pPr>
                    <w:ind w:firstLine="420" w:firstLineChars="2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698" w:type="pct"/>
                  <w:tcBorders>
                    <w:top w:val="single" w:color="auto" w:sz="2" w:space="0"/>
                  </w:tcBorders>
                  <w:vAlign w:val="center"/>
                </w:tcPr>
                <w:p w14:paraId="6BF42F30">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本项目不属于上述区域内。</w:t>
                  </w:r>
                </w:p>
              </w:tc>
              <w:tc>
                <w:tcPr>
                  <w:tcW w:w="550" w:type="pct"/>
                  <w:tcBorders>
                    <w:top w:val="single" w:color="auto" w:sz="2" w:space="0"/>
                  </w:tcBorders>
                  <w:vAlign w:val="center"/>
                </w:tcPr>
                <w:p w14:paraId="6C41E4DC">
                  <w:pPr>
                    <w:jc w:val="center"/>
                    <w:rPr>
                      <w:rFonts w:hint="default" w:ascii="Times New Roman" w:hAnsi="Times New Roman" w:eastAsia="宋体" w:cs="Times New Roman"/>
                      <w:color w:val="auto"/>
                    </w:rPr>
                  </w:pPr>
                  <w:r>
                    <w:rPr>
                      <w:rFonts w:hint="default" w:ascii="Times New Roman" w:hAnsi="Times New Roman" w:eastAsia="宋体" w:cs="Times New Roman"/>
                      <w:b w:val="0"/>
                      <w:bCs/>
                      <w:color w:val="auto"/>
                    </w:rPr>
                    <w:t>相符</w:t>
                  </w:r>
                </w:p>
              </w:tc>
            </w:tr>
          </w:tbl>
          <w:p w14:paraId="043BA86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《江苏省太湖水污染防治条例》分析对照表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4"/>
              <w:gridCol w:w="4959"/>
              <w:gridCol w:w="1414"/>
              <w:gridCol w:w="841"/>
            </w:tblGrid>
            <w:tr w14:paraId="5CEE3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6" w:type="pct"/>
                  <w:noWrap w:val="0"/>
                  <w:vAlign w:val="center"/>
                </w:tcPr>
                <w:p w14:paraId="13FA458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条款</w:t>
                  </w:r>
                </w:p>
              </w:tc>
              <w:tc>
                <w:tcPr>
                  <w:tcW w:w="3170" w:type="pct"/>
                  <w:noWrap w:val="0"/>
                  <w:vAlign w:val="center"/>
                </w:tcPr>
                <w:p w14:paraId="04CAC49D">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904" w:type="pct"/>
                  <w:noWrap w:val="0"/>
                  <w:vAlign w:val="center"/>
                </w:tcPr>
                <w:p w14:paraId="0686CE29">
                  <w:pPr>
                    <w:adjustRightInd w:val="0"/>
                    <w:snapToGrid w:val="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本项目</w:t>
                  </w:r>
                </w:p>
              </w:tc>
              <w:tc>
                <w:tcPr>
                  <w:tcW w:w="537" w:type="pct"/>
                  <w:noWrap w:val="0"/>
                  <w:vAlign w:val="center"/>
                </w:tcPr>
                <w:p w14:paraId="708C37E6">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w:t>
                  </w:r>
                </w:p>
              </w:tc>
            </w:tr>
            <w:tr w14:paraId="4503E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86" w:type="pct"/>
                  <w:noWrap w:val="0"/>
                  <w:vAlign w:val="center"/>
                </w:tcPr>
                <w:p w14:paraId="4B87E8C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第四十三条</w:t>
                  </w:r>
                </w:p>
              </w:tc>
              <w:tc>
                <w:tcPr>
                  <w:tcW w:w="3170" w:type="pct"/>
                  <w:noWrap w:val="0"/>
                  <w:vAlign w:val="center"/>
                </w:tcPr>
                <w:p w14:paraId="7F766F4F">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太湖流域一、二、三级保护区禁止下列行为：</w:t>
                  </w:r>
                </w:p>
                <w:p w14:paraId="4F8A813C">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color w:val="auto"/>
                      <w:sz w:val="21"/>
                      <w:szCs w:val="21"/>
                    </w:rPr>
                    <w:t>（一）</w:t>
                  </w:r>
                  <w:r>
                    <w:rPr>
                      <w:rFonts w:hint="default" w:ascii="Times New Roman" w:hAnsi="Times New Roman" w:eastAsia="宋体" w:cs="Times New Roman"/>
                      <w:i w:val="0"/>
                      <w:iCs w:val="0"/>
                      <w:caps w:val="0"/>
                      <w:color w:val="auto"/>
                      <w:spacing w:val="0"/>
                      <w:kern w:val="0"/>
                      <w:sz w:val="21"/>
                      <w:szCs w:val="21"/>
                      <w:lang w:val="en-US" w:eastAsia="zh-CN" w:bidi="ar"/>
                    </w:rPr>
                    <w:t>新建、改建、扩建化学制浆造纸、制革、酿造、染料、印染、电镀以及其他排放含磷、氮等污染物的企业和项目，城镇污水集中处理等环境基础设施项目和第四十六条规定的情形除外；</w:t>
                  </w:r>
                </w:p>
                <w:p w14:paraId="442F052D">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（二）销售、使用含磷洗涤用品；</w:t>
                  </w:r>
                </w:p>
                <w:p w14:paraId="42201273">
                  <w:pPr>
                    <w:spacing w:line="240" w:lineRule="auto"/>
                    <w:ind w:firstLine="420" w:firstLineChars="200"/>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（三）向水体排放或者倾倒油类、酸液、碱液、剧毒废渣废液、含放射性废渣废液、含病原体污水、工业废渣以及其他废弃物；</w:t>
                  </w:r>
                </w:p>
                <w:p w14:paraId="118E1886">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（四）在水体清洗装贮过油类或者有毒有害污染物的车辆、船舶和容器等</w:t>
                  </w:r>
                  <w:r>
                    <w:rPr>
                      <w:rFonts w:hint="default" w:ascii="Times New Roman" w:hAnsi="Times New Roman" w:eastAsia="宋体" w:cs="Times New Roman"/>
                      <w:color w:val="auto"/>
                      <w:sz w:val="21"/>
                      <w:szCs w:val="21"/>
                    </w:rPr>
                    <w:t>；</w:t>
                  </w:r>
                </w:p>
                <w:p w14:paraId="1162FC13">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（五）使用农药等有毒物毒杀水生生物；</w:t>
                  </w:r>
                </w:p>
                <w:p w14:paraId="4D99483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（六）向水体直接排放人畜粪便、倾倒垃圾；</w:t>
                  </w:r>
                </w:p>
                <w:p w14:paraId="73E97F5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（七）围湖造地；</w:t>
                  </w:r>
                </w:p>
                <w:p w14:paraId="1E9F2ECC">
                  <w:pPr>
                    <w:spacing w:line="24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（八）违法开山采石，或者进行破坏林木、植被、水生生物的活动；</w:t>
                  </w:r>
                </w:p>
                <w:p w14:paraId="596ECE39">
                  <w:pPr>
                    <w:adjustRightInd w:val="0"/>
                    <w:snapToGrid w:val="0"/>
                    <w:spacing w:line="24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（九）法律、法规禁止的其他行为。</w:t>
                  </w:r>
                </w:p>
              </w:tc>
              <w:tc>
                <w:tcPr>
                  <w:tcW w:w="904" w:type="pct"/>
                  <w:noWrap w:val="0"/>
                  <w:vAlign w:val="center"/>
                </w:tcPr>
                <w:p w14:paraId="543E8832">
                  <w:pPr>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rPr>
                    <w:t>属于</w:t>
                  </w:r>
                  <w:r>
                    <w:rPr>
                      <w:rFonts w:hint="eastAsia" w:cs="Times New Roman"/>
                      <w:color w:val="auto"/>
                      <w:szCs w:val="21"/>
                      <w:lang w:eastAsia="zh-CN"/>
                    </w:rPr>
                    <w:t>C3821变压器、整流器和电感器制造</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位于太湖流域三级保护区内，生产过程中无含磷、氮生产废水排放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不属于禁止类。</w:t>
                  </w:r>
                </w:p>
              </w:tc>
              <w:tc>
                <w:tcPr>
                  <w:tcW w:w="537" w:type="pct"/>
                  <w:noWrap w:val="0"/>
                  <w:vAlign w:val="center"/>
                </w:tcPr>
                <w:p w14:paraId="3BE36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rPr>
                    <w:t>相符</w:t>
                  </w:r>
                </w:p>
              </w:tc>
            </w:tr>
          </w:tbl>
          <w:p w14:paraId="5CED9C0C">
            <w:pPr>
              <w:keepNext w:val="0"/>
              <w:keepLines w:val="0"/>
              <w:pageBreakBefore w:val="0"/>
              <w:widowControl w:val="0"/>
              <w:kinsoku/>
              <w:wordWrap/>
              <w:overflowPunct/>
              <w:topLinePunct w:val="0"/>
              <w:autoSpaceDE w:val="0"/>
              <w:autoSpaceDN w:val="0"/>
              <w:bidi w:val="0"/>
              <w:adjustRightInd w:val="0"/>
              <w:snapToGrid w:val="0"/>
              <w:spacing w:line="500" w:lineRule="exact"/>
              <w:jc w:val="left"/>
              <w:textAlignment w:val="auto"/>
              <w:rPr>
                <w:rFonts w:hint="default" w:ascii="Times New Roman" w:hAnsi="Times New Roman" w:eastAsia="宋体" w:cs="Times New Roman"/>
                <w:b/>
                <w:bCs/>
                <w:color w:val="auto"/>
                <w:sz w:val="24"/>
              </w:rPr>
            </w:pPr>
            <w:r>
              <w:rPr>
                <w:rFonts w:hint="eastAsia"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bCs/>
                <w:color w:val="auto"/>
                <w:sz w:val="24"/>
              </w:rPr>
              <w:t>与其他环境保护管理要求的相符性分析</w:t>
            </w:r>
          </w:p>
          <w:p w14:paraId="0D567F63">
            <w:pPr>
              <w:keepNext w:val="0"/>
              <w:keepLines w:val="0"/>
              <w:pageBreakBefore w:val="0"/>
              <w:widowControl/>
              <w:kinsoku/>
              <w:wordWrap/>
              <w:overflowPunct/>
              <w:topLinePunct w:val="0"/>
              <w:autoSpaceDE/>
              <w:autoSpaceDN/>
              <w:bidi w:val="0"/>
              <w:adjustRightInd w:val="0"/>
              <w:snapToGrid/>
              <w:spacing w:line="500" w:lineRule="exact"/>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（1）与</w:t>
            </w:r>
            <w:r>
              <w:rPr>
                <w:rFonts w:hint="eastAsia" w:cs="Times New Roman"/>
                <w:b/>
                <w:bCs w:val="0"/>
                <w:color w:val="auto"/>
                <w:sz w:val="24"/>
                <w:lang w:eastAsia="zh-CN"/>
              </w:rPr>
              <w:t>《江苏省大气颗粒物污染防治管理办法》（省政府令第91号）</w:t>
            </w:r>
            <w:r>
              <w:rPr>
                <w:rFonts w:hint="default" w:ascii="Times New Roman" w:hAnsi="Times New Roman" w:eastAsia="宋体" w:cs="Times New Roman"/>
                <w:b/>
                <w:bCs w:val="0"/>
                <w:color w:val="auto"/>
                <w:sz w:val="24"/>
              </w:rPr>
              <w:t>相符性分析</w:t>
            </w:r>
          </w:p>
          <w:p w14:paraId="4201191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与</w:t>
            </w:r>
            <w:r>
              <w:rPr>
                <w:rFonts w:hint="eastAsia" w:cs="Times New Roman"/>
                <w:b/>
                <w:bCs/>
                <w:color w:val="auto"/>
                <w:sz w:val="21"/>
                <w:szCs w:val="21"/>
                <w:lang w:eastAsia="zh-CN"/>
              </w:rPr>
              <w:t>《江苏省大气颗粒物污染防治管理办法》（省政府令第91号）</w:t>
            </w:r>
            <w:r>
              <w:rPr>
                <w:rFonts w:hint="default" w:ascii="Times New Roman" w:hAnsi="Times New Roman" w:eastAsia="宋体" w:cs="Times New Roman"/>
                <w:b/>
                <w:bCs/>
                <w:color w:val="auto"/>
                <w:sz w:val="21"/>
                <w:szCs w:val="21"/>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73"/>
              <w:gridCol w:w="3159"/>
              <w:gridCol w:w="985"/>
            </w:tblGrid>
            <w:tr w14:paraId="0351C6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518DB13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要求</w:t>
                  </w:r>
                </w:p>
              </w:tc>
              <w:tc>
                <w:tcPr>
                  <w:tcW w:w="2020" w:type="pct"/>
                  <w:vAlign w:val="center"/>
                </w:tcPr>
                <w:p w14:paraId="6D71964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 w:val="21"/>
                      <w:szCs w:val="21"/>
                    </w:rPr>
                    <w:t>本项目</w:t>
                  </w:r>
                </w:p>
              </w:tc>
              <w:tc>
                <w:tcPr>
                  <w:tcW w:w="630" w:type="pct"/>
                  <w:vAlign w:val="center"/>
                </w:tcPr>
                <w:p w14:paraId="2BAC3F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lang w:val="en-US" w:eastAsia="zh-CN"/>
                    </w:rPr>
                    <w:t>相符性</w:t>
                  </w:r>
                </w:p>
              </w:tc>
            </w:tr>
            <w:tr w14:paraId="13CF3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1E6CFC83">
                  <w:pPr>
                    <w:autoSpaceDE w:val="0"/>
                    <w:autoSpaceDN w:val="0"/>
                    <w:snapToGrid w:val="0"/>
                    <w:ind w:firstLine="420" w:firstLineChars="200"/>
                    <w:rPr>
                      <w:rFonts w:ascii="Times New Roman" w:hAnsi="Times New Roman" w:eastAsia="宋体" w:cs="Times New Roman"/>
                      <w:bCs/>
                      <w:color w:val="auto"/>
                      <w:szCs w:val="21"/>
                    </w:rPr>
                  </w:pPr>
                  <w:r>
                    <w:rPr>
                      <w:bCs/>
                      <w:color w:val="auto"/>
                      <w:szCs w:val="21"/>
                    </w:rPr>
                    <w:t>第十</w:t>
                  </w:r>
                  <w:r>
                    <w:rPr>
                      <w:rFonts w:ascii="Times New Roman" w:hAnsi="Times New Roman" w:eastAsia="宋体" w:cs="Times New Roman"/>
                      <w:bCs/>
                      <w:color w:val="auto"/>
                      <w:szCs w:val="21"/>
                    </w:rPr>
                    <w:t>一条：“向大气排放烟尘、粉尘的工业企业，应当采取有效的污染防治措施，确保污染物达标排放”</w:t>
                  </w:r>
                </w:p>
                <w:p w14:paraId="62D0A57F">
                  <w:pPr>
                    <w:autoSpaceDE w:val="0"/>
                    <w:autoSpaceDN w:val="0"/>
                    <w:snapToGrid w:val="0"/>
                    <w:ind w:firstLine="420" w:firstLineChars="200"/>
                    <w:rPr>
                      <w:rFonts w:hint="default"/>
                      <w:color w:val="auto"/>
                    </w:rPr>
                  </w:pPr>
                  <w:r>
                    <w:rPr>
                      <w:rFonts w:ascii="Times New Roman" w:hAnsi="Times New Roman" w:eastAsia="宋体" w:cs="Times New Roman"/>
                      <w:bCs/>
                      <w:color w:val="auto"/>
                      <w:szCs w:val="21"/>
                    </w:rPr>
                    <w:t>产生烟尘、粉尘的生产和物料运输等环节，应当采取密闭、吸尘、除尘等有效措施，将无组织排放转变为有组织达标排放。</w:t>
                  </w:r>
                </w:p>
              </w:tc>
              <w:tc>
                <w:tcPr>
                  <w:tcW w:w="2020" w:type="pct"/>
                  <w:vAlign w:val="center"/>
                </w:tcPr>
                <w:p w14:paraId="6CF50B30">
                  <w:pPr>
                    <w:autoSpaceDE w:val="0"/>
                    <w:autoSpaceDN w:val="0"/>
                    <w:snapToGrid w:val="0"/>
                    <w:ind w:firstLine="420" w:firstLineChars="20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w:t>
                  </w:r>
                  <w:r>
                    <w:rPr>
                      <w:rFonts w:hint="eastAsia" w:cs="Times New Roman"/>
                      <w:color w:val="auto"/>
                      <w:kern w:val="0"/>
                      <w:szCs w:val="21"/>
                      <w:highlight w:val="none"/>
                      <w:lang w:val="en-US" w:eastAsia="zh-CN"/>
                    </w:rPr>
                    <w:t>锡及其化合物</w:t>
                  </w:r>
                  <w:r>
                    <w:rPr>
                      <w:rFonts w:hint="eastAsia" w:ascii="Times New Roman" w:hAnsi="Times New Roman" w:eastAsia="宋体" w:cs="Times New Roman"/>
                      <w:color w:val="auto"/>
                      <w:kern w:val="0"/>
                      <w:szCs w:val="21"/>
                      <w:highlight w:val="none"/>
                      <w:lang w:val="en-US" w:eastAsia="zh-CN"/>
                    </w:rPr>
                    <w:t>废气</w:t>
                  </w:r>
                  <w:r>
                    <w:rPr>
                      <w:rFonts w:hint="eastAsia" w:cs="Times New Roman"/>
                      <w:color w:val="auto"/>
                      <w:kern w:val="0"/>
                      <w:szCs w:val="21"/>
                      <w:highlight w:val="none"/>
                      <w:lang w:val="en-US" w:eastAsia="zh-CN"/>
                    </w:rPr>
                    <w:t>采用集气罩收集，</w:t>
                  </w:r>
                  <w:r>
                    <w:rPr>
                      <w:rFonts w:hint="eastAsia" w:cs="Times New Roman"/>
                      <w:color w:val="auto"/>
                      <w:kern w:val="0"/>
                      <w:szCs w:val="21"/>
                      <w:highlight w:val="none"/>
                      <w:lang w:eastAsia="zh-CN"/>
                    </w:rPr>
                    <w:t>废气收集后进入</w:t>
                  </w:r>
                  <w:r>
                    <w:rPr>
                      <w:rFonts w:hint="eastAsia" w:cs="Times New Roman"/>
                      <w:color w:val="auto"/>
                      <w:kern w:val="0"/>
                      <w:szCs w:val="21"/>
                      <w:highlight w:val="none"/>
                      <w:lang w:val="en-US" w:eastAsia="zh-CN"/>
                    </w:rPr>
                    <w:t>布袋除尘装置处理，</w:t>
                  </w:r>
                  <w:r>
                    <w:rPr>
                      <w:rFonts w:hint="default" w:ascii="Times New Roman" w:hAnsi="Times New Roman" w:eastAsia="宋体" w:cs="Times New Roman"/>
                      <w:color w:val="auto"/>
                      <w:kern w:val="0"/>
                      <w:szCs w:val="21"/>
                      <w:highlight w:val="none"/>
                    </w:rPr>
                    <w:t>可有效减少</w:t>
                  </w:r>
                  <w:r>
                    <w:rPr>
                      <w:rFonts w:hint="eastAsia" w:cs="Times New Roman"/>
                      <w:color w:val="auto"/>
                      <w:kern w:val="0"/>
                      <w:szCs w:val="21"/>
                      <w:highlight w:val="none"/>
                      <w:lang w:val="en-US" w:eastAsia="zh-CN"/>
                    </w:rPr>
                    <w:t>颗粒物废气</w:t>
                  </w:r>
                  <w:r>
                    <w:rPr>
                      <w:rFonts w:hint="default" w:ascii="Times New Roman" w:hAnsi="Times New Roman" w:eastAsia="宋体" w:cs="Times New Roman"/>
                      <w:color w:val="auto"/>
                      <w:kern w:val="0"/>
                      <w:szCs w:val="21"/>
                      <w:highlight w:val="none"/>
                    </w:rPr>
                    <w:t>排放量。</w:t>
                  </w:r>
                </w:p>
              </w:tc>
              <w:tc>
                <w:tcPr>
                  <w:tcW w:w="630" w:type="pct"/>
                  <w:vAlign w:val="center"/>
                </w:tcPr>
                <w:p w14:paraId="5291C7C5">
                  <w:pPr>
                    <w:autoSpaceDE w:val="0"/>
                    <w:autoSpaceDN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lang w:val="en-US" w:eastAsia="zh-CN"/>
                    </w:rPr>
                    <w:t>相符</w:t>
                  </w:r>
                </w:p>
              </w:tc>
            </w:tr>
          </w:tbl>
          <w:p w14:paraId="2B9EEE4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w:t>
            </w:r>
            <w:r>
              <w:rPr>
                <w:rFonts w:hint="eastAsia" w:cs="Times New Roman"/>
                <w:color w:val="auto"/>
                <w:sz w:val="24"/>
                <w:lang w:eastAsia="zh-CN"/>
              </w:rPr>
              <w:t>《江苏省大气颗粒物污染防治管理办法》（省政府令第91号）</w:t>
            </w:r>
            <w:r>
              <w:rPr>
                <w:rFonts w:hint="default" w:ascii="Times New Roman" w:hAnsi="Times New Roman" w:eastAsia="宋体" w:cs="Times New Roman"/>
                <w:color w:val="auto"/>
                <w:sz w:val="24"/>
              </w:rPr>
              <w:t>相符。</w:t>
            </w:r>
          </w:p>
          <w:p w14:paraId="32794087">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cs="Times New Roman"/>
                <w:b/>
                <w:bCs/>
                <w:color w:val="auto"/>
                <w:sz w:val="24"/>
                <w:lang w:val="en-US" w:eastAsia="zh-CN"/>
              </w:rPr>
              <w:t>2</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《挥发性有机物无组织排放控制标准》（GB37822-2019）相符性分析</w:t>
            </w:r>
          </w:p>
          <w:p w14:paraId="4C256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与《挥发性有机物无组织排放控制标准》相符性分析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9"/>
              <w:gridCol w:w="1589"/>
              <w:gridCol w:w="1470"/>
            </w:tblGrid>
            <w:tr w14:paraId="53ACA0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3A061AB3">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要求</w:t>
                  </w:r>
                </w:p>
              </w:tc>
              <w:tc>
                <w:tcPr>
                  <w:tcW w:w="1016" w:type="pct"/>
                  <w:vAlign w:val="center"/>
                </w:tcPr>
                <w:p w14:paraId="2D2BCA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本项目</w:t>
                  </w:r>
                </w:p>
              </w:tc>
              <w:tc>
                <w:tcPr>
                  <w:tcW w:w="940" w:type="pct"/>
                  <w:vAlign w:val="center"/>
                </w:tcPr>
                <w:p w14:paraId="20FBFD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lang w:val="en-US" w:eastAsia="zh-CN"/>
                    </w:rPr>
                    <w:t>相符性</w:t>
                  </w:r>
                </w:p>
              </w:tc>
            </w:tr>
            <w:tr w14:paraId="4E632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0C3CB2E8">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016" w:type="pct"/>
                  <w:vAlign w:val="center"/>
                </w:tcPr>
                <w:p w14:paraId="138A98CE">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本项目VOCs</w:t>
                  </w:r>
                  <w:r>
                    <w:rPr>
                      <w:rFonts w:hint="default" w:ascii="Times New Roman" w:hAnsi="Times New Roman" w:eastAsia="宋体" w:cs="Times New Roman"/>
                      <w:color w:val="auto"/>
                      <w:szCs w:val="21"/>
                      <w:lang w:val="en-US" w:eastAsia="zh-CN"/>
                    </w:rPr>
                    <w:t>物料储存于密闭的桶中，存放于室内，非取用状态时密闭</w:t>
                  </w:r>
                  <w:r>
                    <w:rPr>
                      <w:rFonts w:hint="default" w:ascii="Times New Roman" w:hAnsi="Times New Roman" w:eastAsia="宋体" w:cs="Times New Roman"/>
                      <w:color w:val="auto"/>
                      <w:szCs w:val="21"/>
                    </w:rPr>
                    <w:t>。</w:t>
                  </w:r>
                </w:p>
              </w:tc>
              <w:tc>
                <w:tcPr>
                  <w:tcW w:w="940" w:type="pct"/>
                  <w:vAlign w:val="center"/>
                </w:tcPr>
                <w:p w14:paraId="6CFE33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lang w:val="en-US" w:eastAsia="zh-CN"/>
                    </w:rPr>
                    <w:t>相符</w:t>
                  </w:r>
                </w:p>
              </w:tc>
            </w:tr>
            <w:tr w14:paraId="04CE22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3" w:type="pct"/>
                  <w:vAlign w:val="center"/>
                </w:tcPr>
                <w:p w14:paraId="6321122D">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VOCs占比大于等于10%的含VOCs产品，其使用过程应采用密闭设备或在密闭空间内操作，废气应排放至VOCs废气收集处理系统；无法密闭的，应采取局部气体收集措施，废气应排放至VOCs废气收集处理系统</w:t>
                  </w:r>
                </w:p>
              </w:tc>
              <w:tc>
                <w:tcPr>
                  <w:tcW w:w="1016" w:type="pct"/>
                  <w:vAlign w:val="center"/>
                </w:tcPr>
                <w:p w14:paraId="1EFF9952">
                  <w:pPr>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w:t>
                  </w:r>
                  <w:r>
                    <w:rPr>
                      <w:rFonts w:hint="eastAsia" w:cs="Times New Roman"/>
                      <w:color w:val="auto"/>
                      <w:szCs w:val="21"/>
                      <w:lang w:val="en-US" w:eastAsia="zh-CN"/>
                    </w:rPr>
                    <w:t>使用水性助焊剂，</w:t>
                  </w:r>
                  <w:r>
                    <w:rPr>
                      <w:rFonts w:hint="default" w:ascii="Times New Roman" w:hAnsi="Times New Roman" w:eastAsia="宋体" w:cs="Times New Roman"/>
                      <w:color w:val="auto"/>
                      <w:szCs w:val="21"/>
                    </w:rPr>
                    <w:t>VOCs</w:t>
                  </w:r>
                  <w:r>
                    <w:rPr>
                      <w:rFonts w:hint="eastAsia" w:ascii="Times New Roman" w:hAnsi="Times New Roman" w:cs="Times New Roman"/>
                      <w:color w:val="auto"/>
                      <w:szCs w:val="21"/>
                      <w:lang w:val="en-US" w:eastAsia="zh-CN"/>
                    </w:rPr>
                    <w:t>远低于</w:t>
                  </w:r>
                  <w:r>
                    <w:rPr>
                      <w:rFonts w:hint="default" w:ascii="Times New Roman" w:hAnsi="Times New Roman" w:eastAsia="宋体" w:cs="Times New Roman"/>
                      <w:color w:val="auto"/>
                      <w:szCs w:val="21"/>
                    </w:rPr>
                    <w:t>10%。</w:t>
                  </w:r>
                </w:p>
              </w:tc>
              <w:tc>
                <w:tcPr>
                  <w:tcW w:w="940" w:type="pct"/>
                  <w:vAlign w:val="center"/>
                </w:tcPr>
                <w:p w14:paraId="7A85FD9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lang w:val="en-US" w:eastAsia="zh-CN"/>
                    </w:rPr>
                    <w:t>相符</w:t>
                  </w:r>
                </w:p>
              </w:tc>
            </w:tr>
          </w:tbl>
          <w:p w14:paraId="534467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综上，本项目建设与《挥发性有机物无组织排放控制标准》（GB37822-2019）相符。</w:t>
            </w:r>
          </w:p>
          <w:p w14:paraId="1FBAF975">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eastAsia="zh-CN"/>
              </w:rPr>
              <w:t>（</w:t>
            </w:r>
            <w:r>
              <w:rPr>
                <w:rFonts w:hint="eastAsia" w:cs="Times New Roman"/>
                <w:b/>
                <w:bCs/>
                <w:color w:val="auto"/>
                <w:sz w:val="24"/>
                <w:lang w:val="en-US" w:eastAsia="zh-CN"/>
              </w:rPr>
              <w:t>3</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关于印发</w:t>
            </w:r>
            <w:r>
              <w:rPr>
                <w:rFonts w:hint="default" w:ascii="Times New Roman" w:hAnsi="Times New Roman" w:eastAsia="宋体" w:cs="Times New Roman"/>
                <w:b/>
                <w:bCs/>
                <w:color w:val="auto"/>
                <w:sz w:val="24"/>
                <w:lang w:val="en-US" w:eastAsia="zh-CN"/>
              </w:rPr>
              <w:t>&lt;</w:t>
            </w:r>
            <w:r>
              <w:rPr>
                <w:rFonts w:hint="default" w:ascii="Times New Roman" w:hAnsi="Times New Roman" w:eastAsia="宋体" w:cs="Times New Roman"/>
                <w:b/>
                <w:bCs/>
                <w:color w:val="auto"/>
                <w:sz w:val="24"/>
              </w:rPr>
              <w:t>深入打好重污染天气消除、臭氧污染防治和柴油货车污染治理攻坚战行动方案</w:t>
            </w:r>
            <w:r>
              <w:rPr>
                <w:rFonts w:hint="default" w:ascii="Times New Roman" w:hAnsi="Times New Roman" w:eastAsia="宋体" w:cs="Times New Roman"/>
                <w:b/>
                <w:bCs/>
                <w:color w:val="auto"/>
                <w:sz w:val="24"/>
                <w:lang w:val="en-US" w:eastAsia="zh-CN"/>
              </w:rPr>
              <w:t>&gt;</w:t>
            </w:r>
            <w:r>
              <w:rPr>
                <w:rFonts w:hint="default" w:ascii="Times New Roman" w:hAnsi="Times New Roman" w:eastAsia="宋体" w:cs="Times New Roman"/>
                <w:b/>
                <w:bCs/>
                <w:color w:val="auto"/>
                <w:sz w:val="24"/>
              </w:rPr>
              <w:t>的通知</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环大气〔2022〕68号</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相符性分析</w:t>
            </w:r>
          </w:p>
          <w:p w14:paraId="4FA46CB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cs="Times New Roman"/>
                <w:b/>
                <w:bCs/>
                <w:color w:val="auto"/>
                <w:sz w:val="21"/>
                <w:szCs w:val="21"/>
                <w:lang w:val="en-US" w:eastAsia="zh-CN"/>
              </w:rPr>
              <w:t>9</w:t>
            </w:r>
            <w:r>
              <w:rPr>
                <w:rFonts w:hint="default" w:ascii="Times New Roman" w:hAnsi="Times New Roman" w:cs="Times New Roman"/>
                <w:b/>
                <w:bCs/>
                <w:color w:val="auto"/>
                <w:sz w:val="21"/>
                <w:szCs w:val="21"/>
              </w:rPr>
              <w:t>与</w:t>
            </w:r>
            <w:r>
              <w:rPr>
                <w:rFonts w:hint="default" w:ascii="Times New Roman" w:hAnsi="Times New Roman" w:eastAsia="宋体" w:cs="Times New Roman"/>
                <w:b/>
                <w:bCs/>
                <w:color w:val="auto"/>
                <w:sz w:val="21"/>
                <w:szCs w:val="21"/>
              </w:rPr>
              <w:t>环大气〔2022〕68号</w:t>
            </w:r>
            <w:r>
              <w:rPr>
                <w:rFonts w:hint="default" w:ascii="Times New Roman" w:hAnsi="Times New Roman" w:cs="Times New Roman"/>
                <w:b/>
                <w:bCs/>
                <w:color w:val="auto"/>
                <w:sz w:val="21"/>
                <w:szCs w:val="21"/>
              </w:rPr>
              <w:t>的相符性分析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3376"/>
              <w:gridCol w:w="3004"/>
              <w:gridCol w:w="1025"/>
            </w:tblGrid>
            <w:tr w14:paraId="3EDBE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3" w:type="pct"/>
                  <w:gridSpan w:val="2"/>
                  <w:noWrap w:val="0"/>
                  <w:vAlign w:val="center"/>
                </w:tcPr>
                <w:p w14:paraId="3F3CA0F7">
                  <w:pPr>
                    <w:keepNext w:val="0"/>
                    <w:keepLines w:val="0"/>
                    <w:suppressLineNumbers w:val="0"/>
                    <w:spacing w:before="0" w:beforeAutospacing="0" w:after="0" w:afterAutospacing="0"/>
                    <w:ind w:left="0" w:right="0"/>
                    <w:jc w:val="center"/>
                    <w:rPr>
                      <w:rFonts w:hint="default" w:ascii="Times New Roman" w:hAnsi="Times New Roman" w:cs="Times New Roman"/>
                      <w:b/>
                      <w:color w:val="auto"/>
                    </w:rPr>
                  </w:pPr>
                  <w:r>
                    <w:rPr>
                      <w:rFonts w:hint="eastAsia" w:cs="Times New Roman"/>
                      <w:b/>
                      <w:color w:val="auto"/>
                      <w:lang w:val="en-US" w:eastAsia="zh-CN"/>
                    </w:rPr>
                    <w:t>文件</w:t>
                  </w:r>
                  <w:r>
                    <w:rPr>
                      <w:rFonts w:hint="default" w:ascii="Times New Roman" w:hAnsi="Times New Roman" w:cs="Times New Roman"/>
                      <w:b/>
                      <w:color w:val="auto"/>
                    </w:rPr>
                    <w:t>要求</w:t>
                  </w:r>
                </w:p>
              </w:tc>
              <w:tc>
                <w:tcPr>
                  <w:tcW w:w="1921" w:type="pct"/>
                  <w:noWrap w:val="0"/>
                  <w:vAlign w:val="center"/>
                </w:tcPr>
                <w:p w14:paraId="332409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rPr>
                  </w:pPr>
                  <w:r>
                    <w:rPr>
                      <w:rFonts w:hint="default" w:ascii="Times New Roman" w:hAnsi="Times New Roman" w:eastAsia="宋体" w:cs="Times New Roman"/>
                      <w:b/>
                      <w:bCs/>
                      <w:color w:val="auto"/>
                      <w:sz w:val="21"/>
                      <w:szCs w:val="21"/>
                    </w:rPr>
                    <w:t>本项目</w:t>
                  </w:r>
                </w:p>
              </w:tc>
              <w:tc>
                <w:tcPr>
                  <w:tcW w:w="655" w:type="pct"/>
                  <w:noWrap w:val="0"/>
                  <w:vAlign w:val="center"/>
                </w:tcPr>
                <w:p w14:paraId="78DF7B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color w:val="auto"/>
                    </w:rPr>
                  </w:pPr>
                  <w:r>
                    <w:rPr>
                      <w:rFonts w:hint="default" w:ascii="Times New Roman" w:hAnsi="Times New Roman" w:eastAsia="宋体" w:cs="Times New Roman"/>
                      <w:b/>
                      <w:bCs/>
                      <w:color w:val="auto"/>
                      <w:lang w:val="en-US" w:eastAsia="zh-CN"/>
                    </w:rPr>
                    <w:t>相符性</w:t>
                  </w:r>
                </w:p>
              </w:tc>
            </w:tr>
            <w:tr w14:paraId="4D6FA7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restart"/>
                  <w:noWrap w:val="0"/>
                  <w:vAlign w:val="center"/>
                </w:tcPr>
                <w:p w14:paraId="06680188">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推进重点工程</w:t>
                  </w:r>
                </w:p>
              </w:tc>
              <w:tc>
                <w:tcPr>
                  <w:tcW w:w="2159" w:type="pct"/>
                  <w:noWrap w:val="0"/>
                  <w:vAlign w:val="center"/>
                </w:tcPr>
                <w:p w14:paraId="48D4ACC2">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促进产业绿色转型升级，坚决遏制高耗能、高排放、低水平项目盲目发展，开展传统产业集群升级改造。推动能源清洁低碳转型，开展分散、低效煤炭综合治理。</w:t>
                  </w:r>
                </w:p>
              </w:tc>
              <w:tc>
                <w:tcPr>
                  <w:tcW w:w="1921" w:type="pct"/>
                  <w:noWrap w:val="0"/>
                  <w:vAlign w:val="center"/>
                </w:tcPr>
                <w:p w14:paraId="1FA8CE4E">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w:t>
                  </w:r>
                  <w:r>
                    <w:rPr>
                      <w:rFonts w:hint="default" w:ascii="Times New Roman" w:hAnsi="Times New Roman" w:eastAsia="宋体" w:cs="Times New Roman"/>
                      <w:bCs/>
                      <w:color w:val="auto"/>
                      <w:szCs w:val="21"/>
                      <w:lang w:val="en-US" w:eastAsia="zh-CN"/>
                    </w:rPr>
                    <w:t>采用清洁能源，不属于</w:t>
                  </w:r>
                  <w:r>
                    <w:rPr>
                      <w:rFonts w:hint="default" w:ascii="Times New Roman" w:hAnsi="Times New Roman" w:eastAsia="宋体" w:cs="Times New Roman"/>
                      <w:bCs/>
                      <w:color w:val="auto"/>
                      <w:szCs w:val="21"/>
                    </w:rPr>
                    <w:t>高耗能、高排放、低水平</w:t>
                  </w:r>
                  <w:r>
                    <w:rPr>
                      <w:rFonts w:hint="default" w:ascii="Times New Roman" w:hAnsi="Times New Roman" w:eastAsia="宋体" w:cs="Times New Roman"/>
                      <w:bCs/>
                      <w:color w:val="auto"/>
                      <w:szCs w:val="21"/>
                      <w:lang w:val="en-US" w:eastAsia="zh-CN"/>
                    </w:rPr>
                    <w:t>项目</w:t>
                  </w:r>
                  <w:r>
                    <w:rPr>
                      <w:rFonts w:hint="default" w:ascii="Times New Roman" w:hAnsi="Times New Roman" w:eastAsia="宋体" w:cs="Times New Roman"/>
                      <w:bCs/>
                      <w:color w:val="auto"/>
                      <w:szCs w:val="21"/>
                    </w:rPr>
                    <w:t>。</w:t>
                  </w:r>
                </w:p>
              </w:tc>
              <w:tc>
                <w:tcPr>
                  <w:tcW w:w="655" w:type="pct"/>
                  <w:noWrap w:val="0"/>
                  <w:vAlign w:val="center"/>
                </w:tcPr>
                <w:p w14:paraId="4DFBD2CD">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r w14:paraId="491E2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 w:type="pct"/>
                  <w:vMerge w:val="continue"/>
                  <w:noWrap w:val="0"/>
                  <w:vAlign w:val="center"/>
                </w:tcPr>
                <w:p w14:paraId="282BA9EB">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2159" w:type="pct"/>
                  <w:noWrap w:val="0"/>
                  <w:vAlign w:val="center"/>
                </w:tcPr>
                <w:p w14:paraId="70E9C6D0">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强化挥发性有机物（VOCs）、氮氧化物等多污染物协同减排，以石化、化工、涂装、制药、包装印刷和油品储运销等为重点，加强VOCs源头、过程、末端全流程治理</w:t>
                  </w:r>
                  <w:r>
                    <w:rPr>
                      <w:rFonts w:hint="default" w:ascii="Times New Roman" w:hAnsi="Times New Roman" w:eastAsia="宋体" w:cs="Times New Roman"/>
                      <w:bCs/>
                      <w:color w:val="auto"/>
                      <w:szCs w:val="21"/>
                      <w:lang w:eastAsia="zh-CN"/>
                    </w:rPr>
                    <w:t>。</w:t>
                  </w:r>
                </w:p>
              </w:tc>
              <w:tc>
                <w:tcPr>
                  <w:tcW w:w="1921" w:type="pct"/>
                  <w:noWrap w:val="0"/>
                  <w:vAlign w:val="center"/>
                </w:tcPr>
                <w:p w14:paraId="0D8A20B9">
                  <w:pPr>
                    <w:keepNext w:val="0"/>
                    <w:keepLines w:val="0"/>
                    <w:widowControl/>
                    <w:suppressLineNumbers w:val="0"/>
                    <w:adjustRightInd w:val="0"/>
                    <w:snapToGrid w:val="0"/>
                    <w:spacing w:before="0" w:beforeAutospacing="0" w:after="0" w:afterAutospacing="0"/>
                    <w:ind w:left="0" w:right="0" w:firstLine="420" w:firstLineChars="200"/>
                    <w:jc w:val="both"/>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t>本项目不属于化工、涂装、医药、包装印刷、油品储运等高VOCs排放建设项目。</w:t>
                  </w:r>
                </w:p>
              </w:tc>
              <w:tc>
                <w:tcPr>
                  <w:tcW w:w="655" w:type="pct"/>
                  <w:noWrap w:val="0"/>
                  <w:vAlign w:val="center"/>
                </w:tcPr>
                <w:p w14:paraId="71C09AB3">
                  <w:pPr>
                    <w:keepNext w:val="0"/>
                    <w:keepLines w:val="0"/>
                    <w:widowControl/>
                    <w:suppressLineNumbers w:val="0"/>
                    <w:adjustRightInd w:val="0"/>
                    <w:snapToGrid w:val="0"/>
                    <w:spacing w:before="0" w:beforeAutospacing="0" w:after="0" w:afterAutospacing="0"/>
                    <w:ind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相符</w:t>
                  </w:r>
                </w:p>
              </w:tc>
            </w:tr>
          </w:tbl>
          <w:p w14:paraId="25E2D54C">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cs="Times New Roman"/>
                <w:b/>
                <w:bCs/>
                <w:color w:val="auto"/>
                <w:sz w:val="24"/>
                <w:lang w:val="en-US" w:eastAsia="zh-CN"/>
              </w:rPr>
              <w:t>（</w:t>
            </w:r>
            <w:r>
              <w:rPr>
                <w:rFonts w:hint="eastAsia" w:cs="Times New Roman"/>
                <w:b/>
                <w:bCs/>
                <w:color w:val="auto"/>
                <w:sz w:val="24"/>
                <w:lang w:val="en-US" w:eastAsia="zh-CN"/>
              </w:rPr>
              <w:t>4</w:t>
            </w:r>
            <w:r>
              <w:rPr>
                <w:rFonts w:hint="default" w:ascii="Times New Roman" w:hAnsi="Times New Roman" w:cs="Times New Roman"/>
                <w:b/>
                <w:bCs/>
                <w:color w:val="auto"/>
                <w:sz w:val="24"/>
                <w:lang w:val="en-US"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cs="Times New Roman"/>
                <w:b/>
                <w:bCs/>
                <w:color w:val="auto"/>
                <w:sz w:val="24"/>
                <w:lang w:val="en-US" w:eastAsia="zh-CN"/>
              </w:rPr>
              <w:t>江苏省</w:t>
            </w:r>
            <w:r>
              <w:rPr>
                <w:rFonts w:hint="default" w:ascii="Times New Roman" w:hAnsi="Times New Roman" w:eastAsia="宋体" w:cs="Times New Roman"/>
                <w:b/>
                <w:bCs/>
                <w:color w:val="auto"/>
                <w:sz w:val="24"/>
              </w:rPr>
              <w:t>深入打好重污染天气消除、臭氧污染防治和柴油货车污染治理攻坚战行动</w:t>
            </w:r>
            <w:r>
              <w:rPr>
                <w:rFonts w:hint="default" w:ascii="Times New Roman" w:hAnsi="Times New Roman" w:cs="Times New Roman"/>
                <w:b/>
                <w:bCs/>
                <w:color w:val="auto"/>
                <w:sz w:val="24"/>
                <w:lang w:eastAsia="zh-CN"/>
              </w:rPr>
              <w:t>实施</w:t>
            </w:r>
            <w:r>
              <w:rPr>
                <w:rFonts w:hint="default" w:ascii="Times New Roman" w:hAnsi="Times New Roman" w:eastAsia="宋体" w:cs="Times New Roman"/>
                <w:b/>
                <w:bCs/>
                <w:color w:val="auto"/>
                <w:sz w:val="24"/>
              </w:rPr>
              <w:t>方案</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苏环办</w:t>
            </w:r>
            <w:r>
              <w:rPr>
                <w:rFonts w:hint="eastAsia" w:cs="Times New Roman"/>
                <w:b/>
                <w:bCs/>
                <w:color w:val="auto"/>
                <w:sz w:val="24"/>
                <w:lang w:eastAsia="zh-CN"/>
              </w:rPr>
              <w:t>〔2023〕35号</w:t>
            </w:r>
            <w:r>
              <w:rPr>
                <w:rFonts w:hint="default" w:ascii="Times New Roman" w:hAnsi="Times New Roman" w:eastAsia="宋体" w:cs="Times New Roman"/>
                <w:b/>
                <w:bCs/>
                <w:color w:val="auto"/>
                <w:sz w:val="24"/>
              </w:rPr>
              <w:t>文</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相符性分析</w:t>
            </w:r>
          </w:p>
          <w:p w14:paraId="07F1ECA6">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与苏环办</w:t>
            </w:r>
            <w:r>
              <w:rPr>
                <w:rFonts w:hint="eastAsia" w:cs="Times New Roman"/>
                <w:b/>
                <w:bCs/>
                <w:color w:val="auto"/>
                <w:sz w:val="21"/>
                <w:szCs w:val="21"/>
                <w:lang w:eastAsia="zh-CN"/>
              </w:rPr>
              <w:t>〔2023〕35号</w:t>
            </w:r>
            <w:r>
              <w:rPr>
                <w:rFonts w:hint="default" w:ascii="Times New Roman" w:hAnsi="Times New Roman" w:cs="Times New Roman"/>
                <w:b/>
                <w:bCs/>
                <w:color w:val="auto"/>
                <w:sz w:val="21"/>
                <w:szCs w:val="21"/>
                <w:lang w:eastAsia="zh-CN"/>
              </w:rPr>
              <w:t>文</w:t>
            </w:r>
            <w:r>
              <w:rPr>
                <w:rFonts w:hint="default" w:ascii="Times New Roman" w:hAnsi="Times New Roman" w:eastAsia="宋体" w:cs="Times New Roman"/>
                <w:b/>
                <w:bCs/>
                <w:color w:val="auto"/>
                <w:sz w:val="21"/>
                <w:szCs w:val="21"/>
              </w:rPr>
              <w:t>的相符性分析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3"/>
              <w:gridCol w:w="1871"/>
              <w:gridCol w:w="1064"/>
            </w:tblGrid>
            <w:tr w14:paraId="519F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2" w:type="pct"/>
                  <w:noWrap w:val="0"/>
                  <w:vAlign w:val="center"/>
                </w:tcPr>
                <w:p w14:paraId="27786D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eastAsia" w:cs="Times New Roman"/>
                      <w:b/>
                      <w:color w:val="auto"/>
                      <w:lang w:val="en-US" w:eastAsia="zh-CN"/>
                    </w:rPr>
                    <w:t>文件</w:t>
                  </w:r>
                  <w:r>
                    <w:rPr>
                      <w:rFonts w:hint="default" w:ascii="Times New Roman" w:hAnsi="Times New Roman" w:cs="Times New Roman"/>
                      <w:b/>
                      <w:color w:val="auto"/>
                    </w:rPr>
                    <w:t>要求</w:t>
                  </w:r>
                </w:p>
              </w:tc>
              <w:tc>
                <w:tcPr>
                  <w:tcW w:w="1196" w:type="pct"/>
                  <w:noWrap w:val="0"/>
                  <w:vAlign w:val="center"/>
                </w:tcPr>
                <w:p w14:paraId="7E1E79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sz w:val="21"/>
                      <w:szCs w:val="21"/>
                    </w:rPr>
                    <w:t>本项目</w:t>
                  </w:r>
                </w:p>
              </w:tc>
              <w:tc>
                <w:tcPr>
                  <w:tcW w:w="680" w:type="pct"/>
                  <w:noWrap w:val="0"/>
                  <w:vAlign w:val="center"/>
                </w:tcPr>
                <w:p w14:paraId="50A20C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rPr>
                  </w:pPr>
                  <w:r>
                    <w:rPr>
                      <w:rFonts w:hint="default" w:ascii="Times New Roman" w:hAnsi="Times New Roman" w:eastAsia="宋体" w:cs="Times New Roman"/>
                      <w:b/>
                      <w:bCs/>
                      <w:color w:val="auto"/>
                      <w:lang w:val="en-US" w:eastAsia="zh-CN"/>
                    </w:rPr>
                    <w:t>相符性</w:t>
                  </w:r>
                </w:p>
              </w:tc>
            </w:tr>
            <w:tr w14:paraId="147BB3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3122" w:type="pct"/>
                  <w:noWrap w:val="0"/>
                  <w:vAlign w:val="center"/>
                </w:tcPr>
                <w:p w14:paraId="08990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大气减污降碳协同增效行动。大力推动产业转型升级和布局调整优化。坚决遏制高耗能、高排放、低水平项目盲目发展，严格落实国家和省产业规划、产业政策、“三线一单”、规划环评，以及</w:t>
                  </w:r>
                </w:p>
                <w:p w14:paraId="666DB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产能置换、煤炭消费减量替代、污染物排放总量控制、区域污染物削减、碳排放达峰目标等要求，坚决叫停不符合要求的高耗能、高排放、低水平项目。……严格依法依规淘汰落后产能。强化法规标准等约束，利用能耗、环保、安全、质量、技术等综合标准，依法依规淘汰落后产能、落后工艺、落后产品，持续推进化工行业安全环保整治提升，大幅提升行业整体绿色发展水平</w:t>
                  </w:r>
                </w:p>
              </w:tc>
              <w:tc>
                <w:tcPr>
                  <w:tcW w:w="1196" w:type="pct"/>
                  <w:noWrap w:val="0"/>
                  <w:vAlign w:val="center"/>
                </w:tcPr>
                <w:p w14:paraId="79203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本项目属于</w:t>
                  </w:r>
                  <w:r>
                    <w:rPr>
                      <w:rFonts w:hint="eastAsia" w:cs="Times New Roman"/>
                      <w:bCs/>
                      <w:color w:val="auto"/>
                      <w:szCs w:val="21"/>
                      <w:lang w:val="en-US" w:eastAsia="zh-CN"/>
                    </w:rPr>
                    <w:t>C3821变压器、整流器和电感器制造</w:t>
                  </w:r>
                  <w:r>
                    <w:rPr>
                      <w:rFonts w:hint="default" w:ascii="Times New Roman" w:hAnsi="Times New Roman" w:eastAsia="宋体" w:cs="Times New Roman"/>
                      <w:bCs/>
                      <w:color w:val="auto"/>
                      <w:szCs w:val="21"/>
                      <w:lang w:val="en-US" w:eastAsia="zh-CN"/>
                    </w:rPr>
                    <w:t>，不属于高耗能、高排放、低水平项目。本项目产品为</w:t>
                  </w:r>
                  <w:r>
                    <w:rPr>
                      <w:rFonts w:hint="eastAsia" w:cs="Times New Roman"/>
                      <w:bCs/>
                      <w:color w:val="auto"/>
                      <w:szCs w:val="21"/>
                      <w:lang w:val="en-US" w:eastAsia="zh-CN"/>
                    </w:rPr>
                    <w:t>变压器</w:t>
                  </w:r>
                  <w:r>
                    <w:rPr>
                      <w:rFonts w:hint="default" w:ascii="Times New Roman" w:hAnsi="Times New Roman" w:eastAsia="宋体" w:cs="Times New Roman"/>
                      <w:bCs/>
                      <w:color w:val="auto"/>
                      <w:szCs w:val="21"/>
                      <w:lang w:val="en-US" w:eastAsia="zh-CN"/>
                    </w:rPr>
                    <w:t>，不涉及落后工艺、落后产品。</w:t>
                  </w:r>
                </w:p>
              </w:tc>
              <w:tc>
                <w:tcPr>
                  <w:tcW w:w="680" w:type="pct"/>
                  <w:noWrap w:val="0"/>
                  <w:vAlign w:val="center"/>
                </w:tcPr>
                <w:p w14:paraId="525013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right="0"/>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相符</w:t>
                  </w:r>
                </w:p>
              </w:tc>
            </w:tr>
          </w:tbl>
          <w:p w14:paraId="20576FF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）与</w:t>
            </w:r>
            <w:r>
              <w:rPr>
                <w:rFonts w:hint="eastAsia" w:ascii="Times New Roman" w:hAnsi="Times New Roman" w:eastAsia="宋体" w:cs="Times New Roman"/>
                <w:b/>
                <w:bCs/>
                <w:color w:val="auto"/>
                <w:kern w:val="2"/>
                <w:sz w:val="24"/>
                <w:szCs w:val="24"/>
                <w:lang w:val="en-US" w:eastAsia="zh-CN" w:bidi="ar-SA"/>
              </w:rPr>
              <w:t>《省政府关于印发江苏省空气质量持续改善行动计划实施方案的通知》（</w:t>
            </w:r>
            <w:r>
              <w:rPr>
                <w:rFonts w:hint="default" w:ascii="Times New Roman" w:hAnsi="Times New Roman" w:eastAsia="宋体" w:cs="Times New Roman"/>
                <w:b/>
                <w:bCs/>
                <w:color w:val="auto"/>
                <w:kern w:val="2"/>
                <w:sz w:val="24"/>
                <w:szCs w:val="24"/>
                <w:lang w:val="en-US" w:eastAsia="zh-CN" w:bidi="ar-SA"/>
              </w:rPr>
              <w:t>苏政发〔2024〕53号）的对照分析</w:t>
            </w:r>
            <w:r>
              <w:rPr>
                <w:rFonts w:hint="default" w:ascii="Times New Roman" w:hAnsi="Times New Roman" w:eastAsia="宋体" w:cs="Times New Roman"/>
                <w:b/>
                <w:bCs/>
                <w:color w:val="auto"/>
                <w:sz w:val="24"/>
              </w:rPr>
              <w:br w:type="textWrapping"/>
            </w:r>
            <w:r>
              <w:rPr>
                <w:rFonts w:hint="default" w:ascii="Times New Roman" w:hAnsi="Times New Roman" w:cs="Times New Roman"/>
                <w:b/>
                <w:bCs/>
                <w:color w:val="auto"/>
                <w:sz w:val="24"/>
                <w:lang w:val="en-US" w:eastAsia="zh-CN"/>
              </w:rPr>
              <w:t xml:space="preserve">               </w:t>
            </w:r>
            <w:r>
              <w:rPr>
                <w:rFonts w:hint="default" w:ascii="Times New Roman" w:hAnsi="Times New Roman" w:eastAsia="宋体" w:cs="Times New Roman"/>
                <w:b/>
                <w:bCs/>
                <w:color w:val="auto"/>
                <w:kern w:val="0"/>
                <w:sz w:val="21"/>
                <w:szCs w:val="21"/>
                <w:lang w:val="en-US" w:eastAsia="zh-CN" w:bidi="ar-SA"/>
              </w:rPr>
              <w:t>表1-</w:t>
            </w:r>
            <w:r>
              <w:rPr>
                <w:rFonts w:hint="default" w:ascii="Times New Roman" w:hAnsi="Times New Roman" w:cs="Times New Roman"/>
                <w:b/>
                <w:bCs/>
                <w:color w:val="auto"/>
                <w:kern w:val="0"/>
                <w:sz w:val="21"/>
                <w:szCs w:val="21"/>
                <w:lang w:val="en-US" w:eastAsia="zh-CN" w:bidi="ar-SA"/>
              </w:rPr>
              <w:t>1</w:t>
            </w:r>
            <w:r>
              <w:rPr>
                <w:rFonts w:hint="eastAsia" w:ascii="Times New Roman" w:hAnsi="Times New Roman" w:cs="Times New Roman"/>
                <w:b/>
                <w:bCs/>
                <w:color w:val="auto"/>
                <w:kern w:val="0"/>
                <w:sz w:val="21"/>
                <w:szCs w:val="21"/>
                <w:lang w:val="en-US" w:eastAsia="zh-CN" w:bidi="ar-SA"/>
              </w:rPr>
              <w:t>1</w:t>
            </w:r>
            <w:r>
              <w:rPr>
                <w:rFonts w:hint="default" w:ascii="Times New Roman" w:hAnsi="Times New Roman" w:eastAsia="宋体" w:cs="Times New Roman"/>
                <w:b/>
                <w:bCs/>
                <w:color w:val="auto"/>
                <w:kern w:val="0"/>
                <w:sz w:val="21"/>
                <w:szCs w:val="21"/>
                <w:lang w:val="en-US" w:eastAsia="zh-CN" w:bidi="ar-SA"/>
              </w:rPr>
              <w:t xml:space="preserve"> 与苏政发〔2024〕53号文相符性分析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20"/>
              <w:gridCol w:w="1728"/>
              <w:gridCol w:w="670"/>
            </w:tblGrid>
            <w:tr w14:paraId="3B03B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66" w:type="pct"/>
                  <w:noWrap w:val="0"/>
                  <w:tcMar>
                    <w:top w:w="0" w:type="dxa"/>
                    <w:left w:w="28" w:type="dxa"/>
                    <w:bottom w:w="0" w:type="dxa"/>
                    <w:right w:w="28" w:type="dxa"/>
                  </w:tcMar>
                  <w:vAlign w:val="center"/>
                </w:tcPr>
                <w:p w14:paraId="109BD572">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105" w:type="pct"/>
                  <w:noWrap w:val="0"/>
                  <w:tcMar>
                    <w:top w:w="0" w:type="dxa"/>
                    <w:left w:w="28" w:type="dxa"/>
                    <w:bottom w:w="0" w:type="dxa"/>
                    <w:right w:w="28" w:type="dxa"/>
                  </w:tcMar>
                  <w:vAlign w:val="center"/>
                </w:tcPr>
                <w:p w14:paraId="0F24F486">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1A51C1C5">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2C1437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66" w:type="pct"/>
                  <w:noWrap w:val="0"/>
                  <w:tcMar>
                    <w:top w:w="0" w:type="dxa"/>
                    <w:left w:w="28" w:type="dxa"/>
                    <w:bottom w:w="0" w:type="dxa"/>
                    <w:right w:w="28" w:type="dxa"/>
                  </w:tcMar>
                  <w:vAlign w:val="center"/>
                </w:tcPr>
                <w:p w14:paraId="6E67C65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105" w:type="pct"/>
                  <w:noWrap w:val="0"/>
                  <w:tcMar>
                    <w:top w:w="0" w:type="dxa"/>
                    <w:left w:w="28" w:type="dxa"/>
                    <w:bottom w:w="0" w:type="dxa"/>
                    <w:right w:w="28" w:type="dxa"/>
                  </w:tcMar>
                  <w:vAlign w:val="center"/>
                </w:tcPr>
                <w:p w14:paraId="18ABAABC">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本项目为</w:t>
                  </w:r>
                  <w:r>
                    <w:rPr>
                      <w:rFonts w:hint="eastAsia" w:cs="Times New Roman"/>
                      <w:b w:val="0"/>
                      <w:bCs w:val="0"/>
                      <w:color w:val="auto"/>
                      <w:kern w:val="0"/>
                      <w:sz w:val="21"/>
                      <w:szCs w:val="21"/>
                      <w:vertAlign w:val="baseline"/>
                      <w:lang w:val="en-US" w:eastAsia="zh-CN" w:bidi="ar-SA"/>
                    </w:rPr>
                    <w:t>C3821变压器、整流器和电感器制造</w:t>
                  </w:r>
                  <w:r>
                    <w:rPr>
                      <w:rFonts w:hint="default" w:ascii="Times New Roman" w:hAnsi="Times New Roman" w:eastAsia="宋体" w:cs="Times New Roman"/>
                      <w:b w:val="0"/>
                      <w:bCs w:val="0"/>
                      <w:color w:val="auto"/>
                      <w:kern w:val="0"/>
                      <w:sz w:val="21"/>
                      <w:szCs w:val="21"/>
                      <w:vertAlign w:val="baseline"/>
                      <w:lang w:val="en-US" w:eastAsia="zh-CN" w:bidi="ar-SA"/>
                    </w:rPr>
                    <w:t>，不属于“两高”项目。</w:t>
                  </w:r>
                </w:p>
              </w:tc>
              <w:tc>
                <w:tcPr>
                  <w:tcW w:w="428" w:type="pct"/>
                  <w:noWrap w:val="0"/>
                  <w:tcMar>
                    <w:top w:w="0" w:type="dxa"/>
                    <w:left w:w="28" w:type="dxa"/>
                    <w:bottom w:w="0" w:type="dxa"/>
                    <w:right w:w="28" w:type="dxa"/>
                  </w:tcMar>
                  <w:vAlign w:val="center"/>
                </w:tcPr>
                <w:p w14:paraId="008C4B99">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187E1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66" w:type="pct"/>
                  <w:noWrap w:val="0"/>
                  <w:tcMar>
                    <w:top w:w="0" w:type="dxa"/>
                    <w:left w:w="28" w:type="dxa"/>
                    <w:bottom w:w="0" w:type="dxa"/>
                    <w:right w:w="28" w:type="dxa"/>
                  </w:tcMar>
                  <w:vAlign w:val="center"/>
                </w:tcPr>
                <w:p w14:paraId="2CB9C27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105" w:type="pct"/>
                  <w:noWrap w:val="0"/>
                  <w:tcMar>
                    <w:top w:w="0" w:type="dxa"/>
                    <w:left w:w="28" w:type="dxa"/>
                    <w:bottom w:w="0" w:type="dxa"/>
                    <w:right w:w="28" w:type="dxa"/>
                  </w:tcMar>
                  <w:vAlign w:val="center"/>
                </w:tcPr>
                <w:p w14:paraId="48219C95">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auto"/>
                    </w:rPr>
                    <w:t>本项目不属于化工、涂装、医药、包装印刷等高VOCs排放建设项目。</w:t>
                  </w:r>
                </w:p>
              </w:tc>
              <w:tc>
                <w:tcPr>
                  <w:tcW w:w="428" w:type="pct"/>
                  <w:noWrap w:val="0"/>
                  <w:tcMar>
                    <w:top w:w="0" w:type="dxa"/>
                    <w:left w:w="28" w:type="dxa"/>
                    <w:bottom w:w="0" w:type="dxa"/>
                    <w:right w:w="28" w:type="dxa"/>
                  </w:tcMar>
                  <w:vAlign w:val="center"/>
                </w:tcPr>
                <w:p w14:paraId="62F7BC34">
                  <w:pPr>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bl>
          <w:p w14:paraId="166DE38D">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cs="Times New Roman"/>
                <w:b/>
                <w:bCs/>
                <w:color w:val="auto"/>
                <w:sz w:val="24"/>
                <w:lang w:val="en-US" w:eastAsia="zh-CN"/>
              </w:rPr>
              <w:t>6</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与</w:t>
            </w:r>
            <w:r>
              <w:rPr>
                <w:rFonts w:hint="eastAsia" w:ascii="Times New Roman" w:hAnsi="Times New Roman" w:eastAsia="宋体" w:cs="Times New Roman"/>
                <w:b/>
                <w:bCs/>
                <w:color w:val="auto"/>
                <w:sz w:val="24"/>
                <w:lang w:val="en-US" w:eastAsia="zh-CN"/>
              </w:rPr>
              <w:t>《关于加强重点行业涉新污染物建设项目环境影响评价工作的意见》（环环评〔2025〕28号）</w:t>
            </w:r>
            <w:r>
              <w:rPr>
                <w:rFonts w:hint="default" w:ascii="Times New Roman" w:hAnsi="Times New Roman" w:eastAsia="宋体" w:cs="Times New Roman"/>
                <w:b/>
                <w:bCs/>
                <w:color w:val="auto"/>
                <w:sz w:val="24"/>
                <w:lang w:val="en-US" w:eastAsia="zh-CN"/>
              </w:rPr>
              <w:t>的对照分析</w:t>
            </w:r>
          </w:p>
          <w:p w14:paraId="0BBA0CAD">
            <w:pPr>
              <w:pStyle w:val="87"/>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12</w:t>
            </w:r>
            <w:r>
              <w:rPr>
                <w:rFonts w:hint="default" w:ascii="Times New Roman" w:hAnsi="Times New Roman" w:eastAsia="宋体" w:cs="Times New Roman"/>
                <w:b/>
                <w:bCs/>
                <w:color w:val="auto"/>
                <w:kern w:val="0"/>
                <w:sz w:val="21"/>
                <w:szCs w:val="21"/>
                <w:lang w:val="en-US" w:eastAsia="zh-CN" w:bidi="ar-SA"/>
              </w:rPr>
              <w:t>与</w:t>
            </w:r>
            <w:r>
              <w:rPr>
                <w:rFonts w:hint="eastAsia" w:ascii="Times New Roman" w:hAnsi="Times New Roman" w:eastAsia="宋体" w:cs="Times New Roman"/>
                <w:b/>
                <w:bCs/>
                <w:color w:val="auto"/>
                <w:kern w:val="0"/>
                <w:sz w:val="21"/>
                <w:szCs w:val="21"/>
                <w:lang w:val="en-US" w:eastAsia="zh-CN" w:bidi="ar-SA"/>
              </w:rPr>
              <w:t>环环评〔2025〕28号文</w:t>
            </w:r>
            <w:r>
              <w:rPr>
                <w:rFonts w:hint="default" w:ascii="Times New Roman" w:hAnsi="Times New Roman" w:eastAsia="宋体" w:cs="Times New Roman"/>
                <w:b/>
                <w:bCs/>
                <w:color w:val="auto"/>
                <w:kern w:val="0"/>
                <w:sz w:val="21"/>
                <w:szCs w:val="21"/>
                <w:lang w:val="en-US" w:eastAsia="zh-CN" w:bidi="ar-SA"/>
              </w:rPr>
              <w:t>相符性分析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4"/>
              <w:gridCol w:w="2244"/>
              <w:gridCol w:w="670"/>
            </w:tblGrid>
            <w:tr w14:paraId="500B3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8474143">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w:t>
                  </w:r>
                </w:p>
              </w:tc>
              <w:tc>
                <w:tcPr>
                  <w:tcW w:w="1435" w:type="pct"/>
                  <w:noWrap w:val="0"/>
                  <w:tcMar>
                    <w:top w:w="0" w:type="dxa"/>
                    <w:left w:w="28" w:type="dxa"/>
                    <w:bottom w:w="0" w:type="dxa"/>
                    <w:right w:w="28" w:type="dxa"/>
                  </w:tcMar>
                  <w:vAlign w:val="center"/>
                </w:tcPr>
                <w:p w14:paraId="7D186F6A">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3752FB7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38C080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1B31C0">
                  <w:pPr>
                    <w:pStyle w:val="8"/>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宋体" w:hAnsi="宋体" w:eastAsia="宋体" w:cs="宋体"/>
                      <w:i w:val="0"/>
                      <w:iCs w:val="0"/>
                      <w:caps w:val="0"/>
                      <w:color w:val="auto"/>
                      <w:spacing w:val="0"/>
                      <w:sz w:val="21"/>
                      <w:szCs w:val="21"/>
                      <w:shd w:val="clear" w:fill="FFFFFF"/>
                    </w:rPr>
                    <w:t>各级环评审批部门在受理和审批建设项目环评文件时，应落实重点管控新污染物清单、产业结构调整指导目录、《斯德哥尔摩公约》、生态环境分区管控方案和项目所在园区规划环评等有关管控要求。对照</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34"/>
                      <w:rFonts w:hint="eastAsia" w:ascii="宋体" w:hAnsi="宋体" w:eastAsia="宋体" w:cs="宋体"/>
                      <w:i w:val="0"/>
                      <w:iCs w:val="0"/>
                      <w:caps w:val="0"/>
                      <w:color w:val="auto"/>
                      <w:spacing w:val="0"/>
                      <w:sz w:val="21"/>
                      <w:szCs w:val="21"/>
                      <w:u w:val="none"/>
                      <w:shd w:val="clear" w:fill="FFFFFF"/>
                    </w:rPr>
                    <w:t>不予审批环评的项目类别</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eastAsia="宋体" w:cs="宋体"/>
                      <w:i w:val="0"/>
                      <w:iCs w:val="0"/>
                      <w:caps w:val="0"/>
                      <w:color w:val="auto"/>
                      <w:spacing w:val="0"/>
                      <w:sz w:val="21"/>
                      <w:szCs w:val="21"/>
                      <w:shd w:val="clear" w:fill="FFFFFF"/>
                    </w:rPr>
                    <w:t>，严格审核建设项目原辅材料和产品，对于以禁止生产、加工使用的新污染物作为原辅料或产品的建设项目，依法不予审批。</w:t>
                  </w:r>
                </w:p>
              </w:tc>
              <w:tc>
                <w:tcPr>
                  <w:tcW w:w="1435" w:type="pct"/>
                  <w:noWrap w:val="0"/>
                  <w:tcMar>
                    <w:top w:w="0" w:type="dxa"/>
                    <w:left w:w="28" w:type="dxa"/>
                    <w:bottom w:w="0" w:type="dxa"/>
                    <w:right w:w="28" w:type="dxa"/>
                  </w:tcMar>
                  <w:vAlign w:val="center"/>
                </w:tcPr>
                <w:p w14:paraId="7D6B626D">
                  <w:pPr>
                    <w:keepNext w:val="0"/>
                    <w:keepLines w:val="0"/>
                    <w:pageBreakBefore w:val="0"/>
                    <w:kinsoku/>
                    <w:wordWrap/>
                    <w:overflowPunct/>
                    <w:topLinePunct w:val="0"/>
                    <w:bidi w:val="0"/>
                    <w:spacing w:line="240" w:lineRule="exact"/>
                    <w:jc w:val="left"/>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rPr>
                    <w:t>本项目为</w:t>
                  </w:r>
                  <w:r>
                    <w:rPr>
                      <w:rFonts w:hint="eastAsia" w:cs="Times New Roman"/>
                      <w:color w:val="auto"/>
                      <w:sz w:val="21"/>
                      <w:szCs w:val="21"/>
                      <w:lang w:val="en-US" w:eastAsia="zh-CN"/>
                    </w:rPr>
                    <w:t>C3821变压器、整流器和电感器制造</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符合</w:t>
                  </w:r>
                  <w:r>
                    <w:rPr>
                      <w:rFonts w:hint="default" w:ascii="Times New Roman" w:hAnsi="Times New Roman" w:eastAsia="宋体" w:cs="Times New Roman"/>
                      <w:color w:val="auto"/>
                      <w:kern w:val="2"/>
                      <w:sz w:val="21"/>
                      <w:szCs w:val="21"/>
                      <w:lang w:val="en-US" w:eastAsia="zh-CN" w:bidi="ar-SA"/>
                    </w:rPr>
                    <w:t>《产业结构调整指导目录（2024年本）》</w:t>
                  </w:r>
                  <w:r>
                    <w:rPr>
                      <w:rFonts w:hint="eastAsia" w:ascii="宋体" w:hAnsi="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《斯德哥尔摩公约》、</w:t>
                  </w:r>
                  <w:r>
                    <w:rPr>
                      <w:rFonts w:hint="eastAsia" w:ascii="宋体" w:hAnsi="宋体" w:cs="宋体"/>
                      <w:i w:val="0"/>
                      <w:iCs w:val="0"/>
                      <w:caps w:val="0"/>
                      <w:color w:val="auto"/>
                      <w:spacing w:val="0"/>
                      <w:sz w:val="21"/>
                      <w:szCs w:val="21"/>
                      <w:shd w:val="clear" w:fill="FFFFFF"/>
                      <w:lang w:val="en-US" w:eastAsia="zh-CN"/>
                    </w:rPr>
                    <w:t>江苏省</w:t>
                  </w:r>
                  <w:r>
                    <w:rPr>
                      <w:rFonts w:hint="eastAsia" w:ascii="宋体" w:hAnsi="宋体" w:eastAsia="宋体" w:cs="宋体"/>
                      <w:i w:val="0"/>
                      <w:iCs w:val="0"/>
                      <w:caps w:val="0"/>
                      <w:color w:val="auto"/>
                      <w:spacing w:val="0"/>
                      <w:sz w:val="21"/>
                      <w:szCs w:val="21"/>
                      <w:shd w:val="clear" w:fill="FFFFFF"/>
                    </w:rPr>
                    <w:t>生态环境分区管控方案</w:t>
                  </w:r>
                  <w:r>
                    <w:rPr>
                      <w:rFonts w:hint="eastAsia" w:ascii="宋体" w:hAnsi="宋体" w:cs="宋体"/>
                      <w:i w:val="0"/>
                      <w:iCs w:val="0"/>
                      <w:caps w:val="0"/>
                      <w:color w:val="auto"/>
                      <w:spacing w:val="0"/>
                      <w:sz w:val="21"/>
                      <w:szCs w:val="21"/>
                      <w:shd w:val="clear" w:fill="FFFFFF"/>
                      <w:lang w:eastAsia="zh-CN"/>
                    </w:rPr>
                    <w:t>；</w:t>
                  </w:r>
                  <w:r>
                    <w:rPr>
                      <w:rFonts w:hint="eastAsia" w:ascii="宋体" w:hAnsi="宋体" w:cs="宋体"/>
                      <w:i w:val="0"/>
                      <w:iCs w:val="0"/>
                      <w:caps w:val="0"/>
                      <w:color w:val="auto"/>
                      <w:spacing w:val="0"/>
                      <w:sz w:val="21"/>
                      <w:szCs w:val="21"/>
                      <w:shd w:val="clear" w:fill="FFFFFF"/>
                      <w:lang w:val="en-US" w:eastAsia="zh-CN"/>
                    </w:rPr>
                    <w:t>项目不属于</w:t>
                  </w:r>
                  <w:r>
                    <w:rPr>
                      <w:rFonts w:hint="eastAsia" w:ascii="宋体" w:hAnsi="宋体" w:eastAsia="宋体" w:cs="宋体"/>
                      <w:i w:val="0"/>
                      <w:iCs w:val="0"/>
                      <w:caps w:val="0"/>
                      <w:color w:val="auto"/>
                      <w:spacing w:val="0"/>
                      <w:sz w:val="21"/>
                      <w:szCs w:val="21"/>
                      <w:u w:val="none"/>
                      <w:shd w:val="clear" w:fill="FFFFFF"/>
                    </w:rPr>
                    <w:fldChar w:fldCharType="begin"/>
                  </w:r>
                  <w:r>
                    <w:rPr>
                      <w:rFonts w:hint="eastAsia" w:ascii="宋体" w:hAnsi="宋体" w:eastAsia="宋体" w:cs="宋体"/>
                      <w:i w:val="0"/>
                      <w:iCs w:val="0"/>
                      <w:caps w:val="0"/>
                      <w:color w:val="auto"/>
                      <w:spacing w:val="0"/>
                      <w:sz w:val="21"/>
                      <w:szCs w:val="21"/>
                      <w:u w:val="none"/>
                      <w:shd w:val="clear" w:fill="FFFFFF"/>
                    </w:rPr>
                    <w:instrText xml:space="preserve"> HYPERLINK "https://www.gov.cn/zhengce/zhengceku/202504/P020250415726910785034.pdf" \o "不予审批环评的项目类别.pdf" </w:instrText>
                  </w:r>
                  <w:r>
                    <w:rPr>
                      <w:rFonts w:hint="eastAsia" w:ascii="宋体" w:hAnsi="宋体" w:eastAsia="宋体" w:cs="宋体"/>
                      <w:i w:val="0"/>
                      <w:iCs w:val="0"/>
                      <w:caps w:val="0"/>
                      <w:color w:val="auto"/>
                      <w:spacing w:val="0"/>
                      <w:sz w:val="21"/>
                      <w:szCs w:val="21"/>
                      <w:u w:val="none"/>
                      <w:shd w:val="clear" w:fill="FFFFFF"/>
                    </w:rPr>
                    <w:fldChar w:fldCharType="separate"/>
                  </w:r>
                  <w:r>
                    <w:rPr>
                      <w:rStyle w:val="34"/>
                      <w:rFonts w:hint="eastAsia" w:ascii="宋体" w:hAnsi="宋体" w:eastAsia="宋体" w:cs="宋体"/>
                      <w:i w:val="0"/>
                      <w:iCs w:val="0"/>
                      <w:caps w:val="0"/>
                      <w:color w:val="auto"/>
                      <w:spacing w:val="0"/>
                      <w:sz w:val="21"/>
                      <w:szCs w:val="21"/>
                      <w:u w:val="none"/>
                      <w:shd w:val="clear" w:fill="FFFFFF"/>
                    </w:rPr>
                    <w:t>不予审批环评的项目类别</w:t>
                  </w:r>
                  <w:r>
                    <w:rPr>
                      <w:rFonts w:hint="eastAsia" w:ascii="宋体" w:hAnsi="宋体" w:eastAsia="宋体" w:cs="宋体"/>
                      <w:i w:val="0"/>
                      <w:iCs w:val="0"/>
                      <w:caps w:val="0"/>
                      <w:color w:val="auto"/>
                      <w:spacing w:val="0"/>
                      <w:sz w:val="21"/>
                      <w:szCs w:val="21"/>
                      <w:u w:val="none"/>
                      <w:shd w:val="clear" w:fill="FFFFFF"/>
                    </w:rPr>
                    <w:fldChar w:fldCharType="end"/>
                  </w:r>
                  <w:r>
                    <w:rPr>
                      <w:rFonts w:hint="eastAsia" w:ascii="宋体" w:hAnsi="宋体" w:cs="宋体"/>
                      <w:i w:val="0"/>
                      <w:iCs w:val="0"/>
                      <w:caps w:val="0"/>
                      <w:color w:val="auto"/>
                      <w:spacing w:val="0"/>
                      <w:sz w:val="21"/>
                      <w:szCs w:val="21"/>
                      <w:u w:val="none"/>
                      <w:shd w:val="clear" w:fill="FFFFFF"/>
                      <w:lang w:eastAsia="zh-CN"/>
                    </w:rPr>
                    <w:t>，</w:t>
                  </w:r>
                  <w:r>
                    <w:rPr>
                      <w:rFonts w:hint="eastAsia" w:cs="Times New Roman"/>
                      <w:color w:val="auto"/>
                      <w:sz w:val="21"/>
                      <w:szCs w:val="21"/>
                      <w:lang w:val="en-US" w:eastAsia="zh-CN"/>
                    </w:rPr>
                    <w:t>不涉及</w:t>
                  </w:r>
                  <w:r>
                    <w:rPr>
                      <w:rFonts w:hint="eastAsia" w:ascii="宋体" w:hAnsi="宋体" w:eastAsia="宋体" w:cs="宋体"/>
                      <w:i w:val="0"/>
                      <w:iCs w:val="0"/>
                      <w:caps w:val="0"/>
                      <w:color w:val="auto"/>
                      <w:spacing w:val="0"/>
                      <w:sz w:val="21"/>
                      <w:szCs w:val="21"/>
                      <w:shd w:val="clear" w:fill="FFFFFF"/>
                    </w:rPr>
                    <w:t>重点管控新污染物</w:t>
                  </w:r>
                </w:p>
              </w:tc>
              <w:tc>
                <w:tcPr>
                  <w:tcW w:w="428" w:type="pct"/>
                  <w:noWrap w:val="0"/>
                  <w:tcMar>
                    <w:top w:w="0" w:type="dxa"/>
                    <w:left w:w="28" w:type="dxa"/>
                    <w:bottom w:w="0" w:type="dxa"/>
                    <w:right w:w="28" w:type="dxa"/>
                  </w:tcMar>
                  <w:vAlign w:val="center"/>
                </w:tcPr>
                <w:p w14:paraId="093C6926">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33C25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9D2875C">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宋体" w:hAnsi="宋体" w:eastAsia="宋体" w:cs="宋体"/>
                      <w:i w:val="0"/>
                      <w:iCs w:val="0"/>
                      <w:caps w:val="0"/>
                      <w:color w:val="auto"/>
                      <w:spacing w:val="0"/>
                      <w:sz w:val="21"/>
                      <w:szCs w:val="21"/>
                      <w:shd w:val="clear" w:fill="FFFFFF"/>
                    </w:rPr>
                    <w:t>生态环境部门依法核发排污许可证时，石化、涂料、纺织印染、橡胶、农药、医药等行业应按照排污许可证申请与核发技术规范，载明排放标准中规定的新污染物排放限值和自行监测要求；按照环评文件及批复，载明新污染物控制措施要求。生态环境部门应当按排污许可证规定，对新污染物管控要求落实情况开展执法监管。</w:t>
                  </w:r>
                </w:p>
              </w:tc>
              <w:tc>
                <w:tcPr>
                  <w:tcW w:w="1435" w:type="pct"/>
                  <w:noWrap w:val="0"/>
                  <w:tcMar>
                    <w:top w:w="0" w:type="dxa"/>
                    <w:left w:w="28" w:type="dxa"/>
                    <w:bottom w:w="0" w:type="dxa"/>
                    <w:right w:w="28" w:type="dxa"/>
                  </w:tcMar>
                  <w:vAlign w:val="center"/>
                </w:tcPr>
                <w:p w14:paraId="093A887D">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宋体" w:hAnsi="宋体" w:cs="宋体"/>
                      <w:i w:val="0"/>
                      <w:iCs w:val="0"/>
                      <w:caps w:val="0"/>
                      <w:color w:val="auto"/>
                      <w:spacing w:val="0"/>
                      <w:sz w:val="21"/>
                      <w:szCs w:val="21"/>
                      <w:shd w:val="clear" w:fill="FFFFFF"/>
                      <w:lang w:val="en-US" w:eastAsia="zh-CN"/>
                    </w:rPr>
                    <w:t>项目</w:t>
                  </w:r>
                  <w:r>
                    <w:rPr>
                      <w:rFonts w:hint="eastAsia" w:cs="Times New Roman"/>
                      <w:color w:val="auto"/>
                      <w:sz w:val="21"/>
                      <w:szCs w:val="21"/>
                      <w:lang w:val="en-US" w:eastAsia="zh-CN"/>
                    </w:rPr>
                    <w:t>不涉及</w:t>
                  </w:r>
                  <w:r>
                    <w:rPr>
                      <w:rFonts w:hint="eastAsia" w:ascii="宋体" w:hAnsi="宋体" w:eastAsia="宋体" w:cs="宋体"/>
                      <w:i w:val="0"/>
                      <w:iCs w:val="0"/>
                      <w:caps w:val="0"/>
                      <w:color w:val="auto"/>
                      <w:spacing w:val="0"/>
                      <w:sz w:val="21"/>
                      <w:szCs w:val="21"/>
                      <w:shd w:val="clear" w:fill="FFFFFF"/>
                    </w:rPr>
                    <w:t>重点管控新污染物</w:t>
                  </w:r>
                </w:p>
              </w:tc>
              <w:tc>
                <w:tcPr>
                  <w:tcW w:w="428" w:type="pct"/>
                  <w:noWrap w:val="0"/>
                  <w:tcMar>
                    <w:top w:w="0" w:type="dxa"/>
                    <w:left w:w="28" w:type="dxa"/>
                    <w:bottom w:w="0" w:type="dxa"/>
                    <w:right w:w="28" w:type="dxa"/>
                  </w:tcMar>
                  <w:vAlign w:val="center"/>
                </w:tcPr>
                <w:p w14:paraId="14136981">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bl>
          <w:p w14:paraId="6B8EBA4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val="0"/>
                <w:color w:val="auto"/>
                <w:sz w:val="24"/>
                <w:lang w:eastAsia="zh-CN"/>
              </w:rPr>
              <w:t>（</w:t>
            </w:r>
            <w:r>
              <w:rPr>
                <w:rFonts w:hint="eastAsia" w:cs="Times New Roman"/>
                <w:b/>
                <w:bCs w:val="0"/>
                <w:color w:val="auto"/>
                <w:sz w:val="24"/>
                <w:lang w:val="en-US" w:eastAsia="zh-CN"/>
              </w:rPr>
              <w:t>7</w:t>
            </w:r>
            <w:r>
              <w:rPr>
                <w:rFonts w:hint="eastAsia" w:cs="Times New Roman"/>
                <w:b/>
                <w:bCs w:val="0"/>
                <w:color w:val="auto"/>
                <w:sz w:val="24"/>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《市生态环境局关于建设项目的审批指导意见（试行）》（常州市生态环境局，2021年</w:t>
            </w:r>
            <w:r>
              <w:rPr>
                <w:rFonts w:hint="eastAsia" w:cs="Times New Roman"/>
                <w:b/>
                <w:bCs/>
                <w:color w:val="auto"/>
                <w:sz w:val="24"/>
                <w:lang w:val="en-US" w:eastAsia="zh-CN"/>
              </w:rPr>
              <w:t>11</w:t>
            </w:r>
            <w:r>
              <w:rPr>
                <w:rFonts w:hint="default" w:ascii="Times New Roman" w:hAnsi="Times New Roman" w:eastAsia="宋体" w:cs="Times New Roman"/>
                <w:b/>
                <w:bCs/>
                <w:color w:val="auto"/>
                <w:sz w:val="24"/>
              </w:rPr>
              <w:t>月</w:t>
            </w:r>
            <w:r>
              <w:rPr>
                <w:rFonts w:hint="eastAsia" w:cs="Times New Roman"/>
                <w:b/>
                <w:bCs/>
                <w:color w:val="auto"/>
                <w:sz w:val="24"/>
                <w:lang w:val="en-US" w:eastAsia="zh-CN"/>
              </w:rPr>
              <w:t>10</w:t>
            </w:r>
            <w:r>
              <w:rPr>
                <w:rFonts w:hint="default" w:ascii="Times New Roman" w:hAnsi="Times New Roman" w:eastAsia="宋体" w:cs="Times New Roman"/>
                <w:b/>
                <w:bCs/>
                <w:color w:val="auto"/>
                <w:sz w:val="24"/>
              </w:rPr>
              <w:t>日</w:t>
            </w:r>
            <w:r>
              <w:rPr>
                <w:rFonts w:hint="eastAsia" w:cs="Times New Roman"/>
                <w:b/>
                <w:bCs/>
                <w:color w:val="auto"/>
                <w:sz w:val="24"/>
                <w:lang w:eastAsia="zh-CN"/>
              </w:rPr>
              <w:t>调整</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的对照</w:t>
            </w:r>
            <w:r>
              <w:rPr>
                <w:rFonts w:hint="default" w:ascii="Times New Roman" w:hAnsi="Times New Roman" w:eastAsia="宋体" w:cs="Times New Roman"/>
                <w:b/>
                <w:bCs/>
                <w:color w:val="auto"/>
                <w:sz w:val="24"/>
              </w:rPr>
              <w:t>分析</w:t>
            </w:r>
          </w:p>
          <w:p w14:paraId="11FD0B96">
            <w:pPr>
              <w:pStyle w:val="87"/>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w:t>
            </w:r>
            <w:r>
              <w:rPr>
                <w:rFonts w:hint="eastAsia" w:cs="Times New Roman"/>
                <w:b/>
                <w:bCs/>
                <w:color w:val="auto"/>
                <w:kern w:val="0"/>
                <w:sz w:val="21"/>
                <w:szCs w:val="21"/>
                <w:lang w:val="en-US" w:eastAsia="zh-CN" w:bidi="ar-SA"/>
              </w:rPr>
              <w:t>13</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4"/>
              <w:gridCol w:w="2244"/>
              <w:gridCol w:w="670"/>
            </w:tblGrid>
            <w:tr w14:paraId="0F92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37347FE4">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0F384BB1">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5EBCE095">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59B4C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59FA95D6">
                  <w:pPr>
                    <w:pStyle w:val="8"/>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314B65CD">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w:t>
                  </w:r>
                  <w:r>
                    <w:rPr>
                      <w:rFonts w:hint="eastAsia" w:cs="Times New Roman"/>
                      <w:color w:val="auto"/>
                      <w:sz w:val="21"/>
                      <w:szCs w:val="21"/>
                      <w:lang w:val="en-US" w:eastAsia="zh-CN"/>
                    </w:rPr>
                    <w:t>常州市金坛区指前镇洮西集镇府前路58号</w:t>
                  </w:r>
                  <w:r>
                    <w:rPr>
                      <w:rFonts w:hint="eastAsia" w:ascii="Times New Roman" w:hAnsi="Times New Roman" w:eastAsia="宋体" w:cs="Times New Roman"/>
                      <w:color w:val="auto"/>
                      <w:sz w:val="21"/>
                      <w:szCs w:val="21"/>
                      <w:lang w:val="en-US" w:eastAsia="zh-CN"/>
                    </w:rPr>
                    <w:t>，本项目不在国控站点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3BED220E">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color w:val="auto"/>
                      <w:sz w:val="21"/>
                      <w:szCs w:val="21"/>
                      <w:lang w:val="en-US" w:eastAsia="zh-CN"/>
                    </w:rPr>
                    <w:t>C3821变压器、整流器和电感器制造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0DC228B3">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27877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07BFCF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6E90C448">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716FA4A">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080EB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62412188">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58E08B2D">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751C609E">
                  <w:pPr>
                    <w:pStyle w:val="8"/>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23092F43">
            <w:pPr>
              <w:keepNext w:val="0"/>
              <w:keepLines w:val="0"/>
              <w:pageBreakBefore w:val="0"/>
              <w:kinsoku/>
              <w:wordWrap/>
              <w:overflowPunct/>
              <w:topLinePunct w:val="0"/>
              <w:bidi w:val="0"/>
              <w:spacing w:line="240" w:lineRule="exact"/>
              <w:jc w:val="left"/>
              <w:textAlignment w:val="auto"/>
              <w:rPr>
                <w:rFonts w:hint="eastAsia" w:cs="Times New Roman"/>
                <w:b/>
                <w:bCs/>
                <w:color w:val="auto"/>
                <w:sz w:val="24"/>
                <w:lang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8.4</w:t>
            </w:r>
            <w:r>
              <w:rPr>
                <w:rFonts w:hint="default" w:ascii="Times New Roman" w:hAnsi="Times New Roman" w:eastAsia="宋体" w:cs="Times New Roman"/>
                <w:color w:val="auto"/>
                <w:sz w:val="21"/>
                <w:szCs w:val="21"/>
                <w:lang w:val="en-US" w:eastAsia="zh-CN"/>
              </w:rPr>
              <w:t>km，</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281DDFB3">
            <w:pPr>
              <w:autoSpaceDE w:val="0"/>
              <w:autoSpaceDN w:val="0"/>
              <w:snapToGrid w:val="0"/>
              <w:spacing w:line="500" w:lineRule="exact"/>
              <w:ind w:firstLine="482" w:firstLineChars="200"/>
              <w:jc w:val="left"/>
              <w:rPr>
                <w:rFonts w:hint="default" w:ascii="Times New Roman" w:hAnsi="Times New Roman" w:eastAsia="宋体" w:cs="Times New Roman"/>
                <w:b/>
                <w:bCs/>
                <w:color w:val="auto"/>
                <w:sz w:val="21"/>
                <w:szCs w:val="21"/>
                <w:lang w:val="zh-CN" w:eastAsia="zh-CN"/>
              </w:rPr>
            </w:pPr>
            <w:r>
              <w:rPr>
                <w:rFonts w:hint="eastAsia" w:cs="Times New Roman"/>
                <w:b/>
                <w:bCs/>
                <w:color w:val="auto"/>
                <w:sz w:val="24"/>
                <w:lang w:eastAsia="zh-CN"/>
              </w:rPr>
              <w:t>（</w:t>
            </w:r>
            <w:r>
              <w:rPr>
                <w:rFonts w:hint="eastAsia" w:cs="Times New Roman"/>
                <w:b/>
                <w:bCs/>
                <w:color w:val="auto"/>
                <w:sz w:val="24"/>
                <w:lang w:val="en-US" w:eastAsia="zh-CN"/>
              </w:rPr>
              <w:t>8</w:t>
            </w:r>
            <w:r>
              <w:rPr>
                <w:rFonts w:hint="eastAsia" w:cs="Times New Roman"/>
                <w:b/>
                <w:bCs/>
                <w:color w:val="auto"/>
                <w:sz w:val="24"/>
                <w:lang w:eastAsia="zh-CN"/>
              </w:rPr>
              <w:t>）</w:t>
            </w:r>
            <w:r>
              <w:rPr>
                <w:rFonts w:hint="default" w:ascii="Times New Roman" w:hAnsi="Times New Roman" w:eastAsia="宋体" w:cs="Times New Roman"/>
                <w:b/>
                <w:bCs/>
                <w:color w:val="auto"/>
                <w:sz w:val="24"/>
              </w:rPr>
              <w:t>与</w:t>
            </w:r>
            <w:r>
              <w:rPr>
                <w:rFonts w:hint="default" w:ascii="Times New Roman" w:hAnsi="Times New Roman" w:eastAsia="宋体" w:cs="Times New Roman"/>
                <w:b/>
                <w:color w:val="auto"/>
                <w:sz w:val="24"/>
                <w:lang w:val="zh-CN"/>
              </w:rPr>
              <w:t>《省生态环境厅关于进一步做好建设项目环评审批工作的通知》（苏环办</w:t>
            </w:r>
            <w:r>
              <w:rPr>
                <w:rFonts w:hint="eastAsia" w:cs="Times New Roman"/>
                <w:b/>
                <w:color w:val="auto"/>
                <w:sz w:val="24"/>
                <w:lang w:val="zh-CN"/>
              </w:rPr>
              <w:t>〔2019〕36号</w:t>
            </w:r>
            <w:r>
              <w:rPr>
                <w:rFonts w:hint="default" w:ascii="Times New Roman" w:hAnsi="Times New Roman" w:eastAsia="宋体" w:cs="Times New Roman"/>
                <w:b/>
                <w:color w:val="auto"/>
                <w:sz w:val="24"/>
                <w:lang w:val="zh-CN"/>
              </w:rPr>
              <w:t>）相符性分析</w:t>
            </w:r>
          </w:p>
          <w:p w14:paraId="57AEC7D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zh-CN" w:eastAsia="zh-CN"/>
              </w:rPr>
              <w:t>与苏环办</w:t>
            </w:r>
            <w:r>
              <w:rPr>
                <w:rFonts w:hint="eastAsia" w:cs="Times New Roman"/>
                <w:b/>
                <w:bCs/>
                <w:color w:val="auto"/>
                <w:sz w:val="21"/>
                <w:szCs w:val="21"/>
                <w:lang w:val="zh-CN" w:eastAsia="zh-CN"/>
              </w:rPr>
              <w:t>〔2019〕36号</w:t>
            </w:r>
            <w:r>
              <w:rPr>
                <w:rFonts w:hint="default" w:ascii="Times New Roman" w:hAnsi="Times New Roman" w:eastAsia="宋体" w:cs="Times New Roman"/>
                <w:b/>
                <w:bCs/>
                <w:color w:val="auto"/>
                <w:sz w:val="21"/>
                <w:szCs w:val="21"/>
                <w:lang w:val="zh-CN" w:eastAsia="zh-CN"/>
              </w:rPr>
              <w:t>文对照分析</w:t>
            </w:r>
          </w:p>
          <w:tbl>
            <w:tblPr>
              <w:tblStyle w:val="28"/>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02"/>
              <w:gridCol w:w="3620"/>
              <w:gridCol w:w="2504"/>
              <w:gridCol w:w="529"/>
            </w:tblGrid>
            <w:tr w14:paraId="08D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6E53D5E7">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2246" w:type="pct"/>
                  <w:vAlign w:val="center"/>
                </w:tcPr>
                <w:p w14:paraId="34D6874D">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文件要求（建设项目环评审批要点）</w:t>
                  </w:r>
                </w:p>
              </w:tc>
              <w:tc>
                <w:tcPr>
                  <w:tcW w:w="1554" w:type="pct"/>
                  <w:vAlign w:val="center"/>
                </w:tcPr>
                <w:p w14:paraId="256EA37B">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w:t>
                  </w:r>
                </w:p>
              </w:tc>
              <w:tc>
                <w:tcPr>
                  <w:tcW w:w="328" w:type="pct"/>
                  <w:vAlign w:val="center"/>
                </w:tcPr>
                <w:p w14:paraId="786B1E38">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lang w:val="en-US" w:eastAsia="zh-CN"/>
                    </w:rPr>
                    <w:t>相符性</w:t>
                  </w:r>
                </w:p>
              </w:tc>
            </w:tr>
            <w:tr w14:paraId="69621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0" w:type="pct"/>
                  <w:vAlign w:val="center"/>
                </w:tcPr>
                <w:p w14:paraId="3599C96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《建设项目环境保护管理条例》</w:t>
                  </w:r>
                </w:p>
              </w:tc>
              <w:tc>
                <w:tcPr>
                  <w:tcW w:w="2246" w:type="pct"/>
                  <w:vAlign w:val="center"/>
                </w:tcPr>
                <w:p w14:paraId="33B81693">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1554" w:type="pct"/>
                  <w:vAlign w:val="center"/>
                </w:tcPr>
                <w:p w14:paraId="2DA645CC">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44F59F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8221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0" w:type="pct"/>
                  <w:vAlign w:val="center"/>
                </w:tcPr>
                <w:p w14:paraId="7056DDA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《农用地土壤环境管理办法（试行）》</w:t>
                  </w:r>
                </w:p>
              </w:tc>
              <w:tc>
                <w:tcPr>
                  <w:tcW w:w="2246" w:type="pct"/>
                  <w:vAlign w:val="center"/>
                </w:tcPr>
                <w:p w14:paraId="35A72155">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4" w:type="pct"/>
                  <w:vAlign w:val="center"/>
                </w:tcPr>
                <w:p w14:paraId="506C9075">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本项目位于</w:t>
                  </w:r>
                  <w:r>
                    <w:rPr>
                      <w:rFonts w:hint="eastAsia" w:cs="Times New Roman"/>
                      <w:bCs/>
                      <w:color w:val="auto"/>
                      <w:szCs w:val="21"/>
                      <w:lang w:eastAsia="zh-CN"/>
                    </w:rPr>
                    <w:t>常州市金坛区指前镇洮西集镇府前路58号</w:t>
                  </w:r>
                  <w:r>
                    <w:rPr>
                      <w:rFonts w:hint="default" w:ascii="Times New Roman" w:hAnsi="Times New Roman" w:eastAsia="宋体" w:cs="Times New Roman"/>
                      <w:color w:val="auto"/>
                      <w:szCs w:val="21"/>
                    </w:rPr>
                    <w:t>，用地性质为工业用地。</w:t>
                  </w:r>
                </w:p>
              </w:tc>
              <w:tc>
                <w:tcPr>
                  <w:tcW w:w="328" w:type="pct"/>
                  <w:vAlign w:val="center"/>
                </w:tcPr>
                <w:p w14:paraId="0B08C3F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227E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0" w:type="pct"/>
                  <w:vAlign w:val="center"/>
                </w:tcPr>
                <w:p w14:paraId="45F58617">
                  <w:pPr>
                    <w:autoSpaceDE w:val="0"/>
                    <w:autoSpaceDN w:val="0"/>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《关于印发&lt;建设项目主要污染物排放总量指标审核及管理暂行办法&gt;的通知》</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环发〔2014〕197号</w:t>
                  </w:r>
                  <w:r>
                    <w:rPr>
                      <w:rFonts w:hint="eastAsia" w:ascii="Times New Roman" w:hAnsi="Times New Roman" w:eastAsia="宋体" w:cs="Times New Roman"/>
                      <w:color w:val="auto"/>
                      <w:szCs w:val="21"/>
                      <w:lang w:val="en-US" w:eastAsia="zh-CN"/>
                    </w:rPr>
                    <w:t>)</w:t>
                  </w:r>
                </w:p>
              </w:tc>
              <w:tc>
                <w:tcPr>
                  <w:tcW w:w="2246" w:type="pct"/>
                  <w:vAlign w:val="center"/>
                </w:tcPr>
                <w:p w14:paraId="687CD8E9">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4" w:type="pct"/>
                  <w:vAlign w:val="center"/>
                </w:tcPr>
                <w:p w14:paraId="189EAABB">
                  <w:pPr>
                    <w:autoSpaceDE w:val="0"/>
                    <w:autoSpaceDN w:val="0"/>
                    <w:adjustRightInd w:val="0"/>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本项目拟在环境影响评价文件审批前，取得主要污染物排放总量指标。</w:t>
                  </w:r>
                </w:p>
              </w:tc>
              <w:tc>
                <w:tcPr>
                  <w:tcW w:w="328" w:type="pct"/>
                  <w:vAlign w:val="center"/>
                </w:tcPr>
                <w:p w14:paraId="68DB9BC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7F26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0" w:type="pct"/>
                  <w:vAlign w:val="center"/>
                </w:tcPr>
                <w:p w14:paraId="48018982">
                  <w:pPr>
                    <w:autoSpaceDE w:val="0"/>
                    <w:autoSpaceDN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《关于以改善环境质量为核心加强环境影响评价管理的通知》（环环评〔2016〕150号）</w:t>
                  </w:r>
                </w:p>
              </w:tc>
              <w:tc>
                <w:tcPr>
                  <w:tcW w:w="2246" w:type="pct"/>
                  <w:vAlign w:val="center"/>
                </w:tcPr>
                <w:p w14:paraId="00A5AA6E">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4" w:type="pct"/>
                  <w:vAlign w:val="center"/>
                </w:tcPr>
                <w:p w14:paraId="47356ED5">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本项目建设内容符合所在区域定位，且不在生态保护红线范围内；</w:t>
                  </w:r>
                </w:p>
                <w:p w14:paraId="01D72DDB">
                  <w:pPr>
                    <w:autoSpaceDE w:val="0"/>
                    <w:autoSpaceDN w:val="0"/>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项目所在地为非达标区，</w:t>
                  </w:r>
                  <w:r>
                    <w:rPr>
                      <w:rFonts w:hint="default" w:ascii="Times New Roman" w:hAnsi="Times New Roman" w:eastAsia="宋体" w:cs="Times New Roman"/>
                      <w:color w:val="auto"/>
                      <w:szCs w:val="21"/>
                      <w:highlight w:val="none"/>
                    </w:rPr>
                    <w:t>本项目各废气因子排放量较小，</w:t>
                  </w:r>
                  <w:r>
                    <w:rPr>
                      <w:rFonts w:hint="default" w:ascii="Times New Roman" w:hAnsi="Times New Roman" w:eastAsia="宋体" w:cs="Times New Roman"/>
                      <w:color w:val="auto"/>
                      <w:szCs w:val="21"/>
                    </w:rPr>
                    <w:t>对周围保护目标影响均较小，均未超过各因子的环境质量标准。因此，项目排放的大气污染物对周围空气环境影响较小。</w:t>
                  </w:r>
                </w:p>
              </w:tc>
              <w:tc>
                <w:tcPr>
                  <w:tcW w:w="328" w:type="pct"/>
                  <w:vAlign w:val="center"/>
                </w:tcPr>
                <w:p w14:paraId="309C8B5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2DD27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0" w:type="pct"/>
                  <w:vAlign w:val="center"/>
                </w:tcPr>
                <w:p w14:paraId="426BA3C7">
                  <w:pPr>
                    <w:autoSpaceDE w:val="0"/>
                    <w:autoSpaceDN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《关于全面加强生态环境保护坚决打好污染防治攻坚战的实施意见》</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苏发</w:t>
                  </w:r>
                  <w:r>
                    <w:rPr>
                      <w:rFonts w:hint="eastAsia" w:cs="Times New Roman"/>
                      <w:color w:val="auto"/>
                      <w:szCs w:val="21"/>
                      <w:lang w:eastAsia="zh-CN"/>
                    </w:rPr>
                    <w:t>〔2018〕24号</w:t>
                  </w:r>
                  <w:r>
                    <w:rPr>
                      <w:rFonts w:hint="eastAsia" w:ascii="Times New Roman" w:hAnsi="Times New Roman" w:eastAsia="宋体" w:cs="Times New Roman"/>
                      <w:color w:val="auto"/>
                      <w:szCs w:val="21"/>
                      <w:lang w:val="en-US" w:eastAsia="zh-CN"/>
                    </w:rPr>
                    <w:t>)</w:t>
                  </w:r>
                </w:p>
              </w:tc>
              <w:tc>
                <w:tcPr>
                  <w:tcW w:w="2246" w:type="pct"/>
                  <w:vAlign w:val="center"/>
                </w:tcPr>
                <w:p w14:paraId="4FD6F547">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554" w:type="pct"/>
                  <w:vAlign w:val="center"/>
                </w:tcPr>
                <w:p w14:paraId="3FEBBBF9">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本项目不属于化工企业。</w:t>
                  </w:r>
                </w:p>
              </w:tc>
              <w:tc>
                <w:tcPr>
                  <w:tcW w:w="328" w:type="pct"/>
                  <w:vAlign w:val="center"/>
                </w:tcPr>
                <w:p w14:paraId="7715C084">
                  <w:pPr>
                    <w:autoSpaceDE w:val="0"/>
                    <w:autoSpaceDN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6A7397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0" w:type="pct"/>
                  <w:vAlign w:val="center"/>
                </w:tcPr>
                <w:p w14:paraId="124A78D8">
                  <w:pPr>
                    <w:autoSpaceDE w:val="0"/>
                    <w:autoSpaceDN w:val="0"/>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《省政府关于印发江苏省国家级生态保护红线规划的通知》</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苏政发〔2018〕74号</w:t>
                  </w:r>
                  <w:r>
                    <w:rPr>
                      <w:rFonts w:hint="eastAsia" w:ascii="Times New Roman" w:hAnsi="Times New Roman" w:eastAsia="宋体" w:cs="Times New Roman"/>
                      <w:color w:val="auto"/>
                      <w:szCs w:val="21"/>
                      <w:lang w:val="en-US" w:eastAsia="zh-CN"/>
                    </w:rPr>
                    <w:t>)</w:t>
                  </w:r>
                </w:p>
              </w:tc>
              <w:tc>
                <w:tcPr>
                  <w:tcW w:w="2246" w:type="pct"/>
                  <w:vAlign w:val="center"/>
                </w:tcPr>
                <w:p w14:paraId="67CE2CDC">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生态保护红线原则上按禁止开发区域的要求进行管理，严禁不符合主体功能定位的各类开发活动，严禁任意改变用途。</w:t>
                  </w:r>
                </w:p>
              </w:tc>
              <w:tc>
                <w:tcPr>
                  <w:tcW w:w="1554" w:type="pct"/>
                  <w:vAlign w:val="center"/>
                </w:tcPr>
                <w:p w14:paraId="19A6CFFD">
                  <w:pPr>
                    <w:autoSpaceDE w:val="0"/>
                    <w:autoSpaceDN w:val="0"/>
                    <w:adjustRightInd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本项目不在生态保护红线内。</w:t>
                  </w:r>
                </w:p>
              </w:tc>
              <w:tc>
                <w:tcPr>
                  <w:tcW w:w="328" w:type="pct"/>
                  <w:vAlign w:val="center"/>
                </w:tcPr>
                <w:p w14:paraId="785D60F6">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4EA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0" w:type="pct"/>
                  <w:vAlign w:val="center"/>
                </w:tcPr>
                <w:p w14:paraId="535E5E04">
                  <w:pPr>
                    <w:autoSpaceDE w:val="0"/>
                    <w:autoSpaceDN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推动长江经济带发展领导小组办公室关于印发《长江经济带发展负面清单指南（试行，2022年版）》的通知（长江办〔2022〕7号）</w:t>
                  </w:r>
                </w:p>
              </w:tc>
              <w:tc>
                <w:tcPr>
                  <w:tcW w:w="2246" w:type="pct"/>
                  <w:vAlign w:val="center"/>
                </w:tcPr>
                <w:p w14:paraId="056BE82A">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rFonts w:hint="eastAsia"/>
                      <w:color w:val="auto"/>
                      <w:lang w:val="en-US" w:eastAsia="zh-CN"/>
                    </w:rPr>
                    <w:t>干支流</w:t>
                  </w:r>
                  <w:r>
                    <w:rPr>
                      <w:rFonts w:hint="default" w:ascii="Times New Roman" w:hAnsi="Times New Roman" w:eastAsia="宋体" w:cs="Times New Roman"/>
                      <w:color w:val="auto"/>
                      <w:szCs w:val="21"/>
                    </w:rPr>
                    <w:t>及湖泊新设、改设或扩大排污口。7．禁止在“一江一口两湖七河”和332个水生生物保护区开展生产性捕捞。8.禁止在长江</w:t>
                  </w:r>
                  <w:r>
                    <w:rPr>
                      <w:rFonts w:hint="eastAsia"/>
                      <w:color w:val="auto"/>
                      <w:lang w:val="en-US" w:eastAsia="zh-CN"/>
                    </w:rPr>
                    <w:t>干</w:t>
                  </w:r>
                  <w:r>
                    <w:rPr>
                      <w:rFonts w:hint="default" w:ascii="Times New Roman" w:hAnsi="Times New Roman" w:eastAsia="宋体" w:cs="Times New Roman"/>
                      <w:color w:val="auto"/>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554" w:type="pct"/>
                  <w:vAlign w:val="center"/>
                </w:tcPr>
                <w:p w14:paraId="0869B54A">
                  <w:pPr>
                    <w:autoSpaceDE w:val="0"/>
                    <w:autoSpaceDN w:val="0"/>
                    <w:snapToGri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本项目不属于禁止建设项目。</w:t>
                  </w:r>
                </w:p>
              </w:tc>
              <w:tc>
                <w:tcPr>
                  <w:tcW w:w="328" w:type="pct"/>
                  <w:vAlign w:val="center"/>
                </w:tcPr>
                <w:p w14:paraId="793881A7">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365EB3CE">
            <w:pPr>
              <w:autoSpaceDE w:val="0"/>
              <w:autoSpaceDN w:val="0"/>
              <w:adjustRightInd w:val="0"/>
              <w:snapToGrid w:val="0"/>
              <w:rPr>
                <w:rFonts w:hint="default" w:ascii="Times New Roman" w:hAnsi="Times New Roman" w:eastAsia="宋体" w:cs="Times New Roman"/>
                <w:color w:val="auto"/>
                <w:kern w:val="0"/>
                <w:szCs w:val="21"/>
              </w:rPr>
            </w:pPr>
          </w:p>
        </w:tc>
      </w:tr>
    </w:tbl>
    <w:p w14:paraId="637EE77A">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default" w:ascii="Times New Roman" w:hAnsi="Times New Roman" w:eastAsia="黑体" w:cs="Times New Roman"/>
          <w:color w:val="auto"/>
          <w:sz w:val="10"/>
          <w:szCs w:val="10"/>
        </w:rPr>
        <w:sectPr>
          <w:foot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4F41293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2" w:name="_Toc19526"/>
      <w:r>
        <w:rPr>
          <w:rFonts w:hint="default" w:ascii="Times New Roman" w:hAnsi="Times New Roman" w:eastAsia="黑体" w:cs="Times New Roman"/>
          <w:snapToGrid w:val="0"/>
          <w:color w:val="auto"/>
          <w:sz w:val="30"/>
          <w:szCs w:val="30"/>
        </w:rPr>
        <w:t>二、建设项目工程分析</w:t>
      </w:r>
      <w:bookmarkEnd w:id="2"/>
    </w:p>
    <w:tbl>
      <w:tblPr>
        <w:tblStyle w:val="2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833"/>
      </w:tblGrid>
      <w:tr w14:paraId="6CC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0" w:hRule="atLeast"/>
        </w:trPr>
        <w:tc>
          <w:tcPr>
            <w:tcW w:w="777" w:type="dxa"/>
            <w:vAlign w:val="center"/>
          </w:tcPr>
          <w:p w14:paraId="36BF7930">
            <w:pPr>
              <w:pStyle w:val="2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8283" w:type="dxa"/>
          </w:tcPr>
          <w:p w14:paraId="02B3D975">
            <w:pPr>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1、项目由来</w:t>
            </w:r>
          </w:p>
          <w:p w14:paraId="2290BD54">
            <w:pPr>
              <w:widowControl/>
              <w:spacing w:line="500" w:lineRule="exact"/>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val="en-US" w:eastAsia="zh-CN"/>
              </w:rPr>
              <w:t>常州市恒盈跃电子科技有限公司注册地址位于江苏省常州市金坛区指前镇洮西集镇府前路</w:t>
            </w:r>
            <w:r>
              <w:rPr>
                <w:rFonts w:hint="default" w:cs="Times New Roman"/>
                <w:color w:val="auto"/>
                <w:sz w:val="24"/>
                <w:szCs w:val="24"/>
                <w:highlight w:val="none"/>
                <w:lang w:val="en-US" w:eastAsia="zh-CN"/>
              </w:rPr>
              <w:t>58</w:t>
            </w:r>
            <w:r>
              <w:rPr>
                <w:rFonts w:hint="eastAsia" w:cs="Times New Roman"/>
                <w:color w:val="auto"/>
                <w:sz w:val="24"/>
                <w:szCs w:val="24"/>
                <w:highlight w:val="none"/>
                <w:lang w:val="en-US" w:eastAsia="zh-CN"/>
              </w:rPr>
              <w:t>号，成立于</w:t>
            </w:r>
            <w:r>
              <w:rPr>
                <w:rFonts w:hint="default" w:cs="Times New Roman"/>
                <w:color w:val="auto"/>
                <w:sz w:val="24"/>
                <w:szCs w:val="24"/>
                <w:highlight w:val="none"/>
                <w:lang w:val="en-US" w:eastAsia="zh-CN"/>
              </w:rPr>
              <w:t>2025</w:t>
            </w:r>
            <w:r>
              <w:rPr>
                <w:rFonts w:hint="eastAsia" w:cs="Times New Roman"/>
                <w:color w:val="auto"/>
                <w:sz w:val="24"/>
                <w:szCs w:val="24"/>
                <w:highlight w:val="none"/>
                <w:lang w:val="en-US" w:eastAsia="zh-CN"/>
              </w:rPr>
              <w:t>年</w:t>
            </w:r>
            <w:r>
              <w:rPr>
                <w:rFonts w:hint="default" w:cs="Times New Roman"/>
                <w:color w:val="auto"/>
                <w:sz w:val="24"/>
                <w:szCs w:val="24"/>
                <w:highlight w:val="none"/>
                <w:lang w:val="en-US" w:eastAsia="zh-CN"/>
              </w:rPr>
              <w:t>3</w:t>
            </w:r>
            <w:r>
              <w:rPr>
                <w:rFonts w:hint="eastAsia" w:cs="Times New Roman"/>
                <w:color w:val="auto"/>
                <w:sz w:val="24"/>
                <w:szCs w:val="24"/>
                <w:highlight w:val="none"/>
                <w:lang w:val="en-US" w:eastAsia="zh-CN"/>
              </w:rPr>
              <w:t>月</w:t>
            </w:r>
            <w:r>
              <w:rPr>
                <w:rFonts w:hint="default" w:cs="Times New Roman"/>
                <w:color w:val="auto"/>
                <w:sz w:val="24"/>
                <w:szCs w:val="24"/>
                <w:highlight w:val="none"/>
                <w:lang w:val="en-US" w:eastAsia="zh-CN"/>
              </w:rPr>
              <w:t>6</w:t>
            </w:r>
            <w:r>
              <w:rPr>
                <w:rFonts w:hint="eastAsia" w:cs="Times New Roman"/>
                <w:color w:val="auto"/>
                <w:sz w:val="24"/>
                <w:szCs w:val="24"/>
                <w:highlight w:val="none"/>
                <w:lang w:val="en-US" w:eastAsia="zh-CN"/>
              </w:rPr>
              <w:t>日，经营范围包括一般项目：技术服务、技术开发、技术咨询、技术交流、技术转让、技术推广；电子元器件制造；金属切割及焊接设备制造；金属切割及焊接设备销售；电子元器件零售；电力电子元器件制造；电力电子元器件销售（除依法须经批准的项目外，凭营业执照依法自主开展经营活动）</w:t>
            </w:r>
            <w:r>
              <w:rPr>
                <w:rFonts w:hint="default" w:ascii="Times New Roman" w:hAnsi="Times New Roman" w:eastAsia="宋体" w:cs="Times New Roman"/>
                <w:color w:val="auto"/>
                <w:sz w:val="24"/>
                <w:lang w:eastAsia="zh-CN"/>
              </w:rPr>
              <w:t>。</w:t>
            </w:r>
          </w:p>
          <w:p w14:paraId="1B163BE2">
            <w:pPr>
              <w:widowControl/>
              <w:spacing w:line="500" w:lineRule="exact"/>
              <w:ind w:firstLine="480" w:firstLineChars="200"/>
              <w:rPr>
                <w:rFonts w:hint="eastAsia" w:cs="Times New Roman"/>
                <w:color w:val="auto"/>
                <w:sz w:val="24"/>
                <w:szCs w:val="24"/>
                <w:highlight w:val="none"/>
                <w:lang w:eastAsia="zh-CN"/>
              </w:rPr>
            </w:pPr>
            <w:r>
              <w:rPr>
                <w:rFonts w:hint="eastAsia" w:cs="Times New Roman"/>
                <w:color w:val="auto"/>
                <w:sz w:val="24"/>
                <w:szCs w:val="24"/>
                <w:highlight w:val="none"/>
                <w:lang w:val="en-US" w:eastAsia="zh-CN"/>
              </w:rPr>
              <w:t>为顺应市场发展需求，企业拟投资</w:t>
            </w:r>
            <w:r>
              <w:rPr>
                <w:rFonts w:hint="default" w:cs="Times New Roman"/>
                <w:color w:val="auto"/>
                <w:sz w:val="24"/>
                <w:szCs w:val="24"/>
                <w:highlight w:val="none"/>
                <w:lang w:val="en-US" w:eastAsia="zh-CN"/>
              </w:rPr>
              <w:t>3</w:t>
            </w:r>
            <w:r>
              <w:rPr>
                <w:rFonts w:hint="eastAsia" w:cs="Times New Roman"/>
                <w:color w:val="auto"/>
                <w:sz w:val="24"/>
                <w:szCs w:val="24"/>
                <w:highlight w:val="none"/>
                <w:lang w:val="en-US" w:eastAsia="zh-CN"/>
              </w:rPr>
              <w:t>000万元，租赁常州市金坛区龙华服饰有限公司</w:t>
            </w:r>
            <w:r>
              <w:rPr>
                <w:rFonts w:hint="default" w:cs="Times New Roman"/>
                <w:color w:val="auto"/>
                <w:sz w:val="24"/>
                <w:szCs w:val="24"/>
                <w:highlight w:val="none"/>
                <w:lang w:val="en-US" w:eastAsia="zh-CN"/>
              </w:rPr>
              <w:t>1000</w:t>
            </w:r>
            <w:r>
              <w:rPr>
                <w:rFonts w:hint="eastAsia" w:cs="Times New Roman"/>
                <w:color w:val="auto"/>
                <w:sz w:val="24"/>
                <w:szCs w:val="24"/>
                <w:highlight w:val="none"/>
                <w:lang w:val="en-US" w:eastAsia="zh-CN"/>
              </w:rPr>
              <w:t>平方米，购置漆包线包膜机、</w:t>
            </w:r>
            <w:r>
              <w:rPr>
                <w:rFonts w:hint="eastAsia" w:ascii="宋体" w:hAnsi="宋体" w:eastAsia="宋体" w:cs="宋体"/>
                <w:i w:val="0"/>
                <w:iCs w:val="0"/>
                <w:color w:val="auto"/>
                <w:kern w:val="0"/>
                <w:sz w:val="24"/>
                <w:szCs w:val="24"/>
                <w:u w:val="none"/>
                <w:lang w:val="en-US" w:eastAsia="zh-CN" w:bidi="ar"/>
              </w:rPr>
              <w:t>锡炉</w:t>
            </w:r>
            <w:r>
              <w:rPr>
                <w:rFonts w:hint="eastAsia" w:cs="Times New Roman"/>
                <w:color w:val="auto"/>
                <w:sz w:val="24"/>
                <w:szCs w:val="24"/>
                <w:highlight w:val="none"/>
                <w:lang w:val="en-US" w:eastAsia="zh-CN"/>
              </w:rPr>
              <w:t>等设备，项目建成后可形成年产焊机配件变压器</w:t>
            </w:r>
            <w:r>
              <w:rPr>
                <w:rFonts w:hint="default" w:cs="Times New Roman"/>
                <w:color w:val="auto"/>
                <w:sz w:val="24"/>
                <w:szCs w:val="24"/>
                <w:highlight w:val="none"/>
                <w:lang w:val="en-US" w:eastAsia="zh-CN"/>
              </w:rPr>
              <w:t>50</w:t>
            </w:r>
            <w:r>
              <w:rPr>
                <w:rFonts w:hint="eastAsia" w:cs="Times New Roman"/>
                <w:color w:val="auto"/>
                <w:sz w:val="24"/>
                <w:szCs w:val="24"/>
                <w:highlight w:val="none"/>
                <w:lang w:val="en-US" w:eastAsia="zh-CN"/>
              </w:rPr>
              <w:t>万只的</w:t>
            </w:r>
            <w:r>
              <w:rPr>
                <w:rFonts w:hint="default" w:ascii="Times New Roman" w:hAnsi="Times New Roman" w:eastAsia="宋体" w:cs="Times New Roman"/>
                <w:color w:val="auto"/>
                <w:sz w:val="24"/>
                <w:szCs w:val="24"/>
                <w:highlight w:val="none"/>
                <w:lang w:val="en-US" w:eastAsia="zh-CN"/>
              </w:rPr>
              <w:t>生产规模</w:t>
            </w:r>
            <w:r>
              <w:rPr>
                <w:rFonts w:hint="default" w:ascii="Times New Roman" w:hAnsi="Times New Roman" w:eastAsia="宋体" w:cs="Times New Roman"/>
                <w:color w:val="auto"/>
                <w:sz w:val="24"/>
                <w:lang w:eastAsia="zh-CN"/>
              </w:rPr>
              <w:t>。</w:t>
            </w:r>
          </w:p>
          <w:p w14:paraId="199E6566">
            <w:pPr>
              <w:widowControl/>
              <w:spacing w:line="50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eastAsia="zh-CN"/>
              </w:rPr>
              <w:t>项目已于202</w:t>
            </w:r>
            <w:r>
              <w:rPr>
                <w:rFonts w:hint="eastAsia" w:cs="Times New Roman"/>
                <w:color w:val="auto"/>
                <w:sz w:val="24"/>
                <w:lang w:val="en-US" w:eastAsia="zh-CN"/>
              </w:rPr>
              <w:t>5</w:t>
            </w:r>
            <w:r>
              <w:rPr>
                <w:rFonts w:hint="default" w:ascii="Times New Roman" w:hAnsi="Times New Roman" w:eastAsia="宋体" w:cs="Times New Roman"/>
                <w:color w:val="auto"/>
                <w:sz w:val="24"/>
                <w:lang w:eastAsia="zh-CN"/>
              </w:rPr>
              <w:t>年</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月</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lang w:eastAsia="zh-CN"/>
              </w:rPr>
              <w:t>取得常州市金坛区发展和改革局的项目备案证明，备案证号：</w:t>
            </w:r>
            <w:r>
              <w:rPr>
                <w:rFonts w:hint="eastAsia" w:cs="Times New Roman"/>
                <w:color w:val="auto"/>
                <w:sz w:val="24"/>
                <w:lang w:eastAsia="zh-CN"/>
              </w:rPr>
              <w:t>坛发改备〔2025〕171 号</w:t>
            </w:r>
            <w:r>
              <w:rPr>
                <w:rFonts w:hint="default" w:ascii="Times New Roman" w:hAnsi="Times New Roman" w:eastAsia="宋体" w:cs="Times New Roman"/>
                <w:color w:val="auto"/>
                <w:sz w:val="24"/>
                <w:lang w:eastAsia="zh-CN"/>
              </w:rPr>
              <w:t>。</w:t>
            </w:r>
          </w:p>
          <w:p w14:paraId="20E37B8F">
            <w:pPr>
              <w:widowControl/>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根据《中华人民共和国环境保护法》（2014年修订）、《中华人民共和国环境影响评价法》（2018年修订）和《建设项目环境影响评价分类管理名录》（2021年）的有关规定，本项目应进行环境影响评价。根据《建设项目环境影响评价分类管理名录》（2021年），本项目属于</w:t>
            </w:r>
            <w:r>
              <w:rPr>
                <w:rFonts w:hint="default" w:ascii="Times New Roman" w:hAnsi="Times New Roman" w:cs="Times New Roman"/>
                <w:color w:val="auto"/>
                <w:sz w:val="24"/>
                <w:lang w:val="en-US" w:eastAsia="zh-CN"/>
              </w:rPr>
              <w:t>“</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十</w:t>
            </w:r>
            <w:r>
              <w:rPr>
                <w:rFonts w:hint="eastAsia" w:cs="Times New Roman"/>
                <w:color w:val="auto"/>
                <w:sz w:val="24"/>
                <w:szCs w:val="24"/>
                <w:lang w:val="en-US" w:eastAsia="zh-CN"/>
              </w:rPr>
              <w:t>五</w:t>
            </w:r>
            <w:r>
              <w:rPr>
                <w:rFonts w:hint="default" w:ascii="Times New Roman" w:hAnsi="Times New Roman" w:cs="Times New Roman"/>
                <w:color w:val="auto"/>
                <w:sz w:val="24"/>
                <w:lang w:val="en-US" w:eastAsia="zh-CN"/>
              </w:rPr>
              <w:t>、</w:t>
            </w:r>
            <w:r>
              <w:rPr>
                <w:rFonts w:hint="eastAsia" w:cs="Times New Roman"/>
                <w:color w:val="auto"/>
                <w:sz w:val="24"/>
                <w:lang w:val="en-US" w:eastAsia="zh-CN"/>
              </w:rPr>
              <w:t>电气机械和器材制造业</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77输配电及控制设备制造382</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其他（仅分割、焊接、组装的除外；年用非溶剂型低VOCs含量涂料10吨以下的除外）</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eastAsia="zh-CN"/>
              </w:rPr>
              <w:t>类别</w:t>
            </w:r>
            <w:r>
              <w:rPr>
                <w:rFonts w:hint="default" w:ascii="Times New Roman" w:hAnsi="Times New Roman" w:eastAsia="宋体" w:cs="Times New Roman"/>
                <w:color w:val="auto"/>
                <w:sz w:val="24"/>
                <w:lang w:eastAsia="zh-CN"/>
              </w:rPr>
              <w:t>，应编制环境影响评价报告表。</w:t>
            </w:r>
            <w:r>
              <w:rPr>
                <w:rFonts w:hint="eastAsia" w:cs="Times New Roman"/>
                <w:color w:val="auto"/>
                <w:sz w:val="24"/>
                <w:lang w:eastAsia="zh-CN"/>
              </w:rPr>
              <w:t>常州市恒盈跃电子科技有限公司</w:t>
            </w:r>
            <w:r>
              <w:rPr>
                <w:rFonts w:hint="default" w:ascii="Times New Roman" w:hAnsi="Times New Roman" w:eastAsia="宋体" w:cs="Times New Roman"/>
                <w:color w:val="auto"/>
                <w:sz w:val="24"/>
                <w:lang w:eastAsia="zh-CN"/>
              </w:rPr>
              <w:t>委托专业环评单位承担该项目</w:t>
            </w:r>
            <w:r>
              <w:rPr>
                <w:rFonts w:hint="default" w:ascii="Times New Roman" w:hAnsi="Times New Roman" w:cs="Times New Roman"/>
                <w:color w:val="auto"/>
                <w:sz w:val="24"/>
              </w:rPr>
              <w:t>的环境影响评价工作。环评单位在现场踏勘、调查的基础上，通过对有关资料的收集、整理和分析计算，编制完成了该项目的环境影响报告表，报请审批。</w:t>
            </w:r>
          </w:p>
          <w:p w14:paraId="4065D2BB">
            <w:pPr>
              <w:autoSpaceDE w:val="0"/>
              <w:autoSpaceDN w:val="0"/>
              <w:adjustRightInd w:val="0"/>
              <w:snapToGrid w:val="0"/>
              <w:spacing w:line="500" w:lineRule="exact"/>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rPr>
              <w:t>、产品方案</w:t>
            </w:r>
          </w:p>
          <w:p w14:paraId="6679ADB5">
            <w:pPr>
              <w:autoSpaceDE w:val="0"/>
              <w:autoSpaceDN w:val="0"/>
              <w:adjustRightInd w:val="0"/>
              <w:snapToGrid w:val="0"/>
              <w:spacing w:line="500" w:lineRule="exact"/>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本项目建成后，产品方案见</w:t>
            </w:r>
            <w:r>
              <w:rPr>
                <w:rFonts w:hint="default" w:ascii="Times New Roman" w:hAnsi="Times New Roman" w:cs="Times New Roman"/>
                <w:color w:val="auto"/>
                <w:kern w:val="0"/>
                <w:sz w:val="24"/>
                <w:lang w:val="en-US" w:eastAsia="zh-CN"/>
              </w:rPr>
              <w:t>下</w:t>
            </w:r>
            <w:r>
              <w:rPr>
                <w:rFonts w:hint="default" w:ascii="Times New Roman" w:hAnsi="Times New Roman" w:cs="Times New Roman"/>
                <w:color w:val="auto"/>
                <w:kern w:val="0"/>
                <w:sz w:val="24"/>
              </w:rPr>
              <w:t>表。</w:t>
            </w:r>
          </w:p>
          <w:p w14:paraId="4D099E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2D9AFD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2DD28F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61805D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p>
          <w:p w14:paraId="6B1796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本项目产品方案一览表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7"/>
              <w:gridCol w:w="1985"/>
              <w:gridCol w:w="2557"/>
              <w:gridCol w:w="1924"/>
              <w:gridCol w:w="1471"/>
            </w:tblGrid>
            <w:tr w14:paraId="77811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3" w:type="pct"/>
                  <w:noWrap w:val="0"/>
                  <w:vAlign w:val="center"/>
                </w:tcPr>
                <w:p w14:paraId="5F547963">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151" w:type="pct"/>
                  <w:noWrap w:val="0"/>
                  <w:vAlign w:val="center"/>
                </w:tcPr>
                <w:p w14:paraId="6FA1F5AE">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产品名称</w:t>
                  </w:r>
                </w:p>
              </w:tc>
              <w:tc>
                <w:tcPr>
                  <w:tcW w:w="1483" w:type="pct"/>
                  <w:noWrap w:val="0"/>
                  <w:vAlign w:val="center"/>
                </w:tcPr>
                <w:p w14:paraId="401ADA22">
                  <w:pPr>
                    <w:spacing w:line="240" w:lineRule="atLeast"/>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产品照片</w:t>
                  </w:r>
                </w:p>
              </w:tc>
              <w:tc>
                <w:tcPr>
                  <w:tcW w:w="1116" w:type="pct"/>
                  <w:noWrap w:val="0"/>
                  <w:vAlign w:val="center"/>
                </w:tcPr>
                <w:p w14:paraId="3D64D5D8">
                  <w:pPr>
                    <w:spacing w:line="240" w:lineRule="atLeast"/>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设计能力</w:t>
                  </w:r>
                </w:p>
              </w:tc>
              <w:tc>
                <w:tcPr>
                  <w:tcW w:w="853" w:type="pct"/>
                  <w:noWrap w:val="0"/>
                  <w:vAlign w:val="center"/>
                </w:tcPr>
                <w:p w14:paraId="5753C554">
                  <w:pPr>
                    <w:spacing w:line="240" w:lineRule="atLeast"/>
                    <w:jc w:val="center"/>
                    <w:rPr>
                      <w:rFonts w:hint="default" w:ascii="Times New Roman" w:hAnsi="Times New Roman" w:cs="Times New Roman"/>
                      <w:b/>
                      <w:bCs/>
                      <w:color w:val="auto"/>
                      <w:sz w:val="21"/>
                      <w:szCs w:val="21"/>
                    </w:rPr>
                  </w:pPr>
                  <w:r>
                    <w:rPr>
                      <w:b/>
                      <w:bCs/>
                      <w:color w:val="auto"/>
                      <w:szCs w:val="21"/>
                    </w:rPr>
                    <w:t>年运行时数</w:t>
                  </w:r>
                </w:p>
              </w:tc>
            </w:tr>
            <w:tr w14:paraId="560F4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93" w:type="pct"/>
                  <w:noWrap w:val="0"/>
                  <w:vAlign w:val="center"/>
                </w:tcPr>
                <w:p w14:paraId="236B66D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51" w:type="pct"/>
                  <w:noWrap w:val="0"/>
                  <w:vAlign w:val="center"/>
                </w:tcPr>
                <w:p w14:paraId="481DE2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olor w:val="auto"/>
                      <w:kern w:val="2"/>
                      <w:sz w:val="21"/>
                      <w:szCs w:val="21"/>
                      <w:lang w:val="en-US" w:eastAsia="zh-CN"/>
                    </w:rPr>
                    <w:t>焊机配件变压器</w:t>
                  </w:r>
                </w:p>
              </w:tc>
              <w:tc>
                <w:tcPr>
                  <w:tcW w:w="1483" w:type="pct"/>
                  <w:noWrap w:val="0"/>
                  <w:vAlign w:val="center"/>
                </w:tcPr>
                <w:p w14:paraId="7DEAC9CD">
                  <w:pPr>
                    <w:keepNext w:val="0"/>
                    <w:keepLines w:val="0"/>
                    <w:widowControl/>
                    <w:suppressLineNumbers w:val="0"/>
                    <w:jc w:val="center"/>
                    <w:textAlignment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drawing>
                      <wp:inline distT="0" distB="0" distL="114300" distR="114300">
                        <wp:extent cx="1574800" cy="1181100"/>
                        <wp:effectExtent l="0" t="0" r="10160" b="7620"/>
                        <wp:docPr id="5" name="图片 5" descr="c14ee7b2c4ac9e8ec6cc9b9358dc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14ee7b2c4ac9e8ec6cc9b9358dc3f6"/>
                                <pic:cNvPicPr>
                                  <a:picLocks noChangeAspect="1"/>
                                </pic:cNvPicPr>
                              </pic:nvPicPr>
                              <pic:blipFill>
                                <a:blip r:embed="rId14"/>
                                <a:stretch>
                                  <a:fillRect/>
                                </a:stretch>
                              </pic:blipFill>
                              <pic:spPr>
                                <a:xfrm>
                                  <a:off x="0" y="0"/>
                                  <a:ext cx="1574800" cy="1181100"/>
                                </a:xfrm>
                                <a:prstGeom prst="rect">
                                  <a:avLst/>
                                </a:prstGeom>
                              </pic:spPr>
                            </pic:pic>
                          </a:graphicData>
                        </a:graphic>
                      </wp:inline>
                    </w:drawing>
                  </w:r>
                </w:p>
              </w:tc>
              <w:tc>
                <w:tcPr>
                  <w:tcW w:w="1116" w:type="pct"/>
                  <w:noWrap w:val="0"/>
                  <w:vAlign w:val="center"/>
                </w:tcPr>
                <w:p w14:paraId="64FFA7AD">
                  <w:pPr>
                    <w:spacing w:line="300" w:lineRule="exact"/>
                    <w:jc w:val="center"/>
                    <w:rPr>
                      <w:rFonts w:hint="default" w:ascii="Times New Roman" w:hAnsi="Times New Roman" w:eastAsia="仿宋" w:cs="Times New Roman"/>
                      <w:color w:val="auto"/>
                      <w:sz w:val="21"/>
                      <w:szCs w:val="21"/>
                      <w:lang w:val="en-US" w:eastAsia="zh-CN"/>
                    </w:rPr>
                  </w:pPr>
                  <w:r>
                    <w:rPr>
                      <w:rFonts w:hint="default" w:eastAsia="宋体"/>
                      <w:color w:val="auto"/>
                      <w:szCs w:val="21"/>
                      <w:lang w:val="en-US" w:eastAsia="zh-CN"/>
                    </w:rPr>
                    <w:t>50万只</w:t>
                  </w:r>
                  <w:r>
                    <w:rPr>
                      <w:rFonts w:hint="eastAsia" w:eastAsia="宋体"/>
                      <w:color w:val="auto"/>
                      <w:szCs w:val="21"/>
                      <w:lang w:val="en-US" w:eastAsia="zh-CN"/>
                    </w:rPr>
                    <w:t>/a</w:t>
                  </w:r>
                </w:p>
              </w:tc>
              <w:tc>
                <w:tcPr>
                  <w:tcW w:w="853" w:type="pct"/>
                  <w:noWrap w:val="0"/>
                  <w:vAlign w:val="center"/>
                </w:tcPr>
                <w:p w14:paraId="4C5D06BB">
                  <w:pPr>
                    <w:adjustRightInd w:val="0"/>
                    <w:snapToGrid w:val="0"/>
                    <w:jc w:val="center"/>
                    <w:rPr>
                      <w:rFonts w:hint="default" w:ascii="Times New Roman" w:hAnsi="Times New Roman" w:eastAsia="宋体" w:cs="Times New Roman"/>
                      <w:color w:val="auto"/>
                      <w:sz w:val="21"/>
                      <w:szCs w:val="21"/>
                      <w:lang w:val="en-US" w:eastAsia="zh-CN"/>
                    </w:rPr>
                  </w:pPr>
                  <w:r>
                    <w:rPr>
                      <w:rFonts w:hint="eastAsia" w:eastAsia="仿宋"/>
                      <w:color w:val="auto"/>
                      <w:szCs w:val="21"/>
                      <w:lang w:val="en-US" w:eastAsia="zh-CN"/>
                    </w:rPr>
                    <w:t xml:space="preserve">3000h </w:t>
                  </w:r>
                </w:p>
              </w:tc>
            </w:tr>
          </w:tbl>
          <w:p w14:paraId="129CF695">
            <w:pPr>
              <w:adjustRightInd w:val="0"/>
              <w:snapToGrid w:val="0"/>
              <w:spacing w:before="48" w:beforeLines="20"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、原辅材料</w:t>
            </w:r>
          </w:p>
          <w:p w14:paraId="27EF279F">
            <w:pPr>
              <w:adjustRightInd w:val="0"/>
              <w:snapToGrid w:val="0"/>
              <w:spacing w:line="500" w:lineRule="exact"/>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本项目原辅料消耗情况</w:t>
            </w:r>
            <w:r>
              <w:rPr>
                <w:rFonts w:hint="default" w:ascii="Times New Roman" w:hAnsi="Times New Roman" w:cs="Times New Roman"/>
                <w:b/>
                <w:bCs/>
                <w:color w:val="auto"/>
                <w:sz w:val="21"/>
                <w:szCs w:val="21"/>
                <w:highlight w:val="none"/>
                <w:lang w:eastAsia="zh-CN"/>
              </w:rPr>
              <w:t>一览表</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448"/>
              <w:gridCol w:w="1170"/>
              <w:gridCol w:w="2185"/>
              <w:gridCol w:w="1017"/>
              <w:gridCol w:w="944"/>
              <w:gridCol w:w="1123"/>
              <w:gridCol w:w="1520"/>
            </w:tblGrid>
            <w:tr w14:paraId="4F20FF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48" w:type="dxa"/>
                  <w:vAlign w:val="center"/>
                </w:tcPr>
                <w:p w14:paraId="3D471E5A">
                  <w:pPr>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序号</w:t>
                  </w:r>
                </w:p>
              </w:tc>
              <w:tc>
                <w:tcPr>
                  <w:tcW w:w="1170" w:type="dxa"/>
                  <w:vAlign w:val="center"/>
                </w:tcPr>
                <w:p w14:paraId="794B881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185" w:type="dxa"/>
                  <w:vAlign w:val="center"/>
                </w:tcPr>
                <w:p w14:paraId="0877C7B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规格、成分</w:t>
                  </w:r>
                </w:p>
              </w:tc>
              <w:tc>
                <w:tcPr>
                  <w:tcW w:w="1017" w:type="dxa"/>
                  <w:tcBorders>
                    <w:bottom w:val="single" w:color="auto" w:sz="4" w:space="0"/>
                  </w:tcBorders>
                  <w:vAlign w:val="center"/>
                </w:tcPr>
                <w:p w14:paraId="5E219BF5">
                  <w:pPr>
                    <w:adjustRightInd w:val="0"/>
                    <w:snapToGrid w:val="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消耗量</w:t>
                  </w:r>
                </w:p>
              </w:tc>
              <w:tc>
                <w:tcPr>
                  <w:tcW w:w="944" w:type="dxa"/>
                  <w:tcBorders>
                    <w:bottom w:val="single" w:color="auto" w:sz="4" w:space="0"/>
                  </w:tcBorders>
                  <w:vAlign w:val="center"/>
                </w:tcPr>
                <w:p w14:paraId="1A1EE4A0">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包装规格</w:t>
                  </w:r>
                </w:p>
              </w:tc>
              <w:tc>
                <w:tcPr>
                  <w:tcW w:w="1123" w:type="dxa"/>
                  <w:vAlign w:val="center"/>
                </w:tcPr>
                <w:p w14:paraId="0512DF7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最大储存量</w:t>
                  </w:r>
                </w:p>
              </w:tc>
              <w:tc>
                <w:tcPr>
                  <w:tcW w:w="1520" w:type="dxa"/>
                  <w:vAlign w:val="center"/>
                </w:tcPr>
                <w:p w14:paraId="7B1E0AAB">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来源及运输方式</w:t>
                  </w:r>
                </w:p>
              </w:tc>
            </w:tr>
            <w:tr w14:paraId="60D7DF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62" w:hRule="atLeast"/>
                <w:jc w:val="center"/>
              </w:trPr>
              <w:tc>
                <w:tcPr>
                  <w:tcW w:w="448" w:type="dxa"/>
                  <w:vAlign w:val="center"/>
                </w:tcPr>
                <w:p w14:paraId="2385E01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170" w:type="dxa"/>
                  <w:vAlign w:val="center"/>
                </w:tcPr>
                <w:p w14:paraId="1A40C8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cs="宋体"/>
                      <w:i w:val="0"/>
                      <w:iCs w:val="0"/>
                      <w:color w:val="auto"/>
                      <w:kern w:val="0"/>
                      <w:sz w:val="21"/>
                      <w:szCs w:val="21"/>
                      <w:u w:val="none"/>
                      <w:lang w:val="en-US" w:eastAsia="zh-CN" w:bidi="ar"/>
                    </w:rPr>
                    <w:t>铜</w:t>
                  </w:r>
                  <w:r>
                    <w:rPr>
                      <w:rFonts w:hint="eastAsia" w:ascii="宋体" w:hAnsi="宋体" w:eastAsia="宋体" w:cs="宋体"/>
                      <w:i w:val="0"/>
                      <w:iCs w:val="0"/>
                      <w:color w:val="auto"/>
                      <w:kern w:val="0"/>
                      <w:sz w:val="21"/>
                      <w:szCs w:val="21"/>
                      <w:u w:val="none"/>
                      <w:lang w:val="en-US" w:eastAsia="zh-CN" w:bidi="ar"/>
                    </w:rPr>
                    <w:t>线</w:t>
                  </w:r>
                </w:p>
              </w:tc>
              <w:tc>
                <w:tcPr>
                  <w:tcW w:w="2185" w:type="dxa"/>
                  <w:tcBorders>
                    <w:top w:val="single" w:color="auto" w:sz="4" w:space="0"/>
                  </w:tcBorders>
                  <w:vAlign w:val="center"/>
                </w:tcPr>
                <w:p w14:paraId="78E7A07A">
                  <w:pPr>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17" w:type="dxa"/>
                  <w:tcBorders>
                    <w:top w:val="single" w:color="auto" w:sz="4" w:space="0"/>
                  </w:tcBorders>
                  <w:vAlign w:val="center"/>
                </w:tcPr>
                <w:p w14:paraId="68FCEC49">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180t/a</w:t>
                  </w:r>
                </w:p>
              </w:tc>
              <w:tc>
                <w:tcPr>
                  <w:tcW w:w="944" w:type="dxa"/>
                  <w:tcBorders>
                    <w:top w:val="single" w:color="auto" w:sz="4" w:space="0"/>
                  </w:tcBorders>
                  <w:vAlign w:val="center"/>
                </w:tcPr>
                <w:p w14:paraId="32FAD7FD">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w:t>
                  </w:r>
                  <w:r>
                    <w:rPr>
                      <w:rFonts w:hint="default" w:ascii="Times New Roman" w:hAnsi="Times New Roman" w:eastAsia="宋体" w:cs="Times New Roman"/>
                      <w:color w:val="auto"/>
                      <w:sz w:val="21"/>
                      <w:szCs w:val="21"/>
                      <w:lang w:val="en-US" w:eastAsia="zh-CN"/>
                    </w:rPr>
                    <w:t>装</w:t>
                  </w:r>
                </w:p>
              </w:tc>
              <w:tc>
                <w:tcPr>
                  <w:tcW w:w="1123" w:type="dxa"/>
                  <w:tcBorders>
                    <w:top w:val="single" w:color="auto" w:sz="4" w:space="0"/>
                  </w:tcBorders>
                  <w:vAlign w:val="center"/>
                </w:tcPr>
                <w:p w14:paraId="3DF7E126">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10t</w:t>
                  </w:r>
                </w:p>
              </w:tc>
              <w:tc>
                <w:tcPr>
                  <w:tcW w:w="1520" w:type="dxa"/>
                  <w:tcBorders>
                    <w:top w:val="single" w:color="auto" w:sz="4" w:space="0"/>
                  </w:tcBorders>
                  <w:vAlign w:val="center"/>
                </w:tcPr>
                <w:p w14:paraId="60A776E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5710C0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8" w:hRule="atLeast"/>
                <w:jc w:val="center"/>
              </w:trPr>
              <w:tc>
                <w:tcPr>
                  <w:tcW w:w="448" w:type="dxa"/>
                  <w:vAlign w:val="center"/>
                </w:tcPr>
                <w:p w14:paraId="204A12DA">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170" w:type="dxa"/>
                  <w:vAlign w:val="center"/>
                </w:tcPr>
                <w:p w14:paraId="58BAE3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绝缘膜</w:t>
                  </w:r>
                </w:p>
              </w:tc>
              <w:tc>
                <w:tcPr>
                  <w:tcW w:w="2185" w:type="dxa"/>
                  <w:tcBorders>
                    <w:top w:val="single" w:color="auto" w:sz="4" w:space="0"/>
                  </w:tcBorders>
                  <w:vAlign w:val="center"/>
                </w:tcPr>
                <w:p w14:paraId="57F370EF">
                  <w:pPr>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PET</w:t>
                  </w:r>
                </w:p>
              </w:tc>
              <w:tc>
                <w:tcPr>
                  <w:tcW w:w="1017" w:type="dxa"/>
                  <w:tcBorders>
                    <w:top w:val="single" w:color="auto" w:sz="4" w:space="0"/>
                  </w:tcBorders>
                  <w:vAlign w:val="center"/>
                </w:tcPr>
                <w:p w14:paraId="483C6C16">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1.2t/a</w:t>
                  </w:r>
                </w:p>
              </w:tc>
              <w:tc>
                <w:tcPr>
                  <w:tcW w:w="944" w:type="dxa"/>
                  <w:tcBorders>
                    <w:top w:val="single" w:color="auto" w:sz="4" w:space="0"/>
                  </w:tcBorders>
                  <w:vAlign w:val="center"/>
                </w:tcPr>
                <w:p w14:paraId="21218E15">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w:t>
                  </w:r>
                  <w:r>
                    <w:rPr>
                      <w:rFonts w:hint="default" w:ascii="Times New Roman" w:hAnsi="Times New Roman" w:eastAsia="宋体" w:cs="Times New Roman"/>
                      <w:color w:val="auto"/>
                      <w:sz w:val="21"/>
                      <w:szCs w:val="21"/>
                      <w:lang w:val="en-US" w:eastAsia="zh-CN"/>
                    </w:rPr>
                    <w:t>装</w:t>
                  </w:r>
                </w:p>
              </w:tc>
              <w:tc>
                <w:tcPr>
                  <w:tcW w:w="1123" w:type="dxa"/>
                  <w:tcBorders>
                    <w:top w:val="single" w:color="auto" w:sz="4" w:space="0"/>
                  </w:tcBorders>
                  <w:vAlign w:val="center"/>
                </w:tcPr>
                <w:p w14:paraId="21885DFB">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1520" w:type="dxa"/>
                  <w:tcBorders>
                    <w:top w:val="single" w:color="auto" w:sz="4" w:space="0"/>
                  </w:tcBorders>
                  <w:vAlign w:val="center"/>
                </w:tcPr>
                <w:p w14:paraId="6C25C12D">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7B248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48" w:type="dxa"/>
                  <w:vAlign w:val="center"/>
                </w:tcPr>
                <w:p w14:paraId="5A620CA3">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170" w:type="dxa"/>
                  <w:vAlign w:val="center"/>
                </w:tcPr>
                <w:p w14:paraId="0AE46C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铁氧体磁芯</w:t>
                  </w:r>
                </w:p>
              </w:tc>
              <w:tc>
                <w:tcPr>
                  <w:tcW w:w="2185" w:type="dxa"/>
                  <w:tcBorders>
                    <w:top w:val="single" w:color="auto" w:sz="4" w:space="0"/>
                  </w:tcBorders>
                  <w:vAlign w:val="center"/>
                </w:tcPr>
                <w:p w14:paraId="640AEADF">
                  <w:pPr>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17" w:type="dxa"/>
                  <w:tcBorders>
                    <w:top w:val="single" w:color="auto" w:sz="4" w:space="0"/>
                  </w:tcBorders>
                  <w:vAlign w:val="center"/>
                </w:tcPr>
                <w:p w14:paraId="377FFA41">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45万只/a</w:t>
                  </w:r>
                </w:p>
              </w:tc>
              <w:tc>
                <w:tcPr>
                  <w:tcW w:w="944" w:type="dxa"/>
                  <w:tcBorders>
                    <w:top w:val="single" w:color="auto" w:sz="4" w:space="0"/>
                  </w:tcBorders>
                  <w:vAlign w:val="center"/>
                </w:tcPr>
                <w:p w14:paraId="44709268">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w:t>
                  </w:r>
                  <w:r>
                    <w:rPr>
                      <w:rFonts w:hint="default" w:ascii="Times New Roman" w:hAnsi="Times New Roman" w:eastAsia="宋体" w:cs="Times New Roman"/>
                      <w:color w:val="auto"/>
                      <w:sz w:val="21"/>
                      <w:szCs w:val="21"/>
                      <w:lang w:val="en-US" w:eastAsia="zh-CN"/>
                    </w:rPr>
                    <w:t>装</w:t>
                  </w:r>
                </w:p>
              </w:tc>
              <w:tc>
                <w:tcPr>
                  <w:tcW w:w="1123" w:type="dxa"/>
                  <w:tcBorders>
                    <w:top w:val="single" w:color="auto" w:sz="4" w:space="0"/>
                  </w:tcBorders>
                  <w:vAlign w:val="center"/>
                </w:tcPr>
                <w:p w14:paraId="6D6C7732">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1万只</w:t>
                  </w:r>
                </w:p>
              </w:tc>
              <w:tc>
                <w:tcPr>
                  <w:tcW w:w="1520" w:type="dxa"/>
                  <w:tcBorders>
                    <w:top w:val="single" w:color="auto" w:sz="4" w:space="0"/>
                  </w:tcBorders>
                  <w:vAlign w:val="center"/>
                </w:tcPr>
                <w:p w14:paraId="6C60841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国内汽运</w:t>
                  </w:r>
                </w:p>
              </w:tc>
            </w:tr>
            <w:tr w14:paraId="5F92E3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48" w:type="dxa"/>
                  <w:vAlign w:val="center"/>
                </w:tcPr>
                <w:p w14:paraId="0721EDD5">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170" w:type="dxa"/>
                  <w:vAlign w:val="center"/>
                </w:tcPr>
                <w:p w14:paraId="76E1AF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铜线耳</w:t>
                  </w:r>
                </w:p>
              </w:tc>
              <w:tc>
                <w:tcPr>
                  <w:tcW w:w="2185" w:type="dxa"/>
                  <w:tcBorders>
                    <w:top w:val="single" w:color="auto" w:sz="4" w:space="0"/>
                  </w:tcBorders>
                  <w:vAlign w:val="center"/>
                </w:tcPr>
                <w:p w14:paraId="592D2AE1">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17" w:type="dxa"/>
                  <w:tcBorders>
                    <w:top w:val="single" w:color="auto" w:sz="4" w:space="0"/>
                  </w:tcBorders>
                  <w:vAlign w:val="center"/>
                </w:tcPr>
                <w:p w14:paraId="3A385E04">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350万只/a</w:t>
                  </w:r>
                </w:p>
              </w:tc>
              <w:tc>
                <w:tcPr>
                  <w:tcW w:w="944" w:type="dxa"/>
                  <w:tcBorders>
                    <w:top w:val="single" w:color="auto" w:sz="4" w:space="0"/>
                  </w:tcBorders>
                  <w:vAlign w:val="center"/>
                </w:tcPr>
                <w:p w14:paraId="03B2F8CC">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w:t>
                  </w:r>
                  <w:r>
                    <w:rPr>
                      <w:rFonts w:hint="default" w:ascii="Times New Roman" w:hAnsi="Times New Roman" w:eastAsia="宋体" w:cs="Times New Roman"/>
                      <w:color w:val="auto"/>
                      <w:sz w:val="21"/>
                      <w:szCs w:val="21"/>
                      <w:lang w:val="en-US" w:eastAsia="zh-CN"/>
                    </w:rPr>
                    <w:t>装</w:t>
                  </w:r>
                </w:p>
              </w:tc>
              <w:tc>
                <w:tcPr>
                  <w:tcW w:w="1123" w:type="dxa"/>
                  <w:tcBorders>
                    <w:top w:val="single" w:color="auto" w:sz="4" w:space="0"/>
                  </w:tcBorders>
                  <w:vAlign w:val="center"/>
                </w:tcPr>
                <w:p w14:paraId="2AD9E124">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5万只</w:t>
                  </w:r>
                </w:p>
              </w:tc>
              <w:tc>
                <w:tcPr>
                  <w:tcW w:w="1520" w:type="dxa"/>
                  <w:tcBorders>
                    <w:top w:val="single" w:color="auto" w:sz="4" w:space="0"/>
                  </w:tcBorders>
                  <w:vAlign w:val="center"/>
                </w:tcPr>
                <w:p w14:paraId="52A6908F">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0D8015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48" w:type="dxa"/>
                  <w:vAlign w:val="center"/>
                </w:tcPr>
                <w:p w14:paraId="458A376F">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170" w:type="dxa"/>
                  <w:vAlign w:val="center"/>
                </w:tcPr>
                <w:p w14:paraId="635241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水性助焊剂</w:t>
                  </w:r>
                </w:p>
              </w:tc>
              <w:tc>
                <w:tcPr>
                  <w:tcW w:w="2185" w:type="dxa"/>
                  <w:tcBorders>
                    <w:top w:val="single" w:color="auto" w:sz="4" w:space="0"/>
                  </w:tcBorders>
                  <w:vAlign w:val="center"/>
                </w:tcPr>
                <w:p w14:paraId="4D797CD1">
                  <w:pPr>
                    <w:widowControl/>
                    <w:adjustRightInd w:val="0"/>
                    <w:snapToGrid w:val="0"/>
                    <w:jc w:val="center"/>
                    <w:textAlignment w:val="bottom"/>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醇醚活性剂0.3%、二溴丁烯二醇0.5%、二甲醚0.2%、丁二酸、柠檬酸、酒石酸0.2%、去离子水98.8%</w:t>
                  </w:r>
                </w:p>
              </w:tc>
              <w:tc>
                <w:tcPr>
                  <w:tcW w:w="1017" w:type="dxa"/>
                  <w:tcBorders>
                    <w:top w:val="single" w:color="auto" w:sz="4" w:space="0"/>
                  </w:tcBorders>
                  <w:vAlign w:val="center"/>
                </w:tcPr>
                <w:p w14:paraId="4A528904">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0.1t/a</w:t>
                  </w:r>
                </w:p>
              </w:tc>
              <w:tc>
                <w:tcPr>
                  <w:tcW w:w="944" w:type="dxa"/>
                  <w:tcBorders>
                    <w:top w:val="single" w:color="auto" w:sz="4" w:space="0"/>
                  </w:tcBorders>
                  <w:vAlign w:val="center"/>
                </w:tcPr>
                <w:p w14:paraId="673AF6B2">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0kg/桶</w:t>
                  </w:r>
                </w:p>
              </w:tc>
              <w:tc>
                <w:tcPr>
                  <w:tcW w:w="1123" w:type="dxa"/>
                  <w:tcBorders>
                    <w:top w:val="single" w:color="auto" w:sz="4" w:space="0"/>
                  </w:tcBorders>
                  <w:vAlign w:val="center"/>
                </w:tcPr>
                <w:p w14:paraId="4D133259">
                  <w:pPr>
                    <w:pStyle w:val="46"/>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0.1t</w:t>
                  </w:r>
                </w:p>
              </w:tc>
              <w:tc>
                <w:tcPr>
                  <w:tcW w:w="1520" w:type="dxa"/>
                  <w:tcBorders>
                    <w:top w:val="single" w:color="auto" w:sz="4" w:space="0"/>
                  </w:tcBorders>
                  <w:vAlign w:val="center"/>
                </w:tcPr>
                <w:p w14:paraId="64EB36F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63A04E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48" w:type="dxa"/>
                  <w:vAlign w:val="center"/>
                </w:tcPr>
                <w:p w14:paraId="43C3B9D8">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170" w:type="dxa"/>
                  <w:vAlign w:val="center"/>
                </w:tcPr>
                <w:p w14:paraId="7B2A912D">
                  <w:pPr>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无铅焊锡条</w:t>
                  </w:r>
                </w:p>
              </w:tc>
              <w:tc>
                <w:tcPr>
                  <w:tcW w:w="2185" w:type="dxa"/>
                  <w:tcBorders>
                    <w:top w:val="single" w:color="auto" w:sz="4" w:space="0"/>
                  </w:tcBorders>
                  <w:vAlign w:val="center"/>
                </w:tcPr>
                <w:p w14:paraId="3C98737E">
                  <w:pPr>
                    <w:pStyle w:val="46"/>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44"/>
                      <w:sz w:val="21"/>
                      <w:szCs w:val="21"/>
                      <w:highlight w:val="none"/>
                      <w:lang w:val="en-US" w:eastAsia="zh-CN" w:bidi="ar-SA"/>
                    </w:rPr>
                    <w:t>锡99.1-99.5%、铜0.5-0.9%</w:t>
                  </w:r>
                </w:p>
              </w:tc>
              <w:tc>
                <w:tcPr>
                  <w:tcW w:w="1017" w:type="dxa"/>
                  <w:tcBorders>
                    <w:top w:val="single" w:color="auto" w:sz="4" w:space="0"/>
                  </w:tcBorders>
                  <w:vAlign w:val="center"/>
                </w:tcPr>
                <w:p w14:paraId="5CB12B1F">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10t/a</w:t>
                  </w:r>
                </w:p>
              </w:tc>
              <w:tc>
                <w:tcPr>
                  <w:tcW w:w="944" w:type="dxa"/>
                  <w:tcBorders>
                    <w:top w:val="single" w:color="auto" w:sz="4" w:space="0"/>
                  </w:tcBorders>
                  <w:vAlign w:val="center"/>
                </w:tcPr>
                <w:p w14:paraId="031294BD">
                  <w:pPr>
                    <w:pStyle w:val="46"/>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w:t>
                  </w:r>
                  <w:r>
                    <w:rPr>
                      <w:rFonts w:hint="default" w:ascii="Times New Roman" w:hAnsi="Times New Roman" w:eastAsia="宋体" w:cs="Times New Roman"/>
                      <w:color w:val="auto"/>
                      <w:sz w:val="21"/>
                      <w:szCs w:val="21"/>
                      <w:lang w:val="en-US" w:eastAsia="zh-CN"/>
                    </w:rPr>
                    <w:t>装</w:t>
                  </w:r>
                </w:p>
              </w:tc>
              <w:tc>
                <w:tcPr>
                  <w:tcW w:w="1123" w:type="dxa"/>
                  <w:tcBorders>
                    <w:top w:val="single" w:color="auto" w:sz="4" w:space="0"/>
                  </w:tcBorders>
                  <w:vAlign w:val="center"/>
                </w:tcPr>
                <w:p w14:paraId="257FC05C">
                  <w:pPr>
                    <w:pStyle w:val="46"/>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1520" w:type="dxa"/>
                  <w:tcBorders>
                    <w:top w:val="single" w:color="auto" w:sz="4" w:space="0"/>
                  </w:tcBorders>
                  <w:vAlign w:val="center"/>
                </w:tcPr>
                <w:p w14:paraId="7856F7B8">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国内汽运</w:t>
                  </w:r>
                </w:p>
              </w:tc>
            </w:tr>
            <w:tr w14:paraId="0D7071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48" w:type="dxa"/>
                  <w:vAlign w:val="center"/>
                </w:tcPr>
                <w:p w14:paraId="30A73FD2">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1170" w:type="dxa"/>
                  <w:vAlign w:val="center"/>
                </w:tcPr>
                <w:p w14:paraId="2F176A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热缩管</w:t>
                  </w:r>
                </w:p>
              </w:tc>
              <w:tc>
                <w:tcPr>
                  <w:tcW w:w="2185" w:type="dxa"/>
                  <w:tcBorders>
                    <w:top w:val="single" w:color="auto" w:sz="4" w:space="0"/>
                    <w:bottom w:val="single" w:color="auto" w:sz="4" w:space="0"/>
                  </w:tcBorders>
                  <w:vAlign w:val="center"/>
                </w:tcPr>
                <w:p w14:paraId="02973D9D">
                  <w:pPr>
                    <w:pStyle w:val="23"/>
                    <w:keepNext w:val="0"/>
                    <w:keepLines w:val="0"/>
                    <w:widowControl/>
                    <w:suppressLineNumbers w:val="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PE</w:t>
                  </w:r>
                </w:p>
              </w:tc>
              <w:tc>
                <w:tcPr>
                  <w:tcW w:w="1017" w:type="dxa"/>
                  <w:tcBorders>
                    <w:top w:val="single" w:color="auto" w:sz="4" w:space="0"/>
                    <w:bottom w:val="single" w:color="auto" w:sz="4" w:space="0"/>
                  </w:tcBorders>
                  <w:vAlign w:val="center"/>
                </w:tcPr>
                <w:p w14:paraId="56E1D7AE">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3.5t/a</w:t>
                  </w:r>
                </w:p>
              </w:tc>
              <w:tc>
                <w:tcPr>
                  <w:tcW w:w="944" w:type="dxa"/>
                  <w:tcBorders>
                    <w:top w:val="single" w:color="auto" w:sz="4" w:space="0"/>
                    <w:bottom w:val="single" w:color="auto" w:sz="4" w:space="0"/>
                  </w:tcBorders>
                  <w:vAlign w:val="center"/>
                </w:tcPr>
                <w:p w14:paraId="67AB4915">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w:t>
                  </w:r>
                  <w:r>
                    <w:rPr>
                      <w:rFonts w:hint="default" w:ascii="Times New Roman" w:hAnsi="Times New Roman" w:eastAsia="宋体" w:cs="Times New Roman"/>
                      <w:color w:val="auto"/>
                      <w:sz w:val="21"/>
                      <w:szCs w:val="21"/>
                      <w:lang w:val="en-US" w:eastAsia="zh-CN"/>
                    </w:rPr>
                    <w:t>装</w:t>
                  </w:r>
                </w:p>
              </w:tc>
              <w:tc>
                <w:tcPr>
                  <w:tcW w:w="1123" w:type="dxa"/>
                  <w:tcBorders>
                    <w:top w:val="single" w:color="auto" w:sz="4" w:space="0"/>
                    <w:bottom w:val="single" w:color="auto" w:sz="4" w:space="0"/>
                  </w:tcBorders>
                  <w:vAlign w:val="center"/>
                </w:tcPr>
                <w:p w14:paraId="3A956C4D">
                  <w:pPr>
                    <w:pStyle w:val="46"/>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1520" w:type="dxa"/>
                  <w:tcBorders>
                    <w:top w:val="single" w:color="auto" w:sz="4" w:space="0"/>
                    <w:bottom w:val="single" w:color="auto" w:sz="4" w:space="0"/>
                  </w:tcBorders>
                  <w:vAlign w:val="center"/>
                </w:tcPr>
                <w:p w14:paraId="73BDF3E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国内汽运</w:t>
                  </w:r>
                </w:p>
              </w:tc>
            </w:tr>
          </w:tbl>
          <w:p w14:paraId="51AD84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4"/>
              </w:rPr>
              <w:t>主要原辅材料理化性质见下表</w:t>
            </w:r>
            <w:r>
              <w:rPr>
                <w:rFonts w:hint="default" w:ascii="Times New Roman" w:hAnsi="Times New Roman" w:cs="Times New Roman"/>
                <w:color w:val="auto"/>
                <w:sz w:val="24"/>
                <w:lang w:eastAsia="zh-CN"/>
              </w:rPr>
              <w:t>。</w:t>
            </w:r>
          </w:p>
          <w:p w14:paraId="0CC03841">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3本项目</w:t>
            </w:r>
            <w:r>
              <w:rPr>
                <w:rFonts w:hint="default" w:ascii="Times New Roman" w:hAnsi="Times New Roman" w:cs="Times New Roman"/>
                <w:b/>
                <w:bCs/>
                <w:color w:val="auto"/>
                <w:sz w:val="21"/>
                <w:szCs w:val="21"/>
                <w:highlight w:val="none"/>
              </w:rPr>
              <w:t>原辅材料理化性质</w:t>
            </w:r>
          </w:p>
          <w:tbl>
            <w:tblPr>
              <w:tblStyle w:val="28"/>
              <w:tblW w:w="8407"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51" w:type="dxa"/>
                <w:bottom w:w="0" w:type="dxa"/>
                <w:right w:w="51" w:type="dxa"/>
              </w:tblCellMar>
            </w:tblPr>
            <w:tblGrid>
              <w:gridCol w:w="896"/>
              <w:gridCol w:w="5373"/>
              <w:gridCol w:w="799"/>
              <w:gridCol w:w="1339"/>
            </w:tblGrid>
            <w:tr w14:paraId="052C92B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1CE2BE1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5402" w:type="dxa"/>
                  <w:tcBorders>
                    <w:right w:val="single" w:color="000000" w:sz="2" w:space="0"/>
                  </w:tcBorders>
                  <w:vAlign w:val="center"/>
                </w:tcPr>
                <w:p w14:paraId="5D1C602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理化性质</w:t>
                  </w:r>
                </w:p>
              </w:tc>
              <w:tc>
                <w:tcPr>
                  <w:tcW w:w="803" w:type="dxa"/>
                  <w:tcBorders>
                    <w:left w:val="single" w:color="000000" w:sz="2" w:space="0"/>
                    <w:right w:val="single" w:color="000000" w:sz="2" w:space="0"/>
                  </w:tcBorders>
                  <w:vAlign w:val="center"/>
                </w:tcPr>
                <w:p w14:paraId="2606A934">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燃爆性</w:t>
                  </w:r>
                </w:p>
              </w:tc>
              <w:tc>
                <w:tcPr>
                  <w:tcW w:w="1339" w:type="dxa"/>
                  <w:tcBorders>
                    <w:left w:val="single" w:color="000000" w:sz="2" w:space="0"/>
                  </w:tcBorders>
                  <w:vAlign w:val="center"/>
                </w:tcPr>
                <w:p w14:paraId="6B11497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毒性毒理</w:t>
                  </w:r>
                </w:p>
              </w:tc>
            </w:tr>
            <w:tr w14:paraId="4E701FE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2E1059FE">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lang w:val="en-US" w:eastAsia="zh-CN"/>
                    </w:rPr>
                    <w:t>聚对苯二甲酸乙二醇酯</w:t>
                  </w:r>
                  <w:r>
                    <w:rPr>
                      <w:rFonts w:hint="eastAsia" w:ascii="Times New Roman" w:hAnsi="Times New Roman" w:eastAsia="宋体" w:cs="Times New Roman"/>
                      <w:color w:val="auto"/>
                      <w:sz w:val="21"/>
                      <w:szCs w:val="21"/>
                      <w:highlight w:val="none"/>
                      <w:lang w:val="en-US" w:eastAsia="zh-CN"/>
                    </w:rPr>
                    <w:t>（PET）</w:t>
                  </w:r>
                </w:p>
              </w:tc>
              <w:tc>
                <w:tcPr>
                  <w:tcW w:w="5402" w:type="dxa"/>
                  <w:tcBorders>
                    <w:right w:val="single" w:color="000000" w:sz="2" w:space="0"/>
                  </w:tcBorders>
                  <w:vAlign w:val="center"/>
                </w:tcPr>
                <w:p w14:paraId="504927E1">
                  <w:pPr>
                    <w:widowControl/>
                    <w:shd w:val="clear" w:color="auto" w:fill="FFFFFF"/>
                    <w:adjustRightInd w:val="0"/>
                    <w:snapToGrid w:val="0"/>
                    <w:ind w:firstLine="420" w:firstLineChars="0"/>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highlight w:val="none"/>
                      <w:lang w:val="en-US" w:eastAsia="zh-CN" w:bidi="ar"/>
                    </w:rPr>
                    <w:t>分子式C</w:t>
                  </w:r>
                  <w:r>
                    <w:rPr>
                      <w:rFonts w:hint="default" w:ascii="Times New Roman" w:hAnsi="Times New Roman" w:eastAsia="宋体" w:cs="Times New Roman"/>
                      <w:color w:val="auto"/>
                      <w:kern w:val="0"/>
                      <w:sz w:val="13"/>
                      <w:szCs w:val="13"/>
                      <w:highlight w:val="none"/>
                      <w:lang w:val="en-US" w:eastAsia="zh-CN" w:bidi="ar"/>
                    </w:rPr>
                    <w:t>15</w:t>
                  </w:r>
                  <w:r>
                    <w:rPr>
                      <w:rFonts w:hint="default" w:ascii="Times New Roman" w:hAnsi="Times New Roman" w:eastAsia="宋体" w:cs="Times New Roman"/>
                      <w:color w:val="auto"/>
                      <w:kern w:val="0"/>
                      <w:sz w:val="21"/>
                      <w:szCs w:val="21"/>
                      <w:highlight w:val="none"/>
                      <w:lang w:val="en-US" w:eastAsia="zh-CN" w:bidi="ar"/>
                    </w:rPr>
                    <w:t>H</w:t>
                  </w:r>
                  <w:r>
                    <w:rPr>
                      <w:rFonts w:hint="default" w:ascii="Times New Roman" w:hAnsi="Times New Roman" w:eastAsia="宋体" w:cs="Times New Roman"/>
                      <w:color w:val="auto"/>
                      <w:kern w:val="0"/>
                      <w:sz w:val="13"/>
                      <w:szCs w:val="13"/>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N</w:t>
                  </w:r>
                  <w:r>
                    <w:rPr>
                      <w:rFonts w:hint="default" w:ascii="Times New Roman" w:hAnsi="Times New Roman" w:eastAsia="宋体" w:cs="Times New Roman"/>
                      <w:color w:val="auto"/>
                      <w:kern w:val="0"/>
                      <w:sz w:val="13"/>
                      <w:szCs w:val="13"/>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O</w:t>
                  </w:r>
                  <w:r>
                    <w:rPr>
                      <w:rFonts w:hint="default" w:ascii="Times New Roman" w:hAnsi="Times New Roman" w:eastAsia="宋体" w:cs="Times New Roman"/>
                      <w:color w:val="auto"/>
                      <w:kern w:val="0"/>
                      <w:sz w:val="13"/>
                      <w:szCs w:val="13"/>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，白色至淡黄色</w:t>
                  </w:r>
                  <w:r>
                    <w:rPr>
                      <w:rFonts w:hint="eastAsia" w:cs="Times New Roman"/>
                      <w:color w:val="auto"/>
                      <w:kern w:val="0"/>
                      <w:sz w:val="21"/>
                      <w:szCs w:val="21"/>
                      <w:highlight w:val="none"/>
                      <w:lang w:val="en-US" w:eastAsia="zh-CN" w:bidi="ar"/>
                    </w:rPr>
                    <w:t>片状</w:t>
                  </w:r>
                  <w:r>
                    <w:rPr>
                      <w:rFonts w:hint="default" w:ascii="Times New Roman" w:hAnsi="Times New Roman" w:eastAsia="宋体" w:cs="Times New Roman"/>
                      <w:color w:val="auto"/>
                      <w:kern w:val="0"/>
                      <w:sz w:val="21"/>
                      <w:szCs w:val="21"/>
                      <w:highlight w:val="none"/>
                      <w:lang w:val="en-US" w:eastAsia="zh-CN" w:bidi="ar"/>
                    </w:rPr>
                    <w:t>晶体，熔点38-44℃，沸点392℃，闪点＞196℃</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rPr>
                    <w:t>分解温度为</w:t>
                  </w:r>
                  <w:r>
                    <w:rPr>
                      <w:rFonts w:hint="eastAsia" w:ascii="Times New Roman" w:hAnsi="Times New Roman" w:eastAsia="宋体" w:cs="Times New Roman"/>
                      <w:color w:val="auto"/>
                      <w:sz w:val="21"/>
                      <w:szCs w:val="21"/>
                      <w:highlight w:val="none"/>
                      <w:lang w:val="en-US" w:eastAsia="zh-CN"/>
                    </w:rPr>
                    <w:t>350</w:t>
                  </w:r>
                  <w:r>
                    <w:rPr>
                      <w:rFonts w:hint="default" w:ascii="Times New Roman" w:hAnsi="Times New Roman" w:eastAsia="宋体" w:cs="Times New Roman"/>
                      <w:b w:val="0"/>
                      <w:i w:val="0"/>
                      <w:caps w:val="0"/>
                      <w:color w:val="auto"/>
                      <w:spacing w:val="0"/>
                      <w:sz w:val="21"/>
                      <w:szCs w:val="21"/>
                      <w:highlight w:val="none"/>
                      <w:shd w:val="clear" w:fill="FFFFFF"/>
                    </w:rPr>
                    <w:t>℃</w:t>
                  </w:r>
                  <w:r>
                    <w:rPr>
                      <w:rFonts w:hint="default" w:ascii="Times New Roman" w:hAnsi="Times New Roman" w:eastAsia="宋体" w:cs="Times New Roman"/>
                      <w:b w:val="0"/>
                      <w:i w:val="0"/>
                      <w:caps w:val="0"/>
                      <w:color w:val="auto"/>
                      <w:spacing w:val="0"/>
                      <w:sz w:val="21"/>
                      <w:szCs w:val="21"/>
                      <w:highlight w:val="none"/>
                      <w:shd w:val="clear" w:fill="FFFFFF"/>
                      <w:lang w:eastAsia="zh-CN"/>
                    </w:rPr>
                    <w:t>。</w:t>
                  </w:r>
                </w:p>
              </w:tc>
              <w:tc>
                <w:tcPr>
                  <w:tcW w:w="803" w:type="dxa"/>
                  <w:tcBorders>
                    <w:left w:val="single" w:color="000000" w:sz="2" w:space="0"/>
                    <w:right w:val="single" w:color="000000" w:sz="2" w:space="0"/>
                  </w:tcBorders>
                  <w:vAlign w:val="center"/>
                </w:tcPr>
                <w:p w14:paraId="4A8911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olor w:val="auto"/>
                      <w:sz w:val="21"/>
                      <w:szCs w:val="21"/>
                      <w:lang w:val="en-US" w:eastAsia="zh-CN"/>
                    </w:rPr>
                  </w:pPr>
                  <w:r>
                    <w:rPr>
                      <w:rFonts w:hint="eastAsia" w:cs="Times New Roman"/>
                      <w:color w:val="auto"/>
                      <w:sz w:val="21"/>
                      <w:szCs w:val="21"/>
                      <w:highlight w:val="none"/>
                      <w:lang w:eastAsia="zh-CN"/>
                    </w:rPr>
                    <w:t>可燃</w:t>
                  </w:r>
                </w:p>
              </w:tc>
              <w:tc>
                <w:tcPr>
                  <w:tcW w:w="1339" w:type="dxa"/>
                  <w:tcBorders>
                    <w:left w:val="single" w:color="000000" w:sz="2" w:space="0"/>
                  </w:tcBorders>
                  <w:vAlign w:val="center"/>
                </w:tcPr>
                <w:p w14:paraId="550B6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rPr>
                    <w:t>无</w:t>
                  </w:r>
                  <w:r>
                    <w:rPr>
                      <w:rFonts w:hint="eastAsia" w:ascii="Times New Roman" w:hAnsi="Times New Roman" w:eastAsia="宋体" w:cs="Times New Roman"/>
                      <w:color w:val="auto"/>
                      <w:sz w:val="21"/>
                      <w:szCs w:val="21"/>
                      <w:highlight w:val="none"/>
                      <w:lang w:val="en-US" w:eastAsia="zh-CN"/>
                    </w:rPr>
                    <w:t>资料</w:t>
                  </w:r>
                </w:p>
              </w:tc>
            </w:tr>
            <w:tr w14:paraId="07154B3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322B45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水性助焊剂</w:t>
                  </w:r>
                </w:p>
              </w:tc>
              <w:tc>
                <w:tcPr>
                  <w:tcW w:w="5402" w:type="dxa"/>
                  <w:tcBorders>
                    <w:right w:val="single" w:color="000000" w:sz="2" w:space="0"/>
                  </w:tcBorders>
                  <w:vAlign w:val="center"/>
                </w:tcPr>
                <w:p w14:paraId="5AC4BAF5">
                  <w:pPr>
                    <w:pStyle w:val="8"/>
                    <w:adjustRightInd w:val="0"/>
                    <w:spacing w:before="0" w:after="0" w:line="240" w:lineRule="auto"/>
                    <w:ind w:right="0" w:rightChars="0"/>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无色透明液体，pH值：</w:t>
                  </w:r>
                  <w:r>
                    <w:rPr>
                      <w:rFonts w:hint="default" w:ascii="Times New Roman" w:hAnsi="Times New Roman" w:eastAsia="宋体" w:cs="Times New Roman"/>
                      <w:color w:val="auto"/>
                      <w:kern w:val="0"/>
                      <w:sz w:val="21"/>
                      <w:szCs w:val="21"/>
                      <w:lang w:val="en-US" w:eastAsia="zh-CN"/>
                    </w:rPr>
                    <w:t>1.5</w:t>
                  </w:r>
                  <w:r>
                    <w:rPr>
                      <w:rFonts w:hint="default" w:ascii="Times New Roman" w:hAnsi="Times New Roman" w:eastAsia="宋体" w:cs="Times New Roman"/>
                      <w:color w:val="auto"/>
                      <w:kern w:val="0"/>
                      <w:sz w:val="21"/>
                      <w:szCs w:val="21"/>
                      <w:lang w:eastAsia="zh-CN"/>
                    </w:rPr>
                    <w:t>，沸点：</w:t>
                  </w:r>
                  <w:r>
                    <w:rPr>
                      <w:rFonts w:hint="default" w:ascii="Times New Roman" w:hAnsi="Times New Roman" w:eastAsia="宋体" w:cs="Times New Roman"/>
                      <w:color w:val="auto"/>
                      <w:kern w:val="0"/>
                      <w:sz w:val="21"/>
                      <w:szCs w:val="21"/>
                      <w:lang w:val="en-US" w:eastAsia="zh-CN"/>
                    </w:rPr>
                    <w:t>95-260</w:t>
                  </w:r>
                  <w:r>
                    <w:rPr>
                      <w:rFonts w:hint="default" w:ascii="Times New Roman" w:hAnsi="Times New Roman" w:eastAsia="宋体" w:cs="Times New Roman"/>
                      <w:color w:val="auto"/>
                      <w:kern w:val="0"/>
                      <w:sz w:val="21"/>
                      <w:szCs w:val="21"/>
                      <w:lang w:eastAsia="zh-CN"/>
                    </w:rPr>
                    <w:t xml:space="preserve"> ℃，相对密度：1.</w:t>
                  </w:r>
                  <w:r>
                    <w:rPr>
                      <w:rFonts w:hint="default" w:ascii="Times New Roman" w:hAnsi="Times New Roman" w:eastAsia="宋体" w:cs="Times New Roman"/>
                      <w:color w:val="auto"/>
                      <w:kern w:val="0"/>
                      <w:sz w:val="21"/>
                      <w:szCs w:val="21"/>
                      <w:lang w:val="en-US" w:eastAsia="zh-CN"/>
                    </w:rPr>
                    <w:t>1</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易溶于</w:t>
                  </w:r>
                  <w:r>
                    <w:rPr>
                      <w:rFonts w:hint="eastAsia" w:ascii="Times New Roman" w:hAnsi="Times New Roman" w:eastAsia="宋体" w:cs="Times New Roman"/>
                      <w:color w:val="auto"/>
                      <w:kern w:val="0"/>
                      <w:sz w:val="21"/>
                      <w:szCs w:val="21"/>
                      <w:lang w:val="en-US" w:eastAsia="zh-CN"/>
                    </w:rPr>
                    <w:t>水</w:t>
                  </w:r>
                </w:p>
              </w:tc>
              <w:tc>
                <w:tcPr>
                  <w:tcW w:w="803" w:type="dxa"/>
                  <w:tcBorders>
                    <w:left w:val="single" w:color="000000" w:sz="2" w:space="0"/>
                    <w:right w:val="single" w:color="000000" w:sz="2" w:space="0"/>
                  </w:tcBorders>
                  <w:vAlign w:val="center"/>
                </w:tcPr>
                <w:p w14:paraId="443010A3">
                  <w:pPr>
                    <w:snapToGrid w:val="0"/>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lang w:val="en-US" w:eastAsia="zh-CN"/>
                    </w:rPr>
                    <w:t>不</w:t>
                  </w:r>
                  <w:r>
                    <w:rPr>
                      <w:rFonts w:hint="default" w:ascii="Times New Roman" w:hAnsi="Times New Roman" w:eastAsia="宋体" w:cs="Times New Roman"/>
                      <w:color w:val="auto"/>
                      <w:sz w:val="21"/>
                      <w:szCs w:val="21"/>
                    </w:rPr>
                    <w:t>燃</w:t>
                  </w:r>
                </w:p>
              </w:tc>
              <w:tc>
                <w:tcPr>
                  <w:tcW w:w="1339" w:type="dxa"/>
                  <w:tcBorders>
                    <w:left w:val="single" w:color="000000" w:sz="2" w:space="0"/>
                  </w:tcBorders>
                  <w:vAlign w:val="center"/>
                </w:tcPr>
                <w:p w14:paraId="7C544EA0">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无</w:t>
                  </w:r>
                  <w:r>
                    <w:rPr>
                      <w:rFonts w:hint="eastAsia" w:ascii="Times New Roman" w:hAnsi="Times New Roman" w:eastAsia="宋体" w:cs="Times New Roman"/>
                      <w:color w:val="auto"/>
                      <w:sz w:val="21"/>
                      <w:szCs w:val="21"/>
                      <w:highlight w:val="none"/>
                      <w:lang w:val="en-US" w:eastAsia="zh-CN"/>
                    </w:rPr>
                    <w:t>资料</w:t>
                  </w:r>
                </w:p>
              </w:tc>
            </w:tr>
            <w:tr w14:paraId="41157F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23E3779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i w:val="0"/>
                      <w:color w:val="auto"/>
                      <w:kern w:val="0"/>
                      <w:sz w:val="21"/>
                      <w:szCs w:val="21"/>
                      <w:u w:val="none"/>
                      <w:lang w:val="en-US" w:eastAsia="zh-CN" w:bidi="ar"/>
                    </w:rPr>
                    <w:t>二溴丁烯二醇</w:t>
                  </w:r>
                </w:p>
              </w:tc>
              <w:tc>
                <w:tcPr>
                  <w:tcW w:w="5402" w:type="dxa"/>
                  <w:tcBorders>
                    <w:right w:val="single" w:color="000000" w:sz="2" w:space="0"/>
                  </w:tcBorders>
                  <w:vAlign w:val="center"/>
                </w:tcPr>
                <w:p w14:paraId="7E65D09B">
                  <w:pPr>
                    <w:pStyle w:val="8"/>
                    <w:adjustRightInd w:val="0"/>
                    <w:spacing w:before="0" w:after="0" w:line="240" w:lineRule="auto"/>
                    <w:ind w:right="0" w:rightChars="0"/>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rPr>
                    <w:t>分子式</w:t>
                  </w:r>
                  <w:r>
                    <w:rPr>
                      <w:rFonts w:hint="default" w:ascii="Times New Roman" w:hAnsi="Times New Roman" w:eastAsia="宋体" w:cs="Times New Roman"/>
                      <w:color w:val="auto"/>
                      <w:kern w:val="0"/>
                      <w:sz w:val="21"/>
                      <w:szCs w:val="21"/>
                      <w:lang w:eastAsia="zh-CN"/>
                    </w:rPr>
                    <w:t>C</w:t>
                  </w:r>
                  <w:r>
                    <w:rPr>
                      <w:rFonts w:hint="default" w:ascii="Times New Roman" w:hAnsi="Times New Roman" w:eastAsia="宋体" w:cs="Times New Roman"/>
                      <w:color w:val="auto"/>
                      <w:kern w:val="0"/>
                      <w:sz w:val="21"/>
                      <w:szCs w:val="21"/>
                      <w:vertAlign w:val="subscript"/>
                      <w:lang w:eastAsia="zh-CN"/>
                    </w:rPr>
                    <w:t>4</w:t>
                  </w:r>
                  <w:r>
                    <w:rPr>
                      <w:rFonts w:hint="default" w:ascii="Times New Roman" w:hAnsi="Times New Roman" w:eastAsia="宋体" w:cs="Times New Roman"/>
                      <w:color w:val="auto"/>
                      <w:kern w:val="0"/>
                      <w:sz w:val="21"/>
                      <w:szCs w:val="21"/>
                      <w:lang w:eastAsia="zh-CN"/>
                    </w:rPr>
                    <w:t>H</w:t>
                  </w:r>
                  <w:r>
                    <w:rPr>
                      <w:rFonts w:hint="default" w:ascii="Times New Roman" w:hAnsi="Times New Roman" w:eastAsia="宋体" w:cs="Times New Roman"/>
                      <w:color w:val="auto"/>
                      <w:kern w:val="0"/>
                      <w:sz w:val="21"/>
                      <w:szCs w:val="21"/>
                      <w:vertAlign w:val="subscript"/>
                      <w:lang w:eastAsia="zh-CN"/>
                    </w:rPr>
                    <w:t>6</w:t>
                  </w:r>
                  <w:r>
                    <w:rPr>
                      <w:rFonts w:hint="default" w:ascii="Times New Roman" w:hAnsi="Times New Roman" w:eastAsia="宋体" w:cs="Times New Roman"/>
                      <w:color w:val="auto"/>
                      <w:kern w:val="0"/>
                      <w:sz w:val="21"/>
                      <w:szCs w:val="21"/>
                      <w:lang w:eastAsia="zh-CN"/>
                    </w:rPr>
                    <w:t>Br</w:t>
                  </w:r>
                  <w:r>
                    <w:rPr>
                      <w:rFonts w:hint="default" w:ascii="Times New Roman" w:hAnsi="Times New Roman" w:eastAsia="宋体" w:cs="Times New Roman"/>
                      <w:color w:val="auto"/>
                      <w:kern w:val="0"/>
                      <w:sz w:val="21"/>
                      <w:szCs w:val="21"/>
                      <w:vertAlign w:val="subscript"/>
                      <w:lang w:eastAsia="zh-CN"/>
                    </w:rPr>
                    <w:t>2</w:t>
                  </w:r>
                  <w:r>
                    <w:rPr>
                      <w:rFonts w:hint="default" w:ascii="Times New Roman" w:hAnsi="Times New Roman" w:eastAsia="宋体" w:cs="Times New Roman"/>
                      <w:color w:val="auto"/>
                      <w:kern w:val="0"/>
                      <w:sz w:val="21"/>
                      <w:szCs w:val="21"/>
                      <w:lang w:eastAsia="zh-CN"/>
                    </w:rPr>
                    <w:t>O</w:t>
                  </w:r>
                  <w:r>
                    <w:rPr>
                      <w:rFonts w:hint="default" w:ascii="Times New Roman" w:hAnsi="Times New Roman" w:eastAsia="宋体" w:cs="Times New Roman"/>
                      <w:color w:val="auto"/>
                      <w:kern w:val="0"/>
                      <w:sz w:val="21"/>
                      <w:szCs w:val="21"/>
                      <w:vertAlign w:val="subscript"/>
                      <w:lang w:eastAsia="zh-CN"/>
                    </w:rPr>
                    <w:t>2</w:t>
                  </w:r>
                  <w:r>
                    <w:rPr>
                      <w:rFonts w:hint="eastAsia"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白色结晶或白色粉末，</w:t>
                  </w:r>
                  <w:r>
                    <w:rPr>
                      <w:rFonts w:hint="eastAsia" w:ascii="Times New Roman" w:hAnsi="Times New Roman" w:eastAsia="宋体" w:cs="Times New Roman"/>
                      <w:color w:val="auto"/>
                      <w:kern w:val="0"/>
                      <w:sz w:val="21"/>
                      <w:szCs w:val="21"/>
                      <w:lang w:val="en-US" w:eastAsia="zh-CN"/>
                    </w:rPr>
                    <w:t>熔点</w:t>
                  </w:r>
                  <w:r>
                    <w:rPr>
                      <w:rFonts w:hint="default" w:ascii="Times New Roman" w:hAnsi="Times New Roman" w:eastAsia="宋体" w:cs="Times New Roman"/>
                      <w:color w:val="auto"/>
                      <w:kern w:val="0"/>
                      <w:sz w:val="21"/>
                      <w:szCs w:val="21"/>
                      <w:lang w:val="en-US" w:eastAsia="zh-CN"/>
                    </w:rPr>
                    <w:t>112-114 °C</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沸点：318.1±42.0 °C，易溶于乙醇</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微溶于二氯乙烷。</w:t>
                  </w:r>
                </w:p>
              </w:tc>
              <w:tc>
                <w:tcPr>
                  <w:tcW w:w="803" w:type="dxa"/>
                  <w:tcBorders>
                    <w:left w:val="single" w:color="000000" w:sz="2" w:space="0"/>
                    <w:right w:val="single" w:color="000000" w:sz="2" w:space="0"/>
                  </w:tcBorders>
                  <w:vAlign w:val="center"/>
                </w:tcPr>
                <w:p w14:paraId="341682F0">
                  <w:pPr>
                    <w:pStyle w:val="8"/>
                    <w:adjustRightInd w:val="0"/>
                    <w:spacing w:before="0" w:after="0" w:line="240" w:lineRule="auto"/>
                    <w:ind w:right="0" w:rightChars="0"/>
                    <w:jc w:val="center"/>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不燃</w:t>
                  </w:r>
                </w:p>
              </w:tc>
              <w:tc>
                <w:tcPr>
                  <w:tcW w:w="1339" w:type="dxa"/>
                  <w:tcBorders>
                    <w:left w:val="single" w:color="000000" w:sz="2" w:space="0"/>
                  </w:tcBorders>
                  <w:vAlign w:val="center"/>
                </w:tcPr>
                <w:p w14:paraId="1074C168">
                  <w:pPr>
                    <w:pStyle w:val="8"/>
                    <w:adjustRightInd w:val="0"/>
                    <w:spacing w:before="0" w:after="0" w:line="240" w:lineRule="auto"/>
                    <w:ind w:right="0" w:rightChars="0"/>
                    <w:jc w:val="center"/>
                    <w:rPr>
                      <w:rFonts w:hint="default" w:ascii="宋体" w:hAnsi="宋体" w:eastAsia="宋体" w:cs="宋体"/>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低毒</w:t>
                  </w:r>
                </w:p>
              </w:tc>
            </w:tr>
            <w:tr w14:paraId="5C26A5A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3D2A7AEE">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i w:val="0"/>
                      <w:color w:val="auto"/>
                      <w:kern w:val="0"/>
                      <w:sz w:val="21"/>
                      <w:szCs w:val="21"/>
                      <w:u w:val="none"/>
                      <w:lang w:val="en-US" w:eastAsia="zh-CN" w:bidi="ar"/>
                    </w:rPr>
                    <w:t>二甲醚</w:t>
                  </w:r>
                </w:p>
              </w:tc>
              <w:tc>
                <w:tcPr>
                  <w:tcW w:w="5402" w:type="dxa"/>
                  <w:tcBorders>
                    <w:right w:val="single" w:color="000000" w:sz="2" w:space="0"/>
                  </w:tcBorders>
                  <w:vAlign w:val="center"/>
                </w:tcPr>
                <w:p w14:paraId="354263F9">
                  <w:pPr>
                    <w:pStyle w:val="8"/>
                    <w:adjustRightInd w:val="0"/>
                    <w:spacing w:before="0" w:after="0" w:line="240" w:lineRule="auto"/>
                    <w:ind w:right="0" w:rightChars="0"/>
                    <w:rPr>
                      <w:rFonts w:hint="default" w:ascii="Times New Roman" w:hAnsi="Times New Roman" w:eastAsia="宋体" w:cs="Times New Roman"/>
                      <w:bCs/>
                      <w:color w:val="auto"/>
                      <w:kern w:val="0"/>
                      <w:sz w:val="21"/>
                      <w:szCs w:val="21"/>
                    </w:rPr>
                  </w:pPr>
                  <w:r>
                    <w:rPr>
                      <w:rFonts w:hint="eastAsia" w:ascii="Times New Roman" w:hAnsi="Times New Roman" w:eastAsia="宋体" w:cs="Times New Roman"/>
                      <w:color w:val="auto"/>
                      <w:kern w:val="0"/>
                      <w:sz w:val="21"/>
                      <w:szCs w:val="21"/>
                      <w:lang w:val="en-US" w:eastAsia="zh-CN"/>
                    </w:rPr>
                    <w:t>分子式</w:t>
                  </w:r>
                  <w:r>
                    <w:rPr>
                      <w:rFonts w:hint="default" w:ascii="Times New Roman" w:hAnsi="Times New Roman" w:eastAsia="宋体" w:cs="Times New Roman"/>
                      <w:color w:val="auto"/>
                      <w:kern w:val="0"/>
                      <w:sz w:val="21"/>
                      <w:szCs w:val="21"/>
                      <w:lang w:val="en-US" w:eastAsia="zh-CN"/>
                    </w:rPr>
                    <w:t>C</w:t>
                  </w:r>
                  <w:r>
                    <w:rPr>
                      <w:rFonts w:hint="default"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lang w:val="en-US" w:eastAsia="zh-CN"/>
                    </w:rPr>
                    <w:t>H</w:t>
                  </w:r>
                  <w:r>
                    <w:rPr>
                      <w:rFonts w:hint="default" w:ascii="Times New Roman" w:hAnsi="Times New Roman" w:eastAsia="宋体" w:cs="Times New Roman"/>
                      <w:color w:val="auto"/>
                      <w:kern w:val="0"/>
                      <w:sz w:val="21"/>
                      <w:szCs w:val="21"/>
                      <w:vertAlign w:val="subscript"/>
                      <w:lang w:val="en-US" w:eastAsia="zh-CN"/>
                    </w:rPr>
                    <w:t>6</w:t>
                  </w:r>
                  <w:r>
                    <w:rPr>
                      <w:rFonts w:hint="default" w:ascii="Times New Roman" w:hAnsi="Times New Roman" w:eastAsia="宋体" w:cs="Times New Roman"/>
                      <w:color w:val="auto"/>
                      <w:kern w:val="0"/>
                      <w:sz w:val="21"/>
                      <w:szCs w:val="21"/>
                      <w:lang w:val="en-US" w:eastAsia="zh-CN"/>
                    </w:rPr>
                    <w:t>O</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无色易液化气体，</w:t>
                  </w:r>
                  <w:r>
                    <w:rPr>
                      <w:rFonts w:hint="eastAsia" w:ascii="Times New Roman" w:hAnsi="Times New Roman" w:eastAsia="宋体" w:cs="Times New Roman"/>
                      <w:color w:val="auto"/>
                      <w:kern w:val="0"/>
                      <w:sz w:val="21"/>
                      <w:szCs w:val="21"/>
                      <w:lang w:val="en-US" w:eastAsia="zh-CN"/>
                    </w:rPr>
                    <w:t>闪点-41</w:t>
                  </w:r>
                  <w:r>
                    <w:rPr>
                      <w:rFonts w:hint="default" w:ascii="Times New Roman" w:hAnsi="Times New Roman" w:eastAsia="宋体" w:cs="Times New Roman"/>
                      <w:color w:val="auto"/>
                      <w:kern w:val="0"/>
                      <w:sz w:val="21"/>
                      <w:szCs w:val="21"/>
                      <w:lang w:val="en-US" w:eastAsia="zh-CN"/>
                    </w:rPr>
                    <w:t>°C</w:t>
                  </w:r>
                  <w:r>
                    <w:rPr>
                      <w:rFonts w:hint="eastAsia" w:ascii="Times New Roman" w:hAnsi="Times New Roman" w:eastAsia="宋体" w:cs="Times New Roman"/>
                      <w:color w:val="auto"/>
                      <w:kern w:val="0"/>
                      <w:sz w:val="21"/>
                      <w:szCs w:val="21"/>
                      <w:lang w:val="en-US" w:eastAsia="zh-CN"/>
                    </w:rPr>
                    <w:t>，熔点</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41</w:t>
                  </w:r>
                  <w:r>
                    <w:rPr>
                      <w:rFonts w:hint="default" w:ascii="Times New Roman" w:hAnsi="Times New Roman" w:eastAsia="宋体" w:cs="Times New Roman"/>
                      <w:color w:val="auto"/>
                      <w:kern w:val="0"/>
                      <w:sz w:val="21"/>
                      <w:szCs w:val="21"/>
                      <w:lang w:val="en-US" w:eastAsia="zh-CN"/>
                    </w:rPr>
                    <w:t>°C</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沸点：</w:t>
                  </w:r>
                  <w:r>
                    <w:rPr>
                      <w:rFonts w:hint="eastAsia" w:ascii="Times New Roman" w:hAnsi="Times New Roman" w:eastAsia="宋体" w:cs="Times New Roman"/>
                      <w:color w:val="auto"/>
                      <w:kern w:val="0"/>
                      <w:sz w:val="21"/>
                      <w:szCs w:val="21"/>
                      <w:lang w:val="en-US" w:eastAsia="zh-CN"/>
                    </w:rPr>
                    <w:t>-24.8</w:t>
                  </w:r>
                  <w:r>
                    <w:rPr>
                      <w:rFonts w:hint="default" w:ascii="Times New Roman" w:hAnsi="Times New Roman" w:eastAsia="宋体" w:cs="Times New Roman"/>
                      <w:color w:val="auto"/>
                      <w:kern w:val="0"/>
                      <w:sz w:val="21"/>
                      <w:szCs w:val="21"/>
                      <w:lang w:val="en-US" w:eastAsia="zh-CN"/>
                    </w:rPr>
                    <w:t xml:space="preserve"> °C，燃烧时火焰略带光亮。 溶于水、汽油、四氯化碳、苯、氯苯、丙酮及乙酸甲酯。</w:t>
                  </w:r>
                </w:p>
              </w:tc>
              <w:tc>
                <w:tcPr>
                  <w:tcW w:w="803" w:type="dxa"/>
                  <w:tcBorders>
                    <w:left w:val="single" w:color="000000" w:sz="2" w:space="0"/>
                    <w:right w:val="single" w:color="000000" w:sz="2" w:space="0"/>
                  </w:tcBorders>
                  <w:vAlign w:val="center"/>
                </w:tcPr>
                <w:p w14:paraId="2188DBA2">
                  <w:pPr>
                    <w:pStyle w:val="8"/>
                    <w:adjustRightInd w:val="0"/>
                    <w:spacing w:before="0" w:after="0" w:line="240" w:lineRule="auto"/>
                    <w:ind w:right="0" w:right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易燃易爆</w:t>
                  </w:r>
                </w:p>
              </w:tc>
              <w:tc>
                <w:tcPr>
                  <w:tcW w:w="1339" w:type="dxa"/>
                  <w:tcBorders>
                    <w:left w:val="single" w:color="000000" w:sz="2" w:space="0"/>
                  </w:tcBorders>
                  <w:vAlign w:val="center"/>
                </w:tcPr>
                <w:p w14:paraId="013A30CC">
                  <w:pPr>
                    <w:pStyle w:val="8"/>
                    <w:adjustRightInd w:val="0"/>
                    <w:spacing w:before="0" w:after="0" w:line="240" w:lineRule="auto"/>
                    <w:ind w:right="0" w:rightChars="0"/>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LC</w:t>
                  </w:r>
                  <w:r>
                    <w:rPr>
                      <w:rFonts w:hint="default" w:ascii="Times New Roman" w:hAnsi="Times New Roman" w:eastAsia="宋体" w:cs="Times New Roman"/>
                      <w:color w:val="auto"/>
                      <w:kern w:val="0"/>
                      <w:sz w:val="21"/>
                      <w:szCs w:val="21"/>
                      <w:vertAlign w:val="subscript"/>
                      <w:lang w:val="en-US" w:eastAsia="zh-CN"/>
                    </w:rPr>
                    <w:t>50</w:t>
                  </w:r>
                  <w:r>
                    <w:rPr>
                      <w:rFonts w:hint="default" w:ascii="Times New Roman" w:hAnsi="Times New Roman" w:eastAsia="宋体" w:cs="Times New Roman"/>
                      <w:color w:val="auto"/>
                      <w:kern w:val="0"/>
                      <w:sz w:val="21"/>
                      <w:szCs w:val="21"/>
                      <w:lang w:val="en-US" w:eastAsia="zh-CN"/>
                    </w:rPr>
                    <w:t>: 308000</w:t>
                  </w:r>
                  <w:r>
                    <w:rPr>
                      <w:rFonts w:hint="eastAsia" w:ascii="Times New Roman" w:hAnsi="Times New Roman" w:eastAsia="宋体" w:cs="Times New Roman"/>
                      <w:color w:val="auto"/>
                      <w:kern w:val="0"/>
                      <w:sz w:val="21"/>
                      <w:szCs w:val="21"/>
                      <w:lang w:val="en-US" w:eastAsia="zh-CN"/>
                    </w:rPr>
                    <w:t>mg</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m</w:t>
                  </w:r>
                  <w:r>
                    <w:rPr>
                      <w:rFonts w:hint="eastAsia" w:ascii="Times New Roman" w:hAnsi="Times New Roman" w:eastAsia="宋体" w:cs="Times New Roman"/>
                      <w:color w:val="auto"/>
                      <w:kern w:val="0"/>
                      <w:sz w:val="21"/>
                      <w:szCs w:val="21"/>
                      <w:vertAlign w:val="superscript"/>
                      <w:lang w:val="en-US" w:eastAsia="zh-CN"/>
                    </w:rPr>
                    <w:t>3</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大鼠</w:t>
                  </w:r>
                  <w:r>
                    <w:rPr>
                      <w:rFonts w:hint="eastAsia" w:ascii="Times New Roman" w:hAnsi="Times New Roman" w:eastAsia="宋体" w:cs="Times New Roman"/>
                      <w:color w:val="auto"/>
                      <w:kern w:val="0"/>
                      <w:sz w:val="21"/>
                      <w:szCs w:val="21"/>
                      <w:lang w:val="en-US" w:eastAsia="zh-CN"/>
                    </w:rPr>
                    <w:t>吸入）</w:t>
                  </w:r>
                </w:p>
              </w:tc>
            </w:tr>
            <w:tr w14:paraId="406A399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51951430">
                  <w:pPr>
                    <w:keepNext w:val="0"/>
                    <w:keepLines w:val="0"/>
                    <w:widowControl/>
                    <w:suppressLineNumbers w:val="0"/>
                    <w:jc w:val="center"/>
                    <w:textAlignment w:val="center"/>
                    <w:rPr>
                      <w:rFonts w:hint="eastAsia"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丁二酸</w:t>
                  </w:r>
                </w:p>
              </w:tc>
              <w:tc>
                <w:tcPr>
                  <w:tcW w:w="5402" w:type="dxa"/>
                  <w:tcBorders>
                    <w:right w:val="single" w:color="000000" w:sz="2" w:space="0"/>
                  </w:tcBorders>
                  <w:vAlign w:val="center"/>
                </w:tcPr>
                <w:p w14:paraId="28DB597E">
                  <w:pPr>
                    <w:pStyle w:val="8"/>
                    <w:adjustRightInd w:val="0"/>
                    <w:spacing w:before="0" w:after="0" w:line="240" w:lineRule="auto"/>
                    <w:ind w:right="0" w:rightChars="0"/>
                    <w:rPr>
                      <w:rFonts w:hint="eastAsia" w:ascii="Times New Roman" w:hAnsi="Times New Roman" w:eastAsia="宋体"/>
                      <w:color w:val="auto"/>
                      <w:sz w:val="21"/>
                      <w:szCs w:val="21"/>
                      <w:shd w:val="clear" w:color="auto" w:fill="FFFFFF"/>
                      <w:lang w:val="en-US" w:eastAsia="zh-CN"/>
                    </w:rPr>
                  </w:pPr>
                  <w:r>
                    <w:rPr>
                      <w:rFonts w:hint="eastAsia" w:ascii="Times New Roman" w:hAnsi="Times New Roman" w:eastAsia="宋体" w:cs="Times New Roman"/>
                      <w:color w:val="auto"/>
                      <w:sz w:val="21"/>
                      <w:szCs w:val="21"/>
                      <w:lang w:val="en-US" w:eastAsia="zh-CN"/>
                    </w:rPr>
                    <w:t>分子式</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6</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4</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无色结晶体，味酸</w:t>
                  </w:r>
                  <w:r>
                    <w:rPr>
                      <w:rFonts w:hint="eastAsia" w:ascii="Times New Roman" w:hAnsi="Times New Roman" w:eastAsia="宋体" w:cs="Times New Roman"/>
                      <w:color w:val="auto"/>
                      <w:sz w:val="21"/>
                      <w:szCs w:val="21"/>
                      <w:lang w:val="en-US" w:eastAsia="zh-CN"/>
                    </w:rPr>
                    <w:t>，熔点185</w:t>
                  </w:r>
                  <w:r>
                    <w:rPr>
                      <w:rFonts w:hint="default" w:ascii="Times New Roman" w:hAnsi="Times New Roman" w:eastAsia="宋体" w:cs="Times New Roman"/>
                      <w:color w:val="auto"/>
                      <w:sz w:val="21"/>
                      <w:szCs w:val="21"/>
                      <w:lang w:val="en-US" w:eastAsia="zh-CN"/>
                    </w:rPr>
                    <w:t>°C</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沸点：</w:t>
                  </w:r>
                  <w:r>
                    <w:rPr>
                      <w:rFonts w:hint="eastAsia" w:ascii="Times New Roman" w:hAnsi="Times New Roman" w:eastAsia="宋体" w:cs="Times New Roman"/>
                      <w:color w:val="auto"/>
                      <w:sz w:val="21"/>
                      <w:szCs w:val="21"/>
                      <w:lang w:val="en-US" w:eastAsia="zh-CN"/>
                    </w:rPr>
                    <w:t>235</w:t>
                  </w:r>
                  <w:r>
                    <w:rPr>
                      <w:rFonts w:hint="default" w:ascii="Times New Roman" w:hAnsi="Times New Roman" w:eastAsia="宋体" w:cs="Times New Roman"/>
                      <w:color w:val="auto"/>
                      <w:sz w:val="21"/>
                      <w:szCs w:val="21"/>
                      <w:lang w:val="en-US" w:eastAsia="zh-CN"/>
                    </w:rPr>
                    <w:t>°C， 溶于水、乙醇和乙醚。不溶于氯仿、二氯甲烷。</w:t>
                  </w:r>
                </w:p>
              </w:tc>
              <w:tc>
                <w:tcPr>
                  <w:tcW w:w="803" w:type="dxa"/>
                  <w:tcBorders>
                    <w:left w:val="single" w:color="000000" w:sz="2" w:space="0"/>
                    <w:right w:val="single" w:color="000000" w:sz="2" w:space="0"/>
                  </w:tcBorders>
                  <w:vAlign w:val="center"/>
                </w:tcPr>
                <w:p w14:paraId="34737F81">
                  <w:pPr>
                    <w:pStyle w:val="8"/>
                    <w:adjustRightInd w:val="0"/>
                    <w:spacing w:before="0" w:after="0" w:line="240" w:lineRule="auto"/>
                    <w:ind w:right="0" w:rightChars="0"/>
                    <w:jc w:val="center"/>
                    <w:rPr>
                      <w:rFonts w:hint="default" w:ascii="Times New Roman" w:hAnsi="Times New Roman" w:eastAsia="宋体"/>
                      <w:color w:val="auto"/>
                      <w:sz w:val="21"/>
                      <w:szCs w:val="21"/>
                      <w:shd w:val="clear" w:color="auto" w:fill="FFFFFF"/>
                      <w:lang w:val="en-US" w:eastAsia="zh-CN"/>
                    </w:rPr>
                  </w:pPr>
                  <w:r>
                    <w:rPr>
                      <w:rFonts w:hint="default" w:ascii="Times New Roman" w:hAnsi="Times New Roman" w:eastAsia="宋体" w:cs="Times New Roman"/>
                      <w:color w:val="auto"/>
                      <w:sz w:val="21"/>
                      <w:szCs w:val="21"/>
                      <w:lang w:val="en-US" w:eastAsia="zh-CN"/>
                    </w:rPr>
                    <w:t>不燃</w:t>
                  </w:r>
                </w:p>
              </w:tc>
              <w:tc>
                <w:tcPr>
                  <w:tcW w:w="1339" w:type="dxa"/>
                  <w:tcBorders>
                    <w:left w:val="single" w:color="000000" w:sz="2" w:space="0"/>
                  </w:tcBorders>
                  <w:vAlign w:val="center"/>
                </w:tcPr>
                <w:p w14:paraId="2CA32CC9">
                  <w:pPr>
                    <w:pStyle w:val="8"/>
                    <w:adjustRightInd w:val="0"/>
                    <w:spacing w:before="0" w:after="0" w:line="240" w:lineRule="auto"/>
                    <w:ind w:right="0" w:rightChars="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LD</w:t>
                  </w:r>
                  <w:r>
                    <w:rPr>
                      <w:rFonts w:hint="default" w:ascii="Times New Roman" w:hAnsi="Times New Roman" w:eastAsia="宋体" w:cs="Times New Roman"/>
                      <w:color w:val="auto"/>
                      <w:sz w:val="21"/>
                      <w:szCs w:val="21"/>
                      <w:vertAlign w:val="subscript"/>
                      <w:lang w:val="en-US" w:eastAsia="zh-CN"/>
                    </w:rPr>
                    <w:t>50</w:t>
                  </w:r>
                  <w:r>
                    <w:rPr>
                      <w:rFonts w:hint="eastAsia" w:ascii="Times New Roman" w:hAnsi="Times New Roman" w:eastAsia="宋体" w:cs="Times New Roman"/>
                      <w:color w:val="auto"/>
                      <w:sz w:val="21"/>
                      <w:szCs w:val="21"/>
                      <w:vertAlign w:val="subscript"/>
                      <w:lang w:val="en-US" w:eastAsia="zh-CN"/>
                    </w:rPr>
                    <w:t>：</w:t>
                  </w:r>
                  <w:r>
                    <w:rPr>
                      <w:rFonts w:hint="default" w:ascii="Times New Roman" w:hAnsi="Times New Roman" w:eastAsia="宋体" w:cs="Times New Roman"/>
                      <w:color w:val="auto"/>
                      <w:sz w:val="21"/>
                      <w:szCs w:val="21"/>
                      <w:lang w:val="en-US" w:eastAsia="zh-CN"/>
                    </w:rPr>
                    <w:t>2260mg/kg(大鼠，经口)。</w:t>
                  </w:r>
                </w:p>
              </w:tc>
            </w:tr>
            <w:tr w14:paraId="2810C15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1BED1A94">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柠檬酸</w:t>
                  </w:r>
                </w:p>
              </w:tc>
              <w:tc>
                <w:tcPr>
                  <w:tcW w:w="5402" w:type="dxa"/>
                  <w:tcBorders>
                    <w:right w:val="single" w:color="000000" w:sz="2" w:space="0"/>
                  </w:tcBorders>
                  <w:vAlign w:val="center"/>
                </w:tcPr>
                <w:p w14:paraId="4389C99E">
                  <w:pPr>
                    <w:pStyle w:val="8"/>
                    <w:adjustRightInd w:val="0"/>
                    <w:spacing w:before="0" w:after="0" w:line="240" w:lineRule="auto"/>
                    <w:ind w:right="0" w:right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分子式</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6</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8</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7</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白色半透明晶体或粉末</w:t>
                  </w:r>
                  <w:r>
                    <w:rPr>
                      <w:rFonts w:hint="eastAsia" w:ascii="Times New Roman" w:hAnsi="Times New Roman" w:eastAsia="宋体" w:cs="Times New Roman"/>
                      <w:color w:val="auto"/>
                      <w:sz w:val="21"/>
                      <w:szCs w:val="21"/>
                      <w:lang w:val="en-US" w:eastAsia="zh-CN"/>
                    </w:rPr>
                    <w:t>，熔点153-159</w:t>
                  </w:r>
                  <w:r>
                    <w:rPr>
                      <w:rFonts w:hint="default" w:ascii="Times New Roman" w:hAnsi="Times New Roman" w:eastAsia="宋体" w:cs="Times New Roman"/>
                      <w:color w:val="auto"/>
                      <w:sz w:val="21"/>
                      <w:szCs w:val="21"/>
                      <w:lang w:val="en-US" w:eastAsia="zh-CN"/>
                    </w:rPr>
                    <w:t>°C</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沸点：</w:t>
                  </w:r>
                  <w:r>
                    <w:rPr>
                      <w:rFonts w:hint="eastAsia" w:ascii="Times New Roman" w:hAnsi="Times New Roman" w:eastAsia="宋体" w:cs="Times New Roman"/>
                      <w:color w:val="auto"/>
                      <w:sz w:val="21"/>
                      <w:szCs w:val="21"/>
                      <w:lang w:val="en-US" w:eastAsia="zh-CN"/>
                    </w:rPr>
                    <w:t>248</w:t>
                  </w:r>
                  <w:r>
                    <w:rPr>
                      <w:rFonts w:hint="default" w:ascii="Times New Roman" w:hAnsi="Times New Roman" w:eastAsia="宋体" w:cs="Times New Roman"/>
                      <w:color w:val="auto"/>
                      <w:sz w:val="21"/>
                      <w:szCs w:val="21"/>
                      <w:lang w:val="en-US" w:eastAsia="zh-CN"/>
                    </w:rPr>
                    <w:t>°C，易溶于水和乙醇，溶于乙醚。</w:t>
                  </w:r>
                </w:p>
              </w:tc>
              <w:tc>
                <w:tcPr>
                  <w:tcW w:w="803" w:type="dxa"/>
                  <w:tcBorders>
                    <w:left w:val="single" w:color="000000" w:sz="2" w:space="0"/>
                    <w:right w:val="single" w:color="000000" w:sz="2" w:space="0"/>
                  </w:tcBorders>
                  <w:vAlign w:val="center"/>
                </w:tcPr>
                <w:p w14:paraId="56AB88FE">
                  <w:pPr>
                    <w:pStyle w:val="8"/>
                    <w:adjustRightInd w:val="0"/>
                    <w:spacing w:before="0" w:after="0" w:line="240" w:lineRule="auto"/>
                    <w:ind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不燃</w:t>
                  </w:r>
                </w:p>
              </w:tc>
              <w:tc>
                <w:tcPr>
                  <w:tcW w:w="1339" w:type="dxa"/>
                  <w:tcBorders>
                    <w:left w:val="single" w:color="000000" w:sz="2" w:space="0"/>
                  </w:tcBorders>
                  <w:vAlign w:val="center"/>
                </w:tcPr>
                <w:p w14:paraId="2D26BF5F">
                  <w:pPr>
                    <w:pStyle w:val="8"/>
                    <w:adjustRightInd w:val="0"/>
                    <w:spacing w:before="0" w:after="0" w:line="240" w:lineRule="auto"/>
                    <w:ind w:right="0" w:righ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无资料</w:t>
                  </w:r>
                </w:p>
              </w:tc>
            </w:tr>
            <w:tr w14:paraId="7492D81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23" w:hRule="atLeast"/>
                <w:jc w:val="center"/>
              </w:trPr>
              <w:tc>
                <w:tcPr>
                  <w:tcW w:w="863" w:type="dxa"/>
                  <w:vAlign w:val="center"/>
                </w:tcPr>
                <w:p w14:paraId="7E7A17C5">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酒石酸</w:t>
                  </w:r>
                </w:p>
              </w:tc>
              <w:tc>
                <w:tcPr>
                  <w:tcW w:w="5402" w:type="dxa"/>
                  <w:tcBorders>
                    <w:right w:val="single" w:color="000000" w:sz="2" w:space="0"/>
                  </w:tcBorders>
                  <w:vAlign w:val="center"/>
                </w:tcPr>
                <w:p w14:paraId="1B57222B">
                  <w:pPr>
                    <w:pStyle w:val="8"/>
                    <w:adjustRightInd w:val="0"/>
                    <w:spacing w:before="0" w:after="0" w:line="240" w:lineRule="auto"/>
                    <w:ind w:right="0" w:right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分子式</w:t>
                  </w: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4</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6</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6</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白色粉末</w:t>
                  </w:r>
                  <w:r>
                    <w:rPr>
                      <w:rFonts w:hint="eastAsia" w:ascii="Times New Roman" w:hAnsi="Times New Roman" w:eastAsia="宋体" w:cs="Times New Roman"/>
                      <w:color w:val="auto"/>
                      <w:sz w:val="21"/>
                      <w:szCs w:val="21"/>
                      <w:lang w:val="en-US" w:eastAsia="zh-CN"/>
                    </w:rPr>
                    <w:t>，熔点159-171</w:t>
                  </w:r>
                  <w:r>
                    <w:rPr>
                      <w:rFonts w:hint="default" w:ascii="Times New Roman" w:hAnsi="Times New Roman" w:eastAsia="宋体" w:cs="Times New Roman"/>
                      <w:color w:val="auto"/>
                      <w:sz w:val="21"/>
                      <w:szCs w:val="21"/>
                      <w:lang w:val="en-US" w:eastAsia="zh-CN"/>
                    </w:rPr>
                    <w:t>°C</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沸点：399.3±42.0 °C，易溶于水和乙醇，溶于乙醚。</w:t>
                  </w:r>
                </w:p>
              </w:tc>
              <w:tc>
                <w:tcPr>
                  <w:tcW w:w="803" w:type="dxa"/>
                  <w:tcBorders>
                    <w:left w:val="single" w:color="000000" w:sz="2" w:space="0"/>
                    <w:right w:val="single" w:color="000000" w:sz="2" w:space="0"/>
                  </w:tcBorders>
                  <w:vAlign w:val="center"/>
                </w:tcPr>
                <w:p w14:paraId="173A7F3B">
                  <w:pPr>
                    <w:pStyle w:val="8"/>
                    <w:adjustRightInd w:val="0"/>
                    <w:spacing w:before="0" w:after="0" w:line="240" w:lineRule="auto"/>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不燃</w:t>
                  </w:r>
                </w:p>
              </w:tc>
              <w:tc>
                <w:tcPr>
                  <w:tcW w:w="1339" w:type="dxa"/>
                  <w:tcBorders>
                    <w:left w:val="single" w:color="000000" w:sz="2" w:space="0"/>
                  </w:tcBorders>
                  <w:vAlign w:val="center"/>
                </w:tcPr>
                <w:p w14:paraId="04681C49">
                  <w:pPr>
                    <w:pStyle w:val="8"/>
                    <w:adjustRightInd w:val="0"/>
                    <w:spacing w:before="0" w:after="0" w:line="240" w:lineRule="auto"/>
                    <w:ind w:right="0" w:righ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无资料</w:t>
                  </w:r>
                </w:p>
              </w:tc>
            </w:tr>
          </w:tbl>
          <w:p w14:paraId="4B30B5F7">
            <w:pPr>
              <w:adjustRightInd w:val="0"/>
              <w:snapToGrid w:val="0"/>
              <w:spacing w:line="500" w:lineRule="exact"/>
              <w:ind w:firstLine="241" w:firstLineChars="1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、主要生产设施</w:t>
            </w:r>
          </w:p>
          <w:p w14:paraId="76EA7F4C">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本项目设备情况见</w:t>
            </w:r>
            <w:r>
              <w:rPr>
                <w:rFonts w:hint="default" w:ascii="Times New Roman" w:hAnsi="Times New Roman" w:cs="Times New Roman"/>
                <w:color w:val="auto"/>
                <w:kern w:val="0"/>
                <w:sz w:val="24"/>
                <w:lang w:eastAsia="zh-CN"/>
              </w:rPr>
              <w:t>下</w:t>
            </w:r>
            <w:r>
              <w:rPr>
                <w:rFonts w:hint="default" w:ascii="Times New Roman" w:hAnsi="Times New Roman" w:cs="Times New Roman"/>
                <w:color w:val="auto"/>
                <w:kern w:val="0"/>
                <w:sz w:val="24"/>
              </w:rPr>
              <w:t>表</w:t>
            </w:r>
            <w:r>
              <w:rPr>
                <w:rFonts w:hint="default" w:ascii="Times New Roman" w:hAnsi="Times New Roman" w:cs="Times New Roman"/>
                <w:color w:val="auto"/>
                <w:sz w:val="24"/>
              </w:rPr>
              <w:t>。</w:t>
            </w:r>
          </w:p>
          <w:p w14:paraId="0ED7F8C4">
            <w:pPr>
              <w:adjustRightInd w:val="0"/>
              <w:snapToGrid w:val="0"/>
              <w:spacing w:line="50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本项目主要生产设备一览表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1216"/>
              <w:gridCol w:w="2370"/>
              <w:gridCol w:w="2382"/>
              <w:gridCol w:w="1510"/>
              <w:gridCol w:w="1136"/>
            </w:tblGrid>
            <w:tr w14:paraId="54291EF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PrEx>
              <w:trPr>
                <w:trHeight w:val="340" w:hRule="atLeast"/>
                <w:jc w:val="center"/>
              </w:trPr>
              <w:tc>
                <w:tcPr>
                  <w:tcW w:w="706" w:type="pct"/>
                  <w:vAlign w:val="center"/>
                </w:tcPr>
                <w:p w14:paraId="5EF326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375" w:type="pct"/>
                  <w:vAlign w:val="center"/>
                </w:tcPr>
                <w:p w14:paraId="5A47AE8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82" w:type="pct"/>
                  <w:vAlign w:val="center"/>
                </w:tcPr>
                <w:p w14:paraId="6F9068B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规格、型号</w:t>
                  </w:r>
                </w:p>
              </w:tc>
              <w:tc>
                <w:tcPr>
                  <w:tcW w:w="876" w:type="pct"/>
                  <w:tcBorders>
                    <w:bottom w:val="single" w:color="auto" w:sz="4" w:space="0"/>
                  </w:tcBorders>
                  <w:vAlign w:val="center"/>
                </w:tcPr>
                <w:p w14:paraId="0FD7472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数量（台/套）</w:t>
                  </w:r>
                </w:p>
              </w:tc>
              <w:tc>
                <w:tcPr>
                  <w:tcW w:w="659" w:type="pct"/>
                  <w:vAlign w:val="center"/>
                </w:tcPr>
                <w:p w14:paraId="586B2E29">
                  <w:pPr>
                    <w:pStyle w:val="86"/>
                    <w:spacing w:beforeLines="0" w:line="240" w:lineRule="auto"/>
                    <w:ind w:firstLine="0" w:firstLineChars="0"/>
                    <w:jc w:val="center"/>
                    <w:rPr>
                      <w:rFonts w:hint="default" w:ascii="Times New Roman" w:hAnsi="Times New Roman" w:eastAsia="宋体" w:cs="Times New Roman"/>
                      <w:b/>
                      <w:bCs/>
                      <w:color w:val="auto"/>
                      <w:sz w:val="21"/>
                      <w:szCs w:val="21"/>
                      <w:lang w:eastAsia="zh-CN"/>
                    </w:rPr>
                  </w:pPr>
                  <w:r>
                    <w:rPr>
                      <w:rFonts w:hint="eastAsia" w:cs="Times New Roman"/>
                      <w:b/>
                      <w:color w:val="auto"/>
                      <w:sz w:val="21"/>
                      <w:szCs w:val="21"/>
                      <w:lang w:val="en-US" w:eastAsia="zh-CN"/>
                    </w:rPr>
                    <w:t>备注</w:t>
                  </w:r>
                </w:p>
              </w:tc>
            </w:tr>
            <w:tr w14:paraId="75A777D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restart"/>
                  <w:vAlign w:val="center"/>
                </w:tcPr>
                <w:p w14:paraId="18ED22D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生产设备</w:t>
                  </w:r>
                </w:p>
              </w:tc>
              <w:tc>
                <w:tcPr>
                  <w:tcW w:w="1375" w:type="pct"/>
                  <w:vAlign w:val="center"/>
                </w:tcPr>
                <w:p w14:paraId="4FAB711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漆包线包膜机</w:t>
                  </w:r>
                </w:p>
              </w:tc>
              <w:tc>
                <w:tcPr>
                  <w:tcW w:w="1382" w:type="pct"/>
                  <w:vAlign w:val="center"/>
                </w:tcPr>
                <w:p w14:paraId="01190DB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QZ-RP350</w:t>
                  </w:r>
                </w:p>
              </w:tc>
              <w:tc>
                <w:tcPr>
                  <w:tcW w:w="876" w:type="pct"/>
                  <w:tcBorders>
                    <w:right w:val="single" w:color="auto" w:sz="4" w:space="0"/>
                  </w:tcBorders>
                  <w:vAlign w:val="center"/>
                </w:tcPr>
                <w:p w14:paraId="37F3D34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659" w:type="pct"/>
                  <w:tcBorders>
                    <w:left w:val="single" w:color="auto" w:sz="4" w:space="0"/>
                  </w:tcBorders>
                  <w:vAlign w:val="center"/>
                </w:tcPr>
                <w:p w14:paraId="208346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绞线、包膜</w:t>
                  </w:r>
                </w:p>
              </w:tc>
            </w:tr>
            <w:tr w14:paraId="198E8B4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1104B7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466CAF53">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裁线机</w:t>
                  </w:r>
                </w:p>
              </w:tc>
              <w:tc>
                <w:tcPr>
                  <w:tcW w:w="1382" w:type="pct"/>
                  <w:vAlign w:val="center"/>
                </w:tcPr>
                <w:p w14:paraId="5608060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JH-636LC-4M</w:t>
                  </w:r>
                </w:p>
              </w:tc>
              <w:tc>
                <w:tcPr>
                  <w:tcW w:w="876" w:type="pct"/>
                  <w:tcBorders>
                    <w:right w:val="single" w:color="auto" w:sz="4" w:space="0"/>
                  </w:tcBorders>
                  <w:vAlign w:val="center"/>
                </w:tcPr>
                <w:p w14:paraId="5EEBB15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659" w:type="pct"/>
                  <w:tcBorders>
                    <w:left w:val="single" w:color="auto" w:sz="4" w:space="0"/>
                  </w:tcBorders>
                  <w:vAlign w:val="center"/>
                </w:tcPr>
                <w:p w14:paraId="7225542D">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切线</w:t>
                  </w:r>
                </w:p>
              </w:tc>
            </w:tr>
            <w:tr w14:paraId="34A8EB0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67B69B9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1F8C61C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精准匝数环绕机</w:t>
                  </w:r>
                </w:p>
              </w:tc>
              <w:tc>
                <w:tcPr>
                  <w:tcW w:w="1382" w:type="pct"/>
                  <w:vAlign w:val="center"/>
                </w:tcPr>
                <w:p w14:paraId="779D04EC">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KZQ-3T</w:t>
                  </w:r>
                </w:p>
              </w:tc>
              <w:tc>
                <w:tcPr>
                  <w:tcW w:w="876" w:type="pct"/>
                  <w:tcBorders>
                    <w:right w:val="single" w:color="auto" w:sz="4" w:space="0"/>
                  </w:tcBorders>
                  <w:vAlign w:val="center"/>
                </w:tcPr>
                <w:p w14:paraId="032E36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w:t>
                  </w:r>
                </w:p>
              </w:tc>
              <w:tc>
                <w:tcPr>
                  <w:tcW w:w="659" w:type="pct"/>
                  <w:tcBorders>
                    <w:top w:val="single" w:color="auto" w:sz="4" w:space="0"/>
                    <w:left w:val="single" w:color="auto" w:sz="4" w:space="0"/>
                  </w:tcBorders>
                  <w:vAlign w:val="center"/>
                </w:tcPr>
                <w:p w14:paraId="144180C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绕线圈</w:t>
                  </w:r>
                </w:p>
              </w:tc>
            </w:tr>
            <w:tr w14:paraId="75A1C79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C3EFD5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531F20A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磁环绕线机</w:t>
                  </w:r>
                </w:p>
              </w:tc>
              <w:tc>
                <w:tcPr>
                  <w:tcW w:w="1382" w:type="pct"/>
                  <w:vAlign w:val="center"/>
                </w:tcPr>
                <w:p w14:paraId="6DADAAB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1000W</w:t>
                  </w:r>
                </w:p>
              </w:tc>
              <w:tc>
                <w:tcPr>
                  <w:tcW w:w="876" w:type="pct"/>
                  <w:tcBorders>
                    <w:right w:val="single" w:color="auto" w:sz="4" w:space="0"/>
                  </w:tcBorders>
                  <w:vAlign w:val="center"/>
                </w:tcPr>
                <w:p w14:paraId="2552207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659" w:type="pct"/>
                  <w:tcBorders>
                    <w:top w:val="single" w:color="auto" w:sz="4" w:space="0"/>
                    <w:left w:val="single" w:color="auto" w:sz="4" w:space="0"/>
                  </w:tcBorders>
                  <w:vAlign w:val="center"/>
                </w:tcPr>
                <w:p w14:paraId="158ADED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绕线圈</w:t>
                  </w:r>
                </w:p>
              </w:tc>
            </w:tr>
            <w:tr w14:paraId="2F73525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1CD93EF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29BB069F">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静音端子机</w:t>
                  </w:r>
                </w:p>
              </w:tc>
              <w:tc>
                <w:tcPr>
                  <w:tcW w:w="1382" w:type="pct"/>
                  <w:vAlign w:val="center"/>
                </w:tcPr>
                <w:p w14:paraId="1C88C54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4T</w:t>
                  </w:r>
                </w:p>
              </w:tc>
              <w:tc>
                <w:tcPr>
                  <w:tcW w:w="876" w:type="pct"/>
                  <w:tcBorders>
                    <w:right w:val="single" w:color="auto" w:sz="4" w:space="0"/>
                  </w:tcBorders>
                  <w:vAlign w:val="center"/>
                </w:tcPr>
                <w:p w14:paraId="5FA8F555">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w:t>
                  </w:r>
                </w:p>
              </w:tc>
              <w:tc>
                <w:tcPr>
                  <w:tcW w:w="659" w:type="pct"/>
                  <w:tcBorders>
                    <w:top w:val="single" w:color="auto" w:sz="4" w:space="0"/>
                    <w:left w:val="single" w:color="auto" w:sz="4" w:space="0"/>
                  </w:tcBorders>
                  <w:vAlign w:val="center"/>
                </w:tcPr>
                <w:p w14:paraId="6BB53D71">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压接</w:t>
                  </w:r>
                </w:p>
              </w:tc>
            </w:tr>
            <w:tr w14:paraId="7B36A4F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02380A5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46941762">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锡炉</w:t>
                  </w:r>
                </w:p>
              </w:tc>
              <w:tc>
                <w:tcPr>
                  <w:tcW w:w="1382" w:type="pct"/>
                  <w:vAlign w:val="center"/>
                </w:tcPr>
                <w:p w14:paraId="35B2A96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400mm*100mm*40mm</w:t>
                  </w:r>
                </w:p>
              </w:tc>
              <w:tc>
                <w:tcPr>
                  <w:tcW w:w="876" w:type="pct"/>
                  <w:tcBorders>
                    <w:right w:val="single" w:color="auto" w:sz="4" w:space="0"/>
                  </w:tcBorders>
                  <w:vAlign w:val="center"/>
                </w:tcPr>
                <w:p w14:paraId="2105C7B7">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659" w:type="pct"/>
                  <w:tcBorders>
                    <w:top w:val="single" w:color="auto" w:sz="4" w:space="0"/>
                    <w:left w:val="single" w:color="auto" w:sz="4" w:space="0"/>
                  </w:tcBorders>
                  <w:vAlign w:val="center"/>
                </w:tcPr>
                <w:p w14:paraId="5656590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浸锡</w:t>
                  </w:r>
                </w:p>
              </w:tc>
            </w:tr>
            <w:tr w14:paraId="768B31A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44BD856E">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31D28F23">
                  <w:pPr>
                    <w:keepNext w:val="0"/>
                    <w:keepLines w:val="0"/>
                    <w:pageBreakBefore w:val="0"/>
                    <w:kinsoku/>
                    <w:wordWrap/>
                    <w:overflowPunct/>
                    <w:topLinePunct w:val="0"/>
                    <w:autoSpaceDE/>
                    <w:autoSpaceDN/>
                    <w:bidi w:val="0"/>
                    <w:adjustRightInd w:val="0"/>
                    <w:snapToGrid w:val="0"/>
                    <w:spacing w:line="240" w:lineRule="auto"/>
                    <w:ind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微电脑切带机</w:t>
                  </w:r>
                </w:p>
              </w:tc>
              <w:tc>
                <w:tcPr>
                  <w:tcW w:w="1382" w:type="pct"/>
                  <w:vAlign w:val="center"/>
                </w:tcPr>
                <w:p w14:paraId="51DB5D9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MRD-200S</w:t>
                  </w:r>
                </w:p>
              </w:tc>
              <w:tc>
                <w:tcPr>
                  <w:tcW w:w="876" w:type="pct"/>
                  <w:tcBorders>
                    <w:right w:val="single" w:color="auto" w:sz="4" w:space="0"/>
                  </w:tcBorders>
                  <w:vAlign w:val="center"/>
                </w:tcPr>
                <w:p w14:paraId="65E6003B">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659" w:type="pct"/>
                  <w:tcBorders>
                    <w:top w:val="single" w:color="auto" w:sz="4" w:space="0"/>
                    <w:left w:val="single" w:color="auto" w:sz="4" w:space="0"/>
                  </w:tcBorders>
                  <w:vAlign w:val="center"/>
                </w:tcPr>
                <w:p w14:paraId="246F3D3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热缩管裁切</w:t>
                  </w:r>
                </w:p>
              </w:tc>
            </w:tr>
            <w:tr w14:paraId="43B09AD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342BE1DF">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59A05C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远红外热收缩包装机</w:t>
                  </w:r>
                </w:p>
              </w:tc>
              <w:tc>
                <w:tcPr>
                  <w:tcW w:w="1382" w:type="pct"/>
                  <w:vAlign w:val="center"/>
                </w:tcPr>
                <w:p w14:paraId="041A91F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400X200</w:t>
                  </w:r>
                </w:p>
              </w:tc>
              <w:tc>
                <w:tcPr>
                  <w:tcW w:w="876" w:type="pct"/>
                  <w:tcBorders>
                    <w:right w:val="single" w:color="auto" w:sz="4" w:space="0"/>
                  </w:tcBorders>
                  <w:vAlign w:val="center"/>
                </w:tcPr>
                <w:p w14:paraId="4CB5575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659" w:type="pct"/>
                  <w:tcBorders>
                    <w:top w:val="single" w:color="auto" w:sz="4" w:space="0"/>
                    <w:left w:val="single" w:color="auto" w:sz="4" w:space="0"/>
                  </w:tcBorders>
                  <w:vAlign w:val="center"/>
                </w:tcPr>
                <w:p w14:paraId="3B833530">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热封</w:t>
                  </w:r>
                </w:p>
              </w:tc>
            </w:tr>
            <w:tr w14:paraId="45ADDB2E">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Merge w:val="continue"/>
                  <w:vAlign w:val="center"/>
                </w:tcPr>
                <w:p w14:paraId="27EDAFD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rPr>
                  </w:pPr>
                </w:p>
              </w:tc>
              <w:tc>
                <w:tcPr>
                  <w:tcW w:w="1375" w:type="pct"/>
                  <w:vAlign w:val="center"/>
                </w:tcPr>
                <w:p w14:paraId="49958DA2">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耐电压测试机</w:t>
                  </w:r>
                </w:p>
              </w:tc>
              <w:tc>
                <w:tcPr>
                  <w:tcW w:w="1382" w:type="pct"/>
                  <w:vAlign w:val="center"/>
                </w:tcPr>
                <w:p w14:paraId="1C1B60D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WB2670A</w:t>
                  </w:r>
                </w:p>
              </w:tc>
              <w:tc>
                <w:tcPr>
                  <w:tcW w:w="876" w:type="pct"/>
                  <w:tcBorders>
                    <w:right w:val="single" w:color="auto" w:sz="4" w:space="0"/>
                  </w:tcBorders>
                  <w:vAlign w:val="center"/>
                </w:tcPr>
                <w:p w14:paraId="3E012C34">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659" w:type="pct"/>
                  <w:tcBorders>
                    <w:top w:val="single" w:color="auto" w:sz="4" w:space="0"/>
                    <w:left w:val="single" w:color="auto" w:sz="4" w:space="0"/>
                  </w:tcBorders>
                  <w:vAlign w:val="center"/>
                </w:tcPr>
                <w:p w14:paraId="59376B09">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测试</w:t>
                  </w:r>
                </w:p>
              </w:tc>
            </w:tr>
            <w:tr w14:paraId="6E9A6E8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706" w:type="pct"/>
                  <w:vAlign w:val="center"/>
                </w:tcPr>
                <w:p w14:paraId="1B41644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公辅设备</w:t>
                  </w:r>
                </w:p>
              </w:tc>
              <w:tc>
                <w:tcPr>
                  <w:tcW w:w="1375" w:type="pct"/>
                  <w:vAlign w:val="center"/>
                </w:tcPr>
                <w:p w14:paraId="4E83DE6A">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空压机</w:t>
                  </w:r>
                </w:p>
              </w:tc>
              <w:tc>
                <w:tcPr>
                  <w:tcW w:w="1382" w:type="pct"/>
                  <w:vAlign w:val="center"/>
                </w:tcPr>
                <w:p w14:paraId="2E9FBCC8">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876" w:type="pct"/>
                  <w:tcBorders>
                    <w:right w:val="single" w:color="auto" w:sz="4" w:space="0"/>
                  </w:tcBorders>
                  <w:vAlign w:val="center"/>
                </w:tcPr>
                <w:p w14:paraId="44B406F6">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659" w:type="pct"/>
                  <w:tcBorders>
                    <w:left w:val="single" w:color="auto" w:sz="4" w:space="0"/>
                  </w:tcBorders>
                  <w:vAlign w:val="center"/>
                </w:tcPr>
                <w:p w14:paraId="070E75E5">
                  <w:pPr>
                    <w:keepNext w:val="0"/>
                    <w:keepLines w:val="0"/>
                    <w:pageBreakBefore w:val="0"/>
                    <w:kinsoku/>
                    <w:wordWrap/>
                    <w:overflowPunct/>
                    <w:topLinePunct w:val="0"/>
                    <w:autoSpaceDE/>
                    <w:autoSpaceDN/>
                    <w:bidi w:val="0"/>
                    <w:adjustRightInd w:val="0"/>
                    <w:snapToGrid w:val="0"/>
                    <w:spacing w:line="240" w:lineRule="auto"/>
                    <w:ind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供气</w:t>
                  </w:r>
                </w:p>
              </w:tc>
            </w:tr>
          </w:tbl>
          <w:p w14:paraId="56440679">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、主体、公用、辅助、储运、环保及依托工程</w:t>
            </w:r>
          </w:p>
          <w:p w14:paraId="56F4193E">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本项目</w:t>
            </w:r>
            <w:r>
              <w:rPr>
                <w:rFonts w:hint="default" w:ascii="Times New Roman" w:hAnsi="Times New Roman" w:cs="Times New Roman"/>
                <w:b/>
                <w:bCs/>
                <w:color w:val="auto"/>
                <w:sz w:val="21"/>
                <w:szCs w:val="21"/>
                <w:highlight w:val="none"/>
                <w:lang w:eastAsia="zh-CN"/>
              </w:rPr>
              <w:t>主体、</w:t>
            </w:r>
            <w:r>
              <w:rPr>
                <w:rFonts w:hint="default" w:ascii="Times New Roman" w:hAnsi="Times New Roman" w:cs="Times New Roman"/>
                <w:b/>
                <w:bCs/>
                <w:color w:val="auto"/>
                <w:sz w:val="21"/>
                <w:szCs w:val="21"/>
                <w:highlight w:val="none"/>
              </w:rPr>
              <w:t>公用、辅助、储运及环保工程一览表</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667"/>
              <w:gridCol w:w="1454"/>
              <w:gridCol w:w="2464"/>
              <w:gridCol w:w="3233"/>
            </w:tblGrid>
            <w:tr w14:paraId="1AE04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462" w:type="pct"/>
                  <w:noWrap w:val="0"/>
                  <w:vAlign w:val="center"/>
                </w:tcPr>
                <w:p w14:paraId="150C470B">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231" w:type="pct"/>
                  <w:gridSpan w:val="2"/>
                  <w:noWrap w:val="0"/>
                  <w:vAlign w:val="center"/>
                </w:tcPr>
                <w:p w14:paraId="70A8A6D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430" w:type="pct"/>
                  <w:noWrap w:val="0"/>
                  <w:vAlign w:val="center"/>
                </w:tcPr>
                <w:p w14:paraId="6AAA3DCE">
                  <w:pPr>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设计</w:t>
                  </w:r>
                  <w:r>
                    <w:rPr>
                      <w:rFonts w:hint="default" w:ascii="Times New Roman" w:hAnsi="Times New Roman" w:eastAsia="宋体" w:cs="Times New Roman"/>
                      <w:b/>
                      <w:bCs/>
                      <w:color w:val="auto"/>
                      <w:sz w:val="21"/>
                      <w:szCs w:val="21"/>
                    </w:rPr>
                    <w:t>能力</w:t>
                  </w:r>
                </w:p>
              </w:tc>
              <w:tc>
                <w:tcPr>
                  <w:tcW w:w="1876" w:type="pct"/>
                  <w:noWrap w:val="0"/>
                  <w:vAlign w:val="center"/>
                </w:tcPr>
                <w:p w14:paraId="2A189790">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683550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restart"/>
                  <w:noWrap w:val="0"/>
                  <w:vAlign w:val="center"/>
                </w:tcPr>
                <w:p w14:paraId="2D91303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231" w:type="pct"/>
                  <w:gridSpan w:val="2"/>
                  <w:noWrap w:val="0"/>
                  <w:vAlign w:val="center"/>
                </w:tcPr>
                <w:p w14:paraId="55257C23">
                  <w:pPr>
                    <w:pStyle w:val="46"/>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车间</w:t>
                  </w:r>
                </w:p>
              </w:tc>
              <w:tc>
                <w:tcPr>
                  <w:tcW w:w="1430" w:type="pct"/>
                  <w:noWrap w:val="0"/>
                  <w:vAlign w:val="center"/>
                </w:tcPr>
                <w:p w14:paraId="1B4E83BB">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占地</w:t>
                  </w:r>
                  <w:r>
                    <w:rPr>
                      <w:rFonts w:hint="default" w:ascii="Times New Roman" w:hAnsi="Times New Roman" w:eastAsia="宋体" w:cs="Times New Roman"/>
                      <w:color w:val="auto"/>
                      <w:sz w:val="21"/>
                      <w:szCs w:val="21"/>
                      <w:lang w:val="en-US" w:eastAsia="zh-CN"/>
                    </w:rPr>
                    <w:t>面积</w:t>
                  </w:r>
                  <w:r>
                    <w:rPr>
                      <w:rFonts w:hint="eastAsia" w:cs="Times New Roman"/>
                      <w:color w:val="auto"/>
                      <w:sz w:val="21"/>
                      <w:szCs w:val="21"/>
                      <w:lang w:val="en-US" w:eastAsia="zh-CN"/>
                    </w:rPr>
                    <w:t>450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cs="Times New Roman"/>
                      <w:color w:val="auto"/>
                      <w:szCs w:val="21"/>
                      <w:lang w:val="en-US" w:eastAsia="zh-CN"/>
                    </w:rPr>
                    <w:t>，建筑面积</w:t>
                  </w:r>
                  <w:r>
                    <w:rPr>
                      <w:rFonts w:hint="eastAsia" w:cs="Times New Roman"/>
                      <w:color w:val="auto"/>
                      <w:sz w:val="21"/>
                      <w:szCs w:val="21"/>
                      <w:lang w:val="en-US" w:eastAsia="zh-CN"/>
                    </w:rPr>
                    <w:t>450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876" w:type="pct"/>
                  <w:noWrap w:val="0"/>
                  <w:vAlign w:val="center"/>
                </w:tcPr>
                <w:p w14:paraId="43170506">
                  <w:pPr>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布设</w:t>
                  </w:r>
                  <w:r>
                    <w:rPr>
                      <w:rFonts w:hint="eastAsia" w:ascii="Times New Roman" w:hAnsi="Times New Roman" w:eastAsia="宋体" w:cs="Times New Roman"/>
                      <w:bCs/>
                      <w:color w:val="auto"/>
                      <w:sz w:val="21"/>
                      <w:szCs w:val="21"/>
                      <w:lang w:val="en-US" w:eastAsia="zh-CN"/>
                    </w:rPr>
                    <w:t>漆包线包膜机</w:t>
                  </w:r>
                  <w:r>
                    <w:rPr>
                      <w:rFonts w:hint="eastAsia" w:cs="Times New Roman"/>
                      <w:color w:val="auto"/>
                      <w:sz w:val="21"/>
                      <w:szCs w:val="21"/>
                      <w:lang w:val="en-US" w:eastAsia="zh-CN"/>
                    </w:rPr>
                    <w:t>、</w:t>
                  </w:r>
                  <w:r>
                    <w:rPr>
                      <w:rFonts w:hint="eastAsia" w:ascii="Times New Roman" w:hAnsi="Times New Roman" w:eastAsia="宋体" w:cs="Times New Roman"/>
                      <w:bCs/>
                      <w:color w:val="auto"/>
                      <w:sz w:val="21"/>
                      <w:szCs w:val="21"/>
                      <w:lang w:val="en-US" w:eastAsia="zh-CN"/>
                    </w:rPr>
                    <w:t>裁线机、磁环绕线机、静音端子机、锡炉等设备</w:t>
                  </w:r>
                </w:p>
              </w:tc>
            </w:tr>
            <w:tr w14:paraId="4D509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055B5CE9">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15154AEB">
                  <w:pPr>
                    <w:pStyle w:val="46"/>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仓库</w:t>
                  </w:r>
                </w:p>
              </w:tc>
              <w:tc>
                <w:tcPr>
                  <w:tcW w:w="1430" w:type="pct"/>
                  <w:noWrap w:val="0"/>
                  <w:vAlign w:val="center"/>
                </w:tcPr>
                <w:p w14:paraId="7A2C7F0A">
                  <w:pPr>
                    <w:spacing w:line="30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占地</w:t>
                  </w:r>
                  <w:r>
                    <w:rPr>
                      <w:rFonts w:hint="default" w:ascii="Times New Roman" w:hAnsi="Times New Roman" w:eastAsia="宋体" w:cs="Times New Roman"/>
                      <w:color w:val="auto"/>
                      <w:sz w:val="21"/>
                      <w:szCs w:val="21"/>
                      <w:lang w:val="en-US" w:eastAsia="zh-CN"/>
                    </w:rPr>
                    <w:t>面积</w:t>
                  </w:r>
                  <w:r>
                    <w:rPr>
                      <w:rFonts w:hint="eastAsia" w:cs="Times New Roman"/>
                      <w:color w:val="auto"/>
                      <w:sz w:val="21"/>
                      <w:szCs w:val="21"/>
                      <w:lang w:val="en-US" w:eastAsia="zh-CN"/>
                    </w:rPr>
                    <w:t>450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cs="Times New Roman"/>
                      <w:color w:val="auto"/>
                      <w:szCs w:val="21"/>
                      <w:lang w:val="en-US" w:eastAsia="zh-CN"/>
                    </w:rPr>
                    <w:t>，建筑面积</w:t>
                  </w:r>
                  <w:r>
                    <w:rPr>
                      <w:rFonts w:hint="eastAsia" w:cs="Times New Roman"/>
                      <w:color w:val="auto"/>
                      <w:sz w:val="21"/>
                      <w:szCs w:val="21"/>
                      <w:lang w:val="en-US" w:eastAsia="zh-CN"/>
                    </w:rPr>
                    <w:t>450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1876" w:type="pct"/>
                  <w:noWrap w:val="0"/>
                  <w:vAlign w:val="center"/>
                </w:tcPr>
                <w:p w14:paraId="2A4977A9">
                  <w:pPr>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暂存项目原料及成品</w:t>
                  </w:r>
                </w:p>
              </w:tc>
            </w:tr>
            <w:tr w14:paraId="62843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restart"/>
                  <w:noWrap w:val="0"/>
                  <w:vAlign w:val="center"/>
                </w:tcPr>
                <w:p w14:paraId="5E23519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1231" w:type="pct"/>
                  <w:gridSpan w:val="2"/>
                  <w:noWrap w:val="0"/>
                  <w:vAlign w:val="center"/>
                </w:tcPr>
                <w:p w14:paraId="2554D15F">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430" w:type="pct"/>
                  <w:noWrap w:val="0"/>
                  <w:vAlign w:val="center"/>
                </w:tcPr>
                <w:p w14:paraId="0304CCC8">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900</w:t>
                  </w:r>
                  <w:r>
                    <w:rPr>
                      <w:rFonts w:hint="default" w:ascii="Times New Roman" w:hAnsi="Times New Roman" w:eastAsia="宋体" w:cs="Times New Roman"/>
                      <w:color w:val="auto"/>
                      <w:sz w:val="21"/>
                      <w:szCs w:val="21"/>
                    </w:rPr>
                    <w:t>t/a</w:t>
                  </w:r>
                </w:p>
              </w:tc>
              <w:tc>
                <w:tcPr>
                  <w:tcW w:w="1876" w:type="pct"/>
                  <w:noWrap w:val="0"/>
                  <w:vAlign w:val="center"/>
                </w:tcPr>
                <w:p w14:paraId="27C15A2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rPr>
                    <w:t>区域自来水管网提供</w:t>
                  </w:r>
                </w:p>
              </w:tc>
            </w:tr>
            <w:tr w14:paraId="69911A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257DBF72">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7CAD3914">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430" w:type="pct"/>
                  <w:noWrap w:val="0"/>
                  <w:vAlign w:val="center"/>
                </w:tcPr>
                <w:p w14:paraId="703DCB8A">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720</w:t>
                  </w:r>
                  <w:r>
                    <w:rPr>
                      <w:rFonts w:hint="default" w:ascii="Times New Roman" w:hAnsi="Times New Roman" w:eastAsia="宋体" w:cs="Times New Roman"/>
                      <w:color w:val="auto"/>
                      <w:sz w:val="21"/>
                      <w:szCs w:val="21"/>
                    </w:rPr>
                    <w:t>t/a</w:t>
                  </w:r>
                </w:p>
              </w:tc>
              <w:tc>
                <w:tcPr>
                  <w:tcW w:w="1876" w:type="pct"/>
                  <w:noWrap w:val="0"/>
                  <w:vAlign w:val="center"/>
                </w:tcPr>
                <w:p w14:paraId="5680C8E5">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lang w:val="en-US" w:eastAsia="zh-CN"/>
                    </w:rPr>
                    <w:t>生活污水</w:t>
                  </w:r>
                  <w:r>
                    <w:rPr>
                      <w:rFonts w:hint="default" w:ascii="Times New Roman" w:hAnsi="Times New Roman" w:cs="Times New Roman"/>
                      <w:color w:val="auto"/>
                      <w:szCs w:val="21"/>
                    </w:rPr>
                    <w:t>排入</w:t>
                  </w:r>
                  <w:r>
                    <w:rPr>
                      <w:rFonts w:hint="eastAsia" w:cs="Times New Roman"/>
                      <w:color w:val="auto"/>
                      <w:szCs w:val="21"/>
                      <w:lang w:eastAsia="zh-CN"/>
                    </w:rPr>
                    <w:t>金坛区指前镇新河村农村生活污水处理站</w:t>
                  </w:r>
                  <w:r>
                    <w:rPr>
                      <w:rFonts w:hint="default" w:ascii="Times New Roman" w:hAnsi="Times New Roman" w:cs="Times New Roman"/>
                      <w:color w:val="auto"/>
                      <w:szCs w:val="21"/>
                    </w:rPr>
                    <w:t>集中处理</w:t>
                  </w:r>
                </w:p>
              </w:tc>
            </w:tr>
            <w:tr w14:paraId="20353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7F310ADE">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6261806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430" w:type="pct"/>
                  <w:noWrap w:val="0"/>
                  <w:vAlign w:val="center"/>
                </w:tcPr>
                <w:p w14:paraId="2611C195">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30</w:t>
                  </w:r>
                  <w:r>
                    <w:rPr>
                      <w:rFonts w:hint="default" w:ascii="Times New Roman" w:hAnsi="Times New Roman" w:eastAsia="宋体" w:cs="Times New Roman"/>
                      <w:color w:val="auto"/>
                      <w:sz w:val="21"/>
                      <w:szCs w:val="21"/>
                    </w:rPr>
                    <w:t>万度</w:t>
                  </w:r>
                  <w:r>
                    <w:rPr>
                      <w:rFonts w:hint="default" w:ascii="Times New Roman" w:hAnsi="Times New Roman" w:cs="Times New Roman"/>
                      <w:color w:val="auto"/>
                      <w:sz w:val="21"/>
                      <w:szCs w:val="21"/>
                      <w:lang w:eastAsia="zh-CN"/>
                    </w:rPr>
                    <w:t>/a</w:t>
                  </w:r>
                </w:p>
              </w:tc>
              <w:tc>
                <w:tcPr>
                  <w:tcW w:w="1876" w:type="pct"/>
                  <w:noWrap w:val="0"/>
                  <w:vAlign w:val="center"/>
                </w:tcPr>
                <w:p w14:paraId="7AEECBE6">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Cs w:val="21"/>
                    </w:rPr>
                    <w:t>区域</w:t>
                  </w:r>
                  <w:r>
                    <w:rPr>
                      <w:rFonts w:hint="default" w:ascii="Times New Roman" w:hAnsi="Times New Roman" w:cs="Times New Roman"/>
                      <w:color w:val="auto"/>
                      <w:szCs w:val="21"/>
                      <w:lang w:val="en-US" w:eastAsia="zh-CN"/>
                    </w:rPr>
                    <w:t>电</w:t>
                  </w:r>
                  <w:r>
                    <w:rPr>
                      <w:rFonts w:hint="default" w:ascii="Times New Roman" w:hAnsi="Times New Roman" w:cs="Times New Roman"/>
                      <w:color w:val="auto"/>
                      <w:szCs w:val="21"/>
                    </w:rPr>
                    <w:t>网提供</w:t>
                  </w:r>
                </w:p>
              </w:tc>
            </w:tr>
            <w:tr w14:paraId="63099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1B4D837E">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0526ED4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空压系统</w:t>
                  </w:r>
                </w:p>
              </w:tc>
              <w:tc>
                <w:tcPr>
                  <w:tcW w:w="1430" w:type="pct"/>
                  <w:noWrap w:val="0"/>
                  <w:vAlign w:val="center"/>
                </w:tcPr>
                <w:p w14:paraId="08D8C864">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空压机1台</w:t>
                  </w:r>
                </w:p>
              </w:tc>
              <w:tc>
                <w:tcPr>
                  <w:tcW w:w="1876" w:type="pct"/>
                  <w:noWrap w:val="0"/>
                  <w:vAlign w:val="center"/>
                </w:tcPr>
                <w:p w14:paraId="1A2064D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2AE760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restart"/>
                  <w:noWrap w:val="0"/>
                  <w:vAlign w:val="center"/>
                </w:tcPr>
                <w:p w14:paraId="23CF0A17">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1231" w:type="pct"/>
                  <w:gridSpan w:val="2"/>
                  <w:noWrap w:val="0"/>
                  <w:vAlign w:val="center"/>
                </w:tcPr>
                <w:p w14:paraId="4205187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原料库</w:t>
                  </w:r>
                </w:p>
              </w:tc>
              <w:tc>
                <w:tcPr>
                  <w:tcW w:w="1430" w:type="pct"/>
                  <w:noWrap w:val="0"/>
                  <w:vAlign w:val="center"/>
                </w:tcPr>
                <w:p w14:paraId="50B389E1">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6" w:type="pct"/>
                  <w:vMerge w:val="restart"/>
                  <w:noWrap w:val="0"/>
                  <w:vAlign w:val="center"/>
                </w:tcPr>
                <w:p w14:paraId="2A25D200">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r>
                    <w:rPr>
                      <w:rFonts w:hint="eastAsia"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仓库</w:t>
                  </w:r>
                  <w:r>
                    <w:rPr>
                      <w:rFonts w:hint="eastAsia" w:cs="Times New Roman"/>
                      <w:color w:val="auto"/>
                      <w:sz w:val="21"/>
                      <w:szCs w:val="21"/>
                      <w:lang w:val="en-US" w:eastAsia="zh-CN"/>
                    </w:rPr>
                    <w:t>内划分</w:t>
                  </w:r>
                </w:p>
              </w:tc>
            </w:tr>
            <w:tr w14:paraId="60880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63C1E4DF">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55E3794C">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成品</w:t>
                  </w:r>
                  <w:r>
                    <w:rPr>
                      <w:rFonts w:hint="default" w:ascii="Times New Roman" w:hAnsi="Times New Roman" w:eastAsia="宋体" w:cs="Times New Roman"/>
                      <w:color w:val="auto"/>
                      <w:sz w:val="21"/>
                      <w:szCs w:val="21"/>
                    </w:rPr>
                    <w:t>库</w:t>
                  </w:r>
                </w:p>
              </w:tc>
              <w:tc>
                <w:tcPr>
                  <w:tcW w:w="1430" w:type="pct"/>
                  <w:noWrap w:val="0"/>
                  <w:vAlign w:val="center"/>
                </w:tcPr>
                <w:p w14:paraId="27ED860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76" w:type="pct"/>
                  <w:vMerge w:val="continue"/>
                  <w:noWrap w:val="0"/>
                  <w:vAlign w:val="center"/>
                </w:tcPr>
                <w:p w14:paraId="5026E1DF">
                  <w:pPr>
                    <w:adjustRightInd w:val="0"/>
                    <w:snapToGrid w:val="0"/>
                    <w:spacing w:line="300" w:lineRule="exact"/>
                    <w:jc w:val="center"/>
                    <w:rPr>
                      <w:rFonts w:hint="default" w:ascii="Times New Roman" w:hAnsi="Times New Roman" w:eastAsia="宋体" w:cs="Times New Roman"/>
                      <w:color w:val="auto"/>
                      <w:sz w:val="21"/>
                      <w:szCs w:val="21"/>
                    </w:rPr>
                  </w:pPr>
                </w:p>
              </w:tc>
            </w:tr>
            <w:tr w14:paraId="23D39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3004D1E1">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70459C4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运输工程</w:t>
                  </w:r>
                </w:p>
              </w:tc>
              <w:tc>
                <w:tcPr>
                  <w:tcW w:w="1430" w:type="pct"/>
                  <w:noWrap w:val="0"/>
                  <w:vAlign w:val="center"/>
                </w:tcPr>
                <w:p w14:paraId="72DB3AF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车运</w:t>
                  </w:r>
                </w:p>
              </w:tc>
              <w:tc>
                <w:tcPr>
                  <w:tcW w:w="1876" w:type="pct"/>
                  <w:noWrap w:val="0"/>
                  <w:vAlign w:val="center"/>
                </w:tcPr>
                <w:p w14:paraId="36452440">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依托社会车辆</w:t>
                  </w:r>
                </w:p>
              </w:tc>
            </w:tr>
            <w:tr w14:paraId="7B0404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restart"/>
                  <w:noWrap w:val="0"/>
                  <w:vAlign w:val="center"/>
                </w:tcPr>
                <w:p w14:paraId="2A1B4CF3">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387" w:type="pct"/>
                  <w:noWrap w:val="0"/>
                  <w:vAlign w:val="center"/>
                </w:tcPr>
                <w:p w14:paraId="056E40D9">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44" w:type="pct"/>
                  <w:noWrap w:val="0"/>
                  <w:vAlign w:val="center"/>
                </w:tcPr>
                <w:p w14:paraId="248A0B0B">
                  <w:pPr>
                    <w:spacing w:line="300" w:lineRule="exact"/>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rPr>
                    <w:t>浸锡</w:t>
                  </w:r>
                </w:p>
              </w:tc>
              <w:tc>
                <w:tcPr>
                  <w:tcW w:w="1430" w:type="pct"/>
                  <w:noWrap w:val="0"/>
                  <w:vAlign w:val="center"/>
                </w:tcPr>
                <w:p w14:paraId="50AF2A30">
                  <w:pPr>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FF0000"/>
                      <w:sz w:val="21"/>
                      <w:szCs w:val="21"/>
                      <w:lang w:val="en-US" w:eastAsia="zh-CN"/>
                    </w:rPr>
                    <w:t>袋式除尘</w:t>
                  </w:r>
                </w:p>
              </w:tc>
              <w:tc>
                <w:tcPr>
                  <w:tcW w:w="1876" w:type="pct"/>
                  <w:noWrap w:val="0"/>
                  <w:vAlign w:val="center"/>
                </w:tcPr>
                <w:p w14:paraId="2275CA09">
                  <w:pPr>
                    <w:spacing w:line="300" w:lineRule="exact"/>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17F16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7E1071F0">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noWrap w:val="0"/>
                  <w:vAlign w:val="center"/>
                </w:tcPr>
                <w:p w14:paraId="299953BD">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44" w:type="pct"/>
                  <w:noWrap w:val="0"/>
                  <w:vAlign w:val="center"/>
                </w:tcPr>
                <w:p w14:paraId="51CC009C">
                  <w:pPr>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生活污水</w:t>
                  </w:r>
                </w:p>
              </w:tc>
              <w:tc>
                <w:tcPr>
                  <w:tcW w:w="1430" w:type="pct"/>
                  <w:noWrap w:val="0"/>
                  <w:vAlign w:val="center"/>
                </w:tcPr>
                <w:p w14:paraId="4DBFC485">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1876" w:type="pct"/>
                  <w:noWrap w:val="0"/>
                  <w:vAlign w:val="center"/>
                </w:tcPr>
                <w:p w14:paraId="7D431DCA">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依托</w:t>
                  </w:r>
                  <w:r>
                    <w:rPr>
                      <w:rFonts w:hint="eastAsia" w:cs="Times New Roman"/>
                      <w:color w:val="auto"/>
                      <w:sz w:val="21"/>
                      <w:szCs w:val="21"/>
                      <w:lang w:val="en-US" w:eastAsia="zh-CN"/>
                    </w:rPr>
                    <w:t>出租方</w:t>
                  </w:r>
                </w:p>
              </w:tc>
            </w:tr>
            <w:tr w14:paraId="76C7F0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5CDCCDEB">
                  <w:pPr>
                    <w:adjustRightInd w:val="0"/>
                    <w:snapToGrid w:val="0"/>
                    <w:spacing w:line="300" w:lineRule="exact"/>
                    <w:jc w:val="center"/>
                    <w:rPr>
                      <w:rFonts w:hint="default" w:ascii="Times New Roman" w:hAnsi="Times New Roman" w:eastAsia="宋体" w:cs="Times New Roman"/>
                      <w:color w:val="auto"/>
                      <w:sz w:val="21"/>
                      <w:szCs w:val="21"/>
                    </w:rPr>
                  </w:pPr>
                </w:p>
              </w:tc>
              <w:tc>
                <w:tcPr>
                  <w:tcW w:w="1231" w:type="pct"/>
                  <w:gridSpan w:val="2"/>
                  <w:noWrap w:val="0"/>
                  <w:vAlign w:val="center"/>
                </w:tcPr>
                <w:p w14:paraId="39343FE0">
                  <w:pPr>
                    <w:keepNext w:val="0"/>
                    <w:keepLines w:val="0"/>
                    <w:widowControl/>
                    <w:suppressLineNumbers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噪声</w:t>
                  </w:r>
                </w:p>
              </w:tc>
              <w:tc>
                <w:tcPr>
                  <w:tcW w:w="1430" w:type="pct"/>
                  <w:noWrap w:val="0"/>
                  <w:vAlign w:val="center"/>
                </w:tcPr>
                <w:p w14:paraId="295B342E">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合理布局、采取相应的隔声、减震、消音措施</w:t>
                  </w:r>
                </w:p>
              </w:tc>
              <w:tc>
                <w:tcPr>
                  <w:tcW w:w="1876" w:type="pct"/>
                  <w:noWrap w:val="0"/>
                  <w:vAlign w:val="center"/>
                </w:tcPr>
                <w:p w14:paraId="7A691911">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3C8D2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60DD2158">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restart"/>
                  <w:noWrap w:val="0"/>
                  <w:vAlign w:val="center"/>
                </w:tcPr>
                <w:p w14:paraId="6AC4678F">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44" w:type="pct"/>
                  <w:noWrap w:val="0"/>
                  <w:vAlign w:val="center"/>
                </w:tcPr>
                <w:p w14:paraId="50C5F858">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危废仓库</w:t>
                  </w:r>
                </w:p>
              </w:tc>
              <w:tc>
                <w:tcPr>
                  <w:tcW w:w="1430" w:type="pct"/>
                  <w:noWrap w:val="0"/>
                  <w:vAlign w:val="center"/>
                </w:tcPr>
                <w:p w14:paraId="0626CE4A">
                  <w:pPr>
                    <w:adjustRightInd w:val="0"/>
                    <w:snapToGrid w:val="0"/>
                    <w:spacing w:line="30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6" w:type="pct"/>
                  <w:noWrap w:val="0"/>
                  <w:vAlign w:val="center"/>
                </w:tcPr>
                <w:p w14:paraId="42A04258">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新建</w:t>
                  </w:r>
                  <w:r>
                    <w:rPr>
                      <w:rFonts w:hint="eastAsia" w:cs="Times New Roman"/>
                      <w:color w:val="auto"/>
                      <w:sz w:val="21"/>
                      <w:szCs w:val="21"/>
                      <w:lang w:val="en-US" w:eastAsia="zh-CN"/>
                    </w:rPr>
                    <w:t>，在仓库内划分</w:t>
                  </w:r>
                </w:p>
              </w:tc>
            </w:tr>
            <w:tr w14:paraId="476790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11EBEAE7">
                  <w:pPr>
                    <w:adjustRightInd w:val="0"/>
                    <w:snapToGrid w:val="0"/>
                    <w:spacing w:line="300" w:lineRule="exact"/>
                    <w:jc w:val="center"/>
                    <w:rPr>
                      <w:rFonts w:hint="default" w:ascii="Times New Roman" w:hAnsi="Times New Roman" w:eastAsia="宋体" w:cs="Times New Roman"/>
                      <w:color w:val="auto"/>
                      <w:sz w:val="21"/>
                      <w:szCs w:val="21"/>
                    </w:rPr>
                  </w:pPr>
                </w:p>
              </w:tc>
              <w:tc>
                <w:tcPr>
                  <w:tcW w:w="387" w:type="pct"/>
                  <w:vMerge w:val="continue"/>
                  <w:noWrap w:val="0"/>
                  <w:vAlign w:val="center"/>
                </w:tcPr>
                <w:p w14:paraId="79C7196F">
                  <w:pPr>
                    <w:spacing w:line="300" w:lineRule="exact"/>
                    <w:jc w:val="center"/>
                    <w:rPr>
                      <w:rFonts w:hint="default" w:ascii="Times New Roman" w:hAnsi="Times New Roman" w:eastAsia="宋体" w:cs="Times New Roman"/>
                      <w:color w:val="auto"/>
                      <w:sz w:val="21"/>
                      <w:szCs w:val="21"/>
                    </w:rPr>
                  </w:pPr>
                </w:p>
              </w:tc>
              <w:tc>
                <w:tcPr>
                  <w:tcW w:w="844" w:type="pct"/>
                  <w:noWrap w:val="0"/>
                  <w:vAlign w:val="center"/>
                </w:tcPr>
                <w:p w14:paraId="6C38BA9F">
                  <w:pPr>
                    <w:spacing w:line="30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bCs/>
                      <w:color w:val="auto"/>
                      <w:sz w:val="21"/>
                      <w:szCs w:val="21"/>
                      <w:lang w:eastAsia="zh-CN"/>
                    </w:rPr>
                    <w:t>一般固废仓库</w:t>
                  </w:r>
                </w:p>
              </w:tc>
              <w:tc>
                <w:tcPr>
                  <w:tcW w:w="1430" w:type="pct"/>
                  <w:noWrap w:val="0"/>
                  <w:vAlign w:val="center"/>
                </w:tcPr>
                <w:p w14:paraId="08D51ABE">
                  <w:pPr>
                    <w:adjustRightInd w:val="0"/>
                    <w:snapToGrid w:val="0"/>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2</w:t>
                  </w:r>
                </w:p>
              </w:tc>
              <w:tc>
                <w:tcPr>
                  <w:tcW w:w="1876" w:type="pct"/>
                  <w:noWrap w:val="0"/>
                  <w:vAlign w:val="center"/>
                </w:tcPr>
                <w:p w14:paraId="132931D2">
                  <w:pPr>
                    <w:adjustRightInd w:val="0"/>
                    <w:snapToGrid w:val="0"/>
                    <w:spacing w:line="30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lang w:val="en-US" w:eastAsia="zh-CN"/>
                    </w:rPr>
                    <w:t>新建</w:t>
                  </w:r>
                  <w:r>
                    <w:rPr>
                      <w:rFonts w:hint="eastAsia" w:cs="Times New Roman"/>
                      <w:color w:val="auto"/>
                      <w:sz w:val="21"/>
                      <w:szCs w:val="21"/>
                      <w:lang w:val="en-US" w:eastAsia="zh-CN"/>
                    </w:rPr>
                    <w:t>，在仓库内划分</w:t>
                  </w:r>
                </w:p>
              </w:tc>
            </w:tr>
            <w:tr w14:paraId="08C910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restart"/>
                  <w:noWrap w:val="0"/>
                  <w:vAlign w:val="center"/>
                </w:tcPr>
                <w:p w14:paraId="3E29BB0A">
                  <w:pPr>
                    <w:spacing w:line="300" w:lineRule="exact"/>
                    <w:jc w:val="center"/>
                    <w:rPr>
                      <w:rFonts w:hint="default" w:ascii="Times New Roman" w:hAnsi="Times New Roman" w:eastAsia="宋体" w:cs="Times New Roman"/>
                      <w:bCs/>
                      <w:color w:val="auto"/>
                      <w:sz w:val="21"/>
                      <w:szCs w:val="21"/>
                    </w:rPr>
                  </w:pPr>
                  <w:r>
                    <w:rPr>
                      <w:rFonts w:hint="default" w:ascii="Times New Roman" w:hAnsi="Times New Roman" w:cs="Times New Roman"/>
                      <w:color w:val="auto"/>
                      <w:sz w:val="21"/>
                      <w:szCs w:val="21"/>
                      <w:lang w:eastAsia="zh-CN"/>
                    </w:rPr>
                    <w:t>风险防控措施</w:t>
                  </w:r>
                </w:p>
              </w:tc>
              <w:tc>
                <w:tcPr>
                  <w:tcW w:w="2661" w:type="pct"/>
                  <w:gridSpan w:val="3"/>
                  <w:noWrap w:val="0"/>
                  <w:vAlign w:val="center"/>
                </w:tcPr>
                <w:p w14:paraId="3043E545">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雨水排放口安装阀门</w:t>
                  </w:r>
                </w:p>
              </w:tc>
              <w:tc>
                <w:tcPr>
                  <w:tcW w:w="1876" w:type="pct"/>
                  <w:noWrap w:val="0"/>
                  <w:vAlign w:val="center"/>
                </w:tcPr>
                <w:p w14:paraId="268CAA51">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依托</w:t>
                  </w:r>
                  <w:r>
                    <w:rPr>
                      <w:rFonts w:hint="eastAsia" w:cs="Times New Roman"/>
                      <w:color w:val="auto"/>
                      <w:sz w:val="21"/>
                      <w:szCs w:val="21"/>
                      <w:lang w:val="en-US" w:eastAsia="zh-CN"/>
                    </w:rPr>
                    <w:t>出租方</w:t>
                  </w:r>
                </w:p>
              </w:tc>
            </w:tr>
            <w:tr w14:paraId="454FC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vMerge w:val="continue"/>
                  <w:noWrap w:val="0"/>
                  <w:vAlign w:val="center"/>
                </w:tcPr>
                <w:p w14:paraId="0CC3501C">
                  <w:pPr>
                    <w:spacing w:line="300" w:lineRule="exact"/>
                    <w:jc w:val="center"/>
                    <w:rPr>
                      <w:rFonts w:hint="default" w:ascii="Times New Roman" w:hAnsi="Times New Roman" w:cs="Times New Roman"/>
                      <w:color w:val="auto"/>
                      <w:sz w:val="21"/>
                      <w:szCs w:val="21"/>
                      <w:lang w:eastAsia="zh-CN"/>
                    </w:rPr>
                  </w:pPr>
                </w:p>
              </w:tc>
              <w:tc>
                <w:tcPr>
                  <w:tcW w:w="2661" w:type="pct"/>
                  <w:gridSpan w:val="3"/>
                  <w:noWrap w:val="0"/>
                  <w:vAlign w:val="center"/>
                </w:tcPr>
                <w:p w14:paraId="0C408CDC">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事故应急池</w:t>
                  </w:r>
                  <w:r>
                    <w:rPr>
                      <w:rFonts w:hint="eastAsia" w:cs="Times New Roman"/>
                      <w:color w:val="auto"/>
                      <w:sz w:val="21"/>
                      <w:szCs w:val="21"/>
                      <w:lang w:val="en-US" w:eastAsia="zh-CN"/>
                    </w:rPr>
                    <w:t>50m</w:t>
                  </w:r>
                  <w:r>
                    <w:rPr>
                      <w:rFonts w:hint="default" w:ascii="Times New Roman" w:hAnsi="Times New Roman" w:cs="Times New Roman"/>
                      <w:color w:val="auto"/>
                      <w:sz w:val="21"/>
                      <w:szCs w:val="21"/>
                      <w:vertAlign w:val="superscript"/>
                      <w:lang w:val="en-US" w:eastAsia="zh-CN"/>
                    </w:rPr>
                    <w:t>3</w:t>
                  </w:r>
                </w:p>
              </w:tc>
              <w:tc>
                <w:tcPr>
                  <w:tcW w:w="1876" w:type="pct"/>
                  <w:noWrap w:val="0"/>
                  <w:vAlign w:val="center"/>
                </w:tcPr>
                <w:p w14:paraId="5462A753">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bl>
          <w:p w14:paraId="3899C14E">
            <w:pPr>
              <w:keepNext w:val="0"/>
              <w:keepLines w:val="0"/>
              <w:pageBreakBefore w:val="0"/>
              <w:numPr>
                <w:ilvl w:val="0"/>
                <w:numId w:val="3"/>
              </w:numPr>
              <w:kinsoku/>
              <w:wordWrap/>
              <w:overflowPunct/>
              <w:topLinePunct w:val="0"/>
              <w:bidi w:val="0"/>
              <w:adjustRightInd w:val="0"/>
              <w:snapToGrid w:val="0"/>
              <w:spacing w:line="500" w:lineRule="exact"/>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水平衡</w:t>
            </w:r>
          </w:p>
          <w:p w14:paraId="40EF5F68">
            <w:pPr>
              <w:numPr>
                <w:ilvl w:val="0"/>
                <w:numId w:val="0"/>
              </w:numPr>
              <w:ind w:firstLine="480" w:firstLineChars="200"/>
              <w:rPr>
                <w:rFonts w:hint="eastAsia" w:ascii="Times New Roman" w:hAnsi="Times New Roman" w:eastAsia="宋体" w:cs="Times New Roman"/>
                <w:smallCaps w:val="0"/>
                <w:color w:val="auto"/>
                <w:kern w:val="2"/>
                <w:sz w:val="24"/>
                <w:szCs w:val="24"/>
                <w:lang w:val="en-US" w:eastAsia="zh-CN" w:bidi="ar-SA"/>
              </w:rPr>
            </w:pPr>
          </w:p>
          <w:p w14:paraId="62F866B9">
            <w:pPr>
              <w:pStyle w:val="10"/>
              <w:keepNext w:val="0"/>
              <w:keepLines w:val="0"/>
              <w:pageBreakBefore w:val="0"/>
              <w:widowControl w:val="0"/>
              <w:kinsoku/>
              <w:wordWrap/>
              <w:overflowPunct/>
              <w:topLinePunct w:val="0"/>
              <w:autoSpaceDE/>
              <w:autoSpaceDN/>
              <w:bidi w:val="0"/>
              <w:snapToGrid w:val="0"/>
              <w:spacing w:after="0" w:line="240" w:lineRule="auto"/>
              <w:ind w:left="0" w:leftChars="0" w:right="0" w:rightChars="0"/>
              <w:jc w:val="center"/>
              <w:textAlignment w:val="auto"/>
              <w:rPr>
                <w:rFonts w:hint="default" w:ascii="Times New Roman" w:hAnsi="Times New Roman" w:cs="Times New Roman"/>
                <w:color w:val="auto"/>
                <w:sz w:val="24"/>
              </w:rPr>
            </w:pPr>
            <w:r>
              <w:drawing>
                <wp:inline distT="0" distB="0" distL="114300" distR="114300">
                  <wp:extent cx="5485765" cy="748665"/>
                  <wp:effectExtent l="0" t="0" r="63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485765" cy="748665"/>
                          </a:xfrm>
                          <a:prstGeom prst="rect">
                            <a:avLst/>
                          </a:prstGeom>
                          <a:noFill/>
                          <a:ln>
                            <a:noFill/>
                          </a:ln>
                        </pic:spPr>
                      </pic:pic>
                    </a:graphicData>
                  </a:graphic>
                </wp:inline>
              </w:drawing>
            </w:r>
          </w:p>
          <w:p w14:paraId="79CB577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1项目</w:t>
            </w:r>
            <w:r>
              <w:rPr>
                <w:rFonts w:hint="default" w:ascii="Times New Roman" w:hAnsi="Times New Roman" w:cs="Times New Roman"/>
                <w:b/>
                <w:color w:val="auto"/>
                <w:sz w:val="21"/>
                <w:szCs w:val="21"/>
                <w:highlight w:val="none"/>
              </w:rPr>
              <w:t>水平衡图（单位：t/a）</w:t>
            </w:r>
          </w:p>
          <w:p w14:paraId="51EB74EF">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bCs/>
                <w:color w:val="auto"/>
                <w:kern w:val="0"/>
                <w:sz w:val="24"/>
                <w:lang w:val="en-US" w:eastAsia="zh-CN"/>
              </w:rPr>
              <w:t>7</w:t>
            </w:r>
            <w:r>
              <w:rPr>
                <w:rFonts w:hint="default" w:ascii="Times New Roman" w:hAnsi="Times New Roman" w:cs="Times New Roman"/>
                <w:b/>
                <w:bCs/>
                <w:color w:val="auto"/>
                <w:kern w:val="0"/>
                <w:sz w:val="24"/>
              </w:rPr>
              <w:t>、劳动定员及工作制度</w:t>
            </w:r>
          </w:p>
          <w:p w14:paraId="0D5BD362">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劳动定员</w:t>
            </w:r>
            <w:r>
              <w:rPr>
                <w:rFonts w:hint="default" w:ascii="Times New Roman" w:hAnsi="Times New Roman" w:cs="Times New Roman"/>
                <w:color w:val="auto"/>
                <w:sz w:val="24"/>
              </w:rPr>
              <w:t>为</w:t>
            </w:r>
            <w:r>
              <w:rPr>
                <w:rFonts w:hint="eastAsia" w:cs="Times New Roman"/>
                <w:color w:val="auto"/>
                <w:sz w:val="24"/>
                <w:lang w:val="en-US" w:eastAsia="zh-CN"/>
              </w:rPr>
              <w:t>30</w:t>
            </w:r>
            <w:r>
              <w:rPr>
                <w:rFonts w:hint="default" w:ascii="Times New Roman" w:hAnsi="Times New Roman" w:cs="Times New Roman"/>
                <w:color w:val="auto"/>
                <w:sz w:val="24"/>
              </w:rPr>
              <w:t>人，</w:t>
            </w:r>
            <w:r>
              <w:rPr>
                <w:rFonts w:hint="default" w:ascii="Times New Roman" w:hAnsi="Times New Roman" w:cs="Times New Roman"/>
                <w:color w:val="auto"/>
                <w:sz w:val="24"/>
                <w:lang w:eastAsia="zh-CN"/>
              </w:rPr>
              <w:t>采取</w:t>
            </w:r>
            <w:r>
              <w:rPr>
                <w:rFonts w:hint="eastAsia" w:cs="Times New Roman"/>
                <w:color w:val="auto"/>
                <w:sz w:val="24"/>
                <w:lang w:val="en-US" w:eastAsia="zh-CN"/>
              </w:rPr>
              <w:t>1</w:t>
            </w:r>
            <w:r>
              <w:rPr>
                <w:rFonts w:hint="default" w:ascii="Times New Roman" w:hAnsi="Times New Roman" w:cs="Times New Roman"/>
                <w:color w:val="auto"/>
                <w:sz w:val="24"/>
              </w:rPr>
              <w:t>班制生产，</w:t>
            </w:r>
            <w:r>
              <w:rPr>
                <w:rFonts w:hint="eastAsia" w:cs="Times New Roman"/>
                <w:color w:val="auto"/>
                <w:sz w:val="24"/>
                <w:lang w:val="en-US" w:eastAsia="zh-CN"/>
              </w:rPr>
              <w:t>10</w:t>
            </w:r>
            <w:r>
              <w:rPr>
                <w:rFonts w:hint="default" w:ascii="Times New Roman" w:hAnsi="Times New Roman" w:cs="Times New Roman"/>
                <w:color w:val="auto"/>
                <w:sz w:val="24"/>
              </w:rPr>
              <w:t>h/班</w:t>
            </w:r>
            <w:r>
              <w:rPr>
                <w:rFonts w:hint="eastAsia" w:cs="Times New Roman"/>
                <w:color w:val="auto"/>
                <w:sz w:val="24"/>
                <w:lang w:eastAsia="zh-CN"/>
              </w:rPr>
              <w:t>（</w:t>
            </w:r>
            <w:r>
              <w:rPr>
                <w:rFonts w:hint="eastAsia" w:cs="Times New Roman"/>
                <w:color w:val="auto"/>
                <w:sz w:val="24"/>
                <w:lang w:val="en-US" w:eastAsia="zh-CN"/>
              </w:rPr>
              <w:t>8:00-18:00</w:t>
            </w:r>
            <w:r>
              <w:rPr>
                <w:rFonts w:hint="eastAsia" w:cs="Times New Roman"/>
                <w:color w:val="auto"/>
                <w:sz w:val="24"/>
                <w:lang w:eastAsia="zh-CN"/>
              </w:rPr>
              <w:t>）</w:t>
            </w:r>
            <w:r>
              <w:rPr>
                <w:rFonts w:hint="default" w:ascii="Times New Roman" w:hAnsi="Times New Roman" w:cs="Times New Roman"/>
                <w:color w:val="auto"/>
                <w:sz w:val="24"/>
              </w:rPr>
              <w:t>，年工作日约300天，年工作</w:t>
            </w:r>
            <w:r>
              <w:rPr>
                <w:rFonts w:hint="eastAsia" w:cs="Times New Roman"/>
                <w:color w:val="auto"/>
                <w:sz w:val="24"/>
                <w:lang w:val="en-US" w:eastAsia="zh-CN"/>
              </w:rPr>
              <w:t>30</w:t>
            </w:r>
            <w:r>
              <w:rPr>
                <w:rFonts w:hint="default" w:ascii="Times New Roman" w:hAnsi="Times New Roman" w:cs="Times New Roman"/>
                <w:color w:val="auto"/>
                <w:sz w:val="24"/>
              </w:rPr>
              <w:t>00小时，厂内</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设</w:t>
            </w:r>
            <w:r>
              <w:rPr>
                <w:rFonts w:hint="default" w:ascii="Times New Roman" w:hAnsi="Times New Roman" w:cs="Times New Roman"/>
                <w:color w:val="auto"/>
                <w:sz w:val="24"/>
                <w:lang w:eastAsia="zh-CN"/>
              </w:rPr>
              <w:t>食堂、</w:t>
            </w:r>
            <w:r>
              <w:rPr>
                <w:rFonts w:hint="default" w:ascii="Times New Roman" w:hAnsi="Times New Roman" w:cs="Times New Roman"/>
                <w:color w:val="auto"/>
                <w:sz w:val="24"/>
                <w:lang w:val="en-US" w:eastAsia="zh-CN"/>
              </w:rPr>
              <w:t>浴室及宿舍</w:t>
            </w:r>
            <w:r>
              <w:rPr>
                <w:rFonts w:hint="default" w:ascii="Times New Roman" w:hAnsi="Times New Roman" w:cs="Times New Roman"/>
                <w:color w:val="auto"/>
                <w:sz w:val="24"/>
              </w:rPr>
              <w:t>。</w:t>
            </w:r>
          </w:p>
          <w:p w14:paraId="704DB5F8">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8</w:t>
            </w:r>
            <w:r>
              <w:rPr>
                <w:rFonts w:hint="default" w:ascii="Times New Roman" w:hAnsi="Times New Roman" w:cs="Times New Roman"/>
                <w:b/>
                <w:color w:val="auto"/>
                <w:sz w:val="24"/>
              </w:rPr>
              <w:t>、厂区平面布置</w:t>
            </w:r>
          </w:p>
          <w:p w14:paraId="19F678AD">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项目位于</w:t>
            </w:r>
            <w:r>
              <w:rPr>
                <w:rFonts w:hint="eastAsia" w:cs="Times New Roman"/>
                <w:color w:val="auto"/>
                <w:sz w:val="24"/>
                <w:lang w:eastAsia="zh-CN"/>
              </w:rPr>
              <w:t>常州市金坛区指前镇洮西集镇府前路58号</w:t>
            </w:r>
            <w:r>
              <w:rPr>
                <w:rFonts w:hint="default" w:ascii="Times New Roman" w:hAnsi="Times New Roman" w:cs="Times New Roman"/>
                <w:color w:val="auto"/>
                <w:sz w:val="24"/>
                <w:lang w:val="en-US" w:eastAsia="zh-CN"/>
              </w:rPr>
              <w:t>，项目</w:t>
            </w:r>
            <w:r>
              <w:rPr>
                <w:rFonts w:hint="eastAsia"/>
                <w:color w:val="auto"/>
                <w:sz w:val="24"/>
              </w:rPr>
              <w:t>所租</w:t>
            </w:r>
            <w:r>
              <w:rPr>
                <w:rFonts w:hint="eastAsia"/>
                <w:color w:val="auto"/>
                <w:sz w:val="24"/>
                <w:lang w:eastAsia="zh-CN"/>
              </w:rPr>
              <w:t>的</w:t>
            </w:r>
            <w:r>
              <w:rPr>
                <w:rFonts w:hint="eastAsia"/>
                <w:color w:val="auto"/>
                <w:sz w:val="24"/>
                <w:lang w:val="en-US" w:eastAsia="zh-CN"/>
              </w:rPr>
              <w:t>2栋厂房位于厂区中部，1#</w:t>
            </w:r>
            <w:r>
              <w:rPr>
                <w:rFonts w:hint="eastAsia"/>
                <w:color w:val="auto"/>
                <w:sz w:val="24"/>
                <w:szCs w:val="24"/>
                <w:lang w:val="en-US" w:eastAsia="zh-CN"/>
              </w:rPr>
              <w:t>厂房（</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车间</w:t>
            </w:r>
            <w:r>
              <w:rPr>
                <w:rFonts w:hint="eastAsia"/>
                <w:color w:val="auto"/>
                <w:sz w:val="24"/>
                <w:szCs w:val="24"/>
                <w:lang w:val="en-US" w:eastAsia="zh-CN"/>
              </w:rPr>
              <w:t>）布设项目生产设备</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#厂房（仓库）用于项目原料及成品暂存</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项目厂区范围为1#厂房、2#厂房及2栋厂房之间的室外空间。</w:t>
            </w:r>
            <w:r>
              <w:rPr>
                <w:rFonts w:hint="default" w:ascii="Times New Roman" w:hAnsi="Times New Roman" w:cs="Times New Roman"/>
                <w:color w:val="auto"/>
                <w:sz w:val="24"/>
                <w:lang w:val="en-US" w:eastAsia="zh-CN"/>
              </w:rPr>
              <w:t>项目厂区平面布置图详见</w:t>
            </w:r>
            <w:r>
              <w:rPr>
                <w:rFonts w:hint="default" w:ascii="Times New Roman" w:hAnsi="Times New Roman" w:cs="Times New Roman"/>
                <w:color w:val="auto"/>
                <w:sz w:val="24"/>
                <w:highlight w:val="none"/>
                <w:lang w:val="en-US" w:eastAsia="zh-CN"/>
              </w:rPr>
              <w:t>附图3。</w:t>
            </w:r>
          </w:p>
          <w:p w14:paraId="132AA665">
            <w:pPr>
              <w:adjustRightInd w:val="0"/>
              <w:snapToGrid w:val="0"/>
              <w:spacing w:line="500" w:lineRule="exact"/>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9、厂区周围概况</w:t>
            </w:r>
          </w:p>
          <w:p w14:paraId="6687B0F5">
            <w:pPr>
              <w:spacing w:line="500" w:lineRule="exact"/>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建设项目选址位于</w:t>
            </w:r>
            <w:r>
              <w:rPr>
                <w:rFonts w:hint="eastAsia" w:cs="Times New Roman"/>
                <w:color w:val="auto"/>
                <w:sz w:val="24"/>
                <w:lang w:val="en-US" w:eastAsia="zh-CN"/>
              </w:rPr>
              <w:t>常州市金坛区指前镇洮西集镇府前路58号</w:t>
            </w:r>
            <w:r>
              <w:rPr>
                <w:rFonts w:hint="eastAsia" w:ascii="Times New Roman" w:hAnsi="Times New Roman" w:eastAsia="宋体" w:cs="Times New Roman"/>
                <w:color w:val="auto"/>
                <w:sz w:val="24"/>
                <w:lang w:val="en-US" w:eastAsia="zh-CN"/>
              </w:rPr>
              <w:t>，租用</w:t>
            </w:r>
            <w:r>
              <w:rPr>
                <w:rFonts w:hint="eastAsia" w:cs="Times New Roman"/>
                <w:color w:val="auto"/>
                <w:sz w:val="24"/>
                <w:lang w:val="en-US" w:eastAsia="zh-CN"/>
              </w:rPr>
              <w:t>常州市金坛区龙华服饰有限公司</w:t>
            </w:r>
            <w:r>
              <w:rPr>
                <w:rFonts w:hint="eastAsia" w:ascii="Times New Roman" w:hAnsi="Times New Roman" w:eastAsia="宋体" w:cs="Times New Roman"/>
                <w:color w:val="auto"/>
                <w:sz w:val="24"/>
                <w:lang w:val="en-US" w:eastAsia="zh-CN"/>
              </w:rPr>
              <w:t>闲置厂房生产。</w:t>
            </w:r>
          </w:p>
          <w:p w14:paraId="0E295B3C">
            <w:pPr>
              <w:spacing w:line="500" w:lineRule="exact"/>
              <w:ind w:firstLine="480" w:firstLineChars="200"/>
              <w:rPr>
                <w:rFonts w:hint="default" w:ascii="Times New Roman" w:hAnsi="Times New Roman" w:eastAsia="宋体" w:cs="Times New Roman"/>
                <w:color w:val="auto"/>
                <w:sz w:val="24"/>
                <w:szCs w:val="22"/>
                <w:lang w:val="en-US" w:eastAsia="zh-CN"/>
              </w:rPr>
            </w:pPr>
            <w:r>
              <w:rPr>
                <w:rFonts w:hint="eastAsia" w:cs="Times New Roman"/>
                <w:color w:val="auto"/>
                <w:sz w:val="24"/>
                <w:lang w:val="en-US" w:eastAsia="zh-CN"/>
              </w:rPr>
              <w:t>常州市金坛区龙华服饰有限公司</w:t>
            </w:r>
            <w:r>
              <w:rPr>
                <w:rFonts w:hint="eastAsia" w:ascii="Times New Roman" w:hAnsi="Times New Roman" w:eastAsia="宋体" w:cs="Times New Roman"/>
                <w:color w:val="auto"/>
                <w:sz w:val="24"/>
                <w:lang w:val="en-US" w:eastAsia="zh-CN"/>
              </w:rPr>
              <w:t>厂区东侧为</w:t>
            </w:r>
            <w:r>
              <w:rPr>
                <w:rFonts w:hint="eastAsia" w:cs="Times New Roman"/>
                <w:color w:val="auto"/>
                <w:sz w:val="24"/>
                <w:lang w:val="en-US" w:eastAsia="zh-CN"/>
              </w:rPr>
              <w:t>空地</w:t>
            </w:r>
            <w:r>
              <w:rPr>
                <w:rFonts w:hint="eastAsia" w:ascii="Times New Roman" w:hAnsi="Times New Roman" w:eastAsia="宋体" w:cs="Times New Roman"/>
                <w:color w:val="auto"/>
                <w:sz w:val="24"/>
                <w:lang w:val="en-US" w:eastAsia="zh-CN"/>
              </w:rPr>
              <w:t>；南侧为</w:t>
            </w:r>
            <w:r>
              <w:rPr>
                <w:rFonts w:hint="eastAsia" w:cs="Times New Roman"/>
                <w:color w:val="auto"/>
                <w:sz w:val="24"/>
                <w:lang w:val="en-US" w:eastAsia="zh-CN"/>
              </w:rPr>
              <w:t>府前路</w:t>
            </w:r>
            <w:r>
              <w:rPr>
                <w:rFonts w:hint="eastAsia" w:ascii="Times New Roman" w:hAnsi="Times New Roman" w:eastAsia="宋体" w:cs="Times New Roman"/>
                <w:color w:val="auto"/>
                <w:sz w:val="24"/>
                <w:lang w:val="en-US" w:eastAsia="zh-CN"/>
              </w:rPr>
              <w:t>；西侧为常州市金坛区市场监督管理局洮西分局；北侧为常州金坛茅山制粉有限公司。</w:t>
            </w:r>
            <w:r>
              <w:rPr>
                <w:rFonts w:hint="default" w:ascii="Times New Roman" w:hAnsi="Times New Roman" w:eastAsia="宋体" w:cs="Times New Roman"/>
                <w:color w:val="auto"/>
                <w:sz w:val="24"/>
                <w:lang w:val="en-US" w:eastAsia="zh-CN"/>
              </w:rPr>
              <w:t>项目周边500米范围土地利用现状见附图2。</w:t>
            </w:r>
          </w:p>
        </w:tc>
      </w:tr>
      <w:tr w14:paraId="25A0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777" w:type="dxa"/>
            <w:vAlign w:val="center"/>
          </w:tcPr>
          <w:p w14:paraId="090522F7">
            <w:pPr>
              <w:pStyle w:val="2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8283" w:type="dxa"/>
          </w:tcPr>
          <w:p w14:paraId="0567019B">
            <w:pPr>
              <w:adjustRightInd w:val="0"/>
              <w:snapToGrid w:val="0"/>
              <w:spacing w:line="500" w:lineRule="exact"/>
              <w:ind w:firstLine="480" w:firstLineChars="20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eastAsia="zh-CN"/>
              </w:rPr>
              <w:t>本项目建成后产品主要为</w:t>
            </w:r>
            <w:r>
              <w:rPr>
                <w:rFonts w:hint="eastAsia" w:cs="Times New Roman"/>
                <w:color w:val="auto"/>
                <w:sz w:val="24"/>
                <w:szCs w:val="24"/>
                <w:highlight w:val="none"/>
                <w:lang w:val="en-US" w:eastAsia="zh-CN"/>
              </w:rPr>
              <w:t>焊机配件变压器</w:t>
            </w:r>
            <w:r>
              <w:rPr>
                <w:rFonts w:hint="default" w:ascii="Times New Roman" w:hAnsi="Times New Roman" w:cs="Times New Roman"/>
                <w:b w:val="0"/>
                <w:bCs w:val="0"/>
                <w:color w:val="auto"/>
                <w:sz w:val="24"/>
                <w:szCs w:val="24"/>
                <w:lang w:eastAsia="zh-CN"/>
              </w:rPr>
              <w:t>。</w:t>
            </w:r>
          </w:p>
          <w:p w14:paraId="46DE9CD0">
            <w:pPr>
              <w:adjustRightInd w:val="0"/>
              <w:snapToGrid w:val="0"/>
              <w:spacing w:line="50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1、生产工艺流程</w:t>
            </w:r>
          </w:p>
          <w:p w14:paraId="61697813">
            <w:pPr>
              <w:pStyle w:val="8"/>
              <w:numPr>
                <w:ilvl w:val="0"/>
                <w:numId w:val="0"/>
              </w:numPr>
              <w:ind w:right="113" w:rightChars="0"/>
              <w:jc w:val="center"/>
              <w:rPr>
                <w:rFonts w:hint="default" w:ascii="Times New Roman" w:hAnsi="Times New Roman" w:eastAsia="宋体" w:cs="Times New Roman"/>
                <w:color w:val="auto"/>
                <w:lang w:val="en-US" w:eastAsia="zh-CN"/>
              </w:rPr>
            </w:pPr>
            <w:r>
              <w:rPr>
                <w:color w:val="auto"/>
              </w:rPr>
              <w:drawing>
                <wp:inline distT="0" distB="0" distL="114300" distR="114300">
                  <wp:extent cx="2720340" cy="576072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720340" cy="5760720"/>
                          </a:xfrm>
                          <a:prstGeom prst="rect">
                            <a:avLst/>
                          </a:prstGeom>
                          <a:noFill/>
                          <a:ln>
                            <a:noFill/>
                          </a:ln>
                        </pic:spPr>
                      </pic:pic>
                    </a:graphicData>
                  </a:graphic>
                </wp:inline>
              </w:drawing>
            </w:r>
          </w:p>
          <w:p w14:paraId="58457DE5">
            <w:pPr>
              <w:pStyle w:val="10"/>
              <w:keepNext w:val="0"/>
              <w:keepLines w:val="0"/>
              <w:pageBreakBefore w:val="0"/>
              <w:widowControl w:val="0"/>
              <w:kinsoku/>
              <w:wordWrap/>
              <w:overflowPunct/>
              <w:topLinePunct w:val="0"/>
              <w:autoSpaceDE/>
              <w:autoSpaceDN/>
              <w:bidi w:val="0"/>
              <w:adjustRightInd w:val="0"/>
              <w:snapToGrid w:val="0"/>
              <w:spacing w:before="120" w:after="0" w:line="240" w:lineRule="auto"/>
              <w:ind w:left="0" w:leftChars="0" w:right="0" w:right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color w:val="auto"/>
                <w:sz w:val="24"/>
                <w:szCs w:val="22"/>
              </w:rPr>
              <w:drawing>
                <wp:inline distT="0" distB="0" distL="114300" distR="114300">
                  <wp:extent cx="635"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4"/>
                <w:szCs w:val="22"/>
              </w:rPr>
              <w:drawing>
                <wp:inline distT="0" distB="0" distL="114300" distR="114300">
                  <wp:extent cx="635" cy="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color w:val="auto"/>
                <w:sz w:val="24"/>
                <w:szCs w:val="22"/>
              </w:rPr>
              <w:drawing>
                <wp:inline distT="0" distB="0" distL="114300" distR="114300">
                  <wp:extent cx="635" cy="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eastAsia="宋体" w:cs="Times New Roman"/>
                <w:b/>
                <w:color w:val="auto"/>
                <w:sz w:val="24"/>
                <w:szCs w:val="24"/>
                <w:highlight w:val="none"/>
                <w:lang w:val="en-US" w:eastAsia="zh-CN"/>
              </w:rPr>
              <w:t>图2-</w:t>
            </w: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lang w:val="en-US" w:eastAsia="zh-CN"/>
              </w:rPr>
              <w:t>项目</w:t>
            </w:r>
            <w:r>
              <w:rPr>
                <w:rFonts w:hint="default" w:ascii="Times New Roman" w:hAnsi="Times New Roman" w:eastAsia="宋体" w:cs="Times New Roman"/>
                <w:b/>
                <w:color w:val="auto"/>
                <w:sz w:val="24"/>
                <w:szCs w:val="24"/>
                <w:highlight w:val="none"/>
                <w:lang w:val="en-US" w:eastAsia="zh-CN"/>
              </w:rPr>
              <w:t>生产工艺流程及产污环节图</w:t>
            </w:r>
          </w:p>
          <w:p w14:paraId="70E7A147">
            <w:pPr>
              <w:pStyle w:val="10"/>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工艺流程说明：</w:t>
            </w:r>
          </w:p>
          <w:p w14:paraId="37F480B8">
            <w:pPr>
              <w:keepNext w:val="0"/>
              <w:keepLines w:val="0"/>
              <w:pageBreakBefore w:val="0"/>
              <w:widowControl/>
              <w:suppressLineNumbers w:val="0"/>
              <w:kinsoku/>
              <w:wordWrap/>
              <w:overflowPunct/>
              <w:topLinePunct w:val="0"/>
              <w:bidi w:val="0"/>
              <w:adjustRightInd w:val="0"/>
              <w:snapToGrid w:val="0"/>
              <w:spacing w:line="50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绞线、包膜:利用漆包线包膜机将多根1-1.5mm的铜线绞成一定粗细的线束（φ</w:t>
            </w:r>
            <w:r>
              <w:rPr>
                <w:rFonts w:hint="default" w:ascii="Times New Roman" w:hAnsi="Times New Roman" w:eastAsia="宋体" w:cs="Times New Roman"/>
                <w:color w:val="auto"/>
                <w:kern w:val="2"/>
                <w:sz w:val="24"/>
                <w:szCs w:val="24"/>
                <w:highlight w:val="none"/>
                <w:lang w:val="en-US" w:eastAsia="zh-CN" w:bidi="ar-SA"/>
              </w:rPr>
              <w:t>30mm），</w:t>
            </w:r>
            <w:r>
              <w:rPr>
                <w:rFonts w:hint="eastAsia" w:ascii="Times New Roman" w:hAnsi="Times New Roman" w:eastAsia="宋体" w:cs="Times New Roman"/>
                <w:color w:val="auto"/>
                <w:kern w:val="2"/>
                <w:sz w:val="24"/>
                <w:szCs w:val="24"/>
                <w:highlight w:val="none"/>
                <w:lang w:val="en-US" w:eastAsia="zh-CN" w:bidi="ar-SA"/>
              </w:rPr>
              <w:t>再将外购的绝缘膜包裹线束表面。在</w:t>
            </w:r>
            <w:r>
              <w:rPr>
                <w:rFonts w:hint="default" w:ascii="Times New Roman" w:hAnsi="Times New Roman" w:eastAsia="宋体" w:cs="Times New Roman"/>
                <w:color w:val="auto"/>
                <w:kern w:val="2"/>
                <w:sz w:val="24"/>
                <w:szCs w:val="24"/>
                <w:highlight w:val="none"/>
                <w:lang w:val="en-US" w:eastAsia="zh-CN" w:bidi="ar-SA"/>
              </w:rPr>
              <w:t>此工序无污染物产生及排放</w:t>
            </w:r>
            <w:r>
              <w:rPr>
                <w:rFonts w:hint="eastAsia" w:ascii="Times New Roman" w:hAnsi="Times New Roman" w:eastAsia="宋体" w:cs="Times New Roman"/>
                <w:color w:val="auto"/>
                <w:kern w:val="2"/>
                <w:sz w:val="24"/>
                <w:szCs w:val="24"/>
                <w:highlight w:val="none"/>
                <w:lang w:val="en-US" w:eastAsia="zh-CN" w:bidi="ar-SA"/>
              </w:rPr>
              <w:t>。</w:t>
            </w:r>
          </w:p>
          <w:p w14:paraId="2E5A294D">
            <w:pPr>
              <w:keepNext w:val="0"/>
              <w:keepLines w:val="0"/>
              <w:pageBreakBefore w:val="0"/>
              <w:widowControl/>
              <w:suppressLineNumbers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切线:利用裁线机将线束裁断成所需规格长度，切线过程产生少量边角料（S1）。</w:t>
            </w:r>
          </w:p>
          <w:p w14:paraId="239204C2">
            <w:pPr>
              <w:keepNext w:val="0"/>
              <w:keepLines w:val="0"/>
              <w:pageBreakBefore w:val="0"/>
              <w:widowControl/>
              <w:suppressLineNumbers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绕线圈：使用精准匝数环绕机、磁环绕线机等将线束缠绕在外购的铁氧体表面。</w:t>
            </w:r>
          </w:p>
          <w:p w14:paraId="2145B5EC">
            <w:pPr>
              <w:keepNext w:val="0"/>
              <w:keepLines w:val="0"/>
              <w:pageBreakBefore w:val="0"/>
              <w:widowControl/>
              <w:suppressLineNumbers w:val="0"/>
              <w:kinsoku/>
              <w:wordWrap/>
              <w:overflowPunct/>
              <w:topLinePunct w:val="0"/>
              <w:bidi w:val="0"/>
              <w:adjustRightInd w:val="0"/>
              <w:snapToGrid w:val="0"/>
              <w:spacing w:line="50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压接： 铜线耳利用静音端子机压接在线束两端。</w:t>
            </w:r>
          </w:p>
          <w:p w14:paraId="1A49FE34">
            <w:pPr>
              <w:keepNext w:val="0"/>
              <w:keepLines w:val="0"/>
              <w:pageBreakBefore w:val="0"/>
              <w:widowControl/>
              <w:suppressLineNumbers w:val="0"/>
              <w:kinsoku/>
              <w:wordWrap/>
              <w:overflowPunct/>
              <w:topLinePunct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浸助焊剂：将助焊剂倒入塑料桶内，人工将工件两端蘸取助焊剂。该过程产生少量</w:t>
            </w:r>
            <w:r>
              <w:rPr>
                <w:rFonts w:hint="eastAsia" w:cs="Times New Roman"/>
                <w:color w:val="auto"/>
                <w:kern w:val="2"/>
                <w:sz w:val="24"/>
                <w:szCs w:val="24"/>
                <w:highlight w:val="none"/>
                <w:lang w:val="en-US" w:eastAsia="zh-CN" w:bidi="ar-SA"/>
              </w:rPr>
              <w:t>有机</w:t>
            </w:r>
            <w:r>
              <w:rPr>
                <w:rFonts w:hint="eastAsia" w:ascii="Times New Roman" w:hAnsi="Times New Roman" w:eastAsia="宋体" w:cs="Times New Roman"/>
                <w:color w:val="auto"/>
                <w:kern w:val="2"/>
                <w:sz w:val="24"/>
                <w:szCs w:val="24"/>
                <w:highlight w:val="none"/>
                <w:lang w:val="en-US" w:eastAsia="zh-CN" w:bidi="ar-SA"/>
              </w:rPr>
              <w:t>废气(G1)和废塑料桶（S2）。</w:t>
            </w:r>
          </w:p>
          <w:p w14:paraId="43B63427">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bCs/>
                <w:color w:val="auto"/>
                <w:sz w:val="24"/>
                <w:szCs w:val="24"/>
              </w:rPr>
            </w:pPr>
            <w:r>
              <w:rPr>
                <w:rFonts w:hint="eastAsia" w:ascii="Times New Roman" w:hAnsi="Times New Roman" w:eastAsia="宋体" w:cs="Times New Roman"/>
                <w:color w:val="auto"/>
                <w:kern w:val="2"/>
                <w:sz w:val="24"/>
                <w:szCs w:val="24"/>
                <w:highlight w:val="none"/>
                <w:lang w:val="en-US" w:eastAsia="zh-CN" w:bidi="ar-SA"/>
              </w:rPr>
              <w:t>浸锡</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浸助焊剂</w:t>
            </w:r>
            <w:r>
              <w:rPr>
                <w:rFonts w:hint="eastAsia"/>
                <w:bCs/>
                <w:color w:val="auto"/>
                <w:sz w:val="24"/>
                <w:szCs w:val="24"/>
              </w:rPr>
              <w:t>的半成品进入浸锡炉进行表面上锡，锡层主要抗腐蚀，起保护层作用。项目锡炉</w:t>
            </w:r>
            <w:r>
              <w:rPr>
                <w:rFonts w:hint="eastAsia"/>
                <w:bCs/>
                <w:color w:val="auto"/>
                <w:sz w:val="24"/>
                <w:szCs w:val="24"/>
                <w:lang w:val="en-US" w:eastAsia="zh-CN"/>
              </w:rPr>
              <w:t>采用电加热</w:t>
            </w:r>
            <w:r>
              <w:rPr>
                <w:rFonts w:hint="eastAsia"/>
                <w:bCs/>
                <w:color w:val="auto"/>
                <w:sz w:val="24"/>
                <w:szCs w:val="24"/>
              </w:rPr>
              <w:t>，锡炉</w:t>
            </w:r>
            <w:r>
              <w:rPr>
                <w:rFonts w:hint="eastAsia"/>
                <w:bCs/>
                <w:color w:val="auto"/>
                <w:sz w:val="24"/>
                <w:szCs w:val="24"/>
                <w:lang w:val="en-US" w:eastAsia="zh-CN"/>
              </w:rPr>
              <w:t>内</w:t>
            </w:r>
            <w:r>
              <w:rPr>
                <w:rFonts w:hint="eastAsia"/>
                <w:bCs/>
                <w:color w:val="auto"/>
                <w:sz w:val="24"/>
                <w:szCs w:val="24"/>
              </w:rPr>
              <w:t>加入</w:t>
            </w:r>
            <w:r>
              <w:rPr>
                <w:rFonts w:hint="eastAsia" w:ascii="宋体" w:hAnsi="宋体" w:cs="宋体"/>
                <w:i w:val="0"/>
                <w:iCs w:val="0"/>
                <w:color w:val="auto"/>
                <w:kern w:val="0"/>
                <w:sz w:val="24"/>
                <w:szCs w:val="24"/>
                <w:u w:val="none"/>
                <w:lang w:val="en-US" w:eastAsia="zh-CN" w:bidi="ar"/>
              </w:rPr>
              <w:t>无铅焊锡条</w:t>
            </w:r>
            <w:r>
              <w:rPr>
                <w:rFonts w:hint="eastAsia"/>
                <w:bCs/>
                <w:color w:val="auto"/>
                <w:sz w:val="24"/>
                <w:szCs w:val="24"/>
              </w:rPr>
              <w:t>，</w:t>
            </w:r>
            <w:r>
              <w:rPr>
                <w:rFonts w:hint="eastAsia" w:ascii="宋体" w:hAnsi="宋体" w:eastAsia="宋体" w:cs="宋体"/>
                <w:i w:val="0"/>
                <w:iCs w:val="0"/>
                <w:color w:val="auto"/>
                <w:kern w:val="0"/>
                <w:sz w:val="24"/>
                <w:szCs w:val="24"/>
                <w:u w:val="none"/>
                <w:lang w:val="en-US" w:eastAsia="zh-CN" w:bidi="ar"/>
              </w:rPr>
              <w:t>锡条</w:t>
            </w:r>
            <w:r>
              <w:rPr>
                <w:rFonts w:hint="eastAsia"/>
                <w:bCs/>
                <w:color w:val="auto"/>
                <w:sz w:val="24"/>
                <w:szCs w:val="24"/>
              </w:rPr>
              <w:t>在245~255℃左右进行高温熔化。浸锡过程属于物理变化，不涉及化学反应，不属于电镀工艺。浸锡后的半成品自然冷却后，进入下一道工序。此过程会产生浸锡废气（G2）、锡渣</w:t>
            </w:r>
            <w:r>
              <w:rPr>
                <w:rFonts w:hint="eastAsia"/>
                <w:bCs/>
                <w:color w:val="auto"/>
                <w:sz w:val="24"/>
                <w:szCs w:val="24"/>
                <w:lang w:eastAsia="zh-CN"/>
              </w:rPr>
              <w:t>（</w:t>
            </w:r>
            <w:r>
              <w:rPr>
                <w:rFonts w:hint="eastAsia"/>
                <w:bCs/>
                <w:color w:val="auto"/>
                <w:sz w:val="24"/>
                <w:szCs w:val="24"/>
              </w:rPr>
              <w:t>S</w:t>
            </w:r>
            <w:r>
              <w:rPr>
                <w:rFonts w:hint="eastAsia"/>
                <w:bCs/>
                <w:color w:val="auto"/>
                <w:sz w:val="24"/>
                <w:szCs w:val="24"/>
                <w:lang w:val="en-US" w:eastAsia="zh-CN"/>
              </w:rPr>
              <w:t>3</w:t>
            </w:r>
            <w:r>
              <w:rPr>
                <w:rFonts w:hint="eastAsia"/>
                <w:bCs/>
                <w:color w:val="auto"/>
                <w:sz w:val="24"/>
                <w:szCs w:val="24"/>
                <w:lang w:eastAsia="zh-CN"/>
              </w:rPr>
              <w:t>）</w:t>
            </w:r>
            <w:r>
              <w:rPr>
                <w:rFonts w:hint="eastAsia"/>
                <w:bCs/>
                <w:color w:val="auto"/>
                <w:sz w:val="24"/>
                <w:szCs w:val="24"/>
              </w:rPr>
              <w:t>。</w:t>
            </w:r>
          </w:p>
          <w:p w14:paraId="2AA9F970">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套热缩管：</w:t>
            </w:r>
            <w:r>
              <w:rPr>
                <w:rFonts w:hint="eastAsia" w:ascii="Times New Roman" w:hAnsi="Times New Roman" w:eastAsia="宋体" w:cs="Times New Roman"/>
                <w:color w:val="auto"/>
                <w:kern w:val="2"/>
                <w:sz w:val="24"/>
                <w:szCs w:val="24"/>
                <w:highlight w:val="none"/>
                <w:lang w:val="en-US" w:eastAsia="zh-CN" w:bidi="ar-SA"/>
              </w:rPr>
              <w:t>浸锡后的工件人工套入热缩管，热缩管使用前需使用切带机裁切</w:t>
            </w:r>
            <w:r>
              <w:rPr>
                <w:rFonts w:hint="eastAsia" w:ascii="Times New Roman" w:hAnsi="Times New Roman" w:eastAsia="宋体" w:cs="Times New Roman"/>
                <w:color w:val="auto"/>
                <w:sz w:val="24"/>
                <w:szCs w:val="24"/>
                <w:lang w:val="en-US" w:eastAsia="zh-CN"/>
              </w:rPr>
              <w:t>。</w:t>
            </w:r>
          </w:p>
          <w:p w14:paraId="61B70BE0">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kern w:val="2"/>
                <w:sz w:val="24"/>
                <w:szCs w:val="24"/>
                <w:highlight w:val="none"/>
                <w:lang w:val="en-US" w:eastAsia="zh-CN" w:bidi="ar-SA"/>
              </w:rPr>
              <w:t>热封</w:t>
            </w:r>
            <w:r>
              <w:rPr>
                <w:rFonts w:hint="eastAsia" w:ascii="Times New Roman" w:hAnsi="Times New Roman" w:eastAsia="宋体" w:cs="Times New Roman"/>
                <w:color w:val="auto"/>
                <w:kern w:val="2"/>
                <w:sz w:val="24"/>
                <w:szCs w:val="24"/>
                <w:highlight w:val="none"/>
                <w:lang w:val="en-US" w:eastAsia="zh-CN" w:bidi="ar-SA"/>
              </w:rPr>
              <w:t>:套管后的产品使用</w:t>
            </w:r>
            <w:r>
              <w:rPr>
                <w:rFonts w:hint="eastAsia" w:ascii="Times New Roman" w:hAnsi="Times New Roman" w:eastAsia="宋体" w:cs="Times New Roman"/>
                <w:color w:val="auto"/>
                <w:sz w:val="24"/>
                <w:szCs w:val="24"/>
              </w:rPr>
              <w:t>远红外热收缩包装机</w:t>
            </w:r>
            <w:r>
              <w:rPr>
                <w:rFonts w:hint="eastAsia" w:ascii="Times New Roman" w:hAnsi="Times New Roman" w:eastAsia="宋体" w:cs="Times New Roman"/>
                <w:color w:val="auto"/>
                <w:sz w:val="24"/>
                <w:szCs w:val="24"/>
                <w:lang w:val="en-US" w:eastAsia="zh-CN"/>
              </w:rPr>
              <w:t>进行</w:t>
            </w:r>
            <w:r>
              <w:rPr>
                <w:rFonts w:hint="eastAsia" w:ascii="Times New Roman" w:hAnsi="Times New Roman" w:eastAsia="宋体" w:cs="Times New Roman"/>
                <w:color w:val="auto"/>
                <w:sz w:val="24"/>
                <w:szCs w:val="24"/>
              </w:rPr>
              <w:t>热缩</w:t>
            </w:r>
            <w:r>
              <w:rPr>
                <w:rFonts w:hint="eastAsia" w:ascii="Times New Roman" w:hAnsi="Times New Roman" w:eastAsia="宋体" w:cs="Times New Roman"/>
                <w:color w:val="auto"/>
                <w:sz w:val="24"/>
                <w:szCs w:val="24"/>
                <w:lang w:val="en-US" w:eastAsia="zh-CN"/>
              </w:rPr>
              <w:t>作业，采用电加热，加热温度约80</w:t>
            </w:r>
            <w:r>
              <w:rPr>
                <w:rFonts w:hint="eastAsia"/>
                <w:bCs/>
                <w:color w:val="auto"/>
                <w:sz w:val="24"/>
                <w:szCs w:val="24"/>
              </w:rPr>
              <w:t>℃</w:t>
            </w:r>
            <w:r>
              <w:rPr>
                <w:rFonts w:hint="eastAsia" w:ascii="Times New Roman" w:hAnsi="Times New Roman" w:eastAsia="宋体" w:cs="Times New Roman"/>
                <w:color w:val="auto"/>
                <w:kern w:val="2"/>
                <w:sz w:val="24"/>
                <w:szCs w:val="24"/>
                <w:highlight w:val="none"/>
                <w:lang w:val="en-US" w:eastAsia="zh-CN" w:bidi="ar-SA"/>
              </w:rPr>
              <w:t>。该过程</w:t>
            </w:r>
            <w:r>
              <w:rPr>
                <w:rFonts w:hint="eastAsia" w:ascii="Times New Roman" w:hAnsi="Times New Roman" w:eastAsia="宋体" w:cs="Times New Roman"/>
                <w:color w:val="auto"/>
                <w:sz w:val="24"/>
                <w:szCs w:val="24"/>
                <w:lang w:val="en-US" w:eastAsia="zh-CN"/>
              </w:rPr>
              <w:t>产生少量</w:t>
            </w:r>
            <w:r>
              <w:rPr>
                <w:rFonts w:hint="eastAsia" w:cs="Times New Roman"/>
                <w:color w:val="auto"/>
                <w:sz w:val="24"/>
                <w:szCs w:val="24"/>
                <w:lang w:val="en-US" w:eastAsia="zh-CN"/>
              </w:rPr>
              <w:t>有机</w:t>
            </w:r>
            <w:r>
              <w:rPr>
                <w:rFonts w:hint="eastAsia" w:ascii="Times New Roman" w:hAnsi="Times New Roman" w:eastAsia="宋体" w:cs="Times New Roman"/>
                <w:color w:val="auto"/>
                <w:kern w:val="2"/>
                <w:sz w:val="24"/>
                <w:szCs w:val="24"/>
                <w:highlight w:val="none"/>
                <w:lang w:val="en-US" w:eastAsia="zh-CN" w:bidi="ar-SA"/>
              </w:rPr>
              <w:t>废气(G3)</w:t>
            </w:r>
            <w:r>
              <w:rPr>
                <w:rFonts w:hint="eastAsia" w:ascii="Times New Roman" w:hAnsi="Times New Roman" w:eastAsia="宋体" w:cs="Times New Roman"/>
                <w:color w:val="auto"/>
                <w:sz w:val="24"/>
                <w:szCs w:val="24"/>
                <w:lang w:val="en-US" w:eastAsia="zh-CN"/>
              </w:rPr>
              <w:t>。</w:t>
            </w:r>
          </w:p>
          <w:p w14:paraId="2D4E3362">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lang w:val="en-US" w:eastAsia="zh-CN"/>
              </w:rPr>
              <w:t>测试：利用高压测试机物理测试产品的电性能，测试过程会有</w:t>
            </w:r>
            <w:r>
              <w:rPr>
                <w:rFonts w:hint="eastAsia" w:cs="Times New Roman"/>
                <w:color w:val="auto"/>
                <w:sz w:val="24"/>
                <w:szCs w:val="24"/>
                <w:lang w:val="en-US" w:eastAsia="zh-CN"/>
              </w:rPr>
              <w:t>次品</w:t>
            </w:r>
            <w:r>
              <w:rPr>
                <w:rFonts w:hint="eastAsia" w:ascii="Times New Roman" w:hAnsi="Times New Roman" w:eastAsia="宋体" w:cs="Times New Roman"/>
                <w:color w:val="auto"/>
                <w:sz w:val="24"/>
                <w:szCs w:val="24"/>
                <w:lang w:val="en-US" w:eastAsia="zh-CN"/>
              </w:rPr>
              <w:t>（S4）产生。</w:t>
            </w:r>
          </w:p>
          <w:p w14:paraId="190314C1">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包装入库：</w:t>
            </w:r>
            <w:r>
              <w:rPr>
                <w:rFonts w:hint="eastAsia" w:cs="Times New Roman"/>
                <w:color w:val="auto"/>
                <w:kern w:val="2"/>
                <w:sz w:val="24"/>
                <w:szCs w:val="24"/>
                <w:highlight w:val="none"/>
                <w:lang w:val="en-US" w:eastAsia="zh-CN" w:bidi="ar-SA"/>
              </w:rPr>
              <w:t>裁切好的</w:t>
            </w:r>
            <w:r>
              <w:rPr>
                <w:rFonts w:hint="eastAsia" w:ascii="Times New Roman" w:hAnsi="Times New Roman" w:eastAsia="宋体" w:cs="Times New Roman"/>
                <w:color w:val="auto"/>
                <w:kern w:val="2"/>
                <w:sz w:val="24"/>
                <w:szCs w:val="24"/>
                <w:highlight w:val="none"/>
                <w:lang w:val="en-US" w:eastAsia="zh-CN" w:bidi="ar-SA"/>
              </w:rPr>
              <w:t>产品包装入库待售。</w:t>
            </w:r>
          </w:p>
          <w:p w14:paraId="1568A2D5">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100" w:firstLine="723" w:firstLineChars="300"/>
              <w:textAlignment w:val="auto"/>
              <w:rPr>
                <w:rFonts w:hint="default" w:ascii="Times New Roman" w:hAnsi="Times New Roman"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2</w:t>
            </w:r>
            <w:r>
              <w:rPr>
                <w:rFonts w:hint="default" w:ascii="Times New Roman" w:hAnsi="Times New Roman" w:cs="Times New Roman"/>
                <w:b/>
                <w:bCs/>
                <w:color w:val="auto"/>
                <w:kern w:val="2"/>
                <w:sz w:val="24"/>
                <w:szCs w:val="24"/>
                <w:lang w:val="en-US" w:eastAsia="zh-CN" w:bidi="ar-SA"/>
              </w:rPr>
              <w:t>、其他产污工序</w:t>
            </w:r>
          </w:p>
          <w:p w14:paraId="1B9FBD4A">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（1）项目</w:t>
            </w:r>
            <w:r>
              <w:rPr>
                <w:rFonts w:hint="eastAsia" w:ascii="Times New Roman" w:hAnsi="Times New Roman" w:eastAsia="宋体" w:cs="Times New Roman"/>
                <w:color w:val="auto"/>
                <w:kern w:val="2"/>
                <w:sz w:val="24"/>
                <w:szCs w:val="24"/>
                <w:highlight w:val="none"/>
                <w:lang w:val="en-US" w:eastAsia="zh-CN" w:bidi="ar-SA"/>
              </w:rPr>
              <w:t>助焊剂</w:t>
            </w:r>
            <w:r>
              <w:rPr>
                <w:rFonts w:hint="default" w:ascii="Times New Roman" w:hAnsi="Times New Roman" w:eastAsia="宋体" w:cs="Times New Roman"/>
                <w:color w:val="auto"/>
                <w:sz w:val="24"/>
                <w:szCs w:val="24"/>
                <w:highlight w:val="none"/>
                <w:lang w:val="en-US" w:eastAsia="zh-CN"/>
              </w:rPr>
              <w:t>使用过程产生少量废</w:t>
            </w:r>
            <w:r>
              <w:rPr>
                <w:rFonts w:hint="eastAsia" w:cs="Times New Roman"/>
                <w:color w:val="auto"/>
                <w:sz w:val="24"/>
                <w:szCs w:val="24"/>
                <w:highlight w:val="none"/>
                <w:lang w:val="en-US" w:eastAsia="zh-CN"/>
              </w:rPr>
              <w:t>包装</w:t>
            </w:r>
            <w:r>
              <w:rPr>
                <w:rFonts w:hint="default" w:ascii="Times New Roman" w:hAnsi="Times New Roman" w:eastAsia="宋体" w:cs="Times New Roman"/>
                <w:color w:val="auto"/>
                <w:sz w:val="24"/>
                <w:szCs w:val="24"/>
                <w:highlight w:val="none"/>
                <w:lang w:val="en-US" w:eastAsia="zh-CN"/>
              </w:rPr>
              <w:t>桶，</w:t>
            </w:r>
            <w:r>
              <w:rPr>
                <w:rFonts w:hint="eastAsia" w:cs="Times New Roman"/>
                <w:color w:val="auto"/>
                <w:sz w:val="24"/>
                <w:szCs w:val="24"/>
                <w:highlight w:val="none"/>
                <w:lang w:val="en-US" w:eastAsia="zh-CN"/>
              </w:rPr>
              <w:t>绝缘膜</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无铅焊锡条</w:t>
            </w:r>
            <w:r>
              <w:rPr>
                <w:rFonts w:hint="default" w:ascii="Times New Roman" w:hAnsi="Times New Roman" w:eastAsia="宋体" w:cs="Times New Roman"/>
                <w:color w:val="auto"/>
                <w:sz w:val="24"/>
                <w:szCs w:val="24"/>
                <w:highlight w:val="none"/>
                <w:lang w:val="en-US" w:eastAsia="zh-CN"/>
              </w:rPr>
              <w:t>等固体原料使用过程产生少量废包材。</w:t>
            </w:r>
          </w:p>
          <w:p w14:paraId="17B00C60">
            <w:pPr>
              <w:keepNext w:val="0"/>
              <w:keepLines w:val="0"/>
              <w:pageBreakBefore w:val="0"/>
              <w:widowControl w:val="0"/>
              <w:numPr>
                <w:ilvl w:val="0"/>
                <w:numId w:val="0"/>
              </w:numPr>
              <w:tabs>
                <w:tab w:val="left" w:pos="2846"/>
                <w:tab w:val="left" w:pos="4382"/>
                <w:tab w:val="left" w:pos="4451"/>
                <w:tab w:val="left" w:pos="6056"/>
              </w:tabs>
              <w:kinsoku/>
              <w:wordWrap/>
              <w:overflowPunct/>
              <w:topLinePunct w:val="0"/>
              <w:autoSpaceDE/>
              <w:autoSpaceDN/>
              <w:bidi w:val="0"/>
              <w:adjustRightInd/>
              <w:snapToGrid/>
              <w:spacing w:line="500" w:lineRule="exact"/>
              <w:ind w:leftChars="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项</w:t>
            </w:r>
            <w:r>
              <w:rPr>
                <w:rFonts w:hint="default" w:ascii="Times New Roman" w:hAnsi="Times New Roman" w:eastAsia="宋体" w:cs="Times New Roman"/>
                <w:color w:val="auto"/>
                <w:sz w:val="24"/>
                <w:szCs w:val="24"/>
                <w:highlight w:val="none"/>
                <w:lang w:val="en-US" w:eastAsia="zh-CN"/>
              </w:rPr>
              <w:t>目</w:t>
            </w:r>
            <w:r>
              <w:rPr>
                <w:rFonts w:hint="eastAsia" w:ascii="Times New Roman" w:hAnsi="Times New Roman" w:eastAsia="宋体" w:cs="Times New Roman"/>
                <w:color w:val="auto"/>
                <w:kern w:val="2"/>
                <w:sz w:val="24"/>
                <w:szCs w:val="24"/>
                <w:highlight w:val="none"/>
                <w:lang w:val="en-US" w:eastAsia="zh-CN" w:bidi="ar-SA"/>
              </w:rPr>
              <w:t>浸锡</w:t>
            </w:r>
            <w:r>
              <w:rPr>
                <w:rFonts w:hint="default" w:ascii="Times New Roman" w:hAnsi="Times New Roman" w:eastAsia="宋体" w:cs="Times New Roman"/>
                <w:color w:val="auto"/>
                <w:sz w:val="24"/>
                <w:szCs w:val="24"/>
                <w:highlight w:val="none"/>
                <w:lang w:val="en-US" w:eastAsia="zh-CN"/>
              </w:rPr>
              <w:t>废气采用</w:t>
            </w:r>
            <w:r>
              <w:rPr>
                <w:rFonts w:hint="eastAsia"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val="en-US" w:eastAsia="zh-CN"/>
              </w:rPr>
              <w:t>装置处理，</w:t>
            </w:r>
            <w:r>
              <w:rPr>
                <w:rFonts w:hint="eastAsia" w:cs="Times New Roman"/>
                <w:color w:val="auto"/>
                <w:sz w:val="24"/>
                <w:szCs w:val="24"/>
                <w:highlight w:val="none"/>
                <w:lang w:val="en-US" w:eastAsia="zh-CN"/>
              </w:rPr>
              <w:t>产生少量收集粉尘，袋式除尘</w:t>
            </w:r>
            <w:r>
              <w:rPr>
                <w:rFonts w:hint="default" w:ascii="Times New Roman" w:hAnsi="Times New Roman" w:eastAsia="宋体" w:cs="Times New Roman"/>
                <w:color w:val="auto"/>
                <w:sz w:val="24"/>
                <w:szCs w:val="24"/>
                <w:highlight w:val="none"/>
                <w:lang w:val="en-US" w:eastAsia="zh-CN"/>
              </w:rPr>
              <w:t>装置</w:t>
            </w:r>
            <w:r>
              <w:rPr>
                <w:rFonts w:hint="eastAsia" w:ascii="Times New Roman" w:hAnsi="Times New Roman" w:eastAsia="宋体" w:cs="Times New Roman"/>
                <w:color w:val="auto"/>
                <w:sz w:val="24"/>
                <w:szCs w:val="24"/>
                <w:highlight w:val="none"/>
                <w:lang w:val="en-US" w:eastAsia="zh-CN"/>
              </w:rPr>
              <w:t>定期更换布袋，产生少量废布袋</w:t>
            </w:r>
            <w:r>
              <w:rPr>
                <w:rFonts w:hint="default" w:ascii="Times New Roman" w:hAnsi="Times New Roman" w:eastAsia="宋体" w:cs="Times New Roman"/>
                <w:b w:val="0"/>
                <w:bCs w:val="0"/>
                <w:color w:val="auto"/>
                <w:kern w:val="2"/>
                <w:sz w:val="24"/>
                <w:szCs w:val="24"/>
                <w:lang w:val="en-US" w:eastAsia="zh-CN" w:bidi="ar-SA"/>
              </w:rPr>
              <w:t>。</w:t>
            </w:r>
          </w:p>
          <w:p w14:paraId="6E362278">
            <w:pPr>
              <w:pStyle w:val="8"/>
              <w:ind w:firstLine="360" w:firstLineChars="200"/>
              <w:rPr>
                <w:rFonts w:hint="default"/>
                <w:color w:val="auto"/>
                <w:lang w:val="en-US" w:eastAsia="zh-CN"/>
              </w:rPr>
            </w:pPr>
          </w:p>
        </w:tc>
      </w:tr>
      <w:tr w14:paraId="1ECC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777" w:type="dxa"/>
            <w:vAlign w:val="center"/>
          </w:tcPr>
          <w:p w14:paraId="4F56FA32">
            <w:pPr>
              <w:pStyle w:val="23"/>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Cs w:val="24"/>
              </w:rPr>
              <w:t>与项目有关的原有环境污染问题</w:t>
            </w:r>
          </w:p>
        </w:tc>
        <w:tc>
          <w:tcPr>
            <w:tcW w:w="8283" w:type="dxa"/>
          </w:tcPr>
          <w:p w14:paraId="3AF0AE4B">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1、与本项目有关的原有污染情况及主要环境问题</w:t>
            </w:r>
          </w:p>
          <w:p w14:paraId="302B0ACD">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rPr>
              <w:t>本项目为新建项目，租用</w:t>
            </w:r>
            <w:r>
              <w:rPr>
                <w:rFonts w:hint="eastAsia" w:ascii="Times New Roman" w:hAnsi="Times New Roman" w:eastAsia="宋体" w:cs="Times New Roman"/>
                <w:bCs/>
                <w:color w:val="auto"/>
                <w:sz w:val="24"/>
                <w:szCs w:val="24"/>
                <w:lang w:eastAsia="zh-CN"/>
              </w:rPr>
              <w:t>常州市金坛区龙华服饰有限公司</w:t>
            </w:r>
            <w:r>
              <w:rPr>
                <w:rFonts w:hint="eastAsia" w:ascii="Times New Roman" w:hAnsi="Times New Roman" w:eastAsia="宋体" w:cs="Times New Roman"/>
                <w:bCs/>
                <w:color w:val="auto"/>
                <w:sz w:val="24"/>
                <w:szCs w:val="24"/>
              </w:rPr>
              <w:t>闲置车间生产。</w:t>
            </w:r>
            <w:r>
              <w:rPr>
                <w:rFonts w:hint="eastAsia" w:ascii="Times New Roman" w:hAnsi="Times New Roman" w:eastAsia="宋体" w:cs="Times New Roman"/>
                <w:bCs/>
                <w:color w:val="auto"/>
                <w:sz w:val="24"/>
                <w:szCs w:val="24"/>
                <w:lang w:val="en-US" w:eastAsia="zh-CN"/>
              </w:rPr>
              <w:t>本项目建设前该厂房原租赁给金坛银龙服饰有限公司生产，金坛银龙服饰有限公司</w:t>
            </w:r>
            <w:r>
              <w:rPr>
                <w:rFonts w:hint="eastAsia" w:ascii="Times New Roman" w:hAnsi="Times New Roman" w:eastAsia="宋体" w:cs="Times New Roman"/>
                <w:bCs/>
                <w:color w:val="auto"/>
                <w:sz w:val="24"/>
                <w:szCs w:val="24"/>
              </w:rPr>
              <w:t>“年产50万件服装、服饰品及针纺织品项目</w:t>
            </w:r>
            <w:r>
              <w:rPr>
                <w:rFonts w:hint="eastAsia" w:ascii="Times New Roman" w:hAnsi="Times New Roman" w:eastAsia="宋体" w:cs="Times New Roman"/>
                <w:bCs/>
                <w:color w:val="auto"/>
                <w:sz w:val="24"/>
                <w:szCs w:val="24"/>
                <w:lang w:val="en-US" w:eastAsia="zh-CN"/>
              </w:rPr>
              <w:t>环境影响登记表</w:t>
            </w:r>
            <w:r>
              <w:rPr>
                <w:rFonts w:hint="eastAsia" w:ascii="Times New Roman" w:hAnsi="Times New Roman" w:eastAsia="宋体" w:cs="Times New Roman"/>
                <w:bCs/>
                <w:color w:val="auto"/>
                <w:sz w:val="24"/>
                <w:szCs w:val="24"/>
              </w:rPr>
              <w:t>”于20</w:t>
            </w:r>
            <w:r>
              <w:rPr>
                <w:rFonts w:hint="eastAsia" w:ascii="Times New Roman" w:hAnsi="Times New Roman" w:eastAsia="宋体" w:cs="Times New Roman"/>
                <w:bCs/>
                <w:color w:val="auto"/>
                <w:sz w:val="24"/>
                <w:szCs w:val="24"/>
                <w:lang w:val="en-US" w:eastAsia="zh-CN"/>
              </w:rPr>
              <w:t>05</w:t>
            </w:r>
            <w:r>
              <w:rPr>
                <w:rFonts w:hint="eastAsia" w:ascii="Times New Roman" w:hAnsi="Times New Roman" w:eastAsia="宋体" w:cs="Times New Roman"/>
                <w:bCs/>
                <w:color w:val="auto"/>
                <w:sz w:val="24"/>
                <w:szCs w:val="24"/>
              </w:rPr>
              <w:t>年</w:t>
            </w:r>
            <w:r>
              <w:rPr>
                <w:rFonts w:hint="eastAsia" w:ascii="Times New Roman" w:hAnsi="Times New Roman" w:eastAsia="宋体" w:cs="Times New Roman"/>
                <w:bCs/>
                <w:color w:val="auto"/>
                <w:sz w:val="24"/>
                <w:szCs w:val="24"/>
                <w:lang w:val="en-US" w:eastAsia="zh-CN"/>
              </w:rPr>
              <w:t>9</w:t>
            </w:r>
            <w:r>
              <w:rPr>
                <w:rFonts w:hint="eastAsia" w:ascii="Times New Roman" w:hAnsi="Times New Roman" w:eastAsia="宋体" w:cs="Times New Roman"/>
                <w:bCs/>
                <w:color w:val="auto"/>
                <w:sz w:val="24"/>
                <w:szCs w:val="24"/>
              </w:rPr>
              <w:t>月</w:t>
            </w:r>
            <w:r>
              <w:rPr>
                <w:rFonts w:hint="eastAsia" w:ascii="Times New Roman" w:hAnsi="Times New Roman" w:eastAsia="宋体" w:cs="Times New Roman"/>
                <w:bCs/>
                <w:color w:val="auto"/>
                <w:sz w:val="24"/>
                <w:szCs w:val="24"/>
                <w:lang w:val="en-US" w:eastAsia="zh-CN"/>
              </w:rPr>
              <w:t>27</w:t>
            </w:r>
            <w:r>
              <w:rPr>
                <w:rFonts w:hint="eastAsia" w:ascii="Times New Roman" w:hAnsi="Times New Roman" w:eastAsia="宋体" w:cs="Times New Roman"/>
                <w:bCs/>
                <w:color w:val="auto"/>
                <w:sz w:val="24"/>
                <w:szCs w:val="24"/>
              </w:rPr>
              <w:t>日通过金坛环保局批准同意建设。</w:t>
            </w:r>
            <w:r>
              <w:rPr>
                <w:rFonts w:hint="eastAsia" w:ascii="Times New Roman" w:hAnsi="Times New Roman" w:eastAsia="宋体" w:cs="Times New Roman"/>
                <w:bCs/>
                <w:color w:val="auto"/>
                <w:sz w:val="24"/>
                <w:szCs w:val="24"/>
                <w:lang w:val="en-US" w:eastAsia="zh-CN"/>
              </w:rPr>
              <w:t>由于经营不善，该公司已于2024年6月关停了该厂区项目，并拆除所有生产设备，该项目所有危废均已委托资质单位处理，厂区无残留危废。综上，项目所租厂区无环境遗留问题。</w:t>
            </w:r>
          </w:p>
          <w:p w14:paraId="6D9EBBF2">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2、本项目与</w:t>
            </w:r>
            <w:r>
              <w:rPr>
                <w:rFonts w:hint="eastAsia" w:ascii="Times New Roman" w:hAnsi="Times New Roman" w:eastAsia="宋体" w:cs="Times New Roman"/>
                <w:bCs/>
                <w:color w:val="auto"/>
                <w:sz w:val="24"/>
                <w:szCs w:val="24"/>
                <w:lang w:eastAsia="zh-CN"/>
              </w:rPr>
              <w:t>常州市金坛区龙华服饰有限公司</w:t>
            </w:r>
            <w:r>
              <w:rPr>
                <w:rFonts w:hint="eastAsia" w:ascii="Times New Roman" w:hAnsi="Times New Roman" w:eastAsia="宋体" w:cs="Times New Roman"/>
                <w:bCs/>
                <w:color w:val="auto"/>
                <w:sz w:val="24"/>
                <w:szCs w:val="24"/>
              </w:rPr>
              <w:t>的依托关系</w:t>
            </w:r>
          </w:p>
          <w:p w14:paraId="68E2B913">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eastAsia="zh-CN"/>
              </w:rPr>
              <w:t>常州市金坛区龙华服饰有限公司</w:t>
            </w:r>
            <w:r>
              <w:rPr>
                <w:rFonts w:hint="eastAsia" w:ascii="Times New Roman" w:hAnsi="Times New Roman" w:eastAsia="宋体" w:cs="Times New Roman"/>
                <w:bCs/>
                <w:color w:val="auto"/>
                <w:sz w:val="24"/>
                <w:szCs w:val="24"/>
              </w:rPr>
              <w:t>已按照“雨污分流”的原则进行了基础设施建设，建立了完善的供水、供电</w:t>
            </w:r>
            <w:r>
              <w:rPr>
                <w:rFonts w:hint="eastAsia" w:cs="Times New Roman"/>
                <w:bCs/>
                <w:color w:val="auto"/>
                <w:sz w:val="24"/>
                <w:szCs w:val="24"/>
                <w:lang w:eastAsia="zh-CN"/>
              </w:rPr>
              <w:t>网络</w:t>
            </w:r>
            <w:r>
              <w:rPr>
                <w:rFonts w:hint="eastAsia" w:ascii="Times New Roman" w:hAnsi="Times New Roman" w:eastAsia="宋体" w:cs="Times New Roman"/>
                <w:bCs/>
                <w:color w:val="auto"/>
                <w:sz w:val="24"/>
                <w:szCs w:val="24"/>
              </w:rPr>
              <w:t>，设置了</w:t>
            </w:r>
            <w:r>
              <w:rPr>
                <w:rFonts w:hint="eastAsia" w:ascii="Times New Roman" w:hAnsi="Times New Roman" w:eastAsia="宋体" w:cs="Times New Roman"/>
                <w:bCs/>
                <w:color w:val="auto"/>
                <w:sz w:val="24"/>
                <w:szCs w:val="24"/>
                <w:lang w:val="en-US" w:eastAsia="zh-CN"/>
              </w:rPr>
              <w:t>化粪池和</w:t>
            </w:r>
            <w:r>
              <w:rPr>
                <w:rFonts w:hint="eastAsia" w:ascii="Times New Roman" w:hAnsi="Times New Roman" w:eastAsia="宋体" w:cs="Times New Roman"/>
                <w:bCs/>
                <w:color w:val="auto"/>
                <w:sz w:val="24"/>
                <w:szCs w:val="24"/>
              </w:rPr>
              <w:t>一个雨</w:t>
            </w:r>
            <w:r>
              <w:rPr>
                <w:rFonts w:hint="eastAsia" w:ascii="Times New Roman" w:hAnsi="Times New Roman" w:eastAsia="宋体" w:cs="Times New Roman"/>
                <w:bCs/>
                <w:color w:val="auto"/>
                <w:sz w:val="24"/>
                <w:szCs w:val="24"/>
                <w:lang w:val="zh-CN"/>
              </w:rPr>
              <w:t>水</w:t>
            </w:r>
            <w:r>
              <w:rPr>
                <w:rFonts w:hint="eastAsia" w:ascii="Times New Roman" w:hAnsi="Times New Roman" w:eastAsia="宋体" w:cs="Times New Roman"/>
                <w:bCs/>
                <w:color w:val="auto"/>
                <w:sz w:val="24"/>
                <w:szCs w:val="24"/>
              </w:rPr>
              <w:t>排口。经与建设单位核实，本项目与其依托关系如下：</w:t>
            </w:r>
          </w:p>
          <w:p w14:paraId="128B0F33">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（1）本项目生活污水依托出租方现有的生活污水管网和</w:t>
            </w:r>
            <w:r>
              <w:rPr>
                <w:rFonts w:hint="eastAsia" w:ascii="Times New Roman" w:hAnsi="Times New Roman" w:eastAsia="宋体" w:cs="Times New Roman"/>
                <w:bCs/>
                <w:color w:val="auto"/>
                <w:sz w:val="24"/>
                <w:szCs w:val="24"/>
                <w:lang w:val="en-US" w:eastAsia="zh-CN"/>
              </w:rPr>
              <w:t>化粪池收集</w:t>
            </w:r>
            <w:r>
              <w:rPr>
                <w:rFonts w:hint="eastAsia" w:ascii="Times New Roman" w:hAnsi="Times New Roman" w:eastAsia="宋体" w:cs="Times New Roman"/>
                <w:bCs/>
                <w:color w:val="auto"/>
                <w:sz w:val="24"/>
                <w:szCs w:val="24"/>
              </w:rPr>
              <w:t>。</w:t>
            </w:r>
          </w:p>
          <w:p w14:paraId="18A4D3D5">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（2）本项目不增设雨水管网及雨水排口，依托出租方现有雨水管网及雨水排口。</w:t>
            </w:r>
          </w:p>
          <w:p w14:paraId="4E87F2D8">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（3）本项目生产过程中保持独立，且设置独立的环保工程（主要为废气处理装置），与出租方无依托关系。</w:t>
            </w:r>
          </w:p>
          <w:p w14:paraId="5983B9E0">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 xml:space="preserve"> 本次建设项目属于“厂中厂”，若发生环境污染事件应当按照“谁污染谁治理”的原则进行责任划分，并承担相应的法律责任。</w:t>
            </w:r>
          </w:p>
          <w:p w14:paraId="2F95D11B">
            <w:pPr>
              <w:pStyle w:val="7"/>
              <w:adjustRightInd w:val="0"/>
              <w:snapToGrid w:val="0"/>
              <w:spacing w:line="500" w:lineRule="exact"/>
              <w:ind w:firstLine="480" w:firstLineChars="200"/>
              <w:rPr>
                <w:rFonts w:hint="default" w:ascii="Times New Roman" w:hAnsi="Times New Roman" w:eastAsia="宋体" w:cs="Times New Roman"/>
                <w:b w:val="0"/>
                <w:bCs/>
                <w:color w:val="auto"/>
                <w:sz w:val="24"/>
                <w:szCs w:val="24"/>
                <w:highlight w:val="none"/>
                <w:lang w:val="en-US" w:eastAsia="zh-CN"/>
              </w:rPr>
            </w:pPr>
          </w:p>
        </w:tc>
      </w:tr>
    </w:tbl>
    <w:p w14:paraId="7788F354">
      <w:pPr>
        <w:pStyle w:val="23"/>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55193E59">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4"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3" w:name="_Toc17832"/>
    </w:p>
    <w:bookmarkEnd w:id="3"/>
    <w:p w14:paraId="162464B6">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bookmarkStart w:id="4" w:name="_Toc4503"/>
    </w:p>
    <w:p w14:paraId="4A3BDB0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228"/>
      </w:tblGrid>
      <w:tr w14:paraId="6307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0E122A1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14:paraId="183D58F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6DDBAC3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14:paraId="536EE39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现状</w:t>
            </w:r>
          </w:p>
        </w:tc>
        <w:tc>
          <w:tcPr>
            <w:tcW w:w="8228" w:type="dxa"/>
            <w:vAlign w:val="center"/>
          </w:tcPr>
          <w:p w14:paraId="0D429D0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1、环境空气质量现状</w:t>
            </w:r>
          </w:p>
          <w:p w14:paraId="2C1DF77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r>
              <w:rPr>
                <w:rFonts w:hint="default" w:ascii="Times New Roman" w:hAnsi="Times New Roman" w:eastAsia="宋体" w:cs="Times New Roman"/>
                <w:color w:val="auto"/>
                <w:kern w:val="0"/>
                <w:sz w:val="24"/>
                <w:szCs w:val="24"/>
              </w:rPr>
              <w:t>基本污染物环境质量现状</w:t>
            </w:r>
          </w:p>
          <w:p w14:paraId="33BA620B">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根据《常州市环境空气质量功能区划分规定（2017）》，项目所在地空气质量功能区为二类区。S</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、N</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执行《环境空气质量标准》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GB3095-2012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中二级标准，根据《环境影响评价技术导则大气环境》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HJ2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2-2018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，项目所在区域达标情况判定优先采用</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或地方生态环境主管部门公开发布的环境质量报告或环境质量报告书中的数据或结论。本次评价选取202</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年作为评价基准年，根据《</w:t>
            </w:r>
            <w:r>
              <w:rPr>
                <w:rFonts w:hint="eastAsia" w:cs="Times New Roman"/>
                <w:color w:val="auto"/>
                <w:sz w:val="24"/>
                <w:lang w:eastAsia="zh-CN"/>
              </w:rPr>
              <w:t>2023年常州市生态环境状况公报</w:t>
            </w:r>
            <w:r>
              <w:rPr>
                <w:rFonts w:hint="default" w:ascii="Times New Roman" w:hAnsi="Times New Roman" w:eastAsia="宋体" w:cs="Times New Roman"/>
                <w:color w:val="auto"/>
                <w:sz w:val="24"/>
              </w:rPr>
              <w:t>》。项目所在区域环境空气质量汇总见下表。</w:t>
            </w:r>
          </w:p>
          <w:p w14:paraId="095E11E0">
            <w:pPr>
              <w:pStyle w:val="104"/>
              <w:keepNext w:val="0"/>
              <w:keepLines w:val="0"/>
              <w:pageBreakBefore w:val="0"/>
              <w:widowControl w:val="0"/>
              <w:kinsoku/>
              <w:wordWrap/>
              <w:overflowPunct/>
              <w:topLinePunct w:val="0"/>
              <w:autoSpaceDE/>
              <w:autoSpaceDN/>
              <w:bidi w:val="0"/>
              <w:adjustRightInd w:val="0"/>
              <w:snapToGrid w:val="0"/>
              <w:spacing w:line="500" w:lineRule="exact"/>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99"/>
              <w:gridCol w:w="2111"/>
              <w:gridCol w:w="1322"/>
              <w:gridCol w:w="1576"/>
              <w:gridCol w:w="968"/>
              <w:gridCol w:w="1136"/>
            </w:tblGrid>
            <w:tr w14:paraId="0531326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0A10AA91">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317" w:type="pct"/>
                  <w:tcBorders>
                    <w:tl2br w:val="nil"/>
                    <w:tr2bl w:val="nil"/>
                  </w:tcBorders>
                  <w:noWrap w:val="0"/>
                  <w:vAlign w:val="center"/>
                </w:tcPr>
                <w:p w14:paraId="41671485">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825" w:type="pct"/>
                  <w:tcBorders>
                    <w:tl2br w:val="nil"/>
                    <w:tr2bl w:val="nil"/>
                  </w:tcBorders>
                  <w:noWrap w:val="0"/>
                  <w:vAlign w:val="center"/>
                </w:tcPr>
                <w:p w14:paraId="2F043B02">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983" w:type="pct"/>
                  <w:tcBorders>
                    <w:tl2br w:val="nil"/>
                    <w:tr2bl w:val="nil"/>
                  </w:tcBorders>
                  <w:noWrap w:val="0"/>
                  <w:vAlign w:val="center"/>
                </w:tcPr>
                <w:p w14:paraId="3B55C373">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604" w:type="pct"/>
                  <w:tcBorders>
                    <w:tl2br w:val="nil"/>
                    <w:tr2bl w:val="nil"/>
                  </w:tcBorders>
                  <w:noWrap w:val="0"/>
                  <w:vAlign w:val="center"/>
                </w:tcPr>
                <w:p w14:paraId="14ED6A39">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lang w:val="en-US" w:eastAsia="zh-CN"/>
                    </w:rPr>
                    <w:t>达标率</w:t>
                  </w:r>
                  <w:r>
                    <w:rPr>
                      <w:rFonts w:hint="default" w:ascii="Times New Roman" w:hAnsi="Times New Roman" w:eastAsia="宋体" w:cs="Times New Roman"/>
                      <w:b/>
                      <w:color w:val="auto"/>
                      <w:kern w:val="0"/>
                      <w:sz w:val="21"/>
                      <w:szCs w:val="21"/>
                      <w:highlight w:val="none"/>
                    </w:rPr>
                    <w:t>%</w:t>
                  </w:r>
                </w:p>
              </w:tc>
              <w:tc>
                <w:tcPr>
                  <w:tcW w:w="708" w:type="pct"/>
                  <w:tcBorders>
                    <w:tl2br w:val="nil"/>
                    <w:tr2bl w:val="nil"/>
                  </w:tcBorders>
                  <w:noWrap w:val="0"/>
                  <w:vAlign w:val="center"/>
                </w:tcPr>
                <w:p w14:paraId="32C0FC3E">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0BEFEAC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3FB72B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317" w:type="pct"/>
                  <w:tcBorders>
                    <w:tl2br w:val="nil"/>
                    <w:tr2bl w:val="nil"/>
                  </w:tcBorders>
                  <w:noWrap w:val="0"/>
                  <w:vAlign w:val="center"/>
                </w:tcPr>
                <w:p w14:paraId="13E74BA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14A8291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983" w:type="pct"/>
                  <w:tcBorders>
                    <w:tl2br w:val="nil"/>
                    <w:tr2bl w:val="nil"/>
                  </w:tcBorders>
                  <w:noWrap w:val="0"/>
                  <w:vAlign w:val="center"/>
                </w:tcPr>
                <w:p w14:paraId="0895463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604" w:type="pct"/>
                  <w:tcBorders>
                    <w:tl2br w:val="nil"/>
                    <w:tr2bl w:val="nil"/>
                  </w:tcBorders>
                  <w:noWrap w:val="0"/>
                  <w:vAlign w:val="center"/>
                </w:tcPr>
                <w:p w14:paraId="0C5B14DB">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100</w:t>
                  </w:r>
                </w:p>
              </w:tc>
              <w:tc>
                <w:tcPr>
                  <w:tcW w:w="708" w:type="pct"/>
                  <w:vMerge w:val="restart"/>
                  <w:tcBorders>
                    <w:tl2br w:val="nil"/>
                    <w:tr2bl w:val="nil"/>
                  </w:tcBorders>
                  <w:noWrap w:val="0"/>
                  <w:vAlign w:val="center"/>
                </w:tcPr>
                <w:p w14:paraId="16E20A0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39582FC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3AB4238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5185BA3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2527BCFD">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6-151</w:t>
                  </w:r>
                </w:p>
              </w:tc>
              <w:tc>
                <w:tcPr>
                  <w:tcW w:w="983" w:type="pct"/>
                  <w:tcBorders>
                    <w:tl2br w:val="nil"/>
                    <w:tr2bl w:val="nil"/>
                  </w:tcBorders>
                  <w:noWrap w:val="0"/>
                  <w:vAlign w:val="center"/>
                </w:tcPr>
                <w:p w14:paraId="1AD919F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604" w:type="pct"/>
                  <w:tcBorders>
                    <w:tl2br w:val="nil"/>
                    <w:tr2bl w:val="nil"/>
                  </w:tcBorders>
                  <w:noWrap w:val="0"/>
                  <w:vAlign w:val="center"/>
                </w:tcPr>
                <w:p w14:paraId="06F5D698">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93.6</w:t>
                  </w:r>
                </w:p>
              </w:tc>
              <w:tc>
                <w:tcPr>
                  <w:tcW w:w="708" w:type="pct"/>
                  <w:vMerge w:val="continue"/>
                  <w:tcBorders>
                    <w:tl2br w:val="nil"/>
                    <w:tr2bl w:val="nil"/>
                  </w:tcBorders>
                  <w:noWrap w:val="0"/>
                  <w:vAlign w:val="center"/>
                </w:tcPr>
                <w:p w14:paraId="3679C1D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284D09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4BE1198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317" w:type="pct"/>
                  <w:tcBorders>
                    <w:tl2br w:val="nil"/>
                    <w:tr2bl w:val="nil"/>
                  </w:tcBorders>
                  <w:noWrap w:val="0"/>
                  <w:vAlign w:val="center"/>
                </w:tcPr>
                <w:p w14:paraId="2465A8D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D5A95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57</w:t>
                  </w:r>
                </w:p>
              </w:tc>
              <w:tc>
                <w:tcPr>
                  <w:tcW w:w="983" w:type="pct"/>
                  <w:tcBorders>
                    <w:tl2br w:val="nil"/>
                    <w:tr2bl w:val="nil"/>
                  </w:tcBorders>
                  <w:noWrap w:val="0"/>
                  <w:vAlign w:val="center"/>
                </w:tcPr>
                <w:p w14:paraId="1657BC0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604" w:type="pct"/>
                  <w:tcBorders>
                    <w:tl2br w:val="nil"/>
                    <w:tr2bl w:val="nil"/>
                  </w:tcBorders>
                  <w:noWrap w:val="0"/>
                  <w:vAlign w:val="center"/>
                </w:tcPr>
                <w:p w14:paraId="47184012">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76F4DA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4DE2A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0CBAB0C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FA0D8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12DD6C1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12-188</w:t>
                  </w:r>
                </w:p>
              </w:tc>
              <w:tc>
                <w:tcPr>
                  <w:tcW w:w="983" w:type="pct"/>
                  <w:tcBorders>
                    <w:tl2br w:val="nil"/>
                    <w:tr2bl w:val="nil"/>
                  </w:tcBorders>
                  <w:noWrap w:val="0"/>
                  <w:vAlign w:val="center"/>
                </w:tcPr>
                <w:p w14:paraId="5F4CC98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3565069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98.8</w:t>
                  </w:r>
                </w:p>
              </w:tc>
              <w:tc>
                <w:tcPr>
                  <w:tcW w:w="708" w:type="pct"/>
                  <w:vMerge w:val="continue"/>
                  <w:tcBorders>
                    <w:tl2br w:val="nil"/>
                    <w:tr2bl w:val="nil"/>
                  </w:tcBorders>
                  <w:noWrap w:val="0"/>
                  <w:vAlign w:val="center"/>
                </w:tcPr>
                <w:p w14:paraId="4B7C2BE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40AE522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2E3000A1">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0998403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41787BB5">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8</w:t>
                  </w:r>
                </w:p>
              </w:tc>
              <w:tc>
                <w:tcPr>
                  <w:tcW w:w="983" w:type="pct"/>
                  <w:tcBorders>
                    <w:tl2br w:val="nil"/>
                    <w:tr2bl w:val="nil"/>
                  </w:tcBorders>
                  <w:noWrap w:val="0"/>
                  <w:vAlign w:val="center"/>
                </w:tcPr>
                <w:p w14:paraId="79FC54E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604" w:type="pct"/>
                  <w:tcBorders>
                    <w:tl2br w:val="nil"/>
                    <w:tr2bl w:val="nil"/>
                  </w:tcBorders>
                  <w:noWrap w:val="0"/>
                  <w:vAlign w:val="center"/>
                </w:tcPr>
                <w:p w14:paraId="0267D45D">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0618231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09C7C1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2371346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79A99B0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50D2948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4-17</w:t>
                  </w:r>
                </w:p>
              </w:tc>
              <w:tc>
                <w:tcPr>
                  <w:tcW w:w="983" w:type="pct"/>
                  <w:tcBorders>
                    <w:tl2br w:val="nil"/>
                    <w:tr2bl w:val="nil"/>
                  </w:tcBorders>
                  <w:noWrap w:val="0"/>
                  <w:vAlign w:val="center"/>
                </w:tcPr>
                <w:p w14:paraId="66B3947E">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604" w:type="pct"/>
                  <w:tcBorders>
                    <w:tl2br w:val="nil"/>
                    <w:tr2bl w:val="nil"/>
                  </w:tcBorders>
                  <w:noWrap w:val="0"/>
                  <w:vAlign w:val="center"/>
                </w:tcPr>
                <w:p w14:paraId="52B81C40">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100</w:t>
                  </w:r>
                </w:p>
              </w:tc>
              <w:tc>
                <w:tcPr>
                  <w:tcW w:w="708" w:type="pct"/>
                  <w:vMerge w:val="continue"/>
                  <w:tcBorders>
                    <w:tl2br w:val="nil"/>
                    <w:tr2bl w:val="nil"/>
                  </w:tcBorders>
                  <w:noWrap w:val="0"/>
                  <w:vAlign w:val="center"/>
                </w:tcPr>
                <w:p w14:paraId="16292C3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F3C52A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noWrap w:val="0"/>
                  <w:vAlign w:val="center"/>
                </w:tcPr>
                <w:p w14:paraId="58FA79F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317" w:type="pct"/>
                  <w:tcBorders>
                    <w:tl2br w:val="nil"/>
                    <w:tr2bl w:val="nil"/>
                  </w:tcBorders>
                  <w:noWrap w:val="0"/>
                  <w:vAlign w:val="center"/>
                </w:tcPr>
                <w:p w14:paraId="1AB4CD9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825" w:type="pct"/>
                  <w:tcBorders>
                    <w:tl2br w:val="nil"/>
                    <w:tr2bl w:val="nil"/>
                  </w:tcBorders>
                  <w:noWrap w:val="0"/>
                  <w:vAlign w:val="center"/>
                </w:tcPr>
                <w:p w14:paraId="02A6868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983" w:type="pct"/>
                  <w:tcBorders>
                    <w:tl2br w:val="nil"/>
                    <w:tr2bl w:val="nil"/>
                  </w:tcBorders>
                  <w:noWrap w:val="0"/>
                  <w:vAlign w:val="center"/>
                </w:tcPr>
                <w:p w14:paraId="04DC40C6">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604" w:type="pct"/>
                  <w:tcBorders>
                    <w:tl2br w:val="nil"/>
                    <w:tr2bl w:val="nil"/>
                  </w:tcBorders>
                  <w:noWrap w:val="0"/>
                  <w:vAlign w:val="center"/>
                </w:tcPr>
                <w:p w14:paraId="22AF6D9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vMerge w:val="restart"/>
                  <w:tcBorders>
                    <w:tl2br w:val="nil"/>
                    <w:tr2bl w:val="nil"/>
                  </w:tcBorders>
                  <w:noWrap w:val="0"/>
                  <w:vAlign w:val="center"/>
                </w:tcPr>
                <w:p w14:paraId="3BC3E0B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2B8EF1B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noWrap w:val="0"/>
                  <w:vAlign w:val="center"/>
                </w:tcPr>
                <w:p w14:paraId="5212911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317" w:type="pct"/>
                  <w:tcBorders>
                    <w:tl2br w:val="nil"/>
                    <w:tr2bl w:val="nil"/>
                  </w:tcBorders>
                  <w:noWrap w:val="0"/>
                  <w:vAlign w:val="center"/>
                </w:tcPr>
                <w:p w14:paraId="349F303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825" w:type="pct"/>
                  <w:tcBorders>
                    <w:tl2br w:val="nil"/>
                    <w:tr2bl w:val="nil"/>
                  </w:tcBorders>
                  <w:noWrap w:val="0"/>
                  <w:vAlign w:val="center"/>
                </w:tcPr>
                <w:p w14:paraId="6E055E8B">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6-106</w:t>
                  </w:r>
                </w:p>
              </w:tc>
              <w:tc>
                <w:tcPr>
                  <w:tcW w:w="983" w:type="pct"/>
                  <w:tcBorders>
                    <w:tl2br w:val="nil"/>
                    <w:tr2bl w:val="nil"/>
                  </w:tcBorders>
                  <w:noWrap w:val="0"/>
                  <w:vAlign w:val="center"/>
                </w:tcPr>
                <w:p w14:paraId="0E8780D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604" w:type="pct"/>
                  <w:tcBorders>
                    <w:tl2br w:val="nil"/>
                    <w:tr2bl w:val="nil"/>
                  </w:tcBorders>
                  <w:noWrap w:val="0"/>
                  <w:vAlign w:val="center"/>
                </w:tcPr>
                <w:p w14:paraId="72691D6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98.1</w:t>
                  </w:r>
                </w:p>
              </w:tc>
              <w:tc>
                <w:tcPr>
                  <w:tcW w:w="708" w:type="pct"/>
                  <w:vMerge w:val="continue"/>
                  <w:tcBorders>
                    <w:tl2br w:val="nil"/>
                    <w:tr2bl w:val="nil"/>
                  </w:tcBorders>
                  <w:noWrap w:val="0"/>
                  <w:vAlign w:val="center"/>
                </w:tcPr>
                <w:p w14:paraId="665B5F7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2972776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26635D0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317" w:type="pct"/>
                  <w:tcBorders>
                    <w:tl2br w:val="nil"/>
                    <w:tr2bl w:val="nil"/>
                  </w:tcBorders>
                  <w:noWrap w:val="0"/>
                  <w:vAlign w:val="center"/>
                </w:tcPr>
                <w:p w14:paraId="41E6953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825" w:type="pct"/>
                  <w:tcBorders>
                    <w:tl2br w:val="nil"/>
                    <w:tr2bl w:val="nil"/>
                  </w:tcBorders>
                  <w:noWrap w:val="0"/>
                  <w:vAlign w:val="center"/>
                </w:tcPr>
                <w:p w14:paraId="11F3A37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1100</w:t>
                  </w:r>
                </w:p>
              </w:tc>
              <w:tc>
                <w:tcPr>
                  <w:tcW w:w="983" w:type="pct"/>
                  <w:tcBorders>
                    <w:tl2br w:val="nil"/>
                    <w:tr2bl w:val="nil"/>
                  </w:tcBorders>
                  <w:noWrap w:val="0"/>
                  <w:vAlign w:val="center"/>
                </w:tcPr>
                <w:p w14:paraId="49B21FD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604" w:type="pct"/>
                  <w:tcBorders>
                    <w:tl2br w:val="nil"/>
                    <w:tr2bl w:val="nil"/>
                  </w:tcBorders>
                  <w:noWrap w:val="0"/>
                  <w:vAlign w:val="center"/>
                </w:tcPr>
                <w:p w14:paraId="7AB44240">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w:t>
                  </w:r>
                </w:p>
              </w:tc>
              <w:tc>
                <w:tcPr>
                  <w:tcW w:w="708" w:type="pct"/>
                  <w:tcBorders>
                    <w:tl2br w:val="nil"/>
                    <w:tr2bl w:val="nil"/>
                  </w:tcBorders>
                  <w:noWrap w:val="0"/>
                  <w:vAlign w:val="center"/>
                </w:tcPr>
                <w:p w14:paraId="7D31A53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6934CA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noWrap w:val="0"/>
                  <w:vAlign w:val="center"/>
                </w:tcPr>
                <w:p w14:paraId="4D15DA1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317" w:type="pct"/>
                  <w:tcBorders>
                    <w:tl2br w:val="nil"/>
                    <w:tr2bl w:val="nil"/>
                  </w:tcBorders>
                  <w:noWrap w:val="0"/>
                  <w:vAlign w:val="center"/>
                </w:tcPr>
                <w:p w14:paraId="1D6D63C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825" w:type="pct"/>
                  <w:tcBorders>
                    <w:tl2br w:val="nil"/>
                    <w:tr2bl w:val="nil"/>
                  </w:tcBorders>
                  <w:noWrap w:val="0"/>
                  <w:vAlign w:val="center"/>
                </w:tcPr>
                <w:p w14:paraId="5428AB73">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174</w:t>
                  </w:r>
                </w:p>
              </w:tc>
              <w:tc>
                <w:tcPr>
                  <w:tcW w:w="983" w:type="pct"/>
                  <w:tcBorders>
                    <w:tl2br w:val="nil"/>
                    <w:tr2bl w:val="nil"/>
                  </w:tcBorders>
                  <w:noWrap w:val="0"/>
                  <w:vAlign w:val="center"/>
                </w:tcPr>
                <w:p w14:paraId="2B414FB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604" w:type="pct"/>
                  <w:tcBorders>
                    <w:tl2br w:val="nil"/>
                    <w:tr2bl w:val="nil"/>
                  </w:tcBorders>
                  <w:noWrap w:val="0"/>
                  <w:vAlign w:val="center"/>
                </w:tcPr>
                <w:p w14:paraId="4A4C371C">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85.5</w:t>
                  </w:r>
                </w:p>
              </w:tc>
              <w:tc>
                <w:tcPr>
                  <w:tcW w:w="708" w:type="pct"/>
                  <w:tcBorders>
                    <w:tl2br w:val="nil"/>
                    <w:tr2bl w:val="nil"/>
                  </w:tcBorders>
                  <w:noWrap w:val="0"/>
                  <w:vAlign w:val="center"/>
                </w:tcPr>
                <w:p w14:paraId="1734EDD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bl>
          <w:p w14:paraId="09471F15">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sz w:val="24"/>
                <w:szCs w:val="24"/>
              </w:rPr>
              <w:t>《环境空气质量标准》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年常州市环境空气中S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lang w:val="en-US" w:eastAsia="zh-CN"/>
              </w:rPr>
              <w:t>达标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超标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，6项污染物全部达标即为城市环境空气质量达标，故常州市目前属于环境空气质量不达标区。</w:t>
            </w:r>
          </w:p>
          <w:p w14:paraId="57940C1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（2）大气环境质量限期达标规划</w:t>
            </w:r>
          </w:p>
          <w:p w14:paraId="5F145EB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为加快改善环境空气质量，常州市人民政府发布了</w:t>
            </w:r>
            <w:r>
              <w:rPr>
                <w:rFonts w:hint="default" w:ascii="Times New Roman" w:hAnsi="Times New Roman" w:eastAsia="宋体" w:cs="Times New Roman"/>
                <w:b w:val="0"/>
                <w:bCs w:val="0"/>
                <w:color w:val="auto"/>
                <w:kern w:val="44"/>
                <w:sz w:val="24"/>
                <w:szCs w:val="24"/>
                <w:lang w:val="en-US" w:eastAsia="zh-CN" w:bidi="ar-SA"/>
              </w:rPr>
              <w:t>《常州市空气质量持续改善行动计划实施方案》（常政发〔2024〕51号）</w:t>
            </w:r>
            <w:r>
              <w:rPr>
                <w:rFonts w:hint="default" w:ascii="Times New Roman" w:hAnsi="Times New Roman" w:eastAsia="宋体" w:cs="Times New Roman"/>
                <w:color w:val="auto"/>
                <w:sz w:val="24"/>
                <w:szCs w:val="24"/>
              </w:rPr>
              <w:t>，进一步提出如下大气污染</w:t>
            </w:r>
            <w:r>
              <w:rPr>
                <w:rFonts w:hint="default" w:ascii="Times New Roman" w:hAnsi="Times New Roman" w:eastAsia="宋体" w:cs="Times New Roman"/>
                <w:color w:val="auto"/>
                <w:sz w:val="24"/>
                <w:szCs w:val="24"/>
                <w:shd w:val="clear" w:fill="auto"/>
              </w:rPr>
              <w:t>防治</w:t>
            </w:r>
            <w:r>
              <w:rPr>
                <w:rFonts w:hint="default" w:ascii="Times New Roman" w:hAnsi="Times New Roman" w:eastAsia="宋体" w:cs="Times New Roman"/>
                <w:color w:val="auto"/>
                <w:sz w:val="24"/>
                <w:szCs w:val="24"/>
              </w:rPr>
              <w:t>工作计划：</w:t>
            </w:r>
          </w:p>
          <w:p w14:paraId="289440F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主要目标是：到2025年，全市PM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浓度总体达标，PM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浓度比2020年下降10%，基本消除重度及以上污染天气，空气质量持续改善；氮氧化物和VOCs排放总量比2020年分别下降10%以上，完成省下达的减排目标。</w:t>
            </w:r>
          </w:p>
          <w:p w14:paraId="046B021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重点任务：</w:t>
            </w:r>
          </w:p>
          <w:p w14:paraId="19A0DD7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377221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（二）加快退出重点行业落后产能。落实《产业结构调整指导目录》，依法依规逐步退出限制类涉气行业工艺和装备、逐步淘汰步进式烧结机和球团竖炉以及半封闭式硅锰合金、镍铁、高碳铬铁、高碳锰铁电炉。</w:t>
            </w:r>
          </w:p>
          <w:p w14:paraId="187F5F6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2582E35F">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（四）优化含VOCs原辅材料和产品结构。严格控制生产和使用高VOCs含量涂料、油墨、</w:t>
            </w:r>
            <w:r>
              <w:rPr>
                <w:rFonts w:hint="eastAsia" w:cs="Times New Roman"/>
                <w:b w:val="0"/>
                <w:bCs w:val="0"/>
                <w:color w:val="auto"/>
                <w:kern w:val="44"/>
                <w:sz w:val="24"/>
                <w:szCs w:val="24"/>
                <w:lang w:val="en-US" w:eastAsia="zh-CN" w:bidi="ar-SA"/>
              </w:rPr>
              <w:t>胶黏剂</w:t>
            </w:r>
            <w:r>
              <w:rPr>
                <w:rFonts w:hint="default" w:ascii="Times New Roman" w:hAnsi="Times New Roman" w:eastAsia="宋体" w:cs="Times New Roman"/>
                <w:b w:val="0"/>
                <w:bCs w:val="0"/>
                <w:color w:val="auto"/>
                <w:kern w:val="44"/>
                <w:sz w:val="24"/>
                <w:szCs w:val="24"/>
                <w:lang w:val="en-US" w:eastAsia="zh-CN" w:bidi="ar-SA"/>
              </w:rPr>
              <w:t>、清洗剂等建设项目。加大工业涂装、包装印刷和电子行业清洁原料替代力度。鼓励和推进汽车4S店、大型汽修厂实施水性涂料替代。</w:t>
            </w:r>
          </w:p>
          <w:p w14:paraId="747E85B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361533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1851A6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793690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69E8AEF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（九）持续优化货物运输结构。到2025年，水路、铁路货运量比2020年分别增长12%和10%左右，铁路集装箱多式联运量年均增长10%以上。全市采取公铁联运等“外集内配”物流方式。</w:t>
            </w:r>
          </w:p>
          <w:p w14:paraId="5AEE38C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13C47B2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E1B427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9113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（十三）推进矿山生态环境综合整治。新建矿山原则上要同步建设专用廊道或采用其他清洁运输方式。对限期整改仍不达标的矿山，根据安全生产、水土保持、生态环境等要求依法关闭或停止生产。</w:t>
            </w:r>
          </w:p>
          <w:p w14:paraId="30E479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（十四）加强秸秆禁烧和综合利用。到2025年，全市农作物秸秆综合利用率稳定达95%以上。禁止露天焚烧秸秆。综合运用卫星遥感、高清视频监控、无人机等手段，提高秸秆焚烧火点监测及巡查精准度。</w:t>
            </w:r>
          </w:p>
          <w:p w14:paraId="0B799E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8CA1BD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257A3A4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2527AE5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38C91F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（十九）开展区域联防联控和城市空气质量达标管理。积极推进大气污染联防联控机制建设。空气质量未达标的地区编制实施大气环境质量限期达标规划，明确达标路线图及重点任务，并向社会公开。</w:t>
            </w:r>
          </w:p>
          <w:p w14:paraId="1702F54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3B8FCE3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5482C054">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（二十二）加强决策科技支撑。持续开展PM2.5和臭氧协同控制科技攻关。推进致臭物质识别、恶臭污染评估和溯源技术方法研究。到2025年，完成排放清单编制并实现逐年更新。推进“一地一策”驻点跟踪研究。</w:t>
            </w:r>
          </w:p>
          <w:p w14:paraId="3501750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13699CCD">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6FFEB0E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4B84BC0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428DF05E">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3400AC5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通过上述工作的不断推进实施，本项目所在</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空气环境质量将得到持续改善。</w:t>
            </w:r>
          </w:p>
          <w:p w14:paraId="1FF916C2">
            <w:pPr>
              <w:keepNext w:val="0"/>
              <w:keepLines w:val="0"/>
              <w:pageBreakBefore w:val="0"/>
              <w:widowControl w:val="0"/>
              <w:kinsoku/>
              <w:wordWrap/>
              <w:overflowPunct/>
              <w:topLinePunct w:val="0"/>
              <w:bidi w:val="0"/>
              <w:adjustRightInd w:val="0"/>
              <w:snapToGrid w:val="0"/>
              <w:spacing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（3）其他污染物环境质量现状</w:t>
            </w:r>
          </w:p>
          <w:p w14:paraId="7B2BF8DF">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szCs w:val="22"/>
                <w:highlight w:val="none"/>
              </w:rPr>
            </w:pPr>
            <w:r>
              <w:rPr>
                <w:rFonts w:hint="eastAsia" w:cs="Times New Roman"/>
                <w:bCs/>
                <w:color w:val="auto"/>
                <w:sz w:val="24"/>
                <w:lang w:val="en-US" w:eastAsia="zh-CN"/>
              </w:rPr>
              <w:t>锡及其化合物</w:t>
            </w:r>
            <w:r>
              <w:rPr>
                <w:rFonts w:hint="default" w:ascii="Times New Roman" w:hAnsi="Times New Roman" w:eastAsia="宋体" w:cs="Times New Roman"/>
                <w:color w:val="auto"/>
                <w:kern w:val="2"/>
                <w:sz w:val="24"/>
                <w:szCs w:val="24"/>
                <w:highlight w:val="none"/>
                <w:lang w:val="en-US" w:eastAsia="zh-CN" w:bidi="ar-SA"/>
              </w:rPr>
              <w:t>现状</w:t>
            </w:r>
            <w:r>
              <w:rPr>
                <w:rFonts w:hint="default" w:ascii="Times New Roman" w:hAnsi="Times New Roman" w:eastAsia="宋体" w:cs="Times New Roman"/>
                <w:bCs/>
                <w:color w:val="auto"/>
                <w:sz w:val="24"/>
                <w:highlight w:val="none"/>
                <w:lang w:val="en-US" w:eastAsia="zh-CN"/>
              </w:rPr>
              <w:t>监测</w:t>
            </w:r>
            <w:r>
              <w:rPr>
                <w:rFonts w:hint="eastAsia" w:ascii="Times New Roman" w:hAnsi="Times New Roman" w:eastAsia="宋体" w:cs="Times New Roman"/>
                <w:bCs/>
                <w:color w:val="auto"/>
                <w:sz w:val="24"/>
                <w:highlight w:val="none"/>
                <w:lang w:val="en-US" w:eastAsia="zh-CN"/>
              </w:rPr>
              <w:t>委托</w:t>
            </w:r>
            <w:r>
              <w:rPr>
                <w:rFonts w:hint="default" w:ascii="Times New Roman" w:hAnsi="Times New Roman" w:eastAsia="宋体" w:cs="Times New Roman"/>
                <w:bCs/>
                <w:color w:val="auto"/>
                <w:sz w:val="24"/>
                <w:highlight w:val="none"/>
                <w:lang w:val="en-US" w:eastAsia="zh-CN"/>
              </w:rPr>
              <w:t>江苏</w:t>
            </w:r>
            <w:r>
              <w:rPr>
                <w:rFonts w:hint="eastAsia" w:ascii="Times New Roman" w:hAnsi="Times New Roman" w:eastAsia="宋体" w:cs="Times New Roman"/>
                <w:bCs/>
                <w:color w:val="auto"/>
                <w:sz w:val="24"/>
                <w:highlight w:val="none"/>
                <w:lang w:val="en-US" w:eastAsia="zh-CN"/>
              </w:rPr>
              <w:t>云居</w:t>
            </w:r>
            <w:r>
              <w:rPr>
                <w:rFonts w:hint="default" w:ascii="Times New Roman" w:hAnsi="Times New Roman" w:eastAsia="宋体" w:cs="Times New Roman"/>
                <w:bCs/>
                <w:color w:val="auto"/>
                <w:sz w:val="24"/>
                <w:highlight w:val="none"/>
                <w:lang w:val="en-US" w:eastAsia="zh-CN"/>
              </w:rPr>
              <w:t>检测</w:t>
            </w:r>
            <w:r>
              <w:rPr>
                <w:rFonts w:hint="eastAsia" w:ascii="Times New Roman" w:hAnsi="Times New Roman" w:eastAsia="宋体" w:cs="Times New Roman"/>
                <w:bCs/>
                <w:color w:val="auto"/>
                <w:sz w:val="24"/>
                <w:highlight w:val="none"/>
                <w:lang w:val="en-US" w:eastAsia="zh-CN"/>
              </w:rPr>
              <w:t>技术</w:t>
            </w:r>
            <w:r>
              <w:rPr>
                <w:rFonts w:hint="default" w:ascii="Times New Roman" w:hAnsi="Times New Roman" w:eastAsia="宋体" w:cs="Times New Roman"/>
                <w:bCs/>
                <w:color w:val="auto"/>
                <w:sz w:val="24"/>
                <w:highlight w:val="none"/>
                <w:lang w:val="en-US" w:eastAsia="zh-CN"/>
              </w:rPr>
              <w:t>有限公司在</w:t>
            </w:r>
            <w:r>
              <w:rPr>
                <w:rFonts w:hint="eastAsia" w:ascii="Times New Roman" w:hAnsi="Times New Roman" w:eastAsia="宋体" w:cs="Times New Roman"/>
                <w:bCs/>
                <w:color w:val="auto"/>
                <w:sz w:val="24"/>
                <w:highlight w:val="none"/>
                <w:lang w:val="en-US" w:eastAsia="zh-CN"/>
              </w:rPr>
              <w:t>项目所在地</w:t>
            </w:r>
            <w:r>
              <w:rPr>
                <w:rFonts w:hint="default" w:ascii="Times New Roman" w:hAnsi="Times New Roman" w:eastAsia="宋体" w:cs="Times New Roman"/>
                <w:bCs/>
                <w:color w:val="auto"/>
                <w:sz w:val="24"/>
                <w:highlight w:val="none"/>
                <w:lang w:val="en-US" w:eastAsia="zh-CN"/>
              </w:rPr>
              <w:t>（G</w:t>
            </w: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进行实测，监测时间为</w:t>
            </w:r>
            <w:r>
              <w:rPr>
                <w:rFonts w:hint="default" w:ascii="Times New Roman" w:hAnsi="Times New Roman" w:eastAsia="宋体" w:cs="Times New Roman"/>
                <w:bCs/>
                <w:color w:val="auto"/>
                <w:sz w:val="24"/>
                <w:highlight w:val="none"/>
                <w:lang w:val="en-US" w:eastAsia="zh-CN"/>
              </w:rPr>
              <w:t>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月</w:t>
            </w:r>
            <w:r>
              <w:rPr>
                <w:rFonts w:hint="eastAsia" w:ascii="Times New Roman" w:hAnsi="Times New Roman" w:eastAsia="宋体" w:cs="Times New Roman"/>
                <w:bCs/>
                <w:color w:val="auto"/>
                <w:sz w:val="24"/>
                <w:highlight w:val="none"/>
                <w:lang w:val="en-US" w:eastAsia="zh-CN"/>
              </w:rPr>
              <w:t>9</w:t>
            </w:r>
            <w:r>
              <w:rPr>
                <w:rFonts w:hint="default" w:ascii="Times New Roman" w:hAnsi="Times New Roman" w:eastAsia="宋体" w:cs="Times New Roman"/>
                <w:bCs/>
                <w:color w:val="auto"/>
                <w:sz w:val="24"/>
                <w:highlight w:val="none"/>
                <w:lang w:val="en-US" w:eastAsia="zh-CN"/>
              </w:rPr>
              <w:t>日至</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月</w:t>
            </w:r>
            <w:r>
              <w:rPr>
                <w:rFonts w:hint="eastAsia" w:ascii="Times New Roman" w:hAnsi="Times New Roman" w:eastAsia="宋体" w:cs="Times New Roman"/>
                <w:bCs/>
                <w:color w:val="auto"/>
                <w:sz w:val="24"/>
                <w:highlight w:val="none"/>
                <w:lang w:val="en-US" w:eastAsia="zh-CN"/>
              </w:rPr>
              <w:t>11</w:t>
            </w:r>
            <w:r>
              <w:rPr>
                <w:rFonts w:hint="default" w:ascii="Times New Roman" w:hAnsi="Times New Roman" w:eastAsia="宋体" w:cs="Times New Roman"/>
                <w:bCs/>
                <w:color w:val="auto"/>
                <w:sz w:val="24"/>
                <w:highlight w:val="none"/>
                <w:lang w:val="en-US" w:eastAsia="zh-CN"/>
              </w:rPr>
              <w:t>日</w:t>
            </w:r>
            <w:r>
              <w:rPr>
                <w:rFonts w:hint="eastAsia" w:ascii="Times New Roman" w:hAnsi="Times New Roman" w:eastAsia="宋体" w:cs="Times New Roman"/>
                <w:bCs/>
                <w:color w:val="auto"/>
                <w:sz w:val="24"/>
                <w:highlight w:val="none"/>
                <w:lang w:val="en-US" w:eastAsia="zh-CN"/>
              </w:rPr>
              <w:t>；非甲烷总烃</w:t>
            </w:r>
            <w:r>
              <w:rPr>
                <w:rFonts w:hint="default" w:ascii="Times New Roman" w:hAnsi="Times New Roman" w:eastAsia="宋体" w:cs="Times New Roman"/>
                <w:bCs/>
                <w:color w:val="auto"/>
                <w:sz w:val="24"/>
                <w:highlight w:val="none"/>
                <w:lang w:val="en-US" w:eastAsia="zh-CN"/>
              </w:rPr>
              <w:t>引用江苏久诚检验检测有限公司在常州乐思龙幕墙有限公司厂区西北角（G</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）的历史监测数据（报告编号</w:t>
            </w:r>
            <w:r>
              <w:rPr>
                <w:rFonts w:hint="eastAsia" w:ascii="Times New Roman" w:hAnsi="Times New Roman" w:eastAsia="宋体" w:cs="Times New Roman"/>
                <w:bCs/>
                <w:color w:val="auto"/>
                <w:sz w:val="24"/>
                <w:highlight w:val="none"/>
                <w:lang w:val="en-US" w:eastAsia="zh-CN"/>
              </w:rPr>
              <w:t>JCH20220695</w:t>
            </w:r>
            <w:r>
              <w:rPr>
                <w:rFonts w:hint="default" w:ascii="Times New Roman" w:hAnsi="Times New Roman" w:eastAsia="宋体" w:cs="Times New Roman"/>
                <w:bCs/>
                <w:color w:val="auto"/>
                <w:sz w:val="24"/>
                <w:highlight w:val="none"/>
                <w:lang w:val="en-US" w:eastAsia="zh-CN"/>
              </w:rPr>
              <w:t>）。</w:t>
            </w:r>
          </w:p>
          <w:p w14:paraId="5B3128A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lang w:val="en-US" w:eastAsia="zh-CN"/>
              </w:rPr>
              <w:t>表3-2</w:t>
            </w:r>
            <w:r>
              <w:rPr>
                <w:rFonts w:hint="eastAsia" w:cs="Times New Roman"/>
                <w:b/>
                <w:bCs/>
                <w:color w:val="auto"/>
                <w:sz w:val="21"/>
                <w:szCs w:val="21"/>
                <w:lang w:val="en-US" w:eastAsia="zh-CN"/>
              </w:rPr>
              <w:t xml:space="preserve"> </w:t>
            </w:r>
            <w:r>
              <w:rPr>
                <w:rFonts w:hint="default" w:ascii="Times New Roman" w:hAnsi="Times New Roman" w:eastAsia="宋体" w:cs="Times New Roman"/>
                <w:b/>
                <w:color w:val="auto"/>
                <w:szCs w:val="24"/>
                <w:highlight w:val="none"/>
              </w:rPr>
              <w:t>其他污染物环境质量现状监测结</w:t>
            </w:r>
            <w:r>
              <w:rPr>
                <w:rFonts w:hint="default" w:ascii="Times New Roman" w:hAnsi="Times New Roman" w:eastAsia="宋体" w:cs="Times New Roman"/>
                <w:b/>
                <w:color w:val="auto"/>
                <w:sz w:val="21"/>
                <w:szCs w:val="21"/>
                <w:highlight w:val="none"/>
              </w:rPr>
              <w:t>果单位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675"/>
              <w:gridCol w:w="1276"/>
              <w:gridCol w:w="660"/>
              <w:gridCol w:w="731"/>
              <w:gridCol w:w="837"/>
              <w:gridCol w:w="893"/>
              <w:gridCol w:w="1207"/>
              <w:gridCol w:w="875"/>
              <w:gridCol w:w="853"/>
            </w:tblGrid>
            <w:tr w14:paraId="30D99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restart"/>
                  <w:noWrap w:val="0"/>
                  <w:vAlign w:val="center"/>
                </w:tcPr>
                <w:p w14:paraId="6DB970E4">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点位编号</w:t>
                  </w:r>
                </w:p>
              </w:tc>
              <w:tc>
                <w:tcPr>
                  <w:tcW w:w="796" w:type="pct"/>
                  <w:vMerge w:val="restart"/>
                  <w:noWrap w:val="0"/>
                  <w:vAlign w:val="center"/>
                </w:tcPr>
                <w:p w14:paraId="0A87BFE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点位名称</w:t>
                  </w:r>
                </w:p>
              </w:tc>
              <w:tc>
                <w:tcPr>
                  <w:tcW w:w="412" w:type="pct"/>
                  <w:vMerge w:val="restart"/>
                  <w:noWrap w:val="0"/>
                  <w:vAlign w:val="center"/>
                </w:tcPr>
                <w:p w14:paraId="1304FD9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相对</w:t>
                  </w:r>
                </w:p>
                <w:p w14:paraId="5C3CD06E">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方位</w:t>
                  </w:r>
                </w:p>
              </w:tc>
              <w:tc>
                <w:tcPr>
                  <w:tcW w:w="456" w:type="pct"/>
                  <w:vMerge w:val="restart"/>
                  <w:noWrap w:val="0"/>
                  <w:vAlign w:val="center"/>
                </w:tcPr>
                <w:p w14:paraId="7DAF9CE9">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直线</w:t>
                  </w:r>
                </w:p>
                <w:p w14:paraId="341C3E6D">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距离</w:t>
                  </w:r>
                </w:p>
              </w:tc>
              <w:tc>
                <w:tcPr>
                  <w:tcW w:w="522" w:type="pct"/>
                  <w:vMerge w:val="restart"/>
                  <w:noWrap w:val="0"/>
                  <w:vAlign w:val="center"/>
                </w:tcPr>
                <w:p w14:paraId="3DD0A7BF">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污染物</w:t>
                  </w:r>
                </w:p>
                <w:p w14:paraId="1C512A0C">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名称</w:t>
                  </w:r>
                </w:p>
              </w:tc>
              <w:tc>
                <w:tcPr>
                  <w:tcW w:w="557" w:type="pct"/>
                  <w:vMerge w:val="restart"/>
                  <w:noWrap w:val="0"/>
                  <w:vAlign w:val="center"/>
                </w:tcPr>
                <w:p w14:paraId="65593402">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评价</w:t>
                  </w:r>
                </w:p>
                <w:p w14:paraId="6D8B37C6">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标准</w:t>
                  </w:r>
                </w:p>
              </w:tc>
              <w:tc>
                <w:tcPr>
                  <w:tcW w:w="1299" w:type="pct"/>
                  <w:gridSpan w:val="2"/>
                  <w:noWrap w:val="0"/>
                  <w:vAlign w:val="center"/>
                </w:tcPr>
                <w:p w14:paraId="275AC75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32" w:type="pct"/>
                  <w:vMerge w:val="restart"/>
                  <w:noWrap w:val="0"/>
                  <w:vAlign w:val="center"/>
                </w:tcPr>
                <w:p w14:paraId="3B11FE2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达标情况</w:t>
                  </w:r>
                </w:p>
              </w:tc>
            </w:tr>
            <w:tr w14:paraId="5542E0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vMerge w:val="continue"/>
                  <w:noWrap w:val="0"/>
                  <w:vAlign w:val="center"/>
                </w:tcPr>
                <w:p w14:paraId="22502B85">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96" w:type="pct"/>
                  <w:vMerge w:val="continue"/>
                  <w:noWrap w:val="0"/>
                  <w:vAlign w:val="center"/>
                </w:tcPr>
                <w:p w14:paraId="793A09B0">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12" w:type="pct"/>
                  <w:vMerge w:val="continue"/>
                  <w:noWrap w:val="0"/>
                  <w:vAlign w:val="center"/>
                </w:tcPr>
                <w:p w14:paraId="4ADA352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456" w:type="pct"/>
                  <w:vMerge w:val="continue"/>
                  <w:noWrap w:val="0"/>
                  <w:vAlign w:val="center"/>
                </w:tcPr>
                <w:p w14:paraId="46FEF8C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22" w:type="pct"/>
                  <w:vMerge w:val="continue"/>
                  <w:noWrap w:val="0"/>
                  <w:vAlign w:val="center"/>
                </w:tcPr>
                <w:p w14:paraId="73206CD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557" w:type="pct"/>
                  <w:vMerge w:val="continue"/>
                  <w:noWrap w:val="0"/>
                  <w:vAlign w:val="center"/>
                </w:tcPr>
                <w:p w14:paraId="021DC3F7">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c>
                <w:tcPr>
                  <w:tcW w:w="753" w:type="pct"/>
                  <w:noWrap w:val="0"/>
                  <w:vAlign w:val="center"/>
                </w:tcPr>
                <w:p w14:paraId="7CB6C638">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小时浓度</w:t>
                  </w:r>
                </w:p>
              </w:tc>
              <w:tc>
                <w:tcPr>
                  <w:tcW w:w="546" w:type="pct"/>
                  <w:noWrap w:val="0"/>
                  <w:vAlign w:val="center"/>
                </w:tcPr>
                <w:p w14:paraId="6E205A5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超标率%</w:t>
                  </w:r>
                </w:p>
              </w:tc>
              <w:tc>
                <w:tcPr>
                  <w:tcW w:w="532" w:type="pct"/>
                  <w:vMerge w:val="continue"/>
                  <w:noWrap w:val="0"/>
                  <w:vAlign w:val="center"/>
                </w:tcPr>
                <w:p w14:paraId="6A287BB1">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Cs w:val="21"/>
                      <w:highlight w:val="none"/>
                      <w:lang w:val="en-US" w:eastAsia="zh-CN"/>
                    </w:rPr>
                  </w:pPr>
                </w:p>
              </w:tc>
            </w:tr>
            <w:tr w14:paraId="670D3F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noWrap w:val="0"/>
                  <w:vAlign w:val="center"/>
                </w:tcPr>
                <w:p w14:paraId="1D8E52D4">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G1</w:t>
                  </w:r>
                </w:p>
              </w:tc>
              <w:tc>
                <w:tcPr>
                  <w:tcW w:w="796" w:type="pct"/>
                  <w:noWrap w:val="0"/>
                  <w:vAlign w:val="center"/>
                </w:tcPr>
                <w:p w14:paraId="4FB67329">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项目所在地</w:t>
                  </w:r>
                </w:p>
              </w:tc>
              <w:tc>
                <w:tcPr>
                  <w:tcW w:w="412" w:type="pct"/>
                  <w:noWrap w:val="0"/>
                  <w:vAlign w:val="center"/>
                </w:tcPr>
                <w:p w14:paraId="3CF7B0DE">
                  <w:pPr>
                    <w:adjustRightInd w:val="0"/>
                    <w:snapToGrid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456" w:type="pct"/>
                  <w:noWrap w:val="0"/>
                  <w:vAlign w:val="center"/>
                </w:tcPr>
                <w:p w14:paraId="338FC2D7">
                  <w:pPr>
                    <w:adjustRightInd w:val="0"/>
                    <w:snapToGrid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522" w:type="pct"/>
                  <w:noWrap w:val="0"/>
                  <w:vAlign w:val="center"/>
                </w:tcPr>
                <w:p w14:paraId="73E3481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lang w:val="en-US" w:eastAsia="zh-CN"/>
                    </w:rPr>
                    <w:t>锡及其化合物</w:t>
                  </w:r>
                </w:p>
              </w:tc>
              <w:tc>
                <w:tcPr>
                  <w:tcW w:w="557" w:type="pct"/>
                  <w:noWrap w:val="0"/>
                  <w:vAlign w:val="center"/>
                </w:tcPr>
                <w:p w14:paraId="1A14A8D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753" w:type="pct"/>
                  <w:noWrap w:val="0"/>
                  <w:vAlign w:val="center"/>
                </w:tcPr>
                <w:p w14:paraId="5E17708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ND</w:t>
                  </w:r>
                </w:p>
              </w:tc>
              <w:tc>
                <w:tcPr>
                  <w:tcW w:w="546" w:type="pct"/>
                  <w:noWrap w:val="0"/>
                  <w:vAlign w:val="center"/>
                </w:tcPr>
                <w:p w14:paraId="7DDEF3C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2" w:type="pct"/>
                  <w:noWrap w:val="0"/>
                  <w:vAlign w:val="center"/>
                </w:tcPr>
                <w:p w14:paraId="7B5C029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07E7C2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421" w:type="pct"/>
                  <w:noWrap w:val="0"/>
                  <w:vAlign w:val="center"/>
                </w:tcPr>
                <w:p w14:paraId="05D70D1F">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w:t>
                  </w:r>
                  <w:r>
                    <w:rPr>
                      <w:rFonts w:hint="eastAsia" w:ascii="Times New Roman" w:hAnsi="Times New Roman" w:eastAsia="宋体" w:cs="Times New Roman"/>
                      <w:color w:val="auto"/>
                      <w:highlight w:val="none"/>
                      <w:lang w:val="en-US" w:eastAsia="zh-CN"/>
                    </w:rPr>
                    <w:t>2</w:t>
                  </w:r>
                </w:p>
              </w:tc>
              <w:tc>
                <w:tcPr>
                  <w:tcW w:w="796" w:type="pct"/>
                  <w:noWrap w:val="0"/>
                  <w:vAlign w:val="center"/>
                </w:tcPr>
                <w:p w14:paraId="7700DCCC">
                  <w:pPr>
                    <w:adjustRightInd w:val="0"/>
                    <w:snapToGrid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常州乐思龙幕墙有限公司厂区西北角</w:t>
                  </w:r>
                </w:p>
              </w:tc>
              <w:tc>
                <w:tcPr>
                  <w:tcW w:w="660" w:type="dxa"/>
                  <w:noWrap w:val="0"/>
                  <w:vAlign w:val="center"/>
                </w:tcPr>
                <w:p w14:paraId="0092A7FF">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NW</w:t>
                  </w:r>
                </w:p>
              </w:tc>
              <w:tc>
                <w:tcPr>
                  <w:tcW w:w="731" w:type="dxa"/>
                  <w:noWrap w:val="0"/>
                  <w:vAlign w:val="center"/>
                </w:tcPr>
                <w:p w14:paraId="52D818B1">
                  <w:pPr>
                    <w:adjustRightInd w:val="0"/>
                    <w:snapToGrid w:val="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1000m</w:t>
                  </w:r>
                </w:p>
              </w:tc>
              <w:tc>
                <w:tcPr>
                  <w:tcW w:w="522" w:type="pct"/>
                  <w:noWrap w:val="0"/>
                  <w:vAlign w:val="center"/>
                </w:tcPr>
                <w:p w14:paraId="3C17EC0C">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非甲烷</w:t>
                  </w:r>
                </w:p>
                <w:p w14:paraId="508678E5">
                  <w:pPr>
                    <w:adjustRightInd w:val="0"/>
                    <w:snapToGrid w:val="0"/>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总烃</w:t>
                  </w:r>
                </w:p>
              </w:tc>
              <w:tc>
                <w:tcPr>
                  <w:tcW w:w="557" w:type="pct"/>
                  <w:noWrap w:val="0"/>
                  <w:vAlign w:val="center"/>
                </w:tcPr>
                <w:p w14:paraId="49B57FB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753" w:type="pct"/>
                  <w:noWrap w:val="0"/>
                  <w:vAlign w:val="center"/>
                </w:tcPr>
                <w:p w14:paraId="513E99E5">
                  <w:pPr>
                    <w:adjustRightInd w:val="0"/>
                    <w:snapToGrid w:val="0"/>
                    <w:jc w:val="center"/>
                    <w:rPr>
                      <w:rFonts w:hint="eastAsia"/>
                      <w:color w:val="auto"/>
                      <w:sz w:val="21"/>
                      <w:szCs w:val="21"/>
                      <w:lang w:val="en-US" w:eastAsia="zh-CN"/>
                    </w:rPr>
                  </w:pPr>
                  <w:r>
                    <w:rPr>
                      <w:rFonts w:hint="eastAsia" w:eastAsia="仿宋" w:cs="Times New Roman"/>
                      <w:color w:val="auto"/>
                      <w:kern w:val="2"/>
                      <w:sz w:val="21"/>
                      <w:szCs w:val="21"/>
                      <w:lang w:val="en-US" w:eastAsia="zh-CN" w:bidi="ar-SA"/>
                    </w:rPr>
                    <w:t>0.52~0.69</w:t>
                  </w:r>
                </w:p>
              </w:tc>
              <w:tc>
                <w:tcPr>
                  <w:tcW w:w="875" w:type="dxa"/>
                  <w:noWrap w:val="0"/>
                  <w:vAlign w:val="center"/>
                </w:tcPr>
                <w:p w14:paraId="34E36BB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853" w:type="dxa"/>
                  <w:noWrap w:val="0"/>
                  <w:vAlign w:val="center"/>
                </w:tcPr>
                <w:p w14:paraId="66A8E30F">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14:paraId="423AC03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bCs/>
                <w:color w:val="auto"/>
                <w:sz w:val="24"/>
                <w:highlight w:val="none"/>
              </w:rPr>
              <w:t>根据上表</w:t>
            </w:r>
            <w:r>
              <w:rPr>
                <w:rFonts w:hint="default" w:ascii="Times New Roman" w:hAnsi="Times New Roman" w:eastAsia="宋体" w:cs="Times New Roman"/>
                <w:bCs/>
                <w:color w:val="auto"/>
                <w:sz w:val="24"/>
                <w:highlight w:val="none"/>
                <w:lang w:val="en-US" w:eastAsia="zh-CN"/>
              </w:rPr>
              <w:t>可以看出，特征因子</w:t>
            </w:r>
            <w:r>
              <w:rPr>
                <w:rFonts w:hint="eastAsia" w:cs="Times New Roman"/>
                <w:color w:val="auto"/>
                <w:sz w:val="24"/>
                <w:szCs w:val="24"/>
                <w:highlight w:val="none"/>
                <w:lang w:val="en-US" w:eastAsia="zh-CN"/>
              </w:rPr>
              <w:t>锡及其化合物、非甲烷总烃</w:t>
            </w:r>
            <w:r>
              <w:rPr>
                <w:rFonts w:hint="eastAsia" w:cs="Times New Roman"/>
                <w:bCs/>
                <w:color w:val="auto"/>
                <w:sz w:val="24"/>
                <w:highlight w:val="none"/>
                <w:lang w:val="en-US" w:eastAsia="zh-CN"/>
              </w:rPr>
              <w:t>监测浓度均</w:t>
            </w:r>
            <w:r>
              <w:rPr>
                <w:rFonts w:hint="default" w:ascii="Times New Roman" w:hAnsi="Times New Roman" w:eastAsia="宋体" w:cs="Times New Roman"/>
                <w:bCs/>
                <w:color w:val="auto"/>
                <w:sz w:val="24"/>
                <w:highlight w:val="none"/>
                <w:lang w:val="en-US" w:eastAsia="zh-CN"/>
              </w:rPr>
              <w:t>符合</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大气污染物综合排放标准详解</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标准</w:t>
            </w:r>
            <w:r>
              <w:rPr>
                <w:rFonts w:hint="default" w:ascii="Times New Roman" w:hAnsi="Times New Roman" w:eastAsia="宋体" w:cs="Times New Roman"/>
                <w:color w:val="auto"/>
                <w:sz w:val="24"/>
                <w:szCs w:val="22"/>
                <w:lang w:val="en-US" w:eastAsia="zh-CN"/>
              </w:rPr>
              <w:t>，满足项目所在地区的环境功能区划要求。</w:t>
            </w:r>
          </w:p>
          <w:p w14:paraId="33E4B4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rPr>
            </w:pPr>
            <w:r>
              <w:rPr>
                <w:rFonts w:hint="default" w:ascii="Times New Roman" w:hAnsi="Times New Roman" w:eastAsia="宋体" w:cs="Times New Roman"/>
                <w:color w:val="auto"/>
                <w:sz w:val="24"/>
                <w:szCs w:val="22"/>
              </w:rPr>
              <w:t>数据有效性分析：本项</w:t>
            </w:r>
            <w:r>
              <w:rPr>
                <w:rFonts w:hint="default" w:ascii="Times New Roman" w:hAnsi="Times New Roman" w:eastAsia="宋体" w:cs="Times New Roman"/>
                <w:color w:val="auto"/>
                <w:sz w:val="24"/>
                <w:szCs w:val="22"/>
                <w:lang w:eastAsia="zh-CN"/>
              </w:rPr>
              <w:t>目引用江苏久诚检验检测有限公</w:t>
            </w:r>
            <w:r>
              <w:rPr>
                <w:rFonts w:hint="default" w:ascii="Times New Roman" w:hAnsi="Times New Roman" w:eastAsia="宋体" w:cs="Times New Roman"/>
                <w:color w:val="auto"/>
                <w:sz w:val="24"/>
                <w:szCs w:val="22"/>
                <w:lang w:val="en-US" w:eastAsia="zh-CN"/>
              </w:rPr>
              <w:t>司</w:t>
            </w:r>
            <w:r>
              <w:rPr>
                <w:rFonts w:hint="default" w:ascii="Times New Roman" w:hAnsi="Times New Roman" w:eastAsia="宋体" w:cs="Times New Roman"/>
                <w:color w:val="auto"/>
                <w:sz w:val="24"/>
                <w:szCs w:val="22"/>
                <w:lang w:eastAsia="zh-CN"/>
              </w:rPr>
              <w:t>于</w:t>
            </w:r>
            <w:r>
              <w:rPr>
                <w:rFonts w:hint="default" w:ascii="Times New Roman" w:hAnsi="Times New Roman" w:eastAsia="宋体" w:cs="Times New Roman"/>
                <w:color w:val="auto"/>
                <w:sz w:val="24"/>
                <w:szCs w:val="22"/>
                <w:lang w:val="en-US" w:eastAsia="zh-CN"/>
              </w:rPr>
              <w:t>202</w:t>
            </w:r>
            <w:r>
              <w:rPr>
                <w:rFonts w:hint="eastAsia" w:ascii="Times New Roman" w:hAnsi="Times New Roman" w:eastAsia="宋体" w:cs="Times New Roman"/>
                <w:color w:val="auto"/>
                <w:sz w:val="24"/>
                <w:szCs w:val="22"/>
                <w:lang w:val="en-US" w:eastAsia="zh-CN"/>
              </w:rPr>
              <w:t>2</w:t>
            </w:r>
            <w:r>
              <w:rPr>
                <w:rFonts w:hint="default" w:ascii="Times New Roman" w:hAnsi="Times New Roman" w:eastAsia="宋体" w:cs="Times New Roman"/>
                <w:color w:val="auto"/>
                <w:sz w:val="24"/>
                <w:szCs w:val="22"/>
                <w:lang w:val="en-US" w:eastAsia="zh-CN"/>
              </w:rPr>
              <w:t>年</w:t>
            </w:r>
            <w:r>
              <w:rPr>
                <w:rFonts w:hint="eastAsia"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lang w:val="en-US" w:eastAsia="zh-CN"/>
              </w:rPr>
              <w:t>月</w:t>
            </w:r>
            <w:r>
              <w:rPr>
                <w:rFonts w:hint="eastAsia"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lang w:val="en-US" w:eastAsia="zh-CN"/>
              </w:rPr>
              <w:t>日至</w:t>
            </w:r>
            <w:r>
              <w:rPr>
                <w:rFonts w:hint="eastAsia" w:ascii="Times New Roman" w:hAnsi="Times New Roman" w:eastAsia="宋体" w:cs="Times New Roman"/>
                <w:color w:val="auto"/>
                <w:sz w:val="24"/>
                <w:szCs w:val="22"/>
                <w:lang w:val="en-US" w:eastAsia="zh-CN"/>
              </w:rPr>
              <w:t>10</w:t>
            </w:r>
            <w:r>
              <w:rPr>
                <w:rFonts w:hint="default" w:ascii="Times New Roman" w:hAnsi="Times New Roman" w:eastAsia="宋体" w:cs="Times New Roman"/>
                <w:color w:val="auto"/>
                <w:sz w:val="24"/>
                <w:szCs w:val="22"/>
                <w:lang w:val="en-US" w:eastAsia="zh-CN"/>
              </w:rPr>
              <w:t>月</w:t>
            </w:r>
            <w:r>
              <w:rPr>
                <w:rFonts w:hint="eastAsia" w:ascii="Times New Roman" w:hAnsi="Times New Roman" w:eastAsia="宋体" w:cs="Times New Roman"/>
                <w:color w:val="auto"/>
                <w:sz w:val="24"/>
                <w:szCs w:val="22"/>
                <w:lang w:val="en-US" w:eastAsia="zh-CN"/>
              </w:rPr>
              <w:t>12</w:t>
            </w:r>
            <w:r>
              <w:rPr>
                <w:rFonts w:hint="default" w:ascii="Times New Roman" w:hAnsi="Times New Roman" w:eastAsia="宋体" w:cs="Times New Roman"/>
                <w:color w:val="auto"/>
                <w:sz w:val="24"/>
                <w:szCs w:val="22"/>
                <w:lang w:val="en-US" w:eastAsia="zh-CN"/>
              </w:rPr>
              <w:t>日在</w:t>
            </w:r>
            <w:r>
              <w:rPr>
                <w:rFonts w:hint="default" w:ascii="Times New Roman" w:hAnsi="Times New Roman" w:eastAsia="宋体" w:cs="Times New Roman"/>
                <w:color w:val="auto"/>
                <w:sz w:val="24"/>
                <w:szCs w:val="22"/>
                <w:lang w:eastAsia="zh-CN"/>
              </w:rPr>
              <w:t>项目</w:t>
            </w:r>
            <w:r>
              <w:rPr>
                <w:rFonts w:hint="eastAsia" w:ascii="Times New Roman" w:hAnsi="Times New Roman" w:eastAsia="宋体" w:cs="Times New Roman"/>
                <w:color w:val="auto"/>
                <w:sz w:val="24"/>
                <w:szCs w:val="22"/>
                <w:lang w:val="en-US" w:eastAsia="zh-CN"/>
              </w:rPr>
              <w:t>西北</w:t>
            </w:r>
            <w:r>
              <w:rPr>
                <w:rFonts w:hint="default" w:ascii="Times New Roman" w:hAnsi="Times New Roman" w:eastAsia="宋体" w:cs="Times New Roman"/>
                <w:color w:val="auto"/>
                <w:sz w:val="24"/>
                <w:szCs w:val="22"/>
                <w:lang w:eastAsia="zh-CN"/>
              </w:rPr>
              <w:t>侧</w:t>
            </w:r>
            <w:r>
              <w:rPr>
                <w:rFonts w:hint="eastAsia" w:ascii="Times New Roman" w:hAnsi="Times New Roman" w:eastAsia="宋体" w:cs="Times New Roman"/>
                <w:color w:val="auto"/>
                <w:sz w:val="24"/>
                <w:szCs w:val="22"/>
                <w:lang w:val="en-US" w:eastAsia="zh-CN"/>
              </w:rPr>
              <w:t>约1000</w:t>
            </w:r>
            <w:r>
              <w:rPr>
                <w:rFonts w:hint="default" w:ascii="Times New Roman" w:hAnsi="Times New Roman" w:eastAsia="宋体" w:cs="Times New Roman"/>
                <w:color w:val="auto"/>
                <w:sz w:val="24"/>
                <w:szCs w:val="22"/>
                <w:lang w:eastAsia="zh-CN"/>
              </w:rPr>
              <w:t>m处</w:t>
            </w:r>
            <w:r>
              <w:rPr>
                <w:rFonts w:hint="eastAsia"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常州乐思龙幕墙有限公司厂区西北角</w:t>
            </w:r>
            <w:r>
              <w:rPr>
                <w:rFonts w:hint="eastAsia" w:ascii="Times New Roman" w:hAnsi="Times New Roman" w:eastAsia="宋体" w:cs="Times New Roman"/>
                <w:color w:val="auto"/>
                <w:sz w:val="24"/>
                <w:szCs w:val="22"/>
                <w:lang w:val="en-US" w:eastAsia="zh-CN"/>
              </w:rPr>
              <w:t>）</w:t>
            </w:r>
            <w:r>
              <w:rPr>
                <w:rFonts w:hint="default" w:ascii="Times New Roman" w:hAnsi="Times New Roman" w:eastAsia="宋体" w:cs="Times New Roman"/>
                <w:color w:val="auto"/>
                <w:sz w:val="24"/>
                <w:szCs w:val="22"/>
                <w:lang w:eastAsia="zh-CN"/>
              </w:rPr>
              <w:t>的监测数据，引用时间</w:t>
            </w:r>
            <w:r>
              <w:rPr>
                <w:rFonts w:hint="default" w:ascii="Times New Roman" w:hAnsi="Times New Roman" w:eastAsia="宋体" w:cs="Times New Roman"/>
                <w:color w:val="auto"/>
                <w:sz w:val="24"/>
                <w:szCs w:val="22"/>
              </w:rPr>
              <w:t>不超过3年，大气环境引用时间有效；项目所在区域污染源未发生重大变化，可引用3年内环境空气的监测数据；引用点位在项目相关评价范围内，大气环境引用点位有效</w:t>
            </w:r>
            <w:r>
              <w:rPr>
                <w:rFonts w:hint="default" w:ascii="Times New Roman" w:hAnsi="Times New Roman" w:cs="Times New Roman"/>
                <w:color w:val="auto"/>
                <w:sz w:val="24"/>
                <w:szCs w:val="22"/>
                <w:lang w:val="en-US" w:eastAsia="zh-CN"/>
              </w:rPr>
              <w:t>。</w:t>
            </w:r>
          </w:p>
          <w:p w14:paraId="6B2701D8">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2、地表水现状</w:t>
            </w:r>
          </w:p>
          <w:p w14:paraId="1D7BA97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年常州市生态环境状况公报》，</w:t>
            </w:r>
            <w:r>
              <w:rPr>
                <w:rFonts w:hint="default" w:ascii="Times New Roman" w:hAnsi="Times New Roman" w:eastAsia="宋体" w:cs="Times New Roman"/>
                <w:bCs/>
                <w:color w:val="auto"/>
                <w:sz w:val="24"/>
                <w:lang w:val="zh-TW"/>
              </w:rPr>
              <w:t>国考、省考断面水质达到或好于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zh-TW"/>
              </w:rPr>
              <w:t>类比例超额完成省定考核要求</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太湖常州水域连续16年实现安全度夏。长江干流</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常州段</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水质连续6年稳定Ⅱ类水平</w:t>
            </w:r>
            <w:r>
              <w:rPr>
                <w:rFonts w:hint="default" w:ascii="Times New Roman" w:hAnsi="Times New Roman" w:eastAsia="宋体" w:cs="Times New Roman"/>
                <w:bCs/>
                <w:color w:val="auto"/>
                <w:sz w:val="24"/>
                <w:lang w:val="zh-TW" w:eastAsia="zh-CN"/>
              </w:rPr>
              <w:t>，</w:t>
            </w:r>
            <w:r>
              <w:rPr>
                <w:rFonts w:hint="default" w:ascii="Times New Roman" w:hAnsi="Times New Roman" w:eastAsia="宋体" w:cs="Times New Roman"/>
                <w:bCs/>
                <w:color w:val="auto"/>
                <w:sz w:val="24"/>
                <w:lang w:val="zh-TW"/>
              </w:rPr>
              <w:t>主要入湖河道、集中式饮用水源地水质达到省定考核目标</w:t>
            </w:r>
            <w:r>
              <w:rPr>
                <w:rFonts w:hint="default" w:ascii="Times New Roman" w:hAnsi="Times New Roman" w:eastAsia="宋体" w:cs="Times New Roman"/>
                <w:bCs/>
                <w:color w:val="auto"/>
                <w:sz w:val="24"/>
                <w:lang w:eastAsia="zh-CN"/>
              </w:rPr>
              <w:t>。</w:t>
            </w:r>
          </w:p>
          <w:p w14:paraId="74409EAA">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1D4A0ECC">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国省考断面：2023年，常州市纳入“十四五”国家地表水环境质量考核的20个断面中，年均水质达到或好于《地表水环境质量标准》(GB3838-2002)</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类标准的断面比例为85%，无劣V类断面。纳入江苏省“十四五”水环境质量目标考核51个断面，年均水质达到或好于</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类的比例为94.1%，无劣V类断面。</w:t>
            </w:r>
          </w:p>
          <w:p w14:paraId="1554CE76">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太湖及入太河流：2023年，我市太湖湖心区断面自太湖治理以来首次达到地表水湖库</w:t>
            </w:r>
            <w:r>
              <w:rPr>
                <w:rFonts w:hint="default" w:ascii="Times New Roman" w:hAnsi="Times New Roman" w:eastAsia="宋体" w:cs="Times New Roman"/>
                <w:bCs/>
                <w:color w:val="auto"/>
                <w:sz w:val="24"/>
              </w:rPr>
              <w:t>Ⅲ</w:t>
            </w:r>
            <w:r>
              <w:rPr>
                <w:rFonts w:hint="default" w:ascii="Times New Roman" w:hAnsi="Times New Roman" w:eastAsia="宋体" w:cs="Times New Roman"/>
                <w:bCs/>
                <w:color w:val="auto"/>
                <w:sz w:val="24"/>
                <w:lang w:val="en-US" w:eastAsia="zh-CN"/>
              </w:rPr>
              <w:t>类标准，其中总磷0.05</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，同比下降21.9%，高锰酸盐指数和氨氮分别达到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类和Ⅰ类标准。太湖西部区断面总磷0.074</w:t>
            </w:r>
            <w:r>
              <w:rPr>
                <w:rFonts w:hint="eastAsia" w:ascii="Times New Roman" w:hAnsi="Times New Roman" w:eastAsia="宋体" w:cs="Times New Roman"/>
                <w:bCs/>
                <w:color w:val="auto"/>
                <w:sz w:val="24"/>
                <w:lang w:val="en-US" w:eastAsia="zh-CN"/>
              </w:rPr>
              <w:t>mg/L</w:t>
            </w:r>
            <w:r>
              <w:rPr>
                <w:rFonts w:hint="default" w:ascii="Times New Roman" w:hAnsi="Times New Roman" w:eastAsia="宋体" w:cs="Times New Roman"/>
                <w:bCs/>
                <w:color w:val="auto"/>
                <w:sz w:val="24"/>
                <w:lang w:val="en-US" w:eastAsia="zh-CN"/>
              </w:rPr>
              <w:t>，同比下降16.9%，高锰酸盐指数和氨氮分别达到</w:t>
            </w:r>
            <w:r>
              <w:rPr>
                <w:rFonts w:hint="default" w:ascii="Times New Roman" w:hAnsi="Times New Roman" w:eastAsia="宋体" w:cs="Times New Roman"/>
                <w:bCs/>
                <w:color w:val="auto"/>
                <w:sz w:val="24"/>
                <w:lang w:val="zh-TW"/>
              </w:rPr>
              <w:t>Ⅱ</w:t>
            </w:r>
            <w:r>
              <w:rPr>
                <w:rFonts w:hint="default" w:ascii="Times New Roman" w:hAnsi="Times New Roman" w:eastAsia="宋体" w:cs="Times New Roman"/>
                <w:bCs/>
                <w:color w:val="auto"/>
                <w:sz w:val="24"/>
                <w:lang w:val="en-US" w:eastAsia="zh-CN"/>
              </w:rPr>
              <w:t>类和Ⅰ类标准。武进港、漕桥河、太滆运河等3条主要入湖河道氮磷达到省定约束性考核目标。</w:t>
            </w:r>
          </w:p>
          <w:p w14:paraId="372685BF">
            <w:pPr>
              <w:keepNext w:val="0"/>
              <w:keepLines w:val="0"/>
              <w:pageBreakBefore w:val="0"/>
              <w:widowControl w:val="0"/>
              <w:kinsoku/>
              <w:wordWrap/>
              <w:overflowPunct/>
              <w:topLinePunct w:val="0"/>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长江干流(常州段)及主要通江支流</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2023年</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长江干流魏村(右岸)断面水质连续六年达到Ⅲ类</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新孟河、德胜河、澡港河等3条主要通江支流上5个国省考断面年均水质均达到或优于Ⅲ类。</w:t>
            </w:r>
          </w:p>
          <w:p w14:paraId="72504F3E">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3、声环境质量现状</w:t>
            </w:r>
          </w:p>
          <w:p w14:paraId="6AE589F5">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lang w:val="zh-CN" w:eastAsia="zh-CN"/>
              </w:rPr>
            </w:pPr>
            <w:r>
              <w:rPr>
                <w:rFonts w:hint="eastAsia" w:cs="Times New Roman"/>
                <w:color w:val="auto"/>
                <w:sz w:val="24"/>
                <w:highlight w:val="none"/>
                <w:lang w:val="en-US" w:eastAsia="zh-CN"/>
              </w:rPr>
              <w:t>项目周边50m范围无环境敏感目标，</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r>
              <w:rPr>
                <w:rFonts w:hint="default" w:ascii="Times New Roman" w:hAnsi="Times New Roman" w:eastAsia="宋体" w:cs="Times New Roman"/>
                <w:bCs/>
                <w:color w:val="auto"/>
                <w:sz w:val="24"/>
              </w:rPr>
              <w:t>。</w:t>
            </w:r>
          </w:p>
          <w:p w14:paraId="086ADC4D">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4、生态环境现状</w:t>
            </w:r>
          </w:p>
          <w:p w14:paraId="49A5ECD0">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
                <w:color w:val="auto"/>
                <w:sz w:val="24"/>
              </w:rPr>
            </w:pPr>
            <w:r>
              <w:rPr>
                <w:rFonts w:hint="default" w:ascii="Times New Roman" w:hAnsi="Times New Roman" w:cs="Times New Roman"/>
                <w:bCs/>
                <w:color w:val="auto"/>
                <w:sz w:val="24"/>
              </w:rPr>
              <w:t>本项目用地范围内无生态环境保护目标，无需开展生态环境现状调查。</w:t>
            </w:r>
          </w:p>
          <w:p w14:paraId="066C569C">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5、</w:t>
            </w:r>
            <w:r>
              <w:rPr>
                <w:rFonts w:hint="eastAsia" w:ascii="Times New Roman" w:hAnsi="Times New Roman" w:cs="Times New Roman"/>
                <w:b/>
                <w:color w:val="auto"/>
                <w:sz w:val="24"/>
                <w:lang w:eastAsia="zh-CN"/>
              </w:rPr>
              <w:t>土壤、</w:t>
            </w:r>
            <w:r>
              <w:rPr>
                <w:rFonts w:hint="default" w:ascii="Times New Roman" w:hAnsi="Times New Roman" w:cs="Times New Roman"/>
                <w:b/>
                <w:color w:val="auto"/>
                <w:sz w:val="24"/>
              </w:rPr>
              <w:t>地下水环境质量现状</w:t>
            </w:r>
          </w:p>
          <w:p w14:paraId="5C4F9C38">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w:t>
            </w:r>
            <w:r>
              <w:rPr>
                <w:rFonts w:hint="default" w:ascii="Times New Roman" w:hAnsi="Times New Roman" w:cs="Times New Roman"/>
                <w:bCs/>
                <w:color w:val="auto"/>
                <w:sz w:val="24"/>
                <w:lang w:val="en-US" w:eastAsia="zh-CN"/>
              </w:rPr>
              <w:t>存在</w:t>
            </w:r>
            <w:r>
              <w:rPr>
                <w:rFonts w:hint="eastAsia" w:ascii="Times New Roman" w:hAnsi="Times New Roman" w:cs="Times New Roman"/>
                <w:bCs/>
                <w:color w:val="auto"/>
                <w:sz w:val="24"/>
                <w:lang w:val="en-US" w:eastAsia="zh-CN"/>
              </w:rPr>
              <w:t>土壤、</w:t>
            </w:r>
            <w:r>
              <w:rPr>
                <w:rFonts w:hint="default" w:ascii="Times New Roman" w:hAnsi="Times New Roman" w:cs="Times New Roman"/>
                <w:bCs/>
                <w:color w:val="auto"/>
                <w:sz w:val="24"/>
                <w:lang w:val="en-US" w:eastAsia="zh-CN"/>
              </w:rPr>
              <w:t>地下水污染途径</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可</w:t>
            </w:r>
            <w:r>
              <w:rPr>
                <w:rFonts w:hint="default" w:ascii="Times New Roman" w:hAnsi="Times New Roman" w:cs="Times New Roman"/>
                <w:bCs/>
                <w:color w:val="auto"/>
                <w:sz w:val="24"/>
              </w:rPr>
              <w:t>不开展现状调查。</w:t>
            </w:r>
          </w:p>
          <w:p w14:paraId="0BE1B561">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6</w:t>
            </w:r>
            <w:r>
              <w:rPr>
                <w:rFonts w:hint="default" w:ascii="Times New Roman" w:hAnsi="Times New Roman" w:cs="Times New Roman"/>
                <w:b/>
                <w:color w:val="auto"/>
                <w:sz w:val="24"/>
              </w:rPr>
              <w:t>、辐射</w:t>
            </w:r>
          </w:p>
          <w:p w14:paraId="6261E720">
            <w:pPr>
              <w:keepNext w:val="0"/>
              <w:keepLines w:val="0"/>
              <w:pageBreakBefore w:val="0"/>
              <w:widowControl w:val="0"/>
              <w:tabs>
                <w:tab w:val="left" w:pos="630"/>
              </w:tabs>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本项目不属于广播电台、差转台、电视塔台、卫星地球上行站、雷达等电磁辐射类项目。</w:t>
            </w:r>
          </w:p>
        </w:tc>
      </w:tr>
      <w:tr w14:paraId="469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9BA1D0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734B171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保护</w:t>
            </w:r>
          </w:p>
          <w:p w14:paraId="65344D44">
            <w:pPr>
              <w:adjustRightInd w:val="0"/>
              <w:snapToGrid w:val="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rPr>
              <w:t>目标</w:t>
            </w:r>
          </w:p>
        </w:tc>
        <w:tc>
          <w:tcPr>
            <w:tcW w:w="8228" w:type="dxa"/>
            <w:vAlign w:val="top"/>
          </w:tcPr>
          <w:p w14:paraId="753CFDC1">
            <w:pPr>
              <w:pStyle w:val="91"/>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eastAsia="宋体"/>
                <w:color w:val="auto"/>
                <w:sz w:val="24"/>
                <w:szCs w:val="24"/>
              </w:rPr>
            </w:pPr>
            <w:r>
              <w:rPr>
                <w:rFonts w:eastAsia="宋体"/>
                <w:color w:val="auto"/>
                <w:sz w:val="24"/>
                <w:szCs w:val="24"/>
              </w:rPr>
              <w:t>1</w:t>
            </w:r>
            <w:r>
              <w:rPr>
                <w:rFonts w:hint="eastAsia" w:eastAsia="宋体"/>
                <w:color w:val="auto"/>
                <w:sz w:val="24"/>
                <w:szCs w:val="24"/>
              </w:rPr>
              <w:t>.大气环境</w:t>
            </w:r>
          </w:p>
          <w:p w14:paraId="73FBBAC5">
            <w:pPr>
              <w:tabs>
                <w:tab w:val="left" w:pos="2730"/>
                <w:tab w:val="left" w:pos="8100"/>
              </w:tabs>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表3-</w:t>
            </w:r>
            <w:r>
              <w:rPr>
                <w:rFonts w:hint="eastAsia" w:cs="Times New Roman"/>
                <w:b/>
                <w:bCs w:val="0"/>
                <w:color w:val="auto"/>
                <w:kern w:val="0"/>
                <w:sz w:val="21"/>
                <w:szCs w:val="21"/>
                <w:lang w:val="en-US" w:eastAsia="zh-CN"/>
              </w:rPr>
              <w:t>3</w:t>
            </w:r>
            <w:r>
              <w:rPr>
                <w:rFonts w:hint="default" w:ascii="Times New Roman" w:hAnsi="Times New Roman" w:eastAsia="宋体" w:cs="Times New Roman"/>
                <w:b/>
                <w:bCs w:val="0"/>
                <w:color w:val="auto"/>
                <w:kern w:val="0"/>
                <w:sz w:val="21"/>
                <w:szCs w:val="21"/>
              </w:rPr>
              <w:t xml:space="preserve">  主要环境保护目标</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267"/>
              <w:gridCol w:w="1434"/>
              <w:gridCol w:w="824"/>
              <w:gridCol w:w="1235"/>
              <w:gridCol w:w="804"/>
              <w:gridCol w:w="1095"/>
            </w:tblGrid>
            <w:tr w14:paraId="751571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restart"/>
                  <w:noWrap w:val="0"/>
                  <w:vAlign w:val="center"/>
                </w:tcPr>
                <w:p w14:paraId="66C392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保护对象</w:t>
                  </w:r>
                  <w:r>
                    <w:rPr>
                      <w:rFonts w:hint="default" w:ascii="Times New Roman" w:hAnsi="Times New Roman" w:eastAsia="宋体" w:cs="Times New Roman"/>
                      <w:b w:val="0"/>
                      <w:bCs w:val="0"/>
                      <w:color w:val="auto"/>
                      <w:sz w:val="21"/>
                      <w:szCs w:val="21"/>
                    </w:rPr>
                    <w:t>名称</w:t>
                  </w:r>
                </w:p>
              </w:tc>
              <w:tc>
                <w:tcPr>
                  <w:tcW w:w="1686" w:type="pct"/>
                  <w:gridSpan w:val="2"/>
                  <w:noWrap w:val="0"/>
                  <w:vAlign w:val="center"/>
                </w:tcPr>
                <w:p w14:paraId="1E249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经纬度</w:t>
                  </w:r>
                </w:p>
              </w:tc>
              <w:tc>
                <w:tcPr>
                  <w:tcW w:w="514" w:type="pct"/>
                  <w:vMerge w:val="restart"/>
                  <w:noWrap w:val="0"/>
                  <w:vAlign w:val="center"/>
                </w:tcPr>
                <w:p w14:paraId="14A8B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保护</w:t>
                  </w:r>
                </w:p>
                <w:p w14:paraId="2CAE33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对象</w:t>
                  </w:r>
                </w:p>
              </w:tc>
              <w:tc>
                <w:tcPr>
                  <w:tcW w:w="771" w:type="pct"/>
                  <w:vMerge w:val="restart"/>
                  <w:noWrap w:val="0"/>
                  <w:vAlign w:val="center"/>
                </w:tcPr>
                <w:p w14:paraId="14A5B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保护</w:t>
                  </w:r>
                </w:p>
                <w:p w14:paraId="182C7D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内容</w:t>
                  </w:r>
                </w:p>
              </w:tc>
              <w:tc>
                <w:tcPr>
                  <w:tcW w:w="502" w:type="pct"/>
                  <w:vMerge w:val="restart"/>
                  <w:noWrap w:val="0"/>
                  <w:vAlign w:val="center"/>
                </w:tcPr>
                <w:p w14:paraId="6B148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相对方位</w:t>
                  </w:r>
                </w:p>
              </w:tc>
              <w:tc>
                <w:tcPr>
                  <w:tcW w:w="683" w:type="pct"/>
                  <w:vMerge w:val="restart"/>
                  <w:noWrap w:val="0"/>
                  <w:vAlign w:val="center"/>
                </w:tcPr>
                <w:p w14:paraId="0F955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相对厂界距离（m）</w:t>
                  </w:r>
                </w:p>
              </w:tc>
            </w:tr>
            <w:tr w14:paraId="42BBCB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vMerge w:val="continue"/>
                  <w:noWrap w:val="0"/>
                  <w:vAlign w:val="center"/>
                </w:tcPr>
                <w:p w14:paraId="2EA23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91" w:type="pct"/>
                  <w:noWrap w:val="0"/>
                  <w:vAlign w:val="center"/>
                </w:tcPr>
                <w:p w14:paraId="1AA46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经度</w:t>
                  </w:r>
                </w:p>
              </w:tc>
              <w:tc>
                <w:tcPr>
                  <w:tcW w:w="895" w:type="pct"/>
                  <w:noWrap w:val="0"/>
                  <w:vAlign w:val="center"/>
                </w:tcPr>
                <w:p w14:paraId="16F3B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纬度</w:t>
                  </w:r>
                </w:p>
              </w:tc>
              <w:tc>
                <w:tcPr>
                  <w:tcW w:w="514" w:type="pct"/>
                  <w:vMerge w:val="continue"/>
                  <w:noWrap w:val="0"/>
                  <w:vAlign w:val="center"/>
                </w:tcPr>
                <w:p w14:paraId="098035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771" w:type="pct"/>
                  <w:vMerge w:val="continue"/>
                  <w:noWrap w:val="0"/>
                  <w:vAlign w:val="center"/>
                </w:tcPr>
                <w:p w14:paraId="39DB90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502" w:type="pct"/>
                  <w:vMerge w:val="continue"/>
                  <w:noWrap w:val="0"/>
                  <w:vAlign w:val="center"/>
                </w:tcPr>
                <w:p w14:paraId="384A5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683" w:type="pct"/>
                  <w:vMerge w:val="continue"/>
                  <w:noWrap w:val="0"/>
                  <w:vAlign w:val="center"/>
                </w:tcPr>
                <w:p w14:paraId="6C7713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r>
            <w:tr w14:paraId="3DC5EF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42B7D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五厘庙</w:t>
                  </w:r>
                </w:p>
              </w:tc>
              <w:tc>
                <w:tcPr>
                  <w:tcW w:w="791" w:type="pct"/>
                  <w:noWrap w:val="0"/>
                  <w:vAlign w:val="center"/>
                </w:tcPr>
                <w:p w14:paraId="7FDCB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119.532707</w:t>
                  </w:r>
                </w:p>
              </w:tc>
              <w:tc>
                <w:tcPr>
                  <w:tcW w:w="895" w:type="pct"/>
                  <w:noWrap w:val="0"/>
                  <w:vAlign w:val="center"/>
                </w:tcPr>
                <w:p w14:paraId="1346E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31.674804</w:t>
                  </w:r>
                </w:p>
              </w:tc>
              <w:tc>
                <w:tcPr>
                  <w:tcW w:w="514" w:type="pct"/>
                  <w:vMerge w:val="restart"/>
                  <w:noWrap w:val="0"/>
                  <w:vAlign w:val="center"/>
                </w:tcPr>
                <w:p w14:paraId="74F67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居住区</w:t>
                  </w:r>
                </w:p>
              </w:tc>
              <w:tc>
                <w:tcPr>
                  <w:tcW w:w="771" w:type="pct"/>
                  <w:noWrap w:val="0"/>
                  <w:vAlign w:val="center"/>
                </w:tcPr>
                <w:p w14:paraId="63E99B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22A633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683" w:type="pct"/>
                  <w:noWrap w:val="0"/>
                  <w:vAlign w:val="center"/>
                </w:tcPr>
                <w:p w14:paraId="7EB751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r>
            <w:tr w14:paraId="5B912C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62D718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零星居民户</w:t>
                  </w:r>
                </w:p>
              </w:tc>
              <w:tc>
                <w:tcPr>
                  <w:tcW w:w="1267" w:type="dxa"/>
                  <w:noWrap w:val="0"/>
                  <w:vAlign w:val="center"/>
                </w:tcPr>
                <w:p w14:paraId="603B8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119.535064</w:t>
                  </w:r>
                </w:p>
              </w:tc>
              <w:tc>
                <w:tcPr>
                  <w:tcW w:w="1434" w:type="dxa"/>
                  <w:noWrap w:val="0"/>
                  <w:vAlign w:val="center"/>
                </w:tcPr>
                <w:p w14:paraId="1634F9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31.672657</w:t>
                  </w:r>
                </w:p>
              </w:tc>
              <w:tc>
                <w:tcPr>
                  <w:tcW w:w="514" w:type="pct"/>
                  <w:vMerge w:val="continue"/>
                  <w:noWrap w:val="0"/>
                  <w:vAlign w:val="center"/>
                </w:tcPr>
                <w:p w14:paraId="1D6B00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6FFA3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2627CA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 xml:space="preserve">ENE </w:t>
                  </w:r>
                </w:p>
              </w:tc>
              <w:tc>
                <w:tcPr>
                  <w:tcW w:w="683" w:type="pct"/>
                  <w:noWrap w:val="0"/>
                  <w:vAlign w:val="center"/>
                </w:tcPr>
                <w:p w14:paraId="778B54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220</w:t>
                  </w:r>
                </w:p>
              </w:tc>
            </w:tr>
            <w:tr w14:paraId="4A147A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5D7175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沿塘村</w:t>
                  </w:r>
                </w:p>
              </w:tc>
              <w:tc>
                <w:tcPr>
                  <w:tcW w:w="1267" w:type="dxa"/>
                  <w:noWrap w:val="0"/>
                  <w:vAlign w:val="center"/>
                </w:tcPr>
                <w:p w14:paraId="26E71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119.536654</w:t>
                  </w:r>
                </w:p>
              </w:tc>
              <w:tc>
                <w:tcPr>
                  <w:tcW w:w="1434" w:type="dxa"/>
                  <w:noWrap w:val="0"/>
                  <w:vAlign w:val="center"/>
                </w:tcPr>
                <w:p w14:paraId="338030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31.670558</w:t>
                  </w:r>
                </w:p>
              </w:tc>
              <w:tc>
                <w:tcPr>
                  <w:tcW w:w="514" w:type="pct"/>
                  <w:vMerge w:val="continue"/>
                  <w:noWrap w:val="0"/>
                  <w:vAlign w:val="center"/>
                </w:tcPr>
                <w:p w14:paraId="3AA4A1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67BA3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41AAAC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 xml:space="preserve">ESE </w:t>
                  </w:r>
                </w:p>
              </w:tc>
              <w:tc>
                <w:tcPr>
                  <w:tcW w:w="683" w:type="pct"/>
                  <w:noWrap w:val="0"/>
                  <w:vAlign w:val="center"/>
                </w:tcPr>
                <w:p w14:paraId="05C07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340</w:t>
                  </w:r>
                </w:p>
              </w:tc>
            </w:tr>
            <w:tr w14:paraId="18761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68210D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黄家棚</w:t>
                  </w:r>
                </w:p>
              </w:tc>
              <w:tc>
                <w:tcPr>
                  <w:tcW w:w="1267" w:type="dxa"/>
                  <w:noWrap w:val="0"/>
                  <w:vAlign w:val="center"/>
                </w:tcPr>
                <w:p w14:paraId="4E6CFE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119.535896</w:t>
                  </w:r>
                </w:p>
              </w:tc>
              <w:tc>
                <w:tcPr>
                  <w:tcW w:w="1434" w:type="dxa"/>
                  <w:noWrap w:val="0"/>
                  <w:vAlign w:val="center"/>
                </w:tcPr>
                <w:p w14:paraId="5EC12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31.668662</w:t>
                  </w:r>
                </w:p>
              </w:tc>
              <w:tc>
                <w:tcPr>
                  <w:tcW w:w="514" w:type="pct"/>
                  <w:vMerge w:val="continue"/>
                  <w:noWrap w:val="0"/>
                  <w:vAlign w:val="center"/>
                </w:tcPr>
                <w:p w14:paraId="43FD0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664D1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28609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 xml:space="preserve">SE </w:t>
                  </w:r>
                </w:p>
              </w:tc>
              <w:tc>
                <w:tcPr>
                  <w:tcW w:w="683" w:type="pct"/>
                  <w:noWrap w:val="0"/>
                  <w:vAlign w:val="center"/>
                </w:tcPr>
                <w:p w14:paraId="6FDCE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390</w:t>
                  </w:r>
                </w:p>
              </w:tc>
            </w:tr>
            <w:tr w14:paraId="46BDB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6FCABE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洮西村</w:t>
                  </w:r>
                </w:p>
              </w:tc>
              <w:tc>
                <w:tcPr>
                  <w:tcW w:w="791" w:type="pct"/>
                  <w:noWrap w:val="0"/>
                  <w:vAlign w:val="center"/>
                </w:tcPr>
                <w:p w14:paraId="3D6F4B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119.531441</w:t>
                  </w:r>
                </w:p>
              </w:tc>
              <w:tc>
                <w:tcPr>
                  <w:tcW w:w="895" w:type="pct"/>
                  <w:noWrap w:val="0"/>
                  <w:vAlign w:val="center"/>
                </w:tcPr>
                <w:p w14:paraId="3F9C3E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31.668762</w:t>
                  </w:r>
                </w:p>
              </w:tc>
              <w:tc>
                <w:tcPr>
                  <w:tcW w:w="514" w:type="pct"/>
                  <w:vMerge w:val="continue"/>
                  <w:noWrap w:val="0"/>
                  <w:vAlign w:val="center"/>
                </w:tcPr>
                <w:p w14:paraId="13D5D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5238C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551BAB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SSW</w:t>
                  </w:r>
                </w:p>
              </w:tc>
              <w:tc>
                <w:tcPr>
                  <w:tcW w:w="683" w:type="pct"/>
                  <w:noWrap w:val="0"/>
                  <w:vAlign w:val="center"/>
                </w:tcPr>
                <w:p w14:paraId="1CADF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220</w:t>
                  </w:r>
                </w:p>
              </w:tc>
            </w:tr>
            <w:tr w14:paraId="76426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775A1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唐陵村</w:t>
                  </w:r>
                </w:p>
              </w:tc>
              <w:tc>
                <w:tcPr>
                  <w:tcW w:w="791" w:type="pct"/>
                  <w:noWrap w:val="0"/>
                  <w:vAlign w:val="center"/>
                </w:tcPr>
                <w:p w14:paraId="30167C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119.528152</w:t>
                  </w:r>
                </w:p>
              </w:tc>
              <w:tc>
                <w:tcPr>
                  <w:tcW w:w="895" w:type="pct"/>
                  <w:noWrap w:val="0"/>
                  <w:vAlign w:val="center"/>
                </w:tcPr>
                <w:p w14:paraId="62F2F8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31.671038</w:t>
                  </w:r>
                </w:p>
              </w:tc>
              <w:tc>
                <w:tcPr>
                  <w:tcW w:w="514" w:type="pct"/>
                  <w:vMerge w:val="continue"/>
                  <w:noWrap w:val="0"/>
                  <w:vAlign w:val="center"/>
                </w:tcPr>
                <w:p w14:paraId="07F185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707A67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5B2C84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 xml:space="preserve">WSW </w:t>
                  </w:r>
                </w:p>
              </w:tc>
              <w:tc>
                <w:tcPr>
                  <w:tcW w:w="683" w:type="pct"/>
                  <w:noWrap w:val="0"/>
                  <w:vAlign w:val="center"/>
                </w:tcPr>
                <w:p w14:paraId="53A915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340</w:t>
                  </w:r>
                </w:p>
              </w:tc>
            </w:tr>
            <w:tr w14:paraId="7649F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661238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洮湖佳园</w:t>
                  </w:r>
                </w:p>
              </w:tc>
              <w:tc>
                <w:tcPr>
                  <w:tcW w:w="791" w:type="pct"/>
                  <w:noWrap w:val="0"/>
                  <w:vAlign w:val="center"/>
                </w:tcPr>
                <w:p w14:paraId="1CF3FF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119.528206</w:t>
                  </w:r>
                </w:p>
              </w:tc>
              <w:tc>
                <w:tcPr>
                  <w:tcW w:w="895" w:type="pct"/>
                  <w:noWrap w:val="0"/>
                  <w:vAlign w:val="center"/>
                </w:tcPr>
                <w:p w14:paraId="668B8C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31.672017</w:t>
                  </w:r>
                </w:p>
              </w:tc>
              <w:tc>
                <w:tcPr>
                  <w:tcW w:w="514" w:type="pct"/>
                  <w:vMerge w:val="continue"/>
                  <w:noWrap w:val="0"/>
                  <w:vAlign w:val="center"/>
                </w:tcPr>
                <w:p w14:paraId="3CA828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19E25D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7B5EA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default" w:cs="Times New Roman"/>
                      <w:color w:val="auto"/>
                      <w:sz w:val="21"/>
                      <w:szCs w:val="21"/>
                      <w:lang w:val="en-US" w:eastAsia="zh-CN"/>
                    </w:rPr>
                    <w:t xml:space="preserve">W </w:t>
                  </w:r>
                </w:p>
              </w:tc>
              <w:tc>
                <w:tcPr>
                  <w:tcW w:w="683" w:type="pct"/>
                  <w:noWrap w:val="0"/>
                  <w:vAlign w:val="center"/>
                </w:tcPr>
                <w:p w14:paraId="3FF31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300</w:t>
                  </w:r>
                </w:p>
              </w:tc>
            </w:tr>
            <w:tr w14:paraId="35E2EA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1FC58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洮西幼儿园</w:t>
                  </w:r>
                </w:p>
              </w:tc>
              <w:tc>
                <w:tcPr>
                  <w:tcW w:w="791" w:type="pct"/>
                  <w:noWrap w:val="0"/>
                  <w:vAlign w:val="center"/>
                </w:tcPr>
                <w:p w14:paraId="1CF36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119.532819</w:t>
                  </w:r>
                </w:p>
              </w:tc>
              <w:tc>
                <w:tcPr>
                  <w:tcW w:w="895" w:type="pct"/>
                  <w:noWrap w:val="0"/>
                  <w:vAlign w:val="center"/>
                </w:tcPr>
                <w:p w14:paraId="7043B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31.668951</w:t>
                  </w:r>
                </w:p>
              </w:tc>
              <w:tc>
                <w:tcPr>
                  <w:tcW w:w="514" w:type="pct"/>
                  <w:vMerge w:val="restart"/>
                  <w:noWrap w:val="0"/>
                  <w:vAlign w:val="center"/>
                </w:tcPr>
                <w:p w14:paraId="3E508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文化教育</w:t>
                  </w:r>
                </w:p>
              </w:tc>
              <w:tc>
                <w:tcPr>
                  <w:tcW w:w="771" w:type="pct"/>
                  <w:noWrap w:val="0"/>
                  <w:vAlign w:val="center"/>
                </w:tcPr>
                <w:p w14:paraId="0F8314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38971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t>
                  </w:r>
                </w:p>
              </w:tc>
              <w:tc>
                <w:tcPr>
                  <w:tcW w:w="683" w:type="pct"/>
                  <w:noWrap w:val="0"/>
                  <w:vAlign w:val="center"/>
                </w:tcPr>
                <w:p w14:paraId="70A20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250</w:t>
                  </w:r>
                </w:p>
              </w:tc>
            </w:tr>
            <w:tr w14:paraId="436EE1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6188CA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洮西小学</w:t>
                  </w:r>
                </w:p>
              </w:tc>
              <w:tc>
                <w:tcPr>
                  <w:tcW w:w="791" w:type="pct"/>
                  <w:noWrap w:val="0"/>
                  <w:vAlign w:val="center"/>
                </w:tcPr>
                <w:p w14:paraId="63586F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119.532746</w:t>
                  </w:r>
                </w:p>
              </w:tc>
              <w:tc>
                <w:tcPr>
                  <w:tcW w:w="895" w:type="pct"/>
                  <w:noWrap w:val="0"/>
                  <w:vAlign w:val="center"/>
                </w:tcPr>
                <w:p w14:paraId="5C096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31.667972</w:t>
                  </w:r>
                </w:p>
              </w:tc>
              <w:tc>
                <w:tcPr>
                  <w:tcW w:w="514" w:type="pct"/>
                  <w:vMerge w:val="continue"/>
                  <w:noWrap w:val="0"/>
                  <w:vAlign w:val="center"/>
                </w:tcPr>
                <w:p w14:paraId="1B463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71" w:type="pct"/>
                  <w:noWrap w:val="0"/>
                  <w:vAlign w:val="center"/>
                </w:tcPr>
                <w:p w14:paraId="1B9AA18C">
                  <w:pPr>
                    <w:autoSpaceDE w:val="0"/>
                    <w:autoSpaceDN w:val="0"/>
                    <w:adjustRightIn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479DA9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w:t>
                  </w:r>
                </w:p>
              </w:tc>
              <w:tc>
                <w:tcPr>
                  <w:tcW w:w="683" w:type="pct"/>
                  <w:noWrap w:val="0"/>
                  <w:vAlign w:val="center"/>
                </w:tcPr>
                <w:p w14:paraId="6A05E4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290</w:t>
                  </w:r>
                </w:p>
              </w:tc>
            </w:tr>
            <w:tr w14:paraId="5CA694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1" w:type="pct"/>
                  <w:noWrap w:val="0"/>
                  <w:vAlign w:val="center"/>
                </w:tcPr>
                <w:p w14:paraId="19C811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洮西卫生院</w:t>
                  </w:r>
                </w:p>
              </w:tc>
              <w:tc>
                <w:tcPr>
                  <w:tcW w:w="791" w:type="pct"/>
                  <w:noWrap w:val="0"/>
                  <w:vAlign w:val="center"/>
                </w:tcPr>
                <w:p w14:paraId="15C1E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119.530040</w:t>
                  </w:r>
                </w:p>
              </w:tc>
              <w:tc>
                <w:tcPr>
                  <w:tcW w:w="895" w:type="pct"/>
                  <w:noWrap w:val="0"/>
                  <w:vAlign w:val="center"/>
                </w:tcPr>
                <w:p w14:paraId="55D60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31.669729</w:t>
                  </w:r>
                </w:p>
              </w:tc>
              <w:tc>
                <w:tcPr>
                  <w:tcW w:w="514" w:type="pct"/>
                  <w:noWrap w:val="0"/>
                  <w:vAlign w:val="center"/>
                </w:tcPr>
                <w:p w14:paraId="1FAE91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医疗卫生</w:t>
                  </w:r>
                </w:p>
              </w:tc>
              <w:tc>
                <w:tcPr>
                  <w:tcW w:w="771" w:type="pct"/>
                  <w:noWrap w:val="0"/>
                  <w:vAlign w:val="center"/>
                </w:tcPr>
                <w:p w14:paraId="3E21A8EC">
                  <w:pPr>
                    <w:autoSpaceDE w:val="0"/>
                    <w:autoSpaceDN w:val="0"/>
                    <w:adjustRightInd w:val="0"/>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人群</w:t>
                  </w:r>
                  <w:r>
                    <w:rPr>
                      <w:rFonts w:hint="eastAsia" w:cs="Times New Roman"/>
                      <w:color w:val="auto"/>
                      <w:szCs w:val="21"/>
                      <w:lang w:val="en-US" w:eastAsia="zh-CN"/>
                    </w:rPr>
                    <w:t>健康</w:t>
                  </w:r>
                </w:p>
              </w:tc>
              <w:tc>
                <w:tcPr>
                  <w:tcW w:w="502" w:type="pct"/>
                  <w:noWrap w:val="0"/>
                  <w:vAlign w:val="center"/>
                </w:tcPr>
                <w:p w14:paraId="1391A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SW</w:t>
                  </w:r>
                </w:p>
              </w:tc>
              <w:tc>
                <w:tcPr>
                  <w:tcW w:w="683" w:type="pct"/>
                  <w:noWrap w:val="0"/>
                  <w:vAlign w:val="center"/>
                </w:tcPr>
                <w:p w14:paraId="24C165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260</w:t>
                  </w:r>
                </w:p>
              </w:tc>
            </w:tr>
          </w:tbl>
          <w:p w14:paraId="1D8F43EF">
            <w:pPr>
              <w:pStyle w:val="91"/>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eastAsia="宋体"/>
                <w:color w:val="auto"/>
                <w:sz w:val="24"/>
                <w:szCs w:val="24"/>
              </w:rPr>
            </w:pPr>
            <w:r>
              <w:rPr>
                <w:rFonts w:eastAsia="宋体"/>
                <w:color w:val="auto"/>
                <w:sz w:val="24"/>
                <w:szCs w:val="24"/>
              </w:rPr>
              <w:t>2</w:t>
            </w:r>
            <w:r>
              <w:rPr>
                <w:rFonts w:hint="eastAsia" w:eastAsia="宋体"/>
                <w:color w:val="auto"/>
                <w:sz w:val="24"/>
                <w:szCs w:val="24"/>
              </w:rPr>
              <w:t>.声环境</w:t>
            </w:r>
          </w:p>
          <w:p w14:paraId="796A2659">
            <w:pPr>
              <w:pStyle w:val="91"/>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bCs/>
                <w:color w:val="auto"/>
                <w:sz w:val="24"/>
                <w:szCs w:val="24"/>
              </w:rPr>
            </w:pPr>
            <w:r>
              <w:rPr>
                <w:rFonts w:eastAsia="宋体"/>
                <w:bCs/>
                <w:color w:val="auto"/>
                <w:sz w:val="24"/>
                <w:szCs w:val="24"/>
              </w:rPr>
              <w:t>项目厂界外50米范围内无声环境保护目标</w:t>
            </w:r>
            <w:r>
              <w:rPr>
                <w:rFonts w:hint="eastAsia" w:eastAsia="宋体"/>
                <w:bCs/>
                <w:color w:val="auto"/>
                <w:sz w:val="24"/>
                <w:szCs w:val="24"/>
              </w:rPr>
              <w:t>。</w:t>
            </w:r>
          </w:p>
          <w:p w14:paraId="6E5E8143">
            <w:pPr>
              <w:pStyle w:val="91"/>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rPr>
                <w:rFonts w:hint="eastAsia" w:eastAsia="宋体"/>
                <w:color w:val="auto"/>
                <w:sz w:val="24"/>
                <w:szCs w:val="24"/>
              </w:rPr>
            </w:pPr>
            <w:r>
              <w:rPr>
                <w:rFonts w:eastAsia="宋体"/>
                <w:color w:val="auto"/>
                <w:sz w:val="24"/>
                <w:szCs w:val="24"/>
              </w:rPr>
              <w:t>3</w:t>
            </w:r>
            <w:r>
              <w:rPr>
                <w:rFonts w:hint="eastAsia" w:eastAsia="宋体"/>
                <w:color w:val="auto"/>
                <w:sz w:val="24"/>
                <w:szCs w:val="24"/>
              </w:rPr>
              <w:t>.地下水环境</w:t>
            </w:r>
          </w:p>
          <w:p w14:paraId="50914FC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宋体" w:hAnsi="宋体" w:cs="宋体"/>
                <w:bCs/>
                <w:color w:val="auto"/>
                <w:sz w:val="24"/>
                <w:szCs w:val="24"/>
              </w:rPr>
            </w:pPr>
            <w:r>
              <w:rPr>
                <w:rFonts w:hint="eastAsia"/>
                <w:color w:val="auto"/>
                <w:sz w:val="24"/>
                <w:szCs w:val="24"/>
              </w:rPr>
              <w:t>项目厂界外</w:t>
            </w:r>
            <w:r>
              <w:rPr>
                <w:color w:val="auto"/>
                <w:sz w:val="24"/>
                <w:szCs w:val="24"/>
              </w:rPr>
              <w:t>500</w:t>
            </w:r>
            <w:r>
              <w:rPr>
                <w:rFonts w:hint="eastAsia"/>
                <w:color w:val="auto"/>
                <w:sz w:val="24"/>
                <w:szCs w:val="24"/>
              </w:rPr>
              <w:t>米范围内无地下水集中式饮用水水源和热水、矿泉水、温泉等特殊地下水资源。</w:t>
            </w:r>
            <w:r>
              <w:rPr>
                <w:rFonts w:hint="eastAsia"/>
                <w:color w:val="auto"/>
                <w:sz w:val="24"/>
                <w:szCs w:val="24"/>
              </w:rPr>
              <w:br w:type="textWrapping"/>
            </w:r>
            <w:r>
              <w:rPr>
                <w:rFonts w:hint="eastAsia" w:ascii="宋体" w:hAnsi="宋体" w:cs="宋体"/>
                <w:color w:val="auto"/>
                <w:sz w:val="24"/>
                <w:szCs w:val="24"/>
              </w:rPr>
              <w:t xml:space="preserve">    </w:t>
            </w:r>
            <w:r>
              <w:rPr>
                <w:rFonts w:hint="eastAsia" w:ascii="宋体" w:hAnsi="宋体" w:cs="宋体"/>
                <w:bCs/>
                <w:color w:val="auto"/>
                <w:sz w:val="24"/>
                <w:szCs w:val="24"/>
              </w:rPr>
              <w:t>4</w:t>
            </w:r>
            <w:r>
              <w:rPr>
                <w:rFonts w:hint="eastAsia"/>
                <w:color w:val="auto"/>
                <w:sz w:val="24"/>
                <w:szCs w:val="24"/>
              </w:rPr>
              <w:t>.</w:t>
            </w:r>
            <w:r>
              <w:rPr>
                <w:rFonts w:hint="eastAsia" w:ascii="宋体" w:hAnsi="宋体" w:cs="宋体"/>
                <w:bCs/>
                <w:color w:val="auto"/>
                <w:sz w:val="24"/>
                <w:szCs w:val="24"/>
              </w:rPr>
              <w:t>生态环境</w:t>
            </w:r>
          </w:p>
          <w:p w14:paraId="5514311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cs="Times New Roman"/>
                <w:bCs/>
                <w:color w:val="auto"/>
                <w:sz w:val="24"/>
                <w:szCs w:val="24"/>
              </w:rPr>
            </w:pPr>
            <w:r>
              <w:rPr>
                <w:rFonts w:hint="eastAsia" w:ascii="宋体" w:hAnsi="宋体" w:cs="宋体"/>
                <w:bCs/>
                <w:color w:val="auto"/>
                <w:sz w:val="24"/>
                <w:szCs w:val="24"/>
              </w:rPr>
              <w:t>本项目用地范围内不存在生态环境保护目标。</w:t>
            </w:r>
          </w:p>
          <w:p w14:paraId="642757CF">
            <w:pPr>
              <w:adjustRightInd w:val="0"/>
              <w:snapToGrid w:val="0"/>
              <w:spacing w:line="500" w:lineRule="exact"/>
              <w:jc w:val="both"/>
              <w:rPr>
                <w:rFonts w:hint="default" w:ascii="Times New Roman" w:hAnsi="Times New Roman" w:eastAsia="宋体" w:cs="Times New Roman"/>
                <w:color w:val="auto"/>
                <w:kern w:val="0"/>
                <w:sz w:val="21"/>
                <w:szCs w:val="21"/>
                <w:lang w:val="en-US" w:eastAsia="zh-CN" w:bidi="ar-SA"/>
              </w:rPr>
            </w:pPr>
          </w:p>
        </w:tc>
      </w:tr>
    </w:tbl>
    <w:p w14:paraId="118AD336">
      <w:pPr>
        <w:adjustRightInd w:val="0"/>
        <w:snapToGrid w:val="0"/>
        <w:jc w:val="center"/>
        <w:rPr>
          <w:rFonts w:hint="default" w:ascii="Times New Roman" w:hAnsi="Times New Roman" w:cs="Times New Roman"/>
          <w:color w:val="auto"/>
          <w:kern w:val="0"/>
          <w:sz w:val="24"/>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tbl>
      <w:tblPr>
        <w:tblStyle w:val="28"/>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485E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187B070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14:paraId="7DE3DF1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14:paraId="50B5B55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14:paraId="5538210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14:paraId="4C660D6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准</w:t>
            </w:r>
          </w:p>
        </w:tc>
        <w:tc>
          <w:tcPr>
            <w:tcW w:w="8152" w:type="dxa"/>
            <w:vAlign w:val="center"/>
          </w:tcPr>
          <w:p w14:paraId="39CF740E">
            <w:pPr>
              <w:adjustRightInd w:val="0"/>
              <w:snapToGrid w:val="0"/>
              <w:spacing w:line="240" w:lineRule="auto"/>
              <w:rPr>
                <w:rFonts w:hint="default" w:ascii="Times New Roman" w:hAnsi="Times New Roman" w:cs="Times New Roman"/>
                <w:b/>
                <w:color w:val="auto"/>
                <w:sz w:val="24"/>
              </w:rPr>
            </w:pPr>
            <w:r>
              <w:rPr>
                <w:rFonts w:hint="default" w:ascii="Times New Roman" w:hAnsi="Times New Roman" w:cs="Times New Roman"/>
                <w:b/>
                <w:color w:val="auto"/>
                <w:sz w:val="24"/>
              </w:rPr>
              <w:t>1、废气</w:t>
            </w:r>
          </w:p>
          <w:p w14:paraId="66256FB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eastAsia="宋体" w:cs="Times New Roman"/>
                <w:color w:val="auto"/>
                <w:kern w:val="0"/>
                <w:sz w:val="24"/>
                <w:lang w:val="en-US" w:eastAsia="zh-CN"/>
              </w:rPr>
              <w:t>无组织废气</w:t>
            </w:r>
            <w:r>
              <w:rPr>
                <w:rFonts w:hint="eastAsia" w:cs="Times New Roman"/>
                <w:color w:val="auto"/>
                <w:sz w:val="24"/>
                <w:szCs w:val="24"/>
                <w:highlight w:val="none"/>
                <w:lang w:val="en-US" w:eastAsia="zh-CN"/>
              </w:rPr>
              <w:t>锡及其化合物</w:t>
            </w:r>
            <w:r>
              <w:rPr>
                <w:rFonts w:hint="eastAsia"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非甲烷总烃排放执行</w:t>
            </w:r>
            <w:r>
              <w:rPr>
                <w:rFonts w:hint="eastAsia" w:ascii="Times New Roman" w:hAnsi="Times New Roman" w:eastAsia="宋体" w:cs="Times New Roman"/>
                <w:color w:val="auto"/>
                <w:sz w:val="24"/>
                <w:szCs w:val="24"/>
                <w:highlight w:val="none"/>
                <w:lang w:val="en-US" w:eastAsia="zh-CN"/>
              </w:rPr>
              <w:t>《大气污染物综合排放标准》（</w:t>
            </w:r>
            <w:r>
              <w:rPr>
                <w:rFonts w:hint="default" w:ascii="Times New Roman" w:hAnsi="Times New Roman" w:eastAsia="宋体" w:cs="Times New Roman"/>
                <w:color w:val="auto"/>
                <w:sz w:val="24"/>
                <w:szCs w:val="24"/>
                <w:highlight w:val="none"/>
                <w:lang w:val="en-US" w:eastAsia="zh-CN"/>
              </w:rPr>
              <w:t>DB32/4041-2021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lang w:val="en-US" w:eastAsia="zh-CN"/>
              </w:rPr>
              <w:t>表</w:t>
            </w:r>
            <w:r>
              <w:rPr>
                <w:rFonts w:hint="eastAsia"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标准</w:t>
            </w:r>
            <w:r>
              <w:rPr>
                <w:rFonts w:hint="default" w:ascii="Times New Roman" w:hAnsi="Times New Roman" w:cs="Times New Roman"/>
                <w:color w:val="auto"/>
                <w:sz w:val="24"/>
              </w:rPr>
              <w:t>。</w:t>
            </w:r>
          </w:p>
          <w:p w14:paraId="0D2BB38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4 运营期项目无组织</w:t>
            </w:r>
            <w:r>
              <w:rPr>
                <w:rFonts w:hint="default" w:ascii="Times New Roman" w:hAnsi="Times New Roman" w:cs="Times New Roman"/>
                <w:b/>
                <w:bCs/>
                <w:color w:val="auto"/>
                <w:sz w:val="21"/>
                <w:szCs w:val="21"/>
                <w:lang w:val="en-US" w:eastAsia="zh-CN"/>
              </w:rPr>
              <w:t>大气污染物排放标准</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3203"/>
              <w:gridCol w:w="2540"/>
            </w:tblGrid>
            <w:tr w14:paraId="4B1C3A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1380" w:type="pct"/>
                  <w:tcBorders>
                    <w:tl2br w:val="nil"/>
                    <w:tr2bl w:val="nil"/>
                  </w:tcBorders>
                  <w:noWrap w:val="0"/>
                  <w:vAlign w:val="center"/>
                </w:tcPr>
                <w:p w14:paraId="1FDD542C">
                  <w:pPr>
                    <w:pStyle w:val="5"/>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w:t>
                  </w:r>
                </w:p>
              </w:tc>
              <w:tc>
                <w:tcPr>
                  <w:tcW w:w="2018" w:type="pct"/>
                  <w:tcBorders>
                    <w:tl2br w:val="nil"/>
                    <w:tr2bl w:val="nil"/>
                  </w:tcBorders>
                  <w:noWrap w:val="0"/>
                  <w:vAlign w:val="center"/>
                </w:tcPr>
                <w:p w14:paraId="62C79A32">
                  <w:pPr>
                    <w:snapToGrid w:val="0"/>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无组织排放监控浓度</w:t>
                  </w:r>
                  <w:r>
                    <w:rPr>
                      <w:rFonts w:hint="default" w:ascii="Times New Roman" w:hAnsi="Times New Roman" w:eastAsia="宋体" w:cs="Times New Roman"/>
                      <w:color w:val="auto"/>
                      <w:kern w:val="2"/>
                      <w:sz w:val="21"/>
                      <w:szCs w:val="21"/>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2"/>
                      <w:sz w:val="21"/>
                      <w:szCs w:val="21"/>
                    </w:rPr>
                    <w:t>）</w:t>
                  </w:r>
                </w:p>
              </w:tc>
              <w:tc>
                <w:tcPr>
                  <w:tcW w:w="1600" w:type="pct"/>
                  <w:tcBorders>
                    <w:tl2br w:val="nil"/>
                    <w:tr2bl w:val="nil"/>
                  </w:tcBorders>
                  <w:noWrap w:val="0"/>
                  <w:vAlign w:val="center"/>
                </w:tcPr>
                <w:p w14:paraId="31ACE3FD">
                  <w:pPr>
                    <w:snapToGrid w:val="0"/>
                    <w:spacing w:line="240" w:lineRule="atLeast"/>
                    <w:jc w:val="center"/>
                    <w:rPr>
                      <w:rFonts w:hint="default" w:ascii="Times New Roman" w:hAnsi="Times New Roman" w:eastAsia="宋体" w:cs="Times New Roman"/>
                      <w:color w:val="auto"/>
                      <w:kern w:val="2"/>
                      <w:sz w:val="21"/>
                      <w:szCs w:val="21"/>
                      <w:lang w:val="en-US" w:eastAsia="zh-CN"/>
                    </w:rPr>
                  </w:pPr>
                  <w:r>
                    <w:rPr>
                      <w:rFonts w:hint="eastAsia" w:cs="Times New Roman"/>
                      <w:color w:val="auto"/>
                      <w:sz w:val="21"/>
                      <w:szCs w:val="21"/>
                      <w:lang w:val="en-US" w:eastAsia="zh-CN"/>
                    </w:rPr>
                    <w:t>标准</w:t>
                  </w:r>
                </w:p>
              </w:tc>
            </w:tr>
            <w:tr w14:paraId="54DB9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0" w:type="pct"/>
                  <w:tcBorders>
                    <w:tl2br w:val="nil"/>
                    <w:tr2bl w:val="nil"/>
                  </w:tcBorders>
                  <w:noWrap w:val="0"/>
                  <w:vAlign w:val="center"/>
                </w:tcPr>
                <w:p w14:paraId="61C074CA">
                  <w:pPr>
                    <w:pStyle w:val="22"/>
                    <w:spacing w:after="0"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rPr>
                    <w:t>锡及其化合物</w:t>
                  </w:r>
                </w:p>
              </w:tc>
              <w:tc>
                <w:tcPr>
                  <w:tcW w:w="2018" w:type="pct"/>
                  <w:tcBorders>
                    <w:tl2br w:val="nil"/>
                    <w:tr2bl w:val="nil"/>
                  </w:tcBorders>
                  <w:noWrap w:val="0"/>
                  <w:vAlign w:val="center"/>
                </w:tcPr>
                <w:p w14:paraId="7CB07320">
                  <w:pPr>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600" w:type="pct"/>
                  <w:vMerge w:val="restart"/>
                  <w:tcBorders>
                    <w:tl2br w:val="nil"/>
                    <w:tr2bl w:val="nil"/>
                  </w:tcBorders>
                  <w:shd w:val="clear" w:color="auto" w:fill="auto"/>
                  <w:noWrap w:val="0"/>
                  <w:vAlign w:val="center"/>
                </w:tcPr>
                <w:p w14:paraId="4EB3E817">
                  <w:pPr>
                    <w:snapToGrid w:val="0"/>
                    <w:spacing w:line="240" w:lineRule="atLeas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DB32/4041-2021</w:t>
                  </w:r>
                  <w:r>
                    <w:rPr>
                      <w:rFonts w:hint="default" w:ascii="Times New Roman" w:hAnsi="Times New Roman" w:eastAsia="宋体" w:cs="Times New Roman"/>
                      <w:color w:val="auto"/>
                      <w:kern w:val="0"/>
                      <w:sz w:val="21"/>
                      <w:szCs w:val="21"/>
                      <w:lang w:val="en-US" w:eastAsia="zh-CN"/>
                    </w:rPr>
                    <w:t>表</w:t>
                  </w:r>
                  <w:r>
                    <w:rPr>
                      <w:rFonts w:hint="eastAsia" w:cs="Times New Roman"/>
                      <w:color w:val="auto"/>
                      <w:kern w:val="0"/>
                      <w:sz w:val="21"/>
                      <w:szCs w:val="21"/>
                      <w:lang w:val="en-US" w:eastAsia="zh-CN"/>
                    </w:rPr>
                    <w:t>2</w:t>
                  </w:r>
                </w:p>
              </w:tc>
            </w:tr>
            <w:tr w14:paraId="43808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80" w:type="pct"/>
                  <w:tcBorders>
                    <w:tl2br w:val="nil"/>
                    <w:tr2bl w:val="nil"/>
                  </w:tcBorders>
                  <w:noWrap w:val="0"/>
                  <w:vAlign w:val="center"/>
                </w:tcPr>
                <w:p w14:paraId="2A308866">
                  <w:pPr>
                    <w:pStyle w:val="70"/>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2018" w:type="pct"/>
                  <w:tcBorders>
                    <w:tl2br w:val="nil"/>
                    <w:tr2bl w:val="nil"/>
                  </w:tcBorders>
                  <w:noWrap w:val="0"/>
                  <w:vAlign w:val="center"/>
                </w:tcPr>
                <w:p w14:paraId="1BF3217A">
                  <w:pPr>
                    <w:pStyle w:val="70"/>
                    <w:keepNext/>
                    <w:keepLines/>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600" w:type="pct"/>
                  <w:vMerge w:val="continue"/>
                  <w:tcBorders>
                    <w:tl2br w:val="nil"/>
                    <w:tr2bl w:val="nil"/>
                  </w:tcBorders>
                  <w:noWrap w:val="0"/>
                  <w:vAlign w:val="center"/>
                </w:tcPr>
                <w:p w14:paraId="61186EC9">
                  <w:pPr>
                    <w:snapToGrid w:val="0"/>
                    <w:spacing w:line="240" w:lineRule="atLeast"/>
                    <w:jc w:val="center"/>
                    <w:rPr>
                      <w:rFonts w:hint="default" w:ascii="Times New Roman" w:hAnsi="Times New Roman" w:eastAsia="宋体" w:cs="Times New Roman"/>
                      <w:color w:val="auto"/>
                      <w:sz w:val="21"/>
                      <w:szCs w:val="21"/>
                      <w:highlight w:val="none"/>
                    </w:rPr>
                  </w:pPr>
                </w:p>
              </w:tc>
            </w:tr>
          </w:tbl>
          <w:p w14:paraId="6F702A8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sz w:val="24"/>
                <w:lang w:val="en-US" w:eastAsia="zh-CN"/>
              </w:rPr>
            </w:pPr>
            <w:r>
              <w:rPr>
                <w:rFonts w:hint="default" w:ascii="Times New Roman" w:hAnsi="Times New Roman" w:cs="Times New Roman"/>
                <w:color w:val="auto"/>
                <w:sz w:val="24"/>
              </w:rPr>
              <w:t>项目</w:t>
            </w:r>
            <w:r>
              <w:rPr>
                <w:rFonts w:hint="default" w:ascii="Times New Roman" w:hAnsi="Times New Roman" w:eastAsia="宋体" w:cs="Times New Roman"/>
                <w:color w:val="auto"/>
                <w:sz w:val="24"/>
                <w:szCs w:val="24"/>
                <w:highlight w:val="none"/>
                <w:lang w:val="en-US" w:eastAsia="zh-CN"/>
              </w:rPr>
              <w:t>厂区内</w:t>
            </w:r>
            <w:r>
              <w:rPr>
                <w:rFonts w:hint="default" w:ascii="Times New Roman" w:hAnsi="Times New Roman" w:eastAsia="宋体" w:cs="Times New Roman"/>
                <w:color w:val="auto"/>
                <w:sz w:val="24"/>
                <w:szCs w:val="24"/>
                <w:highlight w:val="none"/>
              </w:rPr>
              <w:t>非甲烷总烃无组织排放限值执行</w:t>
            </w:r>
            <w:r>
              <w:rPr>
                <w:rFonts w:hint="eastAsia" w:ascii="Times New Roman" w:hAnsi="Times New Roman" w:eastAsia="宋体" w:cs="Times New Roman"/>
                <w:color w:val="auto"/>
                <w:sz w:val="24"/>
                <w:szCs w:val="24"/>
                <w:highlight w:val="none"/>
                <w:lang w:val="en-US" w:eastAsia="zh-CN"/>
              </w:rPr>
              <w:t>《大气污染物综合排放标准》（</w:t>
            </w:r>
            <w:r>
              <w:rPr>
                <w:rFonts w:hint="default" w:ascii="Times New Roman" w:hAnsi="Times New Roman" w:eastAsia="宋体" w:cs="Times New Roman"/>
                <w:color w:val="auto"/>
                <w:sz w:val="24"/>
                <w:szCs w:val="24"/>
                <w:highlight w:val="none"/>
                <w:lang w:val="en-US" w:eastAsia="zh-CN"/>
              </w:rPr>
              <w:t>DB32/4041-2021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表</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标</w:t>
            </w:r>
            <w:r>
              <w:rPr>
                <w:rFonts w:hint="default" w:ascii="Times New Roman" w:hAnsi="Times New Roman" w:cs="Times New Roman"/>
                <w:bCs/>
                <w:color w:val="auto"/>
                <w:sz w:val="24"/>
                <w:szCs w:val="24"/>
                <w:highlight w:val="none"/>
                <w:lang w:val="en-US" w:eastAsia="zh-CN"/>
              </w:rPr>
              <w:t>准</w:t>
            </w:r>
            <w:r>
              <w:rPr>
                <w:rFonts w:hint="default" w:ascii="Times New Roman" w:hAnsi="Times New Roman" w:cs="Times New Roman"/>
                <w:color w:val="auto"/>
                <w:kern w:val="0"/>
                <w:sz w:val="24"/>
                <w:lang w:val="en-US" w:eastAsia="zh-CN"/>
              </w:rPr>
              <w:t>；</w:t>
            </w:r>
          </w:p>
          <w:p w14:paraId="72C96D7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厂区内VOCs无组织排放限值</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260"/>
              <w:gridCol w:w="2119"/>
              <w:gridCol w:w="2506"/>
              <w:gridCol w:w="2048"/>
            </w:tblGrid>
            <w:tr w14:paraId="03BC4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noWrap w:val="0"/>
                  <w:vAlign w:val="center"/>
                </w:tcPr>
                <w:p w14:paraId="14C727FE">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1335" w:type="pct"/>
                  <w:noWrap w:val="0"/>
                  <w:vAlign w:val="center"/>
                </w:tcPr>
                <w:p w14:paraId="59322F48">
                  <w:pPr>
                    <w:widowControl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特别排放限值</w:t>
                  </w:r>
                  <w:r>
                    <w:rPr>
                      <w:rFonts w:hint="eastAsia" w:cs="Times New Roman"/>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color w:val="auto"/>
                      <w:sz w:val="21"/>
                      <w:szCs w:val="21"/>
                      <w:highlight w:val="none"/>
                      <w:lang w:val="en-US" w:eastAsia="zh-CN"/>
                    </w:rPr>
                    <w:t>)</w:t>
                  </w:r>
                </w:p>
              </w:tc>
              <w:tc>
                <w:tcPr>
                  <w:tcW w:w="1579" w:type="pct"/>
                  <w:noWrap w:val="0"/>
                  <w:vAlign w:val="center"/>
                </w:tcPr>
                <w:p w14:paraId="034D0FA3">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限值含义</w:t>
                  </w:r>
                </w:p>
              </w:tc>
              <w:tc>
                <w:tcPr>
                  <w:tcW w:w="1290" w:type="pct"/>
                  <w:noWrap w:val="0"/>
                  <w:vAlign w:val="center"/>
                </w:tcPr>
                <w:p w14:paraId="57CCA2D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无组织排放监控位置</w:t>
                  </w:r>
                </w:p>
              </w:tc>
            </w:tr>
            <w:tr w14:paraId="3DB48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restart"/>
                  <w:noWrap w:val="0"/>
                  <w:vAlign w:val="center"/>
                </w:tcPr>
                <w:p w14:paraId="20C02A6B">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1335" w:type="pct"/>
                  <w:noWrap w:val="0"/>
                  <w:vAlign w:val="center"/>
                </w:tcPr>
                <w:p w14:paraId="2AA55818">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79" w:type="pct"/>
                  <w:noWrap w:val="0"/>
                  <w:vAlign w:val="center"/>
                </w:tcPr>
                <w:p w14:paraId="5A7C4ABA">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1290" w:type="pct"/>
                  <w:vMerge w:val="restart"/>
                  <w:noWrap w:val="0"/>
                  <w:vAlign w:val="center"/>
                </w:tcPr>
                <w:p w14:paraId="035BBE4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E3D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continue"/>
                  <w:noWrap w:val="0"/>
                  <w:vAlign w:val="center"/>
                </w:tcPr>
                <w:p w14:paraId="0AA5F7C1">
                  <w:pPr>
                    <w:widowControl w:val="0"/>
                    <w:jc w:val="center"/>
                    <w:rPr>
                      <w:rFonts w:hint="default" w:ascii="Times New Roman" w:hAnsi="Times New Roman" w:eastAsia="宋体" w:cs="Times New Roman"/>
                      <w:color w:val="auto"/>
                      <w:sz w:val="21"/>
                      <w:szCs w:val="21"/>
                      <w:highlight w:val="none"/>
                    </w:rPr>
                  </w:pPr>
                </w:p>
              </w:tc>
              <w:tc>
                <w:tcPr>
                  <w:tcW w:w="1335" w:type="pct"/>
                  <w:noWrap w:val="0"/>
                  <w:vAlign w:val="center"/>
                </w:tcPr>
                <w:p w14:paraId="3EE6075C">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579" w:type="pct"/>
                  <w:noWrap w:val="0"/>
                  <w:vAlign w:val="center"/>
                </w:tcPr>
                <w:p w14:paraId="632A0052">
                  <w:pPr>
                    <w:widowControl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1290" w:type="pct"/>
                  <w:vMerge w:val="continue"/>
                  <w:noWrap w:val="0"/>
                  <w:vAlign w:val="center"/>
                </w:tcPr>
                <w:p w14:paraId="1FC8D126">
                  <w:pPr>
                    <w:widowControl w:val="0"/>
                    <w:jc w:val="center"/>
                    <w:rPr>
                      <w:rFonts w:hint="default" w:ascii="Times New Roman" w:hAnsi="Times New Roman" w:eastAsia="宋体" w:cs="Times New Roman"/>
                      <w:color w:val="auto"/>
                      <w:sz w:val="21"/>
                      <w:szCs w:val="21"/>
                      <w:highlight w:val="none"/>
                    </w:rPr>
                  </w:pPr>
                </w:p>
              </w:tc>
            </w:tr>
          </w:tbl>
          <w:p w14:paraId="5BD6058C">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rPr>
              <w:t>2、废水</w:t>
            </w:r>
          </w:p>
          <w:p w14:paraId="7CE89A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生活污水</w:t>
            </w:r>
            <w:r>
              <w:rPr>
                <w:rFonts w:hint="default" w:ascii="Times New Roman" w:hAnsi="Times New Roman" w:eastAsia="宋体" w:cs="Times New Roman"/>
                <w:color w:val="auto"/>
                <w:sz w:val="24"/>
                <w:lang w:val="en-US" w:eastAsia="zh-CN"/>
              </w:rPr>
              <w:t>接管至</w:t>
            </w:r>
            <w:r>
              <w:rPr>
                <w:rFonts w:hint="eastAsia" w:ascii="Times New Roman" w:hAnsi="Times New Roman" w:eastAsia="宋体" w:cs="Times New Roman"/>
                <w:color w:val="auto"/>
                <w:sz w:val="24"/>
                <w:lang w:val="en-US" w:eastAsia="zh-CN"/>
              </w:rPr>
              <w:t>金坛区指前镇新河村农村生活污水处理站</w:t>
            </w:r>
            <w:r>
              <w:rPr>
                <w:rFonts w:hint="default" w:ascii="Times New Roman" w:hAnsi="Times New Roman" w:eastAsia="宋体" w:cs="Times New Roman"/>
                <w:color w:val="auto"/>
                <w:sz w:val="24"/>
                <w:lang w:val="en-US" w:eastAsia="zh-CN"/>
              </w:rPr>
              <w:t>集中处理</w:t>
            </w:r>
            <w:r>
              <w:rPr>
                <w:rFonts w:hint="eastAsia" w:ascii="Times New Roman" w:hAnsi="Times New Roman" w:eastAsia="宋体" w:cs="Times New Roman"/>
                <w:color w:val="auto"/>
                <w:sz w:val="24"/>
                <w:lang w:val="en-US" w:eastAsia="zh-CN"/>
              </w:rPr>
              <w:t>，尾水排入杨庄河</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接管</w:t>
            </w:r>
            <w:r>
              <w:rPr>
                <w:rFonts w:hint="default" w:ascii="Times New Roman" w:hAnsi="Times New Roman" w:eastAsia="宋体" w:cs="Times New Roman"/>
                <w:color w:val="auto"/>
                <w:sz w:val="24"/>
                <w:lang w:val="en-US" w:eastAsia="zh-CN"/>
              </w:rPr>
              <w:t>标准执行《污水排入城镇下水道水质标准》（GB/T31962-2015）表1中B等级标准。</w:t>
            </w:r>
          </w:p>
          <w:p w14:paraId="247572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6</w:t>
            </w:r>
            <w:r>
              <w:rPr>
                <w:rFonts w:hint="default" w:ascii="Times New Roman" w:hAnsi="Times New Roman" w:eastAsia="宋体" w:cs="Times New Roman"/>
                <w:b/>
                <w:color w:val="auto"/>
                <w:kern w:val="0"/>
                <w:sz w:val="21"/>
                <w:szCs w:val="21"/>
              </w:rPr>
              <w:t xml:space="preserve">  污水</w:t>
            </w:r>
            <w:r>
              <w:rPr>
                <w:rFonts w:hint="eastAsia" w:cs="Times New Roman"/>
                <w:b/>
                <w:color w:val="auto"/>
                <w:kern w:val="0"/>
                <w:sz w:val="21"/>
                <w:szCs w:val="21"/>
                <w:lang w:val="en-US" w:eastAsia="zh-CN"/>
              </w:rPr>
              <w:t>排放</w:t>
            </w:r>
            <w:r>
              <w:rPr>
                <w:rFonts w:hint="default" w:ascii="Times New Roman" w:hAnsi="Times New Roman" w:eastAsia="宋体" w:cs="Times New Roman"/>
                <w:b/>
                <w:color w:val="auto"/>
                <w:kern w:val="0"/>
                <w:sz w:val="21"/>
                <w:szCs w:val="21"/>
              </w:rPr>
              <w:t>标准  单位：mg/L</w:t>
            </w:r>
          </w:p>
          <w:tbl>
            <w:tblPr>
              <w:tblStyle w:val="2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07"/>
              <w:gridCol w:w="1107"/>
              <w:gridCol w:w="1039"/>
              <w:gridCol w:w="1004"/>
              <w:gridCol w:w="1081"/>
              <w:gridCol w:w="947"/>
              <w:gridCol w:w="951"/>
            </w:tblGrid>
            <w:tr w14:paraId="3B029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2" w:type="dxa"/>
                  <w:tcBorders>
                    <w:tl2br w:val="nil"/>
                    <w:tr2bl w:val="nil"/>
                  </w:tcBorders>
                  <w:noWrap w:val="0"/>
                  <w:vAlign w:val="center"/>
                </w:tcPr>
                <w:p w14:paraId="311946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1208" w:type="dxa"/>
                  <w:tcBorders>
                    <w:tl2br w:val="nil"/>
                    <w:tr2bl w:val="nil"/>
                  </w:tcBorders>
                  <w:noWrap w:val="0"/>
                  <w:vAlign w:val="center"/>
                </w:tcPr>
                <w:p w14:paraId="655008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pH</w:t>
                  </w:r>
                  <w:r>
                    <w:rPr>
                      <w:rFonts w:hint="default" w:ascii="Times New Roman" w:hAnsi="Times New Roman" w:eastAsia="宋体" w:cs="Times New Roman"/>
                      <w:color w:val="auto"/>
                      <w:szCs w:val="21"/>
                      <w:lang w:val="en-US" w:eastAsia="zh-CN"/>
                    </w:rPr>
                    <w:t>值</w:t>
                  </w:r>
                </w:p>
              </w:tc>
              <w:tc>
                <w:tcPr>
                  <w:tcW w:w="1172" w:type="dxa"/>
                  <w:tcBorders>
                    <w:tl2br w:val="nil"/>
                    <w:tr2bl w:val="nil"/>
                  </w:tcBorders>
                  <w:noWrap w:val="0"/>
                  <w:vAlign w:val="center"/>
                </w:tcPr>
                <w:p w14:paraId="0A69E7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COD</w:t>
                  </w:r>
                </w:p>
              </w:tc>
              <w:tc>
                <w:tcPr>
                  <w:tcW w:w="1160" w:type="dxa"/>
                  <w:tcBorders>
                    <w:tl2br w:val="nil"/>
                    <w:tr2bl w:val="nil"/>
                  </w:tcBorders>
                  <w:noWrap w:val="0"/>
                  <w:vAlign w:val="center"/>
                </w:tcPr>
                <w:p w14:paraId="420F30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187" w:type="dxa"/>
                  <w:tcBorders>
                    <w:tl2br w:val="nil"/>
                    <w:tr2bl w:val="nil"/>
                  </w:tcBorders>
                  <w:noWrap w:val="0"/>
                  <w:vAlign w:val="center"/>
                </w:tcPr>
                <w:p w14:paraId="59461D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106" w:type="dxa"/>
                  <w:tcBorders>
                    <w:tl2br w:val="nil"/>
                    <w:tr2bl w:val="nil"/>
                  </w:tcBorders>
                  <w:noWrap w:val="0"/>
                  <w:vAlign w:val="center"/>
                </w:tcPr>
                <w:p w14:paraId="27785A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102" w:type="dxa"/>
                  <w:tcBorders>
                    <w:tl2br w:val="nil"/>
                    <w:tr2bl w:val="nil"/>
                  </w:tcBorders>
                  <w:noWrap w:val="0"/>
                  <w:vAlign w:val="center"/>
                </w:tcPr>
                <w:p w14:paraId="33335B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r>
            <w:tr w14:paraId="70CBC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22" w:type="dxa"/>
                  <w:tcBorders>
                    <w:tl2br w:val="nil"/>
                    <w:tr2bl w:val="nil"/>
                  </w:tcBorders>
                  <w:noWrap w:val="0"/>
                  <w:vAlign w:val="center"/>
                </w:tcPr>
                <w:p w14:paraId="7FF117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浓度限值（mg/L）</w:t>
                  </w:r>
                </w:p>
              </w:tc>
              <w:tc>
                <w:tcPr>
                  <w:tcW w:w="1208" w:type="dxa"/>
                  <w:tcBorders>
                    <w:tl2br w:val="nil"/>
                    <w:tr2bl w:val="nil"/>
                  </w:tcBorders>
                  <w:noWrap w:val="0"/>
                  <w:vAlign w:val="center"/>
                </w:tcPr>
                <w:p w14:paraId="5949DB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6.5~9.5</w:t>
                  </w:r>
                </w:p>
              </w:tc>
              <w:tc>
                <w:tcPr>
                  <w:tcW w:w="1172" w:type="dxa"/>
                  <w:tcBorders>
                    <w:tl2br w:val="nil"/>
                    <w:tr2bl w:val="nil"/>
                  </w:tcBorders>
                  <w:noWrap w:val="0"/>
                  <w:vAlign w:val="center"/>
                </w:tcPr>
                <w:p w14:paraId="4C3B0C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4"/>
                      <w:szCs w:val="21"/>
                      <w:lang w:val="en-US" w:eastAsia="zh-CN"/>
                    </w:rPr>
                  </w:pPr>
                  <w:r>
                    <w:rPr>
                      <w:rFonts w:hint="default" w:ascii="Times New Roman" w:hAnsi="Times New Roman" w:eastAsia="宋体" w:cs="Times New Roman"/>
                      <w:color w:val="auto"/>
                      <w:kern w:val="24"/>
                      <w:szCs w:val="21"/>
                      <w:lang w:val="en-US" w:eastAsia="zh-CN"/>
                    </w:rPr>
                    <w:t>500</w:t>
                  </w:r>
                </w:p>
              </w:tc>
              <w:tc>
                <w:tcPr>
                  <w:tcW w:w="1160" w:type="dxa"/>
                  <w:tcBorders>
                    <w:tl2br w:val="nil"/>
                    <w:tr2bl w:val="nil"/>
                  </w:tcBorders>
                  <w:noWrap w:val="0"/>
                  <w:vAlign w:val="center"/>
                </w:tcPr>
                <w:p w14:paraId="4C57F0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w:t>
                  </w:r>
                </w:p>
              </w:tc>
              <w:tc>
                <w:tcPr>
                  <w:tcW w:w="1187" w:type="dxa"/>
                  <w:tcBorders>
                    <w:tl2br w:val="nil"/>
                    <w:tr2bl w:val="nil"/>
                  </w:tcBorders>
                  <w:noWrap w:val="0"/>
                  <w:vAlign w:val="center"/>
                </w:tcPr>
                <w:p w14:paraId="5E0687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45</w:t>
                  </w:r>
                </w:p>
              </w:tc>
              <w:tc>
                <w:tcPr>
                  <w:tcW w:w="1106" w:type="dxa"/>
                  <w:tcBorders>
                    <w:tl2br w:val="nil"/>
                    <w:tr2bl w:val="nil"/>
                  </w:tcBorders>
                  <w:noWrap w:val="0"/>
                  <w:vAlign w:val="center"/>
                </w:tcPr>
                <w:p w14:paraId="3C8243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w:t>
                  </w:r>
                </w:p>
              </w:tc>
              <w:tc>
                <w:tcPr>
                  <w:tcW w:w="1102" w:type="dxa"/>
                  <w:tcBorders>
                    <w:tl2br w:val="nil"/>
                    <w:tr2bl w:val="nil"/>
                  </w:tcBorders>
                  <w:noWrap w:val="0"/>
                  <w:vAlign w:val="center"/>
                </w:tcPr>
                <w:p w14:paraId="21D501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bl>
          <w:p w14:paraId="026C517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金坛区指前镇新河村农村生活污水处理站尾水排放目前执行《农村生活污水处理设施水污染物排放标准》（DB32/3462-2020）表2标准。</w:t>
            </w:r>
            <w:r>
              <w:rPr>
                <w:rFonts w:hint="default" w:ascii="Times New Roman" w:hAnsi="Times New Roman" w:eastAsia="宋体" w:cs="Times New Roman"/>
                <w:color w:val="auto"/>
                <w:sz w:val="24"/>
                <w:lang w:val="en-US" w:eastAsia="zh-CN"/>
              </w:rPr>
              <w:t>标准值如下：</w:t>
            </w:r>
          </w:p>
          <w:p w14:paraId="03960D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表</w:t>
            </w:r>
            <w:r>
              <w:rPr>
                <w:rFonts w:hint="default" w:ascii="Times New Roman" w:hAnsi="Times New Roman" w:eastAsia="宋体" w:cs="Times New Roman"/>
                <w:b/>
                <w:color w:val="auto"/>
                <w:kern w:val="0"/>
                <w:sz w:val="21"/>
                <w:szCs w:val="21"/>
                <w:lang w:val="en-US" w:eastAsia="zh-CN"/>
              </w:rPr>
              <w:t>3-</w:t>
            </w:r>
            <w:r>
              <w:rPr>
                <w:rFonts w:hint="eastAsia" w:cs="Times New Roman"/>
                <w:b/>
                <w:color w:val="auto"/>
                <w:kern w:val="0"/>
                <w:sz w:val="21"/>
                <w:szCs w:val="21"/>
                <w:lang w:val="en-US" w:eastAsia="zh-CN"/>
              </w:rPr>
              <w:t>7</w:t>
            </w:r>
            <w:r>
              <w:rPr>
                <w:rFonts w:hint="default" w:ascii="Times New Roman" w:hAnsi="Times New Roman" w:eastAsia="宋体" w:cs="Times New Roman"/>
                <w:b/>
                <w:color w:val="auto"/>
                <w:kern w:val="0"/>
                <w:sz w:val="21"/>
                <w:szCs w:val="21"/>
              </w:rPr>
              <w:t xml:space="preserve">  水污染物排放标准  单位：mg/L</w:t>
            </w:r>
          </w:p>
          <w:tbl>
            <w:tblPr>
              <w:tblStyle w:val="2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70"/>
              <w:gridCol w:w="2301"/>
              <w:gridCol w:w="1865"/>
            </w:tblGrid>
            <w:tr w14:paraId="53A03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09F66C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国家或地方排放标准及其他按规定商议的排放协议</w:t>
                  </w:r>
                </w:p>
              </w:tc>
            </w:tr>
            <w:tr w14:paraId="2084CD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noWrap w:val="0"/>
                  <w:vAlign w:val="center"/>
                </w:tcPr>
                <w:p w14:paraId="4F846D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450" w:type="pct"/>
                  <w:noWrap w:val="0"/>
                  <w:vAlign w:val="center"/>
                </w:tcPr>
                <w:p w14:paraId="56CD27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74" w:type="pct"/>
                  <w:noWrap w:val="0"/>
                  <w:vAlign w:val="center"/>
                </w:tcPr>
                <w:p w14:paraId="374DB5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r>
            <w:tr w14:paraId="44D6D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restart"/>
                  <w:noWrap w:val="0"/>
                  <w:vAlign w:val="center"/>
                </w:tcPr>
                <w:p w14:paraId="493822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《农村生活污水处理设施水污染物排放标准》（DB32/3462-2020）表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标准</w:t>
                  </w:r>
                </w:p>
              </w:tc>
              <w:tc>
                <w:tcPr>
                  <w:tcW w:w="1450" w:type="pct"/>
                  <w:noWrap w:val="0"/>
                  <w:vAlign w:val="center"/>
                </w:tcPr>
                <w:p w14:paraId="054971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pH值（无量纲）</w:t>
                  </w:r>
                </w:p>
              </w:tc>
              <w:tc>
                <w:tcPr>
                  <w:tcW w:w="1174" w:type="pct"/>
                  <w:noWrap w:val="0"/>
                  <w:vAlign w:val="center"/>
                </w:tcPr>
                <w:p w14:paraId="39F448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6~9</w:t>
                  </w:r>
                </w:p>
              </w:tc>
            </w:tr>
            <w:tr w14:paraId="3036B5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0EB4D4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5476D7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1174" w:type="pct"/>
                  <w:noWrap w:val="0"/>
                  <w:vAlign w:val="center"/>
                </w:tcPr>
                <w:p w14:paraId="4B9710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50</w:t>
                  </w:r>
                </w:p>
              </w:tc>
            </w:tr>
            <w:tr w14:paraId="5624C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4BBD8F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67EA2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1174" w:type="pct"/>
                  <w:noWrap w:val="0"/>
                  <w:vAlign w:val="center"/>
                </w:tcPr>
                <w:p w14:paraId="22BEFD0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w:t>
                  </w:r>
                </w:p>
              </w:tc>
            </w:tr>
            <w:tr w14:paraId="1E31A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3AAC21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248479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174" w:type="pct"/>
                  <w:noWrap w:val="0"/>
                  <w:vAlign w:val="center"/>
                </w:tcPr>
                <w:p w14:paraId="266A0A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5（8）</w:t>
                  </w:r>
                </w:p>
              </w:tc>
            </w:tr>
            <w:tr w14:paraId="0B798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7EF7CF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450" w:type="pct"/>
                  <w:noWrap w:val="0"/>
                  <w:vAlign w:val="center"/>
                </w:tcPr>
                <w:p w14:paraId="662D60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TP</w:t>
                  </w:r>
                </w:p>
              </w:tc>
              <w:tc>
                <w:tcPr>
                  <w:tcW w:w="1174" w:type="pct"/>
                  <w:noWrap w:val="0"/>
                  <w:vAlign w:val="center"/>
                </w:tcPr>
                <w:p w14:paraId="096F6B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p>
              </w:tc>
            </w:tr>
            <w:tr w14:paraId="73C86D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pct"/>
                  <w:vMerge w:val="continue"/>
                  <w:noWrap w:val="0"/>
                  <w:vAlign w:val="center"/>
                </w:tcPr>
                <w:p w14:paraId="0966A3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50" w:type="pct"/>
                  <w:noWrap w:val="0"/>
                  <w:vAlign w:val="center"/>
                </w:tcPr>
                <w:p w14:paraId="493B1E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TN</w:t>
                  </w:r>
                </w:p>
              </w:tc>
              <w:tc>
                <w:tcPr>
                  <w:tcW w:w="1174" w:type="pct"/>
                  <w:noWrap w:val="0"/>
                  <w:vAlign w:val="center"/>
                </w:tcPr>
                <w:p w14:paraId="34D342D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w:t>
                  </w:r>
                </w:p>
              </w:tc>
            </w:tr>
          </w:tbl>
          <w:p w14:paraId="4CC50580">
            <w:pPr>
              <w:keepNext w:val="0"/>
              <w:keepLines w:val="0"/>
              <w:pageBreakBefore w:val="0"/>
              <w:widowControl w:val="0"/>
              <w:kinsoku/>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3、噪声</w:t>
            </w:r>
          </w:p>
          <w:p w14:paraId="0BBBFC4D">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本项目</w:t>
            </w:r>
            <w:r>
              <w:rPr>
                <w:rFonts w:hint="eastAsia" w:cs="Times New Roman"/>
                <w:color w:val="auto"/>
                <w:sz w:val="24"/>
                <w:szCs w:val="24"/>
                <w:highlight w:val="none"/>
                <w:lang w:val="en-US" w:eastAsia="zh-CN"/>
              </w:rPr>
              <w:t>位于江苏省常州市金坛区指前镇洮西集镇府前路</w:t>
            </w:r>
            <w:r>
              <w:rPr>
                <w:rFonts w:hint="default" w:cs="Times New Roman"/>
                <w:color w:val="auto"/>
                <w:sz w:val="24"/>
                <w:szCs w:val="24"/>
                <w:highlight w:val="none"/>
                <w:lang w:val="en-US" w:eastAsia="zh-CN"/>
              </w:rPr>
              <w:t>58</w:t>
            </w:r>
            <w:r>
              <w:rPr>
                <w:rFonts w:hint="eastAsia" w:cs="Times New Roman"/>
                <w:color w:val="auto"/>
                <w:sz w:val="24"/>
                <w:szCs w:val="24"/>
                <w:highlight w:val="none"/>
                <w:lang w:val="en-US" w:eastAsia="zh-CN"/>
              </w:rPr>
              <w:t>号，属于居住、商业和工业混杂区，</w:t>
            </w:r>
            <w:r>
              <w:rPr>
                <w:rFonts w:hint="default" w:ascii="Times New Roman" w:hAnsi="Times New Roman" w:cs="Times New Roman"/>
                <w:bCs/>
                <w:color w:val="auto"/>
                <w:sz w:val="24"/>
              </w:rPr>
              <w:t>营运期厂界噪声执行《工业企业厂界环境噪声排放标准》</w:t>
            </w:r>
            <w:r>
              <w:rPr>
                <w:rFonts w:hint="eastAsia" w:cs="Times New Roman"/>
                <w:bCs/>
                <w:color w:val="auto"/>
                <w:sz w:val="24"/>
                <w:lang w:eastAsia="zh-CN"/>
              </w:rPr>
              <w:t>（</w:t>
            </w:r>
            <w:r>
              <w:rPr>
                <w:rFonts w:hint="default" w:ascii="Times New Roman" w:hAnsi="Times New Roman" w:cs="Times New Roman"/>
                <w:bCs/>
                <w:color w:val="auto"/>
                <w:sz w:val="24"/>
              </w:rPr>
              <w:t>GB12348-2008</w:t>
            </w:r>
            <w:r>
              <w:rPr>
                <w:rFonts w:hint="eastAsia" w:cs="Times New Roman"/>
                <w:bCs/>
                <w:color w:val="auto"/>
                <w:sz w:val="24"/>
                <w:lang w:eastAsia="zh-CN"/>
              </w:rPr>
              <w:t>）</w:t>
            </w:r>
            <w:r>
              <w:rPr>
                <w:rFonts w:hint="default" w:ascii="Times New Roman" w:hAnsi="Times New Roman" w:cs="Times New Roman"/>
                <w:bCs/>
                <w:color w:val="auto"/>
                <w:sz w:val="24"/>
              </w:rPr>
              <w:t>中</w:t>
            </w:r>
            <w:r>
              <w:rPr>
                <w:rFonts w:hint="eastAsia" w:cs="Times New Roman"/>
                <w:bCs/>
                <w:color w:val="auto"/>
                <w:sz w:val="24"/>
                <w:lang w:val="en-US" w:eastAsia="zh-CN"/>
              </w:rPr>
              <w:t>2</w:t>
            </w:r>
            <w:r>
              <w:rPr>
                <w:rFonts w:hint="default" w:ascii="Times New Roman" w:hAnsi="Times New Roman" w:cs="Times New Roman"/>
                <w:bCs/>
                <w:color w:val="auto"/>
                <w:sz w:val="24"/>
              </w:rPr>
              <w:t>类标准</w:t>
            </w:r>
            <w:r>
              <w:rPr>
                <w:rFonts w:hint="default" w:ascii="Times New Roman" w:hAnsi="Times New Roman" w:cs="Times New Roman"/>
                <w:color w:val="auto"/>
                <w:sz w:val="24"/>
              </w:rPr>
              <w:t>，具体标准值见下表：</w:t>
            </w:r>
          </w:p>
          <w:p w14:paraId="711992F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cs="Times New Roman"/>
                <w:b/>
                <w:bCs/>
                <w:color w:val="auto"/>
                <w:szCs w:val="21"/>
                <w:lang w:val="en-US" w:eastAsia="zh-CN"/>
              </w:rPr>
              <w:t xml:space="preserve">8 </w:t>
            </w:r>
            <w:r>
              <w:rPr>
                <w:rFonts w:hint="default" w:ascii="Times New Roman" w:hAnsi="Times New Roman" w:cs="Times New Roman"/>
                <w:b/>
                <w:bCs/>
                <w:color w:val="auto"/>
                <w:szCs w:val="21"/>
              </w:rPr>
              <w:t>营运期噪声排放标准</w:t>
            </w:r>
          </w:p>
          <w:tbl>
            <w:tblPr>
              <w:tblStyle w:val="28"/>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387"/>
              <w:gridCol w:w="1689"/>
              <w:gridCol w:w="1820"/>
            </w:tblGrid>
            <w:tr w14:paraId="7B6F65A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7C4313BC">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声环境功能类别</w:t>
                  </w:r>
                </w:p>
              </w:tc>
              <w:tc>
                <w:tcPr>
                  <w:tcW w:w="1505" w:type="pct"/>
                  <w:vAlign w:val="center"/>
                </w:tcPr>
                <w:p w14:paraId="27135F1B">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1065" w:type="pct"/>
                  <w:vAlign w:val="center"/>
                </w:tcPr>
                <w:p w14:paraId="64689381">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1147" w:type="pct"/>
                  <w:tcBorders>
                    <w:right w:val="nil"/>
                  </w:tcBorders>
                  <w:vAlign w:val="center"/>
                </w:tcPr>
                <w:p w14:paraId="5CA0F262">
                  <w:pPr>
                    <w:adjustRightIn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执行区域</w:t>
                  </w:r>
                </w:p>
              </w:tc>
            </w:tr>
            <w:tr w14:paraId="2BDB1D3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AA72476">
                  <w:pPr>
                    <w:adjustRightInd w:val="0"/>
                    <w:jc w:val="center"/>
                    <w:rPr>
                      <w:rFonts w:hint="default" w:ascii="Times New Roman" w:hAnsi="Times New Roman" w:cs="Times New Roman"/>
                      <w:color w:val="auto"/>
                      <w:szCs w:val="21"/>
                    </w:rPr>
                  </w:pPr>
                  <w:r>
                    <w:rPr>
                      <w:rFonts w:hint="eastAsia" w:cs="Times New Roman"/>
                      <w:color w:val="auto"/>
                      <w:szCs w:val="21"/>
                      <w:lang w:val="en-US" w:eastAsia="zh-CN"/>
                    </w:rPr>
                    <w:t>2</w:t>
                  </w:r>
                  <w:r>
                    <w:rPr>
                      <w:rFonts w:hint="default" w:ascii="Times New Roman" w:hAnsi="Times New Roman" w:cs="Times New Roman"/>
                      <w:color w:val="auto"/>
                      <w:szCs w:val="21"/>
                    </w:rPr>
                    <w:t>类</w:t>
                  </w:r>
                </w:p>
              </w:tc>
              <w:tc>
                <w:tcPr>
                  <w:tcW w:w="1505" w:type="pct"/>
                  <w:vAlign w:val="center"/>
                </w:tcPr>
                <w:p w14:paraId="44CD738B">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eastAsia" w:cs="Times New Roman"/>
                      <w:color w:val="auto"/>
                      <w:szCs w:val="21"/>
                      <w:lang w:val="en-US" w:eastAsia="zh-CN"/>
                    </w:rPr>
                    <w:t>0</w:t>
                  </w:r>
                  <w:r>
                    <w:rPr>
                      <w:rFonts w:hint="default" w:ascii="Times New Roman" w:hAnsi="Times New Roman" w:cs="Times New Roman"/>
                      <w:color w:val="auto"/>
                      <w:szCs w:val="21"/>
                    </w:rPr>
                    <w:t>dB（A）</w:t>
                  </w:r>
                </w:p>
              </w:tc>
              <w:tc>
                <w:tcPr>
                  <w:tcW w:w="1065" w:type="pct"/>
                  <w:vAlign w:val="center"/>
                </w:tcPr>
                <w:p w14:paraId="48610CBE">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cs="Times New Roman"/>
                      <w:color w:val="auto"/>
                      <w:szCs w:val="21"/>
                      <w:lang w:val="en-US" w:eastAsia="zh-CN"/>
                    </w:rPr>
                    <w:t>0</w:t>
                  </w:r>
                  <w:r>
                    <w:rPr>
                      <w:rFonts w:hint="default" w:ascii="Times New Roman" w:hAnsi="Times New Roman" w:cs="Times New Roman"/>
                      <w:color w:val="auto"/>
                      <w:szCs w:val="21"/>
                    </w:rPr>
                    <w:t>dB（A）</w:t>
                  </w:r>
                </w:p>
              </w:tc>
              <w:tc>
                <w:tcPr>
                  <w:tcW w:w="1147" w:type="pct"/>
                  <w:tcBorders>
                    <w:right w:val="nil"/>
                  </w:tcBorders>
                  <w:vAlign w:val="center"/>
                </w:tcPr>
                <w:p w14:paraId="63E16617">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r>
          </w:tbl>
          <w:p w14:paraId="137F2B53">
            <w:pPr>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rPr>
              <w:t>4、固废</w:t>
            </w:r>
          </w:p>
          <w:p w14:paraId="2C2AB13A">
            <w:pPr>
              <w:widowControl/>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（1）一般固废</w:t>
            </w:r>
            <w:r>
              <w:rPr>
                <w:rFonts w:hint="eastAsia" w:ascii="Times New Roman" w:hAnsi="Times New Roman" w:eastAsia="宋体" w:cs="Times New Roman"/>
                <w:bCs/>
                <w:color w:val="auto"/>
                <w:sz w:val="24"/>
                <w:lang w:val="en-US" w:eastAsia="zh-CN"/>
              </w:rPr>
              <w:t>满足防渗漏、防雨淋、防扬尘的环境管理要求</w:t>
            </w:r>
            <w:r>
              <w:rPr>
                <w:rFonts w:hint="default" w:ascii="Times New Roman" w:hAnsi="Times New Roman" w:eastAsia="宋体" w:cs="Times New Roman"/>
                <w:bCs/>
                <w:color w:val="auto"/>
                <w:sz w:val="24"/>
                <w:lang w:val="en-US" w:eastAsia="zh-CN"/>
              </w:rPr>
              <w:t>；</w:t>
            </w:r>
          </w:p>
          <w:p w14:paraId="059D6F3E">
            <w:pPr>
              <w:widowControl/>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lang w:val="en-US" w:eastAsia="zh-CN"/>
              </w:rPr>
              <w:t>（2）危险废物执行《危险废物贮存污染控制标准》（GB18597-20</w:t>
            </w:r>
            <w:r>
              <w:rPr>
                <w:rFonts w:hint="eastAsia" w:ascii="Times New Roman" w:hAnsi="Times New Roman" w:eastAsia="宋体" w:cs="Times New Roman"/>
                <w:bCs/>
                <w:color w:val="auto"/>
                <w:sz w:val="24"/>
                <w:lang w:val="en-US" w:eastAsia="zh-CN"/>
              </w:rPr>
              <w:t>23</w:t>
            </w:r>
            <w:r>
              <w:rPr>
                <w:rFonts w:hint="default" w:ascii="Times New Roman" w:hAnsi="Times New Roman" w:eastAsia="宋体" w:cs="Times New Roman"/>
                <w:bCs/>
                <w:color w:val="auto"/>
                <w:sz w:val="24"/>
                <w:lang w:val="en-US" w:eastAsia="zh-CN"/>
              </w:rPr>
              <w:t>），同时执行</w:t>
            </w:r>
            <w:r>
              <w:rPr>
                <w:rFonts w:hint="eastAsia" w:ascii="Times New Roman" w:hAnsi="Times New Roman" w:eastAsia="宋体" w:cs="Times New Roman"/>
                <w:bCs/>
                <w:color w:val="auto"/>
                <w:sz w:val="24"/>
                <w:lang w:val="en-US" w:eastAsia="zh-CN"/>
              </w:rPr>
              <w:t>《关于印发</w:t>
            </w:r>
            <w:r>
              <w:rPr>
                <w:rFonts w:hint="default" w:ascii="Times New Roman" w:hAnsi="Times New Roman" w:eastAsia="宋体" w:cs="Times New Roman"/>
                <w:bCs/>
                <w:color w:val="auto"/>
                <w:sz w:val="24"/>
                <w:lang w:val="en-US" w:eastAsia="zh-CN"/>
              </w:rPr>
              <w:t>&lt;</w:t>
            </w:r>
            <w:r>
              <w:rPr>
                <w:rFonts w:hint="eastAsia" w:ascii="Times New Roman" w:hAnsi="Times New Roman" w:eastAsia="宋体" w:cs="Times New Roman"/>
                <w:bCs/>
                <w:color w:val="auto"/>
                <w:sz w:val="24"/>
                <w:lang w:val="en-US" w:eastAsia="zh-CN"/>
              </w:rPr>
              <w:t>江苏省固体废物全过程环境监管工作意见</w:t>
            </w:r>
            <w:r>
              <w:rPr>
                <w:rFonts w:hint="default" w:ascii="Times New Roman" w:hAnsi="Times New Roman" w:eastAsia="宋体" w:cs="Times New Roman"/>
                <w:bCs/>
                <w:color w:val="auto"/>
                <w:sz w:val="24"/>
                <w:lang w:val="en-US" w:eastAsia="zh-CN"/>
              </w:rPr>
              <w:t>&gt;</w:t>
            </w:r>
            <w:r>
              <w:rPr>
                <w:rFonts w:hint="eastAsia" w:ascii="Times New Roman" w:hAnsi="Times New Roman" w:eastAsia="宋体" w:cs="Times New Roman"/>
                <w:bCs/>
                <w:color w:val="auto"/>
                <w:sz w:val="24"/>
                <w:lang w:val="en-US" w:eastAsia="zh-CN"/>
              </w:rPr>
              <w:t>的通知》（苏环办〔2024〕16号）</w:t>
            </w:r>
            <w:r>
              <w:rPr>
                <w:rFonts w:hint="default" w:ascii="Times New Roman" w:hAnsi="Times New Roman" w:eastAsia="宋体" w:cs="Times New Roman"/>
                <w:bCs/>
                <w:color w:val="auto"/>
                <w:sz w:val="24"/>
                <w:lang w:val="en-US" w:eastAsia="zh-CN"/>
              </w:rPr>
              <w:t>的要求。</w:t>
            </w:r>
          </w:p>
        </w:tc>
      </w:tr>
      <w:tr w14:paraId="6681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4716CD7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14:paraId="36164D0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14:paraId="1A5C076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指标</w:t>
            </w:r>
          </w:p>
        </w:tc>
        <w:tc>
          <w:tcPr>
            <w:tcW w:w="8152" w:type="dxa"/>
            <w:vAlign w:val="center"/>
          </w:tcPr>
          <w:p w14:paraId="34E3293C">
            <w:pPr>
              <w:keepNext w:val="0"/>
              <w:keepLines w:val="0"/>
              <w:pageBreakBefore w:val="0"/>
              <w:kinsoku/>
              <w:wordWrap/>
              <w:overflowPunct w:val="0"/>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、总量控制指标</w:t>
            </w:r>
          </w:p>
          <w:p w14:paraId="4B8F6758">
            <w:pPr>
              <w:keepNext w:val="0"/>
              <w:keepLines w:val="0"/>
              <w:pageBreakBefore w:val="0"/>
              <w:kinsoku/>
              <w:wordWrap/>
              <w:topLinePunct w:val="0"/>
              <w:autoSpaceDE/>
              <w:autoSpaceDN/>
              <w:bidi w:val="0"/>
              <w:adjustRightInd w:val="0"/>
              <w:snapToGrid w:val="0"/>
              <w:spacing w:line="500" w:lineRule="exact"/>
              <w:ind w:firstLine="523" w:firstLineChars="218"/>
              <w:jc w:val="left"/>
              <w:textAlignment w:val="auto"/>
              <w:rPr>
                <w:rFonts w:hint="default" w:ascii="Times New Roman" w:hAnsi="Times New Roman" w:eastAsia="宋体" w:cs="Times New Roman"/>
                <w:color w:val="auto"/>
                <w:sz w:val="24"/>
                <w:lang w:eastAsia="zh-CN"/>
              </w:rPr>
            </w:pPr>
            <w:r>
              <w:rPr>
                <w:rFonts w:hint="eastAsia" w:cs="Times New Roman"/>
                <w:color w:val="auto"/>
                <w:sz w:val="24"/>
                <w:lang w:eastAsia="zh-CN"/>
              </w:rPr>
              <w:t>本项目</w:t>
            </w:r>
            <w:r>
              <w:rPr>
                <w:rFonts w:hint="default" w:ascii="Times New Roman" w:hAnsi="Times New Roman" w:cs="Times New Roman"/>
                <w:color w:val="auto"/>
                <w:sz w:val="24"/>
              </w:rPr>
              <w:t>污染物总量控制指标及来源途径见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r>
              <w:rPr>
                <w:rFonts w:hint="default" w:ascii="Times New Roman" w:hAnsi="Times New Roman" w:cs="Times New Roman"/>
                <w:color w:val="auto"/>
                <w:sz w:val="24"/>
                <w:lang w:eastAsia="zh-CN"/>
              </w:rPr>
              <w:t>。</w:t>
            </w:r>
          </w:p>
          <w:p w14:paraId="53061C32">
            <w:pPr>
              <w:adjustRightInd w:val="0"/>
              <w:snapToGrid w:val="0"/>
              <w:spacing w:line="500" w:lineRule="exact"/>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9 项目</w:t>
            </w:r>
            <w:r>
              <w:rPr>
                <w:rFonts w:hint="default" w:ascii="Times New Roman" w:hAnsi="Times New Roman" w:cs="Times New Roman"/>
                <w:b/>
                <w:bCs/>
                <w:color w:val="auto"/>
                <w:sz w:val="21"/>
                <w:szCs w:val="21"/>
                <w:lang w:val="en-US" w:eastAsia="zh-CN"/>
              </w:rPr>
              <w:t>污染物排放情况一览表(t/a)</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16"/>
              <w:gridCol w:w="768"/>
              <w:gridCol w:w="1409"/>
              <w:gridCol w:w="1305"/>
              <w:gridCol w:w="1438"/>
              <w:gridCol w:w="1208"/>
              <w:gridCol w:w="1086"/>
            </w:tblGrid>
            <w:tr w14:paraId="6C9C4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51" w:type="pct"/>
                  <w:tcBorders>
                    <w:tl2br w:val="nil"/>
                    <w:tr2bl w:val="nil"/>
                  </w:tcBorders>
                  <w:vAlign w:val="center"/>
                </w:tcPr>
                <w:p w14:paraId="694F0F27">
                  <w:pPr>
                    <w:adjustRightInd w:val="0"/>
                    <w:snapToGrid w:val="0"/>
                    <w:jc w:val="center"/>
                    <w:rPr>
                      <w:b/>
                      <w:color w:val="auto"/>
                      <w:sz w:val="21"/>
                      <w:szCs w:val="21"/>
                    </w:rPr>
                  </w:pPr>
                  <w:r>
                    <w:rPr>
                      <w:b/>
                      <w:color w:val="auto"/>
                      <w:sz w:val="21"/>
                      <w:szCs w:val="21"/>
                    </w:rPr>
                    <w:t>类别</w:t>
                  </w:r>
                </w:p>
              </w:tc>
              <w:tc>
                <w:tcPr>
                  <w:tcW w:w="1372" w:type="pct"/>
                  <w:gridSpan w:val="2"/>
                  <w:tcBorders>
                    <w:tl2br w:val="nil"/>
                    <w:tr2bl w:val="nil"/>
                  </w:tcBorders>
                  <w:vAlign w:val="center"/>
                </w:tcPr>
                <w:p w14:paraId="4B9AB339">
                  <w:pPr>
                    <w:adjustRightInd w:val="0"/>
                    <w:snapToGrid w:val="0"/>
                    <w:jc w:val="center"/>
                    <w:rPr>
                      <w:b/>
                      <w:color w:val="auto"/>
                      <w:sz w:val="21"/>
                      <w:szCs w:val="21"/>
                    </w:rPr>
                  </w:pPr>
                  <w:r>
                    <w:rPr>
                      <w:b/>
                      <w:color w:val="auto"/>
                      <w:sz w:val="21"/>
                      <w:szCs w:val="21"/>
                    </w:rPr>
                    <w:t>污染物名称</w:t>
                  </w:r>
                </w:p>
              </w:tc>
              <w:tc>
                <w:tcPr>
                  <w:tcW w:w="822" w:type="pct"/>
                  <w:tcBorders>
                    <w:tl2br w:val="nil"/>
                    <w:tr2bl w:val="nil"/>
                  </w:tcBorders>
                  <w:vAlign w:val="center"/>
                </w:tcPr>
                <w:p w14:paraId="6DFF3B94">
                  <w:pPr>
                    <w:adjustRightInd w:val="0"/>
                    <w:snapToGrid w:val="0"/>
                    <w:jc w:val="center"/>
                    <w:rPr>
                      <w:b/>
                      <w:color w:val="auto"/>
                      <w:sz w:val="21"/>
                      <w:szCs w:val="21"/>
                    </w:rPr>
                  </w:pPr>
                  <w:r>
                    <w:rPr>
                      <w:rFonts w:hint="eastAsia"/>
                      <w:b/>
                      <w:bCs/>
                      <w:color w:val="auto"/>
                      <w:sz w:val="21"/>
                      <w:szCs w:val="21"/>
                    </w:rPr>
                    <w:t>项目产生量</w:t>
                  </w:r>
                </w:p>
              </w:tc>
              <w:tc>
                <w:tcPr>
                  <w:tcW w:w="906" w:type="pct"/>
                  <w:tcBorders>
                    <w:tl2br w:val="nil"/>
                    <w:tr2bl w:val="nil"/>
                  </w:tcBorders>
                  <w:vAlign w:val="center"/>
                </w:tcPr>
                <w:p w14:paraId="22E85DAB">
                  <w:pPr>
                    <w:adjustRightInd w:val="0"/>
                    <w:snapToGrid w:val="0"/>
                    <w:jc w:val="center"/>
                    <w:rPr>
                      <w:b/>
                      <w:color w:val="auto"/>
                      <w:sz w:val="21"/>
                      <w:szCs w:val="21"/>
                    </w:rPr>
                  </w:pPr>
                  <w:r>
                    <w:rPr>
                      <w:rFonts w:hint="eastAsia"/>
                      <w:b/>
                      <w:bCs/>
                      <w:color w:val="auto"/>
                      <w:sz w:val="21"/>
                      <w:szCs w:val="21"/>
                    </w:rPr>
                    <w:t>项目</w:t>
                  </w:r>
                  <w:r>
                    <w:rPr>
                      <w:b/>
                      <w:bCs/>
                      <w:color w:val="auto"/>
                      <w:sz w:val="21"/>
                      <w:szCs w:val="21"/>
                    </w:rPr>
                    <w:t>排放量</w:t>
                  </w:r>
                </w:p>
              </w:tc>
              <w:tc>
                <w:tcPr>
                  <w:tcW w:w="761" w:type="pct"/>
                  <w:tcBorders>
                    <w:tl2br w:val="nil"/>
                    <w:tr2bl w:val="nil"/>
                  </w:tcBorders>
                  <w:vAlign w:val="center"/>
                </w:tcPr>
                <w:p w14:paraId="5058DEA7">
                  <w:pPr>
                    <w:adjustRightInd w:val="0"/>
                    <w:snapToGrid w:val="0"/>
                    <w:jc w:val="center"/>
                    <w:rPr>
                      <w:b/>
                      <w:color w:val="auto"/>
                      <w:sz w:val="21"/>
                      <w:szCs w:val="21"/>
                    </w:rPr>
                  </w:pPr>
                  <w:r>
                    <w:rPr>
                      <w:rFonts w:hint="eastAsia"/>
                      <w:b/>
                      <w:bCs/>
                      <w:color w:val="auto"/>
                      <w:sz w:val="21"/>
                      <w:szCs w:val="21"/>
                    </w:rPr>
                    <w:t>申请量</w:t>
                  </w:r>
                </w:p>
              </w:tc>
              <w:tc>
                <w:tcPr>
                  <w:tcW w:w="684" w:type="pct"/>
                  <w:tcBorders>
                    <w:tl2br w:val="nil"/>
                    <w:tr2bl w:val="nil"/>
                  </w:tcBorders>
                  <w:vAlign w:val="center"/>
                </w:tcPr>
                <w:p w14:paraId="7F5A950D">
                  <w:pPr>
                    <w:adjustRightInd w:val="0"/>
                    <w:snapToGrid w:val="0"/>
                    <w:jc w:val="center"/>
                    <w:rPr>
                      <w:b/>
                      <w:bCs/>
                      <w:color w:val="auto"/>
                      <w:sz w:val="21"/>
                      <w:szCs w:val="21"/>
                    </w:rPr>
                  </w:pPr>
                  <w:r>
                    <w:rPr>
                      <w:rFonts w:hint="eastAsia"/>
                      <w:b/>
                      <w:bCs/>
                      <w:color w:val="auto"/>
                      <w:sz w:val="21"/>
                      <w:szCs w:val="21"/>
                    </w:rPr>
                    <w:t>最终排入</w:t>
                  </w:r>
                </w:p>
                <w:p w14:paraId="4776C89F">
                  <w:pPr>
                    <w:adjustRightInd w:val="0"/>
                    <w:snapToGrid w:val="0"/>
                    <w:jc w:val="center"/>
                    <w:rPr>
                      <w:b/>
                      <w:color w:val="auto"/>
                      <w:sz w:val="21"/>
                      <w:szCs w:val="21"/>
                    </w:rPr>
                  </w:pPr>
                  <w:r>
                    <w:rPr>
                      <w:rFonts w:hint="eastAsia"/>
                      <w:b/>
                      <w:bCs/>
                      <w:color w:val="auto"/>
                      <w:sz w:val="21"/>
                      <w:szCs w:val="21"/>
                    </w:rPr>
                    <w:t>外环境量</w:t>
                  </w:r>
                </w:p>
              </w:tc>
            </w:tr>
            <w:tr w14:paraId="5C9C6A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restart"/>
                  <w:tcBorders>
                    <w:tl2br w:val="nil"/>
                    <w:tr2bl w:val="nil"/>
                  </w:tcBorders>
                  <w:vAlign w:val="center"/>
                </w:tcPr>
                <w:p w14:paraId="555F007F">
                  <w:pPr>
                    <w:adjustRightInd w:val="0"/>
                    <w:snapToGrid w:val="0"/>
                    <w:jc w:val="center"/>
                    <w:rPr>
                      <w:b/>
                      <w:color w:val="auto"/>
                      <w:sz w:val="21"/>
                      <w:szCs w:val="21"/>
                    </w:rPr>
                  </w:pPr>
                  <w:r>
                    <w:rPr>
                      <w:b/>
                      <w:color w:val="auto"/>
                      <w:sz w:val="21"/>
                      <w:szCs w:val="21"/>
                    </w:rPr>
                    <w:t>大气污染物</w:t>
                  </w:r>
                </w:p>
              </w:tc>
              <w:tc>
                <w:tcPr>
                  <w:tcW w:w="484" w:type="pct"/>
                  <w:vMerge w:val="restart"/>
                  <w:tcBorders>
                    <w:tl2br w:val="nil"/>
                    <w:tr2bl w:val="nil"/>
                  </w:tcBorders>
                  <w:vAlign w:val="center"/>
                </w:tcPr>
                <w:p w14:paraId="2D941C43">
                  <w:pPr>
                    <w:adjustRightInd w:val="0"/>
                    <w:snapToGrid w:val="0"/>
                    <w:jc w:val="center"/>
                    <w:rPr>
                      <w:bCs/>
                      <w:color w:val="auto"/>
                      <w:sz w:val="21"/>
                      <w:szCs w:val="21"/>
                    </w:rPr>
                  </w:pPr>
                  <w:r>
                    <w:rPr>
                      <w:rFonts w:hint="eastAsia"/>
                      <w:bCs/>
                      <w:color w:val="auto"/>
                      <w:sz w:val="21"/>
                      <w:szCs w:val="21"/>
                    </w:rPr>
                    <w:t>无组织</w:t>
                  </w:r>
                </w:p>
              </w:tc>
              <w:tc>
                <w:tcPr>
                  <w:tcW w:w="888" w:type="pct"/>
                  <w:tcBorders>
                    <w:tl2br w:val="nil"/>
                    <w:tr2bl w:val="nil"/>
                  </w:tcBorders>
                  <w:vAlign w:val="center"/>
                </w:tcPr>
                <w:p w14:paraId="7395E391">
                  <w:pPr>
                    <w:pStyle w:val="22"/>
                    <w:spacing w:after="0" w:line="240" w:lineRule="auto"/>
                    <w:jc w:val="center"/>
                    <w:rPr>
                      <w:rFonts w:hint="default"/>
                      <w:bCs/>
                      <w:color w:val="FF0000"/>
                      <w:sz w:val="21"/>
                      <w:szCs w:val="21"/>
                      <w:lang w:val="en-US" w:eastAsia="zh-CN"/>
                    </w:rPr>
                  </w:pPr>
                  <w:r>
                    <w:rPr>
                      <w:rFonts w:hint="eastAsia" w:cs="Times New Roman"/>
                      <w:color w:val="FF0000"/>
                      <w:sz w:val="21"/>
                      <w:szCs w:val="21"/>
                      <w:highlight w:val="none"/>
                      <w:lang w:val="en-US" w:eastAsia="zh-CN"/>
                    </w:rPr>
                    <w:t>锡及其化合物</w:t>
                  </w:r>
                </w:p>
              </w:tc>
              <w:tc>
                <w:tcPr>
                  <w:tcW w:w="822" w:type="pct"/>
                  <w:tcBorders>
                    <w:tl2br w:val="nil"/>
                    <w:tr2bl w:val="nil"/>
                  </w:tcBorders>
                  <w:vAlign w:val="center"/>
                </w:tcPr>
                <w:p w14:paraId="764D71BA">
                  <w:pPr>
                    <w:pStyle w:val="22"/>
                    <w:spacing w:after="0" w:line="240" w:lineRule="auto"/>
                    <w:jc w:val="center"/>
                    <w:rPr>
                      <w:rFonts w:hint="eastAsia" w:cs="Times New Roman"/>
                      <w:bCs/>
                      <w:color w:val="FF0000"/>
                      <w:kern w:val="2"/>
                      <w:sz w:val="21"/>
                      <w:szCs w:val="21"/>
                      <w:lang w:val="en-US" w:eastAsia="zh-CN" w:bidi="ar-SA"/>
                    </w:rPr>
                  </w:pPr>
                  <w:r>
                    <w:rPr>
                      <w:rFonts w:hint="eastAsia" w:eastAsia="宋体" w:cs="Times New Roman"/>
                      <w:bCs/>
                      <w:color w:val="FF0000"/>
                      <w:kern w:val="2"/>
                      <w:sz w:val="21"/>
                      <w:szCs w:val="21"/>
                      <w:lang w:val="en-US" w:eastAsia="zh-CN" w:bidi="ar-SA"/>
                    </w:rPr>
                    <w:t>0.004</w:t>
                  </w:r>
                </w:p>
              </w:tc>
              <w:tc>
                <w:tcPr>
                  <w:tcW w:w="906" w:type="pct"/>
                  <w:tcBorders>
                    <w:tl2br w:val="nil"/>
                    <w:tr2bl w:val="nil"/>
                  </w:tcBorders>
                  <w:vAlign w:val="center"/>
                </w:tcPr>
                <w:p w14:paraId="3BEEFB82">
                  <w:pPr>
                    <w:pStyle w:val="22"/>
                    <w:spacing w:after="0" w:line="240" w:lineRule="auto"/>
                    <w:jc w:val="center"/>
                    <w:rPr>
                      <w:rFonts w:hint="eastAsia" w:cs="Times New Roman"/>
                      <w:color w:val="FF0000"/>
                      <w:szCs w:val="21"/>
                      <w:lang w:val="en-US" w:eastAsia="zh-CN"/>
                    </w:rPr>
                  </w:pPr>
                  <w:r>
                    <w:rPr>
                      <w:rFonts w:hint="eastAsia" w:eastAsia="宋体" w:cs="Times New Roman"/>
                      <w:bCs/>
                      <w:color w:val="FF0000"/>
                      <w:kern w:val="2"/>
                      <w:sz w:val="21"/>
                      <w:szCs w:val="21"/>
                      <w:lang w:val="en-US" w:eastAsia="zh-CN" w:bidi="ar-SA"/>
                    </w:rPr>
                    <w:t>0.000</w:t>
                  </w:r>
                  <w:r>
                    <w:rPr>
                      <w:rFonts w:hint="eastAsia" w:cs="Times New Roman"/>
                      <w:bCs/>
                      <w:color w:val="FF0000"/>
                      <w:kern w:val="2"/>
                      <w:sz w:val="21"/>
                      <w:szCs w:val="21"/>
                      <w:lang w:val="en-US" w:eastAsia="zh-CN" w:bidi="ar-SA"/>
                    </w:rPr>
                    <w:t>8</w:t>
                  </w:r>
                </w:p>
              </w:tc>
              <w:tc>
                <w:tcPr>
                  <w:tcW w:w="761" w:type="pct"/>
                  <w:tcBorders>
                    <w:tl2br w:val="nil"/>
                    <w:tr2bl w:val="nil"/>
                  </w:tcBorders>
                  <w:vAlign w:val="center"/>
                </w:tcPr>
                <w:p w14:paraId="1AEE0930">
                  <w:pPr>
                    <w:pStyle w:val="22"/>
                    <w:spacing w:after="0" w:line="240" w:lineRule="auto"/>
                    <w:jc w:val="center"/>
                    <w:rPr>
                      <w:rFonts w:hint="eastAsia" w:cs="Times New Roman"/>
                      <w:color w:val="FF0000"/>
                      <w:szCs w:val="21"/>
                      <w:lang w:val="en-US" w:eastAsia="zh-CN"/>
                    </w:rPr>
                  </w:pPr>
                  <w:r>
                    <w:rPr>
                      <w:rFonts w:hint="eastAsia" w:eastAsia="宋体" w:cs="Times New Roman"/>
                      <w:bCs/>
                      <w:color w:val="FF0000"/>
                      <w:kern w:val="2"/>
                      <w:sz w:val="21"/>
                      <w:szCs w:val="21"/>
                      <w:lang w:val="en-US" w:eastAsia="zh-CN" w:bidi="ar-SA"/>
                    </w:rPr>
                    <w:t>0.000</w:t>
                  </w:r>
                  <w:r>
                    <w:rPr>
                      <w:rFonts w:hint="eastAsia" w:cs="Times New Roman"/>
                      <w:bCs/>
                      <w:color w:val="FF0000"/>
                      <w:kern w:val="2"/>
                      <w:sz w:val="21"/>
                      <w:szCs w:val="21"/>
                      <w:lang w:val="en-US" w:eastAsia="zh-CN" w:bidi="ar-SA"/>
                    </w:rPr>
                    <w:t>8</w:t>
                  </w:r>
                </w:p>
              </w:tc>
              <w:tc>
                <w:tcPr>
                  <w:tcW w:w="684" w:type="pct"/>
                  <w:tcBorders>
                    <w:tl2br w:val="nil"/>
                    <w:tr2bl w:val="nil"/>
                  </w:tcBorders>
                  <w:vAlign w:val="center"/>
                </w:tcPr>
                <w:p w14:paraId="231BF2F1">
                  <w:pPr>
                    <w:pStyle w:val="22"/>
                    <w:spacing w:after="0" w:line="240" w:lineRule="auto"/>
                    <w:jc w:val="center"/>
                    <w:rPr>
                      <w:rFonts w:hint="eastAsia" w:cs="Times New Roman"/>
                      <w:color w:val="FF0000"/>
                      <w:szCs w:val="21"/>
                      <w:lang w:val="en-US" w:eastAsia="zh-CN"/>
                    </w:rPr>
                  </w:pPr>
                  <w:r>
                    <w:rPr>
                      <w:rFonts w:hint="eastAsia" w:eastAsia="宋体" w:cs="Times New Roman"/>
                      <w:bCs/>
                      <w:color w:val="FF0000"/>
                      <w:kern w:val="2"/>
                      <w:sz w:val="21"/>
                      <w:szCs w:val="21"/>
                      <w:lang w:val="en-US" w:eastAsia="zh-CN" w:bidi="ar-SA"/>
                    </w:rPr>
                    <w:t>0.000</w:t>
                  </w:r>
                  <w:r>
                    <w:rPr>
                      <w:rFonts w:hint="eastAsia" w:cs="Times New Roman"/>
                      <w:bCs/>
                      <w:color w:val="FF0000"/>
                      <w:kern w:val="2"/>
                      <w:sz w:val="21"/>
                      <w:szCs w:val="21"/>
                      <w:lang w:val="en-US" w:eastAsia="zh-CN" w:bidi="ar-SA"/>
                    </w:rPr>
                    <w:t>8</w:t>
                  </w:r>
                </w:p>
              </w:tc>
            </w:tr>
            <w:tr w14:paraId="6AA10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0F46BD5E">
                  <w:pPr>
                    <w:adjustRightInd w:val="0"/>
                    <w:snapToGrid w:val="0"/>
                    <w:jc w:val="center"/>
                    <w:rPr>
                      <w:b/>
                      <w:color w:val="auto"/>
                      <w:sz w:val="21"/>
                      <w:szCs w:val="21"/>
                    </w:rPr>
                  </w:pPr>
                </w:p>
              </w:tc>
              <w:tc>
                <w:tcPr>
                  <w:tcW w:w="484" w:type="pct"/>
                  <w:vMerge w:val="continue"/>
                  <w:tcBorders>
                    <w:tl2br w:val="nil"/>
                    <w:tr2bl w:val="nil"/>
                  </w:tcBorders>
                  <w:vAlign w:val="center"/>
                </w:tcPr>
                <w:p w14:paraId="6E2F27B3">
                  <w:pPr>
                    <w:adjustRightInd w:val="0"/>
                    <w:snapToGrid w:val="0"/>
                    <w:jc w:val="center"/>
                    <w:rPr>
                      <w:bCs/>
                      <w:color w:val="auto"/>
                      <w:sz w:val="21"/>
                      <w:szCs w:val="21"/>
                    </w:rPr>
                  </w:pPr>
                </w:p>
              </w:tc>
              <w:tc>
                <w:tcPr>
                  <w:tcW w:w="888" w:type="pct"/>
                  <w:tcBorders>
                    <w:tl2br w:val="nil"/>
                    <w:tr2bl w:val="nil"/>
                  </w:tcBorders>
                  <w:vAlign w:val="center"/>
                </w:tcPr>
                <w:p w14:paraId="6B81543E">
                  <w:pPr>
                    <w:pStyle w:val="70"/>
                    <w:keepNext/>
                    <w:keepLines/>
                    <w:pageBreakBefore w:val="0"/>
                    <w:widowControl w:val="0"/>
                    <w:kinsoku/>
                    <w:wordWrap/>
                    <w:overflowPunct/>
                    <w:topLinePunct w:val="0"/>
                    <w:autoSpaceDE/>
                    <w:autoSpaceDN/>
                    <w:bidi w:val="0"/>
                    <w:adjustRightInd w:val="0"/>
                    <w:snapToGrid/>
                    <w:spacing w:before="0" w:line="240" w:lineRule="auto"/>
                    <w:jc w:val="center"/>
                    <w:textAlignment w:val="auto"/>
                    <w:rPr>
                      <w:bCs/>
                      <w:color w:val="auto"/>
                      <w:sz w:val="21"/>
                      <w:szCs w:val="21"/>
                    </w:rPr>
                  </w:pPr>
                  <w:r>
                    <w:rPr>
                      <w:rFonts w:hint="eastAsia" w:ascii="Times New Roman" w:hAnsi="Times New Roman" w:eastAsia="宋体" w:cs="Times New Roman"/>
                      <w:color w:val="auto"/>
                      <w:kern w:val="2"/>
                      <w:sz w:val="21"/>
                      <w:szCs w:val="21"/>
                      <w:lang w:val="en-US" w:eastAsia="zh-CN" w:bidi="ar-SA"/>
                    </w:rPr>
                    <w:t>非甲烷总烃</w:t>
                  </w:r>
                </w:p>
              </w:tc>
              <w:tc>
                <w:tcPr>
                  <w:tcW w:w="822" w:type="pct"/>
                  <w:tcBorders>
                    <w:tl2br w:val="nil"/>
                    <w:tr2bl w:val="nil"/>
                  </w:tcBorders>
                  <w:vAlign w:val="center"/>
                </w:tcPr>
                <w:p w14:paraId="28A3E5A8">
                  <w:pPr>
                    <w:pStyle w:val="22"/>
                    <w:spacing w:after="0" w:line="240" w:lineRule="auto"/>
                    <w:jc w:val="center"/>
                    <w:rPr>
                      <w:rFonts w:hint="default" w:eastAsia="宋体"/>
                      <w:color w:val="auto"/>
                      <w:sz w:val="21"/>
                      <w:szCs w:val="21"/>
                      <w:lang w:val="en-US" w:eastAsia="zh-CN"/>
                    </w:rPr>
                  </w:pPr>
                  <w:r>
                    <w:rPr>
                      <w:rFonts w:hint="eastAsia" w:eastAsia="宋体" w:cs="Times New Roman"/>
                      <w:bCs/>
                      <w:color w:val="auto"/>
                      <w:sz w:val="21"/>
                      <w:szCs w:val="21"/>
                      <w:lang w:val="en-US" w:eastAsia="zh-CN"/>
                    </w:rPr>
                    <w:t>0.001</w:t>
                  </w:r>
                </w:p>
              </w:tc>
              <w:tc>
                <w:tcPr>
                  <w:tcW w:w="906" w:type="pct"/>
                  <w:tcBorders>
                    <w:tl2br w:val="nil"/>
                    <w:tr2bl w:val="nil"/>
                  </w:tcBorders>
                  <w:vAlign w:val="center"/>
                </w:tcPr>
                <w:p w14:paraId="70AA812A">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eastAsia="宋体" w:cs="Times New Roman"/>
                      <w:bCs/>
                      <w:color w:val="auto"/>
                      <w:sz w:val="21"/>
                      <w:szCs w:val="21"/>
                      <w:lang w:val="en-US" w:eastAsia="zh-CN"/>
                    </w:rPr>
                    <w:t>0.001</w:t>
                  </w:r>
                </w:p>
              </w:tc>
              <w:tc>
                <w:tcPr>
                  <w:tcW w:w="761" w:type="pct"/>
                  <w:tcBorders>
                    <w:tl2br w:val="nil"/>
                    <w:tr2bl w:val="nil"/>
                  </w:tcBorders>
                  <w:vAlign w:val="center"/>
                </w:tcPr>
                <w:p w14:paraId="1B3F366D">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eastAsia="宋体" w:cs="Times New Roman"/>
                      <w:bCs/>
                      <w:color w:val="auto"/>
                      <w:sz w:val="21"/>
                      <w:szCs w:val="21"/>
                      <w:lang w:val="en-US" w:eastAsia="zh-CN"/>
                    </w:rPr>
                    <w:t>0.001</w:t>
                  </w:r>
                </w:p>
              </w:tc>
              <w:tc>
                <w:tcPr>
                  <w:tcW w:w="684" w:type="pct"/>
                  <w:tcBorders>
                    <w:tl2br w:val="nil"/>
                    <w:tr2bl w:val="nil"/>
                  </w:tcBorders>
                  <w:vAlign w:val="center"/>
                </w:tcPr>
                <w:p w14:paraId="1ECAFD25">
                  <w:pPr>
                    <w:pStyle w:val="22"/>
                    <w:spacing w:after="0" w:line="240" w:lineRule="auto"/>
                    <w:jc w:val="center"/>
                    <w:rPr>
                      <w:rFonts w:hint="eastAsia" w:ascii="Times New Roman" w:hAnsi="Times New Roman" w:eastAsia="宋体" w:cs="Times New Roman"/>
                      <w:color w:val="auto"/>
                      <w:szCs w:val="21"/>
                      <w:lang w:val="en-US" w:eastAsia="zh-CN"/>
                    </w:rPr>
                  </w:pPr>
                  <w:r>
                    <w:rPr>
                      <w:rFonts w:hint="eastAsia" w:eastAsia="宋体" w:cs="Times New Roman"/>
                      <w:bCs/>
                      <w:color w:val="auto"/>
                      <w:sz w:val="21"/>
                      <w:szCs w:val="21"/>
                      <w:lang w:val="en-US" w:eastAsia="zh-CN"/>
                    </w:rPr>
                    <w:t>0.001</w:t>
                  </w:r>
                </w:p>
              </w:tc>
            </w:tr>
            <w:tr w14:paraId="5A3886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restart"/>
                  <w:tcBorders>
                    <w:tl2br w:val="nil"/>
                    <w:tr2bl w:val="nil"/>
                  </w:tcBorders>
                  <w:vAlign w:val="center"/>
                </w:tcPr>
                <w:p w14:paraId="63EE8BE4">
                  <w:pPr>
                    <w:adjustRightInd w:val="0"/>
                    <w:snapToGrid w:val="0"/>
                    <w:jc w:val="center"/>
                    <w:rPr>
                      <w:b/>
                      <w:color w:val="auto"/>
                      <w:sz w:val="21"/>
                      <w:szCs w:val="21"/>
                    </w:rPr>
                  </w:pPr>
                  <w:r>
                    <w:rPr>
                      <w:b/>
                      <w:color w:val="auto"/>
                      <w:sz w:val="21"/>
                      <w:szCs w:val="21"/>
                    </w:rPr>
                    <w:t>水污</w:t>
                  </w:r>
                </w:p>
                <w:p w14:paraId="7CD25AB9">
                  <w:pPr>
                    <w:adjustRightInd w:val="0"/>
                    <w:snapToGrid w:val="0"/>
                    <w:jc w:val="center"/>
                    <w:rPr>
                      <w:b/>
                      <w:color w:val="auto"/>
                      <w:sz w:val="21"/>
                      <w:szCs w:val="21"/>
                    </w:rPr>
                  </w:pPr>
                  <w:r>
                    <w:rPr>
                      <w:b/>
                      <w:color w:val="auto"/>
                      <w:sz w:val="21"/>
                      <w:szCs w:val="21"/>
                    </w:rPr>
                    <w:t>染物</w:t>
                  </w:r>
                </w:p>
              </w:tc>
              <w:tc>
                <w:tcPr>
                  <w:tcW w:w="1372" w:type="pct"/>
                  <w:gridSpan w:val="2"/>
                  <w:tcBorders>
                    <w:tl2br w:val="nil"/>
                    <w:tr2bl w:val="nil"/>
                  </w:tcBorders>
                  <w:vAlign w:val="center"/>
                </w:tcPr>
                <w:p w14:paraId="33664DB6">
                  <w:pPr>
                    <w:adjustRightInd w:val="0"/>
                    <w:snapToGrid w:val="0"/>
                    <w:jc w:val="center"/>
                    <w:rPr>
                      <w:bCs/>
                      <w:color w:val="auto"/>
                      <w:sz w:val="21"/>
                      <w:szCs w:val="21"/>
                    </w:rPr>
                  </w:pPr>
                  <w:r>
                    <w:rPr>
                      <w:bCs/>
                      <w:color w:val="auto"/>
                      <w:sz w:val="21"/>
                      <w:szCs w:val="21"/>
                    </w:rPr>
                    <w:t>水量</w:t>
                  </w:r>
                </w:p>
              </w:tc>
              <w:tc>
                <w:tcPr>
                  <w:tcW w:w="822" w:type="pct"/>
                  <w:tcBorders>
                    <w:tl2br w:val="nil"/>
                    <w:tr2bl w:val="nil"/>
                  </w:tcBorders>
                  <w:vAlign w:val="center"/>
                </w:tcPr>
                <w:p w14:paraId="19B7461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720</w:t>
                  </w:r>
                </w:p>
              </w:tc>
              <w:tc>
                <w:tcPr>
                  <w:tcW w:w="906" w:type="pct"/>
                  <w:tcBorders>
                    <w:tl2br w:val="nil"/>
                    <w:tr2bl w:val="nil"/>
                  </w:tcBorders>
                  <w:vAlign w:val="center"/>
                </w:tcPr>
                <w:p w14:paraId="48F79EE5">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720</w:t>
                  </w:r>
                </w:p>
              </w:tc>
              <w:tc>
                <w:tcPr>
                  <w:tcW w:w="761" w:type="pct"/>
                  <w:tcBorders>
                    <w:tl2br w:val="nil"/>
                    <w:tr2bl w:val="nil"/>
                  </w:tcBorders>
                  <w:vAlign w:val="center"/>
                </w:tcPr>
                <w:p w14:paraId="16339ABE">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720</w:t>
                  </w:r>
                </w:p>
              </w:tc>
              <w:tc>
                <w:tcPr>
                  <w:tcW w:w="684" w:type="pct"/>
                  <w:tcBorders>
                    <w:tl2br w:val="nil"/>
                    <w:tr2bl w:val="nil"/>
                  </w:tcBorders>
                  <w:vAlign w:val="center"/>
                </w:tcPr>
                <w:p w14:paraId="2F9F851D">
                  <w:pPr>
                    <w:adjustRightInd w:val="0"/>
                    <w:snapToGrid w:val="0"/>
                    <w:jc w:val="center"/>
                    <w:rPr>
                      <w:rFonts w:hint="eastAsia" w:cs="Times New Roman"/>
                      <w:color w:val="auto"/>
                      <w:kern w:val="44"/>
                      <w:sz w:val="21"/>
                      <w:szCs w:val="21"/>
                      <w:lang w:val="en-US" w:eastAsia="zh-CN"/>
                    </w:rPr>
                  </w:pPr>
                  <w:r>
                    <w:rPr>
                      <w:rFonts w:hint="eastAsia" w:cs="Times New Roman"/>
                      <w:color w:val="auto"/>
                      <w:sz w:val="21"/>
                      <w:szCs w:val="21"/>
                      <w:lang w:val="en-US" w:eastAsia="zh-CN"/>
                    </w:rPr>
                    <w:t>720</w:t>
                  </w:r>
                </w:p>
              </w:tc>
            </w:tr>
            <w:tr w14:paraId="0190A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458A5FD1">
                  <w:pPr>
                    <w:adjustRightInd w:val="0"/>
                    <w:snapToGrid w:val="0"/>
                    <w:jc w:val="center"/>
                    <w:rPr>
                      <w:b/>
                      <w:color w:val="auto"/>
                      <w:sz w:val="21"/>
                      <w:szCs w:val="21"/>
                    </w:rPr>
                  </w:pPr>
                </w:p>
              </w:tc>
              <w:tc>
                <w:tcPr>
                  <w:tcW w:w="1372" w:type="pct"/>
                  <w:gridSpan w:val="2"/>
                  <w:tcBorders>
                    <w:tl2br w:val="nil"/>
                    <w:tr2bl w:val="nil"/>
                  </w:tcBorders>
                  <w:vAlign w:val="center"/>
                </w:tcPr>
                <w:p w14:paraId="0DF28D83">
                  <w:pPr>
                    <w:adjustRightInd w:val="0"/>
                    <w:snapToGrid w:val="0"/>
                    <w:jc w:val="center"/>
                    <w:rPr>
                      <w:bCs/>
                      <w:color w:val="auto"/>
                      <w:sz w:val="21"/>
                      <w:szCs w:val="21"/>
                    </w:rPr>
                  </w:pPr>
                  <w:r>
                    <w:rPr>
                      <w:bCs/>
                      <w:color w:val="auto"/>
                      <w:sz w:val="21"/>
                      <w:szCs w:val="21"/>
                    </w:rPr>
                    <w:t>COD</w:t>
                  </w:r>
                </w:p>
              </w:tc>
              <w:tc>
                <w:tcPr>
                  <w:tcW w:w="822" w:type="pct"/>
                  <w:tcBorders>
                    <w:tl2br w:val="nil"/>
                    <w:tr2bl w:val="nil"/>
                  </w:tcBorders>
                  <w:vAlign w:val="center"/>
                </w:tcPr>
                <w:p w14:paraId="4691F9B7">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0.288</w:t>
                  </w:r>
                </w:p>
              </w:tc>
              <w:tc>
                <w:tcPr>
                  <w:tcW w:w="906" w:type="pct"/>
                  <w:tcBorders>
                    <w:tl2br w:val="nil"/>
                    <w:tr2bl w:val="nil"/>
                  </w:tcBorders>
                  <w:vAlign w:val="center"/>
                </w:tcPr>
                <w:p w14:paraId="3444CF20">
                  <w:pPr>
                    <w:jc w:val="center"/>
                    <w:rPr>
                      <w:color w:val="auto"/>
                      <w:sz w:val="21"/>
                      <w:szCs w:val="21"/>
                    </w:rPr>
                  </w:pPr>
                  <w:r>
                    <w:rPr>
                      <w:rFonts w:hint="eastAsia" w:cs="Times New Roman"/>
                      <w:color w:val="auto"/>
                      <w:szCs w:val="21"/>
                      <w:lang w:val="en-US" w:eastAsia="zh-CN"/>
                    </w:rPr>
                    <w:t>0.288</w:t>
                  </w:r>
                </w:p>
              </w:tc>
              <w:tc>
                <w:tcPr>
                  <w:tcW w:w="761" w:type="pct"/>
                  <w:tcBorders>
                    <w:tl2br w:val="nil"/>
                    <w:tr2bl w:val="nil"/>
                  </w:tcBorders>
                  <w:vAlign w:val="center"/>
                </w:tcPr>
                <w:p w14:paraId="1DBCBD94">
                  <w:pPr>
                    <w:jc w:val="center"/>
                    <w:rPr>
                      <w:bCs/>
                      <w:color w:val="auto"/>
                      <w:sz w:val="21"/>
                      <w:szCs w:val="21"/>
                    </w:rPr>
                  </w:pPr>
                  <w:r>
                    <w:rPr>
                      <w:rFonts w:hint="eastAsia" w:cs="Times New Roman"/>
                      <w:color w:val="auto"/>
                      <w:szCs w:val="21"/>
                      <w:lang w:val="en-US" w:eastAsia="zh-CN"/>
                    </w:rPr>
                    <w:t>0.288</w:t>
                  </w:r>
                </w:p>
              </w:tc>
              <w:tc>
                <w:tcPr>
                  <w:tcW w:w="684" w:type="pct"/>
                  <w:tcBorders>
                    <w:tl2br w:val="nil"/>
                    <w:tr2bl w:val="nil"/>
                  </w:tcBorders>
                  <w:vAlign w:val="center"/>
                </w:tcPr>
                <w:p w14:paraId="4007AEB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36</w:t>
                  </w:r>
                </w:p>
              </w:tc>
            </w:tr>
            <w:tr w14:paraId="5811B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2E6BE5A7">
                  <w:pPr>
                    <w:adjustRightInd w:val="0"/>
                    <w:snapToGrid w:val="0"/>
                    <w:jc w:val="center"/>
                    <w:rPr>
                      <w:b/>
                      <w:color w:val="auto"/>
                      <w:sz w:val="21"/>
                      <w:szCs w:val="21"/>
                    </w:rPr>
                  </w:pPr>
                </w:p>
              </w:tc>
              <w:tc>
                <w:tcPr>
                  <w:tcW w:w="1372" w:type="pct"/>
                  <w:gridSpan w:val="2"/>
                  <w:tcBorders>
                    <w:tl2br w:val="nil"/>
                    <w:tr2bl w:val="nil"/>
                  </w:tcBorders>
                  <w:vAlign w:val="center"/>
                </w:tcPr>
                <w:p w14:paraId="13028DCA">
                  <w:pPr>
                    <w:adjustRightInd w:val="0"/>
                    <w:snapToGrid w:val="0"/>
                    <w:jc w:val="center"/>
                    <w:rPr>
                      <w:bCs/>
                      <w:color w:val="auto"/>
                      <w:sz w:val="21"/>
                      <w:szCs w:val="21"/>
                    </w:rPr>
                  </w:pPr>
                  <w:r>
                    <w:rPr>
                      <w:bCs/>
                      <w:color w:val="auto"/>
                      <w:sz w:val="21"/>
                      <w:szCs w:val="21"/>
                    </w:rPr>
                    <w:t>SS</w:t>
                  </w:r>
                </w:p>
              </w:tc>
              <w:tc>
                <w:tcPr>
                  <w:tcW w:w="822" w:type="pct"/>
                  <w:tcBorders>
                    <w:tl2br w:val="nil"/>
                    <w:tr2bl w:val="nil"/>
                  </w:tcBorders>
                  <w:vAlign w:val="center"/>
                </w:tcPr>
                <w:p w14:paraId="4B570EF0">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0.144</w:t>
                  </w:r>
                </w:p>
              </w:tc>
              <w:tc>
                <w:tcPr>
                  <w:tcW w:w="906" w:type="pct"/>
                  <w:tcBorders>
                    <w:tl2br w:val="nil"/>
                    <w:tr2bl w:val="nil"/>
                  </w:tcBorders>
                  <w:vAlign w:val="center"/>
                </w:tcPr>
                <w:p w14:paraId="2B751C31">
                  <w:pPr>
                    <w:jc w:val="center"/>
                    <w:rPr>
                      <w:color w:val="auto"/>
                      <w:sz w:val="21"/>
                      <w:szCs w:val="21"/>
                    </w:rPr>
                  </w:pPr>
                  <w:r>
                    <w:rPr>
                      <w:rFonts w:hint="eastAsia" w:cs="Times New Roman"/>
                      <w:color w:val="auto"/>
                      <w:szCs w:val="21"/>
                      <w:lang w:val="en-US" w:eastAsia="zh-CN"/>
                    </w:rPr>
                    <w:t>0.144</w:t>
                  </w:r>
                </w:p>
              </w:tc>
              <w:tc>
                <w:tcPr>
                  <w:tcW w:w="761" w:type="pct"/>
                  <w:tcBorders>
                    <w:tl2br w:val="nil"/>
                    <w:tr2bl w:val="nil"/>
                  </w:tcBorders>
                  <w:vAlign w:val="center"/>
                </w:tcPr>
                <w:p w14:paraId="3C818523">
                  <w:pPr>
                    <w:jc w:val="center"/>
                    <w:rPr>
                      <w:bCs/>
                      <w:color w:val="auto"/>
                      <w:sz w:val="21"/>
                      <w:szCs w:val="21"/>
                    </w:rPr>
                  </w:pPr>
                  <w:r>
                    <w:rPr>
                      <w:rFonts w:hint="eastAsia" w:cs="Times New Roman"/>
                      <w:color w:val="auto"/>
                      <w:szCs w:val="21"/>
                      <w:lang w:val="en-US" w:eastAsia="zh-CN"/>
                    </w:rPr>
                    <w:t>0.144</w:t>
                  </w:r>
                </w:p>
              </w:tc>
              <w:tc>
                <w:tcPr>
                  <w:tcW w:w="684" w:type="pct"/>
                  <w:tcBorders>
                    <w:tl2br w:val="nil"/>
                    <w:tr2bl w:val="nil"/>
                  </w:tcBorders>
                  <w:vAlign w:val="center"/>
                </w:tcPr>
                <w:p w14:paraId="71F28E3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144</w:t>
                  </w:r>
                </w:p>
              </w:tc>
            </w:tr>
            <w:tr w14:paraId="035FC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57FF3517">
                  <w:pPr>
                    <w:adjustRightInd w:val="0"/>
                    <w:snapToGrid w:val="0"/>
                    <w:jc w:val="center"/>
                    <w:rPr>
                      <w:b/>
                      <w:color w:val="auto"/>
                      <w:sz w:val="21"/>
                      <w:szCs w:val="21"/>
                    </w:rPr>
                  </w:pPr>
                </w:p>
              </w:tc>
              <w:tc>
                <w:tcPr>
                  <w:tcW w:w="1372" w:type="pct"/>
                  <w:gridSpan w:val="2"/>
                  <w:tcBorders>
                    <w:tl2br w:val="nil"/>
                    <w:tr2bl w:val="nil"/>
                  </w:tcBorders>
                  <w:vAlign w:val="center"/>
                </w:tcPr>
                <w:p w14:paraId="194B6983">
                  <w:pPr>
                    <w:adjustRightInd w:val="0"/>
                    <w:snapToGrid w:val="0"/>
                    <w:jc w:val="center"/>
                    <w:rPr>
                      <w:bCs/>
                      <w:color w:val="auto"/>
                      <w:sz w:val="21"/>
                      <w:szCs w:val="21"/>
                    </w:rPr>
                  </w:pPr>
                  <w:r>
                    <w:rPr>
                      <w:bCs/>
                      <w:color w:val="auto"/>
                      <w:sz w:val="21"/>
                      <w:szCs w:val="21"/>
                    </w:rPr>
                    <w:t>氨氮</w:t>
                  </w:r>
                </w:p>
              </w:tc>
              <w:tc>
                <w:tcPr>
                  <w:tcW w:w="822" w:type="pct"/>
                  <w:tcBorders>
                    <w:tl2br w:val="nil"/>
                    <w:tr2bl w:val="nil"/>
                  </w:tcBorders>
                  <w:vAlign w:val="center"/>
                </w:tcPr>
                <w:p w14:paraId="0D4A3EB6">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0.022</w:t>
                  </w:r>
                </w:p>
              </w:tc>
              <w:tc>
                <w:tcPr>
                  <w:tcW w:w="906" w:type="pct"/>
                  <w:tcBorders>
                    <w:tl2br w:val="nil"/>
                    <w:tr2bl w:val="nil"/>
                  </w:tcBorders>
                  <w:vAlign w:val="center"/>
                </w:tcPr>
                <w:p w14:paraId="0BE52D41">
                  <w:pPr>
                    <w:jc w:val="center"/>
                    <w:rPr>
                      <w:color w:val="auto"/>
                      <w:sz w:val="21"/>
                      <w:szCs w:val="21"/>
                    </w:rPr>
                  </w:pPr>
                  <w:r>
                    <w:rPr>
                      <w:rFonts w:hint="eastAsia" w:cs="Times New Roman"/>
                      <w:color w:val="auto"/>
                      <w:szCs w:val="21"/>
                      <w:lang w:val="en-US" w:eastAsia="zh-CN"/>
                    </w:rPr>
                    <w:t>0.022</w:t>
                  </w:r>
                </w:p>
              </w:tc>
              <w:tc>
                <w:tcPr>
                  <w:tcW w:w="761" w:type="pct"/>
                  <w:tcBorders>
                    <w:tl2br w:val="nil"/>
                    <w:tr2bl w:val="nil"/>
                  </w:tcBorders>
                  <w:vAlign w:val="center"/>
                </w:tcPr>
                <w:p w14:paraId="76F86D38">
                  <w:pPr>
                    <w:jc w:val="center"/>
                    <w:rPr>
                      <w:bCs/>
                      <w:color w:val="auto"/>
                      <w:sz w:val="21"/>
                      <w:szCs w:val="21"/>
                    </w:rPr>
                  </w:pPr>
                  <w:r>
                    <w:rPr>
                      <w:rFonts w:hint="eastAsia" w:cs="Times New Roman"/>
                      <w:color w:val="auto"/>
                      <w:szCs w:val="21"/>
                      <w:lang w:val="en-US" w:eastAsia="zh-CN"/>
                    </w:rPr>
                    <w:t>0.022</w:t>
                  </w:r>
                </w:p>
              </w:tc>
              <w:tc>
                <w:tcPr>
                  <w:tcW w:w="684" w:type="pct"/>
                  <w:tcBorders>
                    <w:tl2br w:val="nil"/>
                    <w:tr2bl w:val="nil"/>
                  </w:tcBorders>
                  <w:vAlign w:val="center"/>
                </w:tcPr>
                <w:p w14:paraId="676979B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0.0036</w:t>
                  </w:r>
                </w:p>
              </w:tc>
            </w:tr>
            <w:tr w14:paraId="1986E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3DA3B682">
                  <w:pPr>
                    <w:adjustRightInd w:val="0"/>
                    <w:snapToGrid w:val="0"/>
                    <w:jc w:val="center"/>
                    <w:rPr>
                      <w:b/>
                      <w:color w:val="auto"/>
                      <w:sz w:val="21"/>
                      <w:szCs w:val="21"/>
                    </w:rPr>
                  </w:pPr>
                </w:p>
              </w:tc>
              <w:tc>
                <w:tcPr>
                  <w:tcW w:w="1372" w:type="pct"/>
                  <w:gridSpan w:val="2"/>
                  <w:tcBorders>
                    <w:tl2br w:val="nil"/>
                    <w:tr2bl w:val="nil"/>
                  </w:tcBorders>
                  <w:vAlign w:val="center"/>
                </w:tcPr>
                <w:p w14:paraId="17FAD798">
                  <w:pPr>
                    <w:adjustRightInd w:val="0"/>
                    <w:snapToGrid w:val="0"/>
                    <w:jc w:val="center"/>
                    <w:rPr>
                      <w:bCs/>
                      <w:color w:val="auto"/>
                      <w:sz w:val="21"/>
                      <w:szCs w:val="21"/>
                    </w:rPr>
                  </w:pPr>
                  <w:r>
                    <w:rPr>
                      <w:rFonts w:hint="eastAsia"/>
                      <w:bCs/>
                      <w:color w:val="auto"/>
                      <w:sz w:val="21"/>
                      <w:szCs w:val="21"/>
                    </w:rPr>
                    <w:t>TN</w:t>
                  </w:r>
                </w:p>
              </w:tc>
              <w:tc>
                <w:tcPr>
                  <w:tcW w:w="822" w:type="pct"/>
                  <w:tcBorders>
                    <w:tl2br w:val="nil"/>
                    <w:tr2bl w:val="nil"/>
                  </w:tcBorders>
                  <w:vAlign w:val="center"/>
                </w:tcPr>
                <w:p w14:paraId="12485DBC">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0.029</w:t>
                  </w:r>
                </w:p>
              </w:tc>
              <w:tc>
                <w:tcPr>
                  <w:tcW w:w="906" w:type="pct"/>
                  <w:tcBorders>
                    <w:tl2br w:val="nil"/>
                    <w:tr2bl w:val="nil"/>
                  </w:tcBorders>
                  <w:vAlign w:val="center"/>
                </w:tcPr>
                <w:p w14:paraId="79B6D6DC">
                  <w:pPr>
                    <w:jc w:val="center"/>
                    <w:rPr>
                      <w:color w:val="auto"/>
                      <w:sz w:val="21"/>
                      <w:szCs w:val="21"/>
                    </w:rPr>
                  </w:pPr>
                  <w:r>
                    <w:rPr>
                      <w:rFonts w:hint="eastAsia" w:cs="Times New Roman"/>
                      <w:color w:val="auto"/>
                      <w:szCs w:val="21"/>
                      <w:lang w:val="en-US" w:eastAsia="zh-CN"/>
                    </w:rPr>
                    <w:t>0.029</w:t>
                  </w:r>
                </w:p>
              </w:tc>
              <w:tc>
                <w:tcPr>
                  <w:tcW w:w="761" w:type="pct"/>
                  <w:tcBorders>
                    <w:tl2br w:val="nil"/>
                    <w:tr2bl w:val="nil"/>
                  </w:tcBorders>
                  <w:vAlign w:val="center"/>
                </w:tcPr>
                <w:p w14:paraId="5808CFFD">
                  <w:pPr>
                    <w:jc w:val="center"/>
                    <w:rPr>
                      <w:bCs/>
                      <w:color w:val="auto"/>
                      <w:sz w:val="21"/>
                      <w:szCs w:val="21"/>
                    </w:rPr>
                  </w:pPr>
                  <w:r>
                    <w:rPr>
                      <w:rFonts w:hint="eastAsia" w:cs="Times New Roman"/>
                      <w:color w:val="auto"/>
                      <w:szCs w:val="21"/>
                      <w:lang w:val="en-US" w:eastAsia="zh-CN"/>
                    </w:rPr>
                    <w:t>0.029</w:t>
                  </w:r>
                </w:p>
              </w:tc>
              <w:tc>
                <w:tcPr>
                  <w:tcW w:w="684" w:type="pct"/>
                  <w:tcBorders>
                    <w:tl2br w:val="nil"/>
                    <w:tr2bl w:val="nil"/>
                  </w:tcBorders>
                  <w:vAlign w:val="center"/>
                </w:tcPr>
                <w:p w14:paraId="444DC7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144</w:t>
                  </w:r>
                </w:p>
              </w:tc>
            </w:tr>
            <w:tr w14:paraId="27CE4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07ED488D">
                  <w:pPr>
                    <w:adjustRightInd w:val="0"/>
                    <w:snapToGrid w:val="0"/>
                    <w:jc w:val="center"/>
                    <w:rPr>
                      <w:b/>
                      <w:color w:val="auto"/>
                      <w:sz w:val="21"/>
                      <w:szCs w:val="21"/>
                    </w:rPr>
                  </w:pPr>
                </w:p>
              </w:tc>
              <w:tc>
                <w:tcPr>
                  <w:tcW w:w="1372" w:type="pct"/>
                  <w:gridSpan w:val="2"/>
                  <w:tcBorders>
                    <w:tl2br w:val="nil"/>
                    <w:tr2bl w:val="nil"/>
                  </w:tcBorders>
                  <w:vAlign w:val="center"/>
                </w:tcPr>
                <w:p w14:paraId="45912D71">
                  <w:pPr>
                    <w:adjustRightInd w:val="0"/>
                    <w:snapToGrid w:val="0"/>
                    <w:jc w:val="center"/>
                    <w:rPr>
                      <w:bCs/>
                      <w:color w:val="auto"/>
                      <w:sz w:val="21"/>
                      <w:szCs w:val="21"/>
                    </w:rPr>
                  </w:pPr>
                  <w:r>
                    <w:rPr>
                      <w:rFonts w:hint="eastAsia"/>
                      <w:bCs/>
                      <w:color w:val="auto"/>
                      <w:sz w:val="21"/>
                      <w:szCs w:val="21"/>
                    </w:rPr>
                    <w:t>TP</w:t>
                  </w:r>
                </w:p>
              </w:tc>
              <w:tc>
                <w:tcPr>
                  <w:tcW w:w="822" w:type="pct"/>
                  <w:tcBorders>
                    <w:tl2br w:val="nil"/>
                    <w:tr2bl w:val="nil"/>
                  </w:tcBorders>
                  <w:vAlign w:val="center"/>
                </w:tcPr>
                <w:p w14:paraId="04058CFC">
                  <w:pPr>
                    <w:jc w:val="center"/>
                    <w:rPr>
                      <w:rFonts w:hint="eastAsia" w:ascii="Times New Roman" w:hAnsi="Times New Roman" w:eastAsia="宋体" w:cs="Times New Roman"/>
                      <w:color w:val="auto"/>
                      <w:sz w:val="21"/>
                      <w:szCs w:val="21"/>
                      <w:lang w:val="en-US" w:eastAsia="zh-CN"/>
                    </w:rPr>
                  </w:pPr>
                  <w:r>
                    <w:rPr>
                      <w:rFonts w:hint="eastAsia" w:cs="Times New Roman"/>
                      <w:color w:val="auto"/>
                      <w:szCs w:val="21"/>
                      <w:lang w:val="en-US" w:eastAsia="zh-CN"/>
                    </w:rPr>
                    <w:t>0.002</w:t>
                  </w:r>
                </w:p>
              </w:tc>
              <w:tc>
                <w:tcPr>
                  <w:tcW w:w="906" w:type="pct"/>
                  <w:tcBorders>
                    <w:tl2br w:val="nil"/>
                    <w:tr2bl w:val="nil"/>
                  </w:tcBorders>
                  <w:vAlign w:val="center"/>
                </w:tcPr>
                <w:p w14:paraId="0BA1CCFE">
                  <w:pPr>
                    <w:jc w:val="center"/>
                    <w:rPr>
                      <w:color w:val="auto"/>
                      <w:sz w:val="21"/>
                      <w:szCs w:val="21"/>
                    </w:rPr>
                  </w:pPr>
                  <w:r>
                    <w:rPr>
                      <w:rFonts w:hint="eastAsia" w:cs="Times New Roman"/>
                      <w:color w:val="auto"/>
                      <w:szCs w:val="21"/>
                      <w:lang w:val="en-US" w:eastAsia="zh-CN"/>
                    </w:rPr>
                    <w:t>0.002</w:t>
                  </w:r>
                </w:p>
              </w:tc>
              <w:tc>
                <w:tcPr>
                  <w:tcW w:w="761" w:type="pct"/>
                  <w:tcBorders>
                    <w:tl2br w:val="nil"/>
                    <w:tr2bl w:val="nil"/>
                  </w:tcBorders>
                  <w:vAlign w:val="center"/>
                </w:tcPr>
                <w:p w14:paraId="26606C33">
                  <w:pPr>
                    <w:jc w:val="center"/>
                    <w:rPr>
                      <w:bCs/>
                      <w:color w:val="auto"/>
                      <w:sz w:val="21"/>
                      <w:szCs w:val="21"/>
                    </w:rPr>
                  </w:pPr>
                  <w:r>
                    <w:rPr>
                      <w:rFonts w:hint="eastAsia" w:cs="Times New Roman"/>
                      <w:color w:val="auto"/>
                      <w:szCs w:val="21"/>
                      <w:lang w:val="en-US" w:eastAsia="zh-CN"/>
                    </w:rPr>
                    <w:t>0.002</w:t>
                  </w:r>
                </w:p>
              </w:tc>
              <w:tc>
                <w:tcPr>
                  <w:tcW w:w="684" w:type="pct"/>
                  <w:tcBorders>
                    <w:tl2br w:val="nil"/>
                    <w:tr2bl w:val="nil"/>
                  </w:tcBorders>
                  <w:vAlign w:val="center"/>
                </w:tcPr>
                <w:p w14:paraId="69E6148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w:t>
                  </w:r>
                  <w:r>
                    <w:rPr>
                      <w:rFonts w:hint="eastAsia" w:cs="Times New Roman"/>
                      <w:color w:val="auto"/>
                      <w:szCs w:val="21"/>
                      <w:lang w:val="en-US" w:eastAsia="zh-CN"/>
                    </w:rPr>
                    <w:t>07</w:t>
                  </w:r>
                </w:p>
              </w:tc>
            </w:tr>
            <w:tr w14:paraId="2E6E73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restart"/>
                  <w:tcBorders>
                    <w:tl2br w:val="nil"/>
                    <w:tr2bl w:val="nil"/>
                  </w:tcBorders>
                  <w:vAlign w:val="center"/>
                </w:tcPr>
                <w:p w14:paraId="4AD37C60">
                  <w:pPr>
                    <w:adjustRightInd w:val="0"/>
                    <w:snapToGrid w:val="0"/>
                    <w:jc w:val="center"/>
                    <w:rPr>
                      <w:b/>
                      <w:color w:val="auto"/>
                      <w:sz w:val="21"/>
                      <w:szCs w:val="21"/>
                    </w:rPr>
                  </w:pPr>
                  <w:r>
                    <w:rPr>
                      <w:b/>
                      <w:color w:val="auto"/>
                      <w:sz w:val="21"/>
                      <w:szCs w:val="21"/>
                    </w:rPr>
                    <w:t>固体</w:t>
                  </w:r>
                </w:p>
                <w:p w14:paraId="5D6BAB7E">
                  <w:pPr>
                    <w:adjustRightInd w:val="0"/>
                    <w:snapToGrid w:val="0"/>
                    <w:jc w:val="center"/>
                    <w:rPr>
                      <w:b/>
                      <w:color w:val="auto"/>
                      <w:sz w:val="21"/>
                      <w:szCs w:val="21"/>
                    </w:rPr>
                  </w:pPr>
                  <w:r>
                    <w:rPr>
                      <w:b/>
                      <w:color w:val="auto"/>
                      <w:sz w:val="21"/>
                      <w:szCs w:val="21"/>
                    </w:rPr>
                    <w:t>废物</w:t>
                  </w:r>
                </w:p>
              </w:tc>
              <w:tc>
                <w:tcPr>
                  <w:tcW w:w="1372" w:type="pct"/>
                  <w:gridSpan w:val="2"/>
                  <w:tcBorders>
                    <w:tl2br w:val="nil"/>
                    <w:tr2bl w:val="nil"/>
                  </w:tcBorders>
                  <w:vAlign w:val="center"/>
                </w:tcPr>
                <w:p w14:paraId="52C8DB50">
                  <w:pPr>
                    <w:adjustRightInd w:val="0"/>
                    <w:snapToGrid w:val="0"/>
                    <w:jc w:val="center"/>
                    <w:rPr>
                      <w:bCs/>
                      <w:color w:val="auto"/>
                      <w:sz w:val="21"/>
                      <w:szCs w:val="21"/>
                    </w:rPr>
                  </w:pPr>
                  <w:r>
                    <w:rPr>
                      <w:bCs/>
                      <w:color w:val="auto"/>
                      <w:sz w:val="21"/>
                      <w:szCs w:val="21"/>
                    </w:rPr>
                    <w:t>生活垃圾</w:t>
                  </w:r>
                </w:p>
              </w:tc>
              <w:tc>
                <w:tcPr>
                  <w:tcW w:w="822" w:type="pct"/>
                  <w:tcBorders>
                    <w:tl2br w:val="nil"/>
                    <w:tr2bl w:val="nil"/>
                  </w:tcBorders>
                  <w:vAlign w:val="center"/>
                </w:tcPr>
                <w:p w14:paraId="10DB5E91">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4.5</w:t>
                  </w:r>
                </w:p>
              </w:tc>
              <w:tc>
                <w:tcPr>
                  <w:tcW w:w="906" w:type="pct"/>
                  <w:tcBorders>
                    <w:tl2br w:val="nil"/>
                    <w:tr2bl w:val="nil"/>
                  </w:tcBorders>
                  <w:vAlign w:val="center"/>
                </w:tcPr>
                <w:p w14:paraId="39409BAF">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1151AC35">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0A4EA635">
                  <w:pPr>
                    <w:adjustRightInd w:val="0"/>
                    <w:snapToGrid w:val="0"/>
                    <w:jc w:val="center"/>
                    <w:rPr>
                      <w:bCs/>
                      <w:color w:val="auto"/>
                      <w:sz w:val="21"/>
                      <w:szCs w:val="21"/>
                    </w:rPr>
                  </w:pPr>
                  <w:r>
                    <w:rPr>
                      <w:bCs/>
                      <w:color w:val="auto"/>
                      <w:sz w:val="21"/>
                      <w:szCs w:val="21"/>
                    </w:rPr>
                    <w:t>0</w:t>
                  </w:r>
                </w:p>
              </w:tc>
            </w:tr>
            <w:tr w14:paraId="191771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3DFDC772">
                  <w:pPr>
                    <w:adjustRightInd w:val="0"/>
                    <w:snapToGrid w:val="0"/>
                    <w:jc w:val="center"/>
                    <w:rPr>
                      <w:b/>
                      <w:color w:val="auto"/>
                      <w:sz w:val="21"/>
                      <w:szCs w:val="21"/>
                    </w:rPr>
                  </w:pPr>
                </w:p>
              </w:tc>
              <w:tc>
                <w:tcPr>
                  <w:tcW w:w="1372" w:type="pct"/>
                  <w:gridSpan w:val="2"/>
                  <w:tcBorders>
                    <w:tl2br w:val="nil"/>
                    <w:tr2bl w:val="nil"/>
                  </w:tcBorders>
                  <w:vAlign w:val="center"/>
                </w:tcPr>
                <w:p w14:paraId="173384C3">
                  <w:pPr>
                    <w:adjustRightInd w:val="0"/>
                    <w:snapToGrid w:val="0"/>
                    <w:jc w:val="center"/>
                    <w:rPr>
                      <w:bCs/>
                      <w:color w:val="auto"/>
                      <w:sz w:val="21"/>
                      <w:szCs w:val="21"/>
                    </w:rPr>
                  </w:pPr>
                  <w:r>
                    <w:rPr>
                      <w:bCs/>
                      <w:color w:val="auto"/>
                      <w:sz w:val="21"/>
                      <w:szCs w:val="21"/>
                    </w:rPr>
                    <w:t>一般固废</w:t>
                  </w:r>
                </w:p>
              </w:tc>
              <w:tc>
                <w:tcPr>
                  <w:tcW w:w="822" w:type="pct"/>
                  <w:tcBorders>
                    <w:tl2br w:val="nil"/>
                    <w:tr2bl w:val="nil"/>
                  </w:tcBorders>
                  <w:vAlign w:val="center"/>
                </w:tcPr>
                <w:p w14:paraId="2EF36513">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8.613</w:t>
                  </w:r>
                </w:p>
              </w:tc>
              <w:tc>
                <w:tcPr>
                  <w:tcW w:w="906" w:type="pct"/>
                  <w:tcBorders>
                    <w:tl2br w:val="nil"/>
                    <w:tr2bl w:val="nil"/>
                  </w:tcBorders>
                  <w:vAlign w:val="center"/>
                </w:tcPr>
                <w:p w14:paraId="3997D3D5">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7F0245CC">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6F597FC7">
                  <w:pPr>
                    <w:adjustRightInd w:val="0"/>
                    <w:snapToGrid w:val="0"/>
                    <w:jc w:val="center"/>
                    <w:rPr>
                      <w:bCs/>
                      <w:color w:val="auto"/>
                      <w:sz w:val="21"/>
                      <w:szCs w:val="21"/>
                    </w:rPr>
                  </w:pPr>
                  <w:r>
                    <w:rPr>
                      <w:bCs/>
                      <w:color w:val="auto"/>
                      <w:sz w:val="21"/>
                      <w:szCs w:val="21"/>
                    </w:rPr>
                    <w:t>0</w:t>
                  </w:r>
                </w:p>
              </w:tc>
            </w:tr>
            <w:tr w14:paraId="6F4F4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1" w:type="pct"/>
                  <w:vMerge w:val="continue"/>
                  <w:tcBorders>
                    <w:tl2br w:val="nil"/>
                    <w:tr2bl w:val="nil"/>
                  </w:tcBorders>
                  <w:vAlign w:val="center"/>
                </w:tcPr>
                <w:p w14:paraId="533DC649">
                  <w:pPr>
                    <w:adjustRightInd w:val="0"/>
                    <w:snapToGrid w:val="0"/>
                    <w:jc w:val="center"/>
                    <w:rPr>
                      <w:b/>
                      <w:color w:val="auto"/>
                      <w:sz w:val="21"/>
                      <w:szCs w:val="21"/>
                    </w:rPr>
                  </w:pPr>
                </w:p>
              </w:tc>
              <w:tc>
                <w:tcPr>
                  <w:tcW w:w="1372" w:type="pct"/>
                  <w:gridSpan w:val="2"/>
                  <w:tcBorders>
                    <w:tl2br w:val="nil"/>
                    <w:tr2bl w:val="nil"/>
                  </w:tcBorders>
                  <w:vAlign w:val="center"/>
                </w:tcPr>
                <w:p w14:paraId="037E4D11">
                  <w:pPr>
                    <w:adjustRightInd w:val="0"/>
                    <w:snapToGrid w:val="0"/>
                    <w:jc w:val="center"/>
                    <w:rPr>
                      <w:bCs/>
                      <w:color w:val="auto"/>
                      <w:sz w:val="21"/>
                      <w:szCs w:val="21"/>
                    </w:rPr>
                  </w:pPr>
                  <w:r>
                    <w:rPr>
                      <w:bCs/>
                      <w:color w:val="auto"/>
                      <w:sz w:val="21"/>
                      <w:szCs w:val="21"/>
                    </w:rPr>
                    <w:t>危险废物</w:t>
                  </w:r>
                </w:p>
              </w:tc>
              <w:tc>
                <w:tcPr>
                  <w:tcW w:w="822" w:type="pct"/>
                  <w:tcBorders>
                    <w:tl2br w:val="nil"/>
                    <w:tr2bl w:val="nil"/>
                  </w:tcBorders>
                  <w:vAlign w:val="center"/>
                </w:tcPr>
                <w:p w14:paraId="634B477E">
                  <w:pPr>
                    <w:adjustRightInd w:val="0"/>
                    <w:snapToGrid w:val="0"/>
                    <w:jc w:val="center"/>
                    <w:rPr>
                      <w:rFonts w:hint="default" w:eastAsia="宋体"/>
                      <w:bCs/>
                      <w:color w:val="auto"/>
                      <w:sz w:val="21"/>
                      <w:szCs w:val="21"/>
                      <w:lang w:val="en-US" w:eastAsia="zh-CN"/>
                    </w:rPr>
                  </w:pPr>
                  <w:r>
                    <w:rPr>
                      <w:rFonts w:hint="eastAsia" w:cs="Times New Roman"/>
                      <w:b w:val="0"/>
                      <w:bCs/>
                      <w:color w:val="auto"/>
                      <w:sz w:val="21"/>
                      <w:szCs w:val="21"/>
                      <w:lang w:val="en-US" w:eastAsia="zh-CN"/>
                    </w:rPr>
                    <w:t>0.018</w:t>
                  </w:r>
                </w:p>
              </w:tc>
              <w:tc>
                <w:tcPr>
                  <w:tcW w:w="906" w:type="pct"/>
                  <w:tcBorders>
                    <w:tl2br w:val="nil"/>
                    <w:tr2bl w:val="nil"/>
                  </w:tcBorders>
                  <w:vAlign w:val="center"/>
                </w:tcPr>
                <w:p w14:paraId="0C5A7B3A">
                  <w:pPr>
                    <w:adjustRightInd w:val="0"/>
                    <w:snapToGrid w:val="0"/>
                    <w:jc w:val="center"/>
                    <w:rPr>
                      <w:bCs/>
                      <w:color w:val="auto"/>
                      <w:sz w:val="21"/>
                      <w:szCs w:val="21"/>
                    </w:rPr>
                  </w:pPr>
                  <w:r>
                    <w:rPr>
                      <w:bCs/>
                      <w:color w:val="auto"/>
                      <w:sz w:val="21"/>
                      <w:szCs w:val="21"/>
                    </w:rPr>
                    <w:t>0</w:t>
                  </w:r>
                </w:p>
              </w:tc>
              <w:tc>
                <w:tcPr>
                  <w:tcW w:w="761" w:type="pct"/>
                  <w:tcBorders>
                    <w:tl2br w:val="nil"/>
                    <w:tr2bl w:val="nil"/>
                  </w:tcBorders>
                  <w:vAlign w:val="center"/>
                </w:tcPr>
                <w:p w14:paraId="67D02F3D">
                  <w:pPr>
                    <w:adjustRightInd w:val="0"/>
                    <w:snapToGrid w:val="0"/>
                    <w:jc w:val="center"/>
                    <w:rPr>
                      <w:bCs/>
                      <w:color w:val="auto"/>
                      <w:sz w:val="21"/>
                      <w:szCs w:val="21"/>
                    </w:rPr>
                  </w:pPr>
                  <w:r>
                    <w:rPr>
                      <w:bCs/>
                      <w:color w:val="auto"/>
                      <w:sz w:val="21"/>
                      <w:szCs w:val="21"/>
                    </w:rPr>
                    <w:t>0</w:t>
                  </w:r>
                </w:p>
              </w:tc>
              <w:tc>
                <w:tcPr>
                  <w:tcW w:w="684" w:type="pct"/>
                  <w:tcBorders>
                    <w:tl2br w:val="nil"/>
                    <w:tr2bl w:val="nil"/>
                  </w:tcBorders>
                  <w:vAlign w:val="center"/>
                </w:tcPr>
                <w:p w14:paraId="7E8BCCC0">
                  <w:pPr>
                    <w:adjustRightInd w:val="0"/>
                    <w:snapToGrid w:val="0"/>
                    <w:jc w:val="center"/>
                    <w:rPr>
                      <w:bCs/>
                      <w:color w:val="auto"/>
                      <w:sz w:val="21"/>
                      <w:szCs w:val="21"/>
                    </w:rPr>
                  </w:pPr>
                  <w:r>
                    <w:rPr>
                      <w:bCs/>
                      <w:color w:val="auto"/>
                      <w:sz w:val="21"/>
                      <w:szCs w:val="21"/>
                    </w:rPr>
                    <w:t>0</w:t>
                  </w:r>
                </w:p>
              </w:tc>
            </w:tr>
          </w:tbl>
          <w:p w14:paraId="7425CF2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2、总量平衡方案</w:t>
            </w:r>
          </w:p>
          <w:p w14:paraId="2CDF292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auto"/>
                <w:sz w:val="24"/>
                <w:szCs w:val="24"/>
                <w:lang w:eastAsia="zh-CN"/>
              </w:rPr>
            </w:pPr>
            <w:r>
              <w:rPr>
                <w:rFonts w:hint="default" w:ascii="Times New Roman" w:hAnsi="Times New Roman" w:cs="Times New Roman"/>
                <w:bCs/>
                <w:color w:val="auto"/>
                <w:sz w:val="24"/>
                <w:highlight w:val="none"/>
              </w:rPr>
              <w:t>废气</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本项目新增</w:t>
            </w:r>
            <w:r>
              <w:rPr>
                <w:rFonts w:hint="default" w:ascii="Times New Roman" w:hAnsi="Times New Roman" w:cs="Times New Roman"/>
                <w:bCs/>
                <w:color w:val="auto"/>
                <w:sz w:val="24"/>
                <w:szCs w:val="24"/>
                <w:highlight w:val="none"/>
              </w:rPr>
              <w:t>排放</w:t>
            </w:r>
            <w:r>
              <w:rPr>
                <w:rFonts w:hint="eastAsia" w:cs="Times New Roman"/>
                <w:color w:val="auto"/>
                <w:sz w:val="24"/>
                <w:szCs w:val="24"/>
                <w:highlight w:val="none"/>
                <w:lang w:val="en-US" w:eastAsia="zh-CN"/>
              </w:rPr>
              <w:t>锡及其化合物</w:t>
            </w:r>
            <w:r>
              <w:rPr>
                <w:rFonts w:hint="eastAsia" w:cs="Times New Roman"/>
                <w:bCs/>
                <w:color w:val="auto"/>
                <w:sz w:val="24"/>
                <w:szCs w:val="24"/>
                <w:highlight w:val="none"/>
                <w:lang w:eastAsia="zh-CN"/>
              </w:rPr>
              <w:t>0.0008</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val="en-US" w:eastAsia="zh-CN"/>
              </w:rPr>
              <w:t>、非甲烷总烃</w:t>
            </w:r>
            <w:r>
              <w:rPr>
                <w:rFonts w:hint="eastAsia" w:cs="Times New Roman"/>
                <w:bCs/>
                <w:color w:val="auto"/>
                <w:sz w:val="24"/>
                <w:szCs w:val="24"/>
                <w:highlight w:val="none"/>
                <w:lang w:val="en-US" w:eastAsia="zh-CN"/>
              </w:rPr>
              <w:t>0.001</w:t>
            </w:r>
            <w:r>
              <w:rPr>
                <w:rFonts w:hint="default" w:ascii="Times New Roman" w:hAnsi="Times New Roman" w:cs="Times New Roman"/>
                <w:bCs/>
                <w:color w:val="auto"/>
                <w:sz w:val="24"/>
                <w:szCs w:val="24"/>
                <w:highlight w:val="none"/>
                <w:lang w:val="en-US" w:eastAsia="zh-CN"/>
              </w:rPr>
              <w:t>t/a</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在</w:t>
            </w:r>
            <w:r>
              <w:rPr>
                <w:rFonts w:hint="default" w:ascii="Times New Roman" w:hAnsi="Times New Roman" w:cs="Times New Roman"/>
                <w:bCs/>
                <w:color w:val="auto"/>
                <w:sz w:val="24"/>
                <w:szCs w:val="24"/>
                <w:highlight w:val="none"/>
                <w:lang w:eastAsia="zh-CN"/>
              </w:rPr>
              <w:t>金坛区</w:t>
            </w:r>
            <w:r>
              <w:rPr>
                <w:rFonts w:hint="default" w:ascii="Times New Roman" w:hAnsi="Times New Roman" w:cs="Times New Roman"/>
                <w:bCs/>
                <w:color w:val="auto"/>
                <w:sz w:val="24"/>
                <w:szCs w:val="24"/>
                <w:highlight w:val="none"/>
              </w:rPr>
              <w:t>范围内平衡。</w:t>
            </w:r>
          </w:p>
          <w:p w14:paraId="2FA7D07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Cs/>
                <w:color w:val="FF0000"/>
                <w:sz w:val="24"/>
                <w:szCs w:val="24"/>
                <w:lang w:eastAsia="zh-CN"/>
              </w:rPr>
            </w:pPr>
            <w:r>
              <w:rPr>
                <w:rFonts w:hint="default" w:ascii="Times New Roman" w:hAnsi="Times New Roman" w:cs="Times New Roman"/>
                <w:bCs/>
                <w:color w:val="auto"/>
                <w:sz w:val="24"/>
                <w:szCs w:val="24"/>
                <w:lang w:eastAsia="zh-CN"/>
              </w:rPr>
              <w:t>废水：</w:t>
            </w:r>
            <w:r>
              <w:rPr>
                <w:rFonts w:hint="default" w:ascii="Times New Roman" w:hAnsi="Times New Roman" w:cs="Times New Roman"/>
                <w:bCs/>
                <w:color w:val="auto"/>
                <w:sz w:val="24"/>
                <w:szCs w:val="24"/>
                <w:lang w:val="en-US" w:eastAsia="zh-CN"/>
              </w:rPr>
              <w:t>本项目生活污水</w:t>
            </w:r>
            <w:r>
              <w:rPr>
                <w:rFonts w:hint="eastAsia" w:ascii="Times New Roman" w:hAnsi="Times New Roman" w:cs="Times New Roman"/>
                <w:bCs/>
                <w:color w:val="auto"/>
                <w:sz w:val="24"/>
                <w:szCs w:val="24"/>
                <w:lang w:val="en-US" w:eastAsia="zh-CN"/>
              </w:rPr>
              <w:t>新增</w:t>
            </w:r>
            <w:r>
              <w:rPr>
                <w:rFonts w:hint="default" w:ascii="Times New Roman" w:hAnsi="Times New Roman" w:cs="Times New Roman"/>
                <w:bCs/>
                <w:color w:val="auto"/>
                <w:sz w:val="24"/>
                <w:szCs w:val="24"/>
                <w:lang w:val="en-US" w:eastAsia="zh-CN"/>
              </w:rPr>
              <w:t>接管</w:t>
            </w:r>
            <w:r>
              <w:rPr>
                <w:rFonts w:hint="default" w:ascii="Times New Roman" w:hAnsi="Times New Roman" w:cs="Times New Roman"/>
                <w:bCs/>
                <w:color w:val="auto"/>
                <w:sz w:val="24"/>
                <w:szCs w:val="24"/>
                <w:lang w:eastAsia="zh-CN"/>
              </w:rPr>
              <w:t>量为</w:t>
            </w:r>
            <w:r>
              <w:rPr>
                <w:rFonts w:hint="eastAsia" w:cs="Times New Roman"/>
                <w:bCs/>
                <w:color w:val="auto"/>
                <w:sz w:val="24"/>
                <w:szCs w:val="24"/>
                <w:lang w:val="en-US" w:eastAsia="zh-CN"/>
              </w:rPr>
              <w:t>720</w:t>
            </w:r>
            <w:r>
              <w:rPr>
                <w:rFonts w:hint="default" w:ascii="Times New Roman" w:hAnsi="Times New Roman" w:cs="Times New Roman"/>
                <w:bCs/>
                <w:color w:val="auto"/>
                <w:sz w:val="24"/>
                <w:szCs w:val="24"/>
                <w:lang w:eastAsia="zh-CN"/>
              </w:rPr>
              <w:t>t/a，</w:t>
            </w:r>
            <w:r>
              <w:rPr>
                <w:rFonts w:hint="eastAsia" w:cs="Times New Roman"/>
                <w:bCs/>
                <w:color w:val="auto"/>
                <w:sz w:val="24"/>
                <w:szCs w:val="24"/>
                <w:lang w:val="en-US" w:eastAsia="zh-CN"/>
              </w:rPr>
              <w:t>接管至</w:t>
            </w:r>
            <w:r>
              <w:rPr>
                <w:rFonts w:hint="eastAsia" w:cs="Times New Roman"/>
                <w:bCs/>
                <w:color w:val="auto"/>
                <w:sz w:val="24"/>
                <w:szCs w:val="24"/>
                <w:lang w:eastAsia="zh-CN"/>
              </w:rPr>
              <w:t>金坛区指前镇新河村农村生活污水处理站</w:t>
            </w:r>
            <w:r>
              <w:rPr>
                <w:rFonts w:hint="default" w:ascii="Times New Roman" w:hAnsi="Times New Roman" w:cs="Times New Roman"/>
                <w:bCs/>
                <w:color w:val="auto"/>
                <w:sz w:val="24"/>
                <w:szCs w:val="24"/>
                <w:lang w:eastAsia="zh-CN"/>
              </w:rPr>
              <w:t>集中处理。</w:t>
            </w:r>
          </w:p>
          <w:p w14:paraId="2F23392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固体废物：</w:t>
            </w:r>
            <w:r>
              <w:rPr>
                <w:rFonts w:hint="default" w:ascii="Times New Roman" w:hAnsi="Times New Roman" w:eastAsia="宋体" w:cs="Times New Roman"/>
                <w:bCs/>
                <w:color w:val="auto"/>
                <w:sz w:val="24"/>
              </w:rPr>
              <w:t>本项目产生的固体废物均进行合理处置，实现固体废物100%处置，无需申请总</w:t>
            </w:r>
            <w:r>
              <w:rPr>
                <w:rFonts w:hint="eastAsia" w:ascii="Times New Roman" w:hAnsi="Times New Roman" w:eastAsia="宋体" w:cs="Times New Roman"/>
                <w:bCs/>
                <w:color w:val="auto"/>
                <w:sz w:val="24"/>
                <w:lang w:val="en-US" w:eastAsia="zh-CN"/>
              </w:rPr>
              <w:t>量。</w:t>
            </w:r>
          </w:p>
          <w:p w14:paraId="05F01846">
            <w:pPr>
              <w:pStyle w:val="8"/>
              <w:rPr>
                <w:rFonts w:hint="eastAsia" w:ascii="Times New Roman" w:hAnsi="Times New Roman" w:eastAsia="宋体" w:cs="Times New Roman"/>
                <w:bCs/>
                <w:color w:val="auto"/>
                <w:sz w:val="24"/>
                <w:lang w:val="en-US" w:eastAsia="zh-CN"/>
              </w:rPr>
            </w:pPr>
          </w:p>
          <w:p w14:paraId="57F5559B">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39EC7E92">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78EBEAD5">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4F8091D7">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2FE313C3">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5CB3C0F4">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7564E686">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09C43C6B">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6AE35EC0">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6BD72E2E">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16E760DA">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762ACDA4">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50CDA135">
            <w:pPr>
              <w:pStyle w:val="13"/>
              <w:widowControl w:val="0"/>
              <w:numPr>
                <w:ilvl w:val="0"/>
                <w:numId w:val="0"/>
              </w:numPr>
              <w:jc w:val="both"/>
              <w:rPr>
                <w:rFonts w:hint="eastAsia" w:ascii="Times New Roman" w:hAnsi="Times New Roman" w:eastAsia="宋体" w:cs="Times New Roman"/>
                <w:bCs/>
                <w:color w:val="auto"/>
                <w:sz w:val="24"/>
                <w:lang w:val="en-US" w:eastAsia="zh-CN"/>
              </w:rPr>
            </w:pPr>
          </w:p>
          <w:p w14:paraId="047D52C2">
            <w:pPr>
              <w:pStyle w:val="13"/>
              <w:widowControl w:val="0"/>
              <w:numPr>
                <w:ilvl w:val="0"/>
                <w:numId w:val="0"/>
              </w:numPr>
              <w:jc w:val="both"/>
              <w:rPr>
                <w:rFonts w:hint="default" w:ascii="Times New Roman" w:hAnsi="Times New Roman" w:eastAsia="宋体" w:cs="Times New Roman"/>
                <w:bCs/>
                <w:color w:val="auto"/>
                <w:sz w:val="24"/>
                <w:lang w:val="en-US" w:eastAsia="zh-CN"/>
              </w:rPr>
            </w:pPr>
          </w:p>
        </w:tc>
      </w:tr>
    </w:tbl>
    <w:p w14:paraId="49C91B0B">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四、主要环境影响和保护措施</w:t>
      </w:r>
      <w:bookmarkEnd w:id="4"/>
    </w:p>
    <w:tbl>
      <w:tblPr>
        <w:tblStyle w:val="28"/>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8286"/>
      </w:tblGrid>
      <w:tr w14:paraId="217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876" w:type="dxa"/>
            <w:tcMar>
              <w:left w:w="28" w:type="dxa"/>
              <w:right w:w="28" w:type="dxa"/>
            </w:tcMar>
            <w:vAlign w:val="center"/>
          </w:tcPr>
          <w:p w14:paraId="49BF4432">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4B62F8CD">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062DDE30">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40F2E719">
            <w:pPr>
              <w:pStyle w:val="2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7DDD90A3">
            <w:pPr>
              <w:pStyle w:val="23"/>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w:t>
            </w:r>
          </w:p>
        </w:tc>
        <w:tc>
          <w:tcPr>
            <w:tcW w:w="8273" w:type="dxa"/>
            <w:vAlign w:val="center"/>
          </w:tcPr>
          <w:p w14:paraId="16289174">
            <w:pPr>
              <w:pStyle w:val="8"/>
              <w:keepNext w:val="0"/>
              <w:keepLines w:val="0"/>
              <w:pageBreakBefore w:val="0"/>
              <w:widowControl/>
              <w:kinsoku/>
              <w:wordWrap/>
              <w:overflowPunct/>
              <w:topLinePunct w:val="0"/>
              <w:autoSpaceDE/>
              <w:autoSpaceDN/>
              <w:bidi w:val="0"/>
              <w:adjustRightInd/>
              <w:snapToGrid w:val="0"/>
              <w:spacing w:before="0" w:after="0" w:line="500" w:lineRule="exact"/>
              <w:ind w:right="0" w:firstLine="480" w:firstLineChars="200"/>
              <w:textAlignment w:val="auto"/>
              <w:rPr>
                <w:rFonts w:hint="default"/>
                <w:color w:val="auto"/>
                <w:lang w:val="en-US"/>
              </w:rPr>
            </w:pPr>
            <w:r>
              <w:rPr>
                <w:rFonts w:hint="default" w:ascii="Times New Roman" w:hAnsi="Times New Roman" w:cs="Times New Roman"/>
                <w:color w:val="auto"/>
                <w:sz w:val="24"/>
              </w:rPr>
              <w:t>本项目</w:t>
            </w:r>
            <w:r>
              <w:rPr>
                <w:rFonts w:hint="eastAsia" w:cs="Times New Roman"/>
                <w:color w:val="auto"/>
                <w:sz w:val="24"/>
                <w:lang w:val="en-US" w:eastAsia="zh-CN"/>
              </w:rPr>
              <w:t>租用</w:t>
            </w:r>
            <w:r>
              <w:rPr>
                <w:rFonts w:hint="default" w:ascii="Times New Roman" w:hAnsi="Times New Roman" w:cs="Times New Roman"/>
                <w:color w:val="auto"/>
                <w:sz w:val="24"/>
              </w:rPr>
              <w:t>闲置厂房</w:t>
            </w:r>
            <w:r>
              <w:rPr>
                <w:rFonts w:hint="eastAsia" w:cs="Times New Roman"/>
                <w:color w:val="auto"/>
                <w:sz w:val="24"/>
                <w:lang w:val="en-US" w:eastAsia="zh-CN"/>
              </w:rPr>
              <w:t>建设</w:t>
            </w:r>
            <w:r>
              <w:rPr>
                <w:rFonts w:hint="default" w:ascii="Times New Roman" w:hAnsi="Times New Roman" w:cs="Times New Roman"/>
                <w:color w:val="auto"/>
                <w:sz w:val="24"/>
              </w:rPr>
              <w:t>，包括后期设备安装等，不涉及土建，对周围环境影响较小，故本次环评不再对施工期环境影响进行分析</w:t>
            </w:r>
            <w:r>
              <w:rPr>
                <w:rFonts w:hint="default" w:ascii="Times New Roman" w:hAnsi="Times New Roman" w:cs="Times New Roman"/>
                <w:bCs/>
                <w:color w:val="auto"/>
                <w:sz w:val="24"/>
              </w:rPr>
              <w:t>。</w:t>
            </w:r>
          </w:p>
        </w:tc>
      </w:tr>
      <w:tr w14:paraId="2EBD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4" w:hRule="atLeast"/>
        </w:trPr>
        <w:tc>
          <w:tcPr>
            <w:tcW w:w="876" w:type="dxa"/>
            <w:tcMar>
              <w:left w:w="28" w:type="dxa"/>
              <w:right w:w="28" w:type="dxa"/>
            </w:tcMar>
            <w:vAlign w:val="center"/>
          </w:tcPr>
          <w:p w14:paraId="68A1052F">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5BFA235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00122FD7">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0E12B6A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660B52F3">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2603CE9D">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273" w:type="dxa"/>
            <w:vAlign w:val="center"/>
          </w:tcPr>
          <w:p w14:paraId="5E0AA2AE">
            <w:pPr>
              <w:keepNext w:val="0"/>
              <w:keepLines w:val="0"/>
              <w:pageBreakBefore w:val="0"/>
              <w:kinsoku/>
              <w:wordWrap/>
              <w:overflowPunct/>
              <w:topLinePunct w:val="0"/>
              <w:autoSpaceDE/>
              <w:autoSpaceDN/>
              <w:bidi w:val="0"/>
              <w:adjustRightInd w:val="0"/>
              <w:snapToGrid w:val="0"/>
              <w:spacing w:line="500" w:lineRule="exact"/>
              <w:rPr>
                <w:rFonts w:hint="default" w:ascii="Times New Roman" w:hAnsi="Times New Roman" w:cs="Times New Roman"/>
                <w:b/>
                <w:color w:val="auto"/>
                <w:sz w:val="24"/>
              </w:rPr>
            </w:pPr>
            <w:r>
              <w:rPr>
                <w:rFonts w:hint="default" w:ascii="Times New Roman" w:hAnsi="Times New Roman" w:cs="Times New Roman"/>
                <w:b/>
                <w:color w:val="auto"/>
                <w:sz w:val="24"/>
                <w:lang w:eastAsia="zh-CN"/>
              </w:rPr>
              <w:t>一</w:t>
            </w:r>
            <w:r>
              <w:rPr>
                <w:rFonts w:hint="default" w:ascii="Times New Roman" w:hAnsi="Times New Roman" w:cs="Times New Roman"/>
                <w:b/>
                <w:color w:val="auto"/>
                <w:sz w:val="24"/>
              </w:rPr>
              <w:t>、废气</w:t>
            </w:r>
          </w:p>
          <w:p w14:paraId="43133A25">
            <w:pPr>
              <w:keepNext w:val="0"/>
              <w:keepLines w:val="0"/>
              <w:pageBreakBefore w:val="0"/>
              <w:kinsoku/>
              <w:wordWrap/>
              <w:overflowPunct/>
              <w:topLinePunct w:val="0"/>
              <w:autoSpaceDE/>
              <w:autoSpaceDN/>
              <w:bidi w:val="0"/>
              <w:adjustRightInd w:val="0"/>
              <w:snapToGrid w:val="0"/>
              <w:spacing w:line="500" w:lineRule="exact"/>
              <w:ind w:firstLine="482" w:firstLineChars="200"/>
              <w:rPr>
                <w:rFonts w:hint="default" w:ascii="Times New Roman" w:hAnsi="Times New Roman" w:cs="Times New Roman"/>
                <w:b/>
                <w:bCs/>
                <w:color w:val="auto"/>
                <w:sz w:val="24"/>
                <w:lang w:val="en-US"/>
              </w:rPr>
            </w:pPr>
            <w:r>
              <w:rPr>
                <w:rFonts w:hint="default" w:ascii="Times New Roman" w:hAnsi="Times New Roman" w:cs="Times New Roman"/>
                <w:b/>
                <w:bCs/>
                <w:color w:val="auto"/>
                <w:sz w:val="24"/>
                <w:lang w:val="en-US" w:eastAsia="zh-CN"/>
              </w:rPr>
              <w:t>1、废气产生情况</w:t>
            </w:r>
          </w:p>
          <w:p w14:paraId="07F7947F">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（1）</w:t>
            </w:r>
            <w:r>
              <w:rPr>
                <w:rFonts w:hint="eastAsia" w:ascii="Times New Roman" w:hAnsi="Times New Roman" w:eastAsia="宋体" w:cs="Times New Roman"/>
                <w:bCs/>
                <w:color w:val="auto"/>
                <w:kern w:val="2"/>
                <w:sz w:val="24"/>
                <w:szCs w:val="24"/>
                <w:lang w:val="en-US" w:eastAsia="zh-CN" w:bidi="ar-SA"/>
              </w:rPr>
              <w:t>浸助焊剂废气</w:t>
            </w:r>
            <w:r>
              <w:rPr>
                <w:rFonts w:hint="default" w:ascii="Times New Roman" w:hAnsi="Times New Roman" w:eastAsia="宋体" w:cs="Times New Roman"/>
                <w:bCs/>
                <w:color w:val="auto"/>
                <w:kern w:val="2"/>
                <w:sz w:val="24"/>
                <w:szCs w:val="24"/>
                <w:lang w:val="en-US" w:eastAsia="zh-CN" w:bidi="ar-SA"/>
              </w:rPr>
              <w:t>（G1）</w:t>
            </w:r>
          </w:p>
          <w:p w14:paraId="59BE600B">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浸助焊剂</w:t>
            </w:r>
            <w:r>
              <w:rPr>
                <w:rFonts w:hint="default" w:ascii="Times New Roman" w:hAnsi="Times New Roman" w:eastAsia="宋体" w:cs="Times New Roman"/>
                <w:bCs/>
                <w:color w:val="auto"/>
                <w:kern w:val="2"/>
                <w:sz w:val="24"/>
                <w:szCs w:val="24"/>
                <w:lang w:val="en-US" w:eastAsia="zh-CN" w:bidi="ar-SA"/>
              </w:rPr>
              <w:t>过程产生废气，以</w:t>
            </w:r>
            <w:r>
              <w:rPr>
                <w:rFonts w:hint="eastAsia" w:ascii="Times New Roman" w:hAnsi="Times New Roman" w:eastAsia="宋体" w:cs="Times New Roman"/>
                <w:bCs/>
                <w:color w:val="auto"/>
                <w:kern w:val="2"/>
                <w:sz w:val="24"/>
                <w:szCs w:val="24"/>
                <w:lang w:val="en-US" w:eastAsia="zh-CN" w:bidi="ar-SA"/>
              </w:rPr>
              <w:t>非甲烷总烃</w:t>
            </w:r>
            <w:r>
              <w:rPr>
                <w:rFonts w:hint="default" w:ascii="Times New Roman" w:hAnsi="Times New Roman" w:eastAsia="宋体" w:cs="Times New Roman"/>
                <w:bCs/>
                <w:color w:val="auto"/>
                <w:kern w:val="2"/>
                <w:sz w:val="24"/>
                <w:szCs w:val="24"/>
                <w:lang w:val="en-US" w:eastAsia="zh-CN" w:bidi="ar-SA"/>
              </w:rPr>
              <w:t>计。根据原料供应商提供的水性助焊剂MSDS，助焊剂</w:t>
            </w:r>
            <w:r>
              <w:rPr>
                <w:rFonts w:hint="eastAsia" w:cs="Times New Roman"/>
                <w:bCs/>
                <w:color w:val="auto"/>
                <w:kern w:val="2"/>
                <w:sz w:val="24"/>
                <w:szCs w:val="24"/>
                <w:lang w:val="en-US" w:eastAsia="zh-CN" w:bidi="ar-SA"/>
              </w:rPr>
              <w:t>成分为</w:t>
            </w:r>
            <w:r>
              <w:rPr>
                <w:rFonts w:hint="default" w:ascii="Times New Roman" w:hAnsi="Times New Roman" w:eastAsia="宋体" w:cs="Times New Roman"/>
                <w:color w:val="auto"/>
                <w:kern w:val="0"/>
                <w:sz w:val="24"/>
                <w:szCs w:val="24"/>
                <w:lang w:val="en-US" w:eastAsia="zh-CN" w:bidi="ar"/>
              </w:rPr>
              <w:t>醇醚活性剂0.3%、二溴丁烯二醇0.5%、二甲醚0.2%、丁二酸、柠檬酸、酒石酸0.2%、去离子水98.8%</w:t>
            </w:r>
            <w:r>
              <w:rPr>
                <w:rFonts w:hint="eastAsia" w:cs="Times New Roman"/>
                <w:color w:val="auto"/>
                <w:kern w:val="0"/>
                <w:sz w:val="24"/>
                <w:szCs w:val="24"/>
                <w:lang w:val="en-US" w:eastAsia="zh-CN" w:bidi="ar"/>
              </w:rPr>
              <w:t>，</w:t>
            </w:r>
            <w:r>
              <w:rPr>
                <w:rFonts w:hint="eastAsia" w:cs="Times New Roman"/>
                <w:bCs/>
                <w:color w:val="auto"/>
                <w:kern w:val="2"/>
                <w:sz w:val="24"/>
                <w:szCs w:val="24"/>
                <w:lang w:val="en-US" w:eastAsia="zh-CN" w:bidi="ar-SA"/>
              </w:rPr>
              <w:t>约</w:t>
            </w:r>
            <w:r>
              <w:rPr>
                <w:rFonts w:hint="default" w:ascii="Times New Roman" w:hAnsi="Times New Roman" w:eastAsia="宋体" w:cs="Times New Roman"/>
                <w:bCs/>
                <w:color w:val="auto"/>
                <w:kern w:val="2"/>
                <w:sz w:val="24"/>
                <w:szCs w:val="24"/>
                <w:lang w:val="en-US" w:eastAsia="zh-CN" w:bidi="ar-SA"/>
              </w:rPr>
              <w:t>含1</w:t>
            </w:r>
            <w:r>
              <w:rPr>
                <w:rFonts w:hint="eastAsia"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%的挥发性组分</w:t>
            </w:r>
            <w:r>
              <w:rPr>
                <w:rFonts w:hint="eastAsia" w:cs="Times New Roman"/>
                <w:bCs/>
                <w:color w:val="auto"/>
                <w:kern w:val="2"/>
                <w:sz w:val="24"/>
                <w:szCs w:val="24"/>
                <w:lang w:val="en-US" w:eastAsia="zh-CN" w:bidi="ar-SA"/>
              </w:rPr>
              <w:t>（</w:t>
            </w:r>
            <w:r>
              <w:rPr>
                <w:rFonts w:hint="default" w:ascii="Times New Roman" w:hAnsi="Times New Roman" w:eastAsia="宋体" w:cs="Times New Roman"/>
                <w:color w:val="auto"/>
                <w:kern w:val="0"/>
                <w:sz w:val="24"/>
                <w:szCs w:val="24"/>
                <w:lang w:val="en-US" w:eastAsia="zh-CN" w:bidi="ar"/>
              </w:rPr>
              <w:t>醇醚活性剂</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二溴丁烯二醇、二甲醚、丁二酸、柠檬酸、酒石酸</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，本项目水性助焊剂用量为</w:t>
            </w:r>
            <w:r>
              <w:rPr>
                <w:rFonts w:hint="eastAsia" w:ascii="Times New Roman" w:hAnsi="Times New Roman" w:eastAsia="宋体" w:cs="Times New Roman"/>
                <w:bCs/>
                <w:color w:val="auto"/>
                <w:kern w:val="2"/>
                <w:sz w:val="24"/>
                <w:szCs w:val="24"/>
                <w:lang w:val="en-US" w:eastAsia="zh-CN" w:bidi="ar-SA"/>
              </w:rPr>
              <w:t>0.1</w:t>
            </w:r>
            <w:r>
              <w:rPr>
                <w:rFonts w:hint="default" w:ascii="Times New Roman" w:hAnsi="Times New Roman" w:eastAsia="宋体" w:cs="Times New Roman"/>
                <w:bCs/>
                <w:color w:val="auto"/>
                <w:kern w:val="2"/>
                <w:sz w:val="24"/>
                <w:szCs w:val="24"/>
                <w:lang w:val="en-US" w:eastAsia="zh-CN" w:bidi="ar-SA"/>
              </w:rPr>
              <w:t>t/a，则</w:t>
            </w:r>
            <w:r>
              <w:rPr>
                <w:rFonts w:hint="eastAsia" w:ascii="Times New Roman" w:hAnsi="Times New Roman" w:eastAsia="宋体" w:cs="Times New Roman"/>
                <w:bCs/>
                <w:color w:val="auto"/>
                <w:kern w:val="2"/>
                <w:sz w:val="24"/>
                <w:szCs w:val="24"/>
                <w:lang w:val="en-US" w:eastAsia="zh-CN" w:bidi="ar-SA"/>
              </w:rPr>
              <w:t>浸助焊剂</w:t>
            </w:r>
            <w:r>
              <w:rPr>
                <w:rFonts w:hint="default" w:ascii="Times New Roman" w:hAnsi="Times New Roman" w:eastAsia="宋体" w:cs="Times New Roman"/>
                <w:bCs/>
                <w:color w:val="auto"/>
                <w:kern w:val="2"/>
                <w:sz w:val="24"/>
                <w:szCs w:val="24"/>
                <w:lang w:val="en-US" w:eastAsia="zh-CN" w:bidi="ar-SA"/>
              </w:rPr>
              <w:t>废气非甲烷总烃产生量约为0.</w:t>
            </w:r>
            <w:r>
              <w:rPr>
                <w:rFonts w:hint="eastAsia" w:ascii="Times New Roman" w:hAnsi="Times New Roman" w:eastAsia="宋体" w:cs="Times New Roman"/>
                <w:bCs/>
                <w:color w:val="auto"/>
                <w:kern w:val="2"/>
                <w:sz w:val="24"/>
                <w:szCs w:val="24"/>
                <w:lang w:val="en-US" w:eastAsia="zh-CN" w:bidi="ar-SA"/>
              </w:rPr>
              <w:t>001</w:t>
            </w:r>
            <w:r>
              <w:rPr>
                <w:rFonts w:hint="default" w:ascii="Times New Roman" w:hAnsi="Times New Roman" w:eastAsia="宋体" w:cs="Times New Roman"/>
                <w:bCs/>
                <w:color w:val="auto"/>
                <w:kern w:val="2"/>
                <w:sz w:val="24"/>
                <w:szCs w:val="24"/>
                <w:lang w:val="en-US" w:eastAsia="zh-CN" w:bidi="ar-SA"/>
              </w:rPr>
              <w:t>t/a</w:t>
            </w:r>
            <w:r>
              <w:rPr>
                <w:rFonts w:hint="eastAsia" w:ascii="Times New Roman" w:hAnsi="Times New Roman" w:eastAsia="宋体" w:cs="Times New Roman"/>
                <w:bCs/>
                <w:color w:val="auto"/>
                <w:kern w:val="2"/>
                <w:sz w:val="24"/>
                <w:szCs w:val="24"/>
                <w:lang w:val="en-US" w:eastAsia="zh-CN" w:bidi="ar-SA"/>
              </w:rPr>
              <w:t>。</w:t>
            </w:r>
          </w:p>
          <w:p w14:paraId="0CFC4580">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浸锡</w:t>
            </w:r>
            <w:r>
              <w:rPr>
                <w:rFonts w:hint="default" w:ascii="Times New Roman" w:hAnsi="Times New Roman" w:eastAsia="宋体" w:cs="Times New Roman"/>
                <w:bCs/>
                <w:color w:val="auto"/>
                <w:kern w:val="2"/>
                <w:sz w:val="24"/>
                <w:szCs w:val="24"/>
                <w:lang w:val="en-US" w:eastAsia="zh-CN" w:bidi="ar-SA"/>
              </w:rPr>
              <w:t>废气（G</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32162E90">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项目浸锡过程产生废气，主要污染物为锡及其化合物。参照《排放源统计调查产排污核算方法和系数手册》—</w:t>
            </w:r>
            <w:r>
              <w:rPr>
                <w:rFonts w:hint="default" w:ascii="Times New Roman" w:hAnsi="Times New Roman" w:eastAsia="宋体" w:cs="Times New Roman"/>
                <w:bCs/>
                <w:color w:val="auto"/>
                <w:kern w:val="2"/>
                <w:sz w:val="24"/>
                <w:szCs w:val="24"/>
                <w:lang w:val="en-US" w:eastAsia="zh-CN" w:bidi="ar-SA"/>
              </w:rPr>
              <w:t>38-40</w:t>
            </w:r>
            <w:r>
              <w:rPr>
                <w:rFonts w:hint="eastAsia" w:ascii="Times New Roman" w:hAnsi="Times New Roman" w:eastAsia="宋体" w:cs="Times New Roman"/>
                <w:bCs/>
                <w:color w:val="auto"/>
                <w:kern w:val="2"/>
                <w:sz w:val="24"/>
                <w:szCs w:val="24"/>
                <w:lang w:val="en-US" w:eastAsia="zh-CN" w:bidi="ar-SA"/>
              </w:rPr>
              <w:t>电子电气行业系数手册中—附件</w:t>
            </w:r>
            <w:r>
              <w:rPr>
                <w:rFonts w:hint="default" w:ascii="Times New Roman" w:hAnsi="Times New Roman" w:eastAsia="宋体" w:cs="Times New Roman"/>
                <w:bCs/>
                <w:color w:val="auto"/>
                <w:kern w:val="2"/>
                <w:sz w:val="24"/>
                <w:szCs w:val="24"/>
                <w:lang w:val="en-US" w:eastAsia="zh-CN" w:bidi="ar-SA"/>
              </w:rPr>
              <w:t>3</w:t>
            </w:r>
            <w:r>
              <w:rPr>
                <w:rFonts w:hint="eastAsia" w:ascii="Times New Roman" w:hAnsi="Times New Roman" w:eastAsia="宋体" w:cs="Times New Roman"/>
                <w:bCs/>
                <w:color w:val="auto"/>
                <w:kern w:val="2"/>
                <w:sz w:val="24"/>
                <w:szCs w:val="24"/>
                <w:lang w:val="en-US" w:eastAsia="zh-CN" w:bidi="ar-SA"/>
              </w:rPr>
              <w:t>行业特殊工段实用性说明—（</w:t>
            </w:r>
            <w:r>
              <w:rPr>
                <w:rFonts w:hint="default" w:ascii="Times New Roman" w:hAnsi="Times New Roman" w:eastAsia="宋体" w:cs="Times New Roman"/>
                <w:bCs/>
                <w:color w:val="auto"/>
                <w:kern w:val="2"/>
                <w:sz w:val="24"/>
                <w:szCs w:val="24"/>
                <w:lang w:val="en-US" w:eastAsia="zh-CN" w:bidi="ar-SA"/>
              </w:rPr>
              <w:t>10</w:t>
            </w:r>
            <w:r>
              <w:rPr>
                <w:rFonts w:hint="eastAsia" w:ascii="Times New Roman" w:hAnsi="Times New Roman" w:eastAsia="宋体" w:cs="Times New Roman"/>
                <w:bCs/>
                <w:color w:val="auto"/>
                <w:kern w:val="2"/>
                <w:sz w:val="24"/>
                <w:szCs w:val="24"/>
                <w:lang w:val="en-US" w:eastAsia="zh-CN" w:bidi="ar-SA"/>
              </w:rPr>
              <w:t>）“搪锡”、“沾锡”、“焊锡”、“浸锡”等工艺使用本手册的“波峰焊”工艺核算，无铅焊料（锡条、锡块等，不含助焊剂）产污系数为</w:t>
            </w:r>
            <w:r>
              <w:rPr>
                <w:rFonts w:hint="default" w:ascii="Times New Roman" w:hAnsi="Times New Roman" w:eastAsia="宋体" w:cs="Times New Roman"/>
                <w:bCs/>
                <w:color w:val="auto"/>
                <w:kern w:val="2"/>
                <w:sz w:val="24"/>
                <w:szCs w:val="24"/>
                <w:lang w:val="en-US" w:eastAsia="zh-CN" w:bidi="ar-SA"/>
              </w:rPr>
              <w:t>0.4134g/kg</w:t>
            </w:r>
            <w:r>
              <w:rPr>
                <w:rFonts w:hint="eastAsia" w:ascii="Times New Roman" w:hAnsi="Times New Roman" w:eastAsia="宋体" w:cs="Times New Roman"/>
                <w:bCs/>
                <w:color w:val="auto"/>
                <w:kern w:val="2"/>
                <w:sz w:val="24"/>
                <w:szCs w:val="24"/>
                <w:lang w:val="en-US" w:eastAsia="zh-CN" w:bidi="ar-SA"/>
              </w:rPr>
              <w:t>焊料，本项目使用</w:t>
            </w:r>
            <w:r>
              <w:rPr>
                <w:rFonts w:hint="eastAsia"/>
                <w:bCs/>
                <w:color w:val="auto"/>
                <w:sz w:val="24"/>
                <w:szCs w:val="24"/>
              </w:rPr>
              <w:t>无铅焊锡条</w:t>
            </w:r>
            <w:r>
              <w:rPr>
                <w:rFonts w:hint="eastAsia" w:ascii="Times New Roman" w:hAnsi="Times New Roman" w:eastAsia="宋体" w:cs="Times New Roman"/>
                <w:bCs/>
                <w:color w:val="auto"/>
                <w:kern w:val="2"/>
                <w:sz w:val="24"/>
                <w:szCs w:val="24"/>
                <w:lang w:val="en-US" w:eastAsia="zh-CN" w:bidi="ar-SA"/>
              </w:rPr>
              <w:t>10</w:t>
            </w:r>
            <w:r>
              <w:rPr>
                <w:rFonts w:hint="default" w:ascii="Times New Roman" w:hAnsi="Times New Roman" w:eastAsia="宋体" w:cs="Times New Roman"/>
                <w:bCs/>
                <w:color w:val="auto"/>
                <w:kern w:val="2"/>
                <w:sz w:val="24"/>
                <w:szCs w:val="24"/>
                <w:lang w:val="en-US" w:eastAsia="zh-CN" w:bidi="ar-SA"/>
              </w:rPr>
              <w:t>t/a</w:t>
            </w:r>
            <w:r>
              <w:rPr>
                <w:rFonts w:hint="eastAsia" w:ascii="Times New Roman" w:hAnsi="Times New Roman" w:eastAsia="宋体" w:cs="Times New Roman"/>
                <w:bCs/>
                <w:color w:val="auto"/>
                <w:kern w:val="2"/>
                <w:sz w:val="24"/>
                <w:szCs w:val="24"/>
                <w:lang w:val="en-US" w:eastAsia="zh-CN" w:bidi="ar-SA"/>
              </w:rPr>
              <w:t>，则浸锡工段产生锡及其化合物</w:t>
            </w:r>
            <w:r>
              <w:rPr>
                <w:rFonts w:hint="default" w:ascii="Times New Roman" w:hAnsi="Times New Roman" w:eastAsia="宋体" w:cs="Times New Roman"/>
                <w:bCs/>
                <w:color w:val="auto"/>
                <w:kern w:val="2"/>
                <w:sz w:val="24"/>
                <w:szCs w:val="24"/>
                <w:lang w:val="en-US" w:eastAsia="zh-CN" w:bidi="ar-SA"/>
              </w:rPr>
              <w:t>0.00</w:t>
            </w:r>
            <w:r>
              <w:rPr>
                <w:rFonts w:hint="eastAsia" w:ascii="Times New Roman" w:hAnsi="Times New Roman" w:eastAsia="宋体" w:cs="Times New Roman"/>
                <w:bCs/>
                <w:color w:val="auto"/>
                <w:kern w:val="2"/>
                <w:sz w:val="24"/>
                <w:szCs w:val="24"/>
                <w:lang w:val="en-US" w:eastAsia="zh-CN" w:bidi="ar-SA"/>
              </w:rPr>
              <w:t>4</w:t>
            </w:r>
            <w:r>
              <w:rPr>
                <w:rFonts w:hint="default" w:ascii="Times New Roman" w:hAnsi="Times New Roman" w:eastAsia="宋体" w:cs="Times New Roman"/>
                <w:bCs/>
                <w:color w:val="auto"/>
                <w:kern w:val="2"/>
                <w:sz w:val="24"/>
                <w:szCs w:val="24"/>
                <w:lang w:val="en-US" w:eastAsia="zh-CN" w:bidi="ar-SA"/>
              </w:rPr>
              <w:t>t/a。</w:t>
            </w:r>
          </w:p>
          <w:p w14:paraId="6414111B">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w:t>
            </w:r>
            <w:r>
              <w:rPr>
                <w:rFonts w:hint="eastAsia" w:cs="Times New Roman"/>
                <w:color w:val="auto"/>
                <w:kern w:val="2"/>
                <w:sz w:val="24"/>
                <w:szCs w:val="24"/>
                <w:highlight w:val="none"/>
                <w:lang w:val="en-US" w:eastAsia="zh-CN" w:bidi="ar-SA"/>
              </w:rPr>
              <w:t>热封</w:t>
            </w:r>
            <w:r>
              <w:rPr>
                <w:rFonts w:hint="default" w:ascii="Times New Roman" w:hAnsi="Times New Roman" w:eastAsia="宋体" w:cs="Times New Roman"/>
                <w:bCs/>
                <w:color w:val="auto"/>
                <w:kern w:val="2"/>
                <w:sz w:val="24"/>
                <w:szCs w:val="24"/>
                <w:lang w:val="en-US" w:eastAsia="zh-CN" w:bidi="ar-SA"/>
              </w:rPr>
              <w:t>废气（G</w:t>
            </w:r>
            <w:r>
              <w:rPr>
                <w:rFonts w:hint="eastAsia" w:cs="Times New Roman"/>
                <w:bCs/>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w:t>
            </w:r>
          </w:p>
          <w:p w14:paraId="041677AF">
            <w:pPr>
              <w:pStyle w:val="8"/>
              <w:keepNext w:val="0"/>
              <w:keepLines w:val="0"/>
              <w:pageBreakBefore w:val="0"/>
              <w:kinsoku/>
              <w:wordWrap/>
              <w:overflowPunct/>
              <w:topLinePunct w:val="0"/>
              <w:autoSpaceDE/>
              <w:autoSpaceDN/>
              <w:bidi w:val="0"/>
              <w:adjustRightInd w:val="0"/>
              <w:snapToGrid w:val="0"/>
              <w:spacing w:before="0" w:after="0" w:line="500" w:lineRule="exact"/>
              <w:ind w:right="0" w:firstLine="480" w:firstLineChars="200"/>
              <w:textAlignment w:val="baseline"/>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项目热封过程产生废气，主要污染物为非甲烷总烃。项目热缩管消耗3.6t/a</w:t>
            </w:r>
            <w:r>
              <w:rPr>
                <w:rFonts w:hint="eastAsia"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热缩管材质为PE，PE熔点在105 - 115℃左右，项目热封加热温度约80℃，热缩管受热产生的废气极微量，可忽略不计，本次不对其进行定量分析</w:t>
            </w:r>
            <w:r>
              <w:rPr>
                <w:rFonts w:hint="default" w:ascii="Times New Roman" w:hAnsi="Times New Roman" w:eastAsia="宋体" w:cs="Times New Roman"/>
                <w:bCs/>
                <w:color w:val="auto"/>
                <w:kern w:val="2"/>
                <w:sz w:val="24"/>
                <w:szCs w:val="24"/>
                <w:lang w:val="en-US" w:eastAsia="zh-CN" w:bidi="ar-SA"/>
              </w:rPr>
              <w:t>。</w:t>
            </w:r>
          </w:p>
          <w:p w14:paraId="241E22B2">
            <w:pPr>
              <w:numPr>
                <w:ilvl w:val="0"/>
                <w:numId w:val="2"/>
              </w:numPr>
              <w:adjustRightInd w:val="0"/>
              <w:snapToGrid w:val="0"/>
              <w:spacing w:line="500" w:lineRule="exact"/>
              <w:ind w:left="239" w:leftChars="114" w:firstLine="241" w:firstLineChars="1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污染</w:t>
            </w:r>
            <w:r>
              <w:rPr>
                <w:rFonts w:hint="default" w:ascii="Times New Roman" w:hAnsi="Times New Roman" w:cs="Times New Roman"/>
                <w:b/>
                <w:bCs/>
                <w:color w:val="auto"/>
                <w:sz w:val="24"/>
              </w:rPr>
              <w:t>防治措施</w:t>
            </w:r>
          </w:p>
          <w:p w14:paraId="18170DBB">
            <w:pPr>
              <w:numPr>
                <w:ilvl w:val="0"/>
                <w:numId w:val="0"/>
              </w:numPr>
              <w:adjustRightInd w:val="0"/>
              <w:snapToGrid w:val="0"/>
              <w:spacing w:line="500" w:lineRule="exact"/>
              <w:ind w:leftChars="214"/>
              <w:rPr>
                <w:rFonts w:hint="eastAsia" w:ascii="Times New Roman" w:hAnsi="Times New Roman" w:eastAsia="宋体" w:cs="Times New Roman"/>
                <w:b/>
                <w:bCs/>
                <w:color w:val="auto"/>
                <w:sz w:val="24"/>
                <w:lang w:val="en-US" w:eastAsia="zh-CN"/>
              </w:rPr>
            </w:pPr>
            <w:r>
              <w:rPr>
                <w:rFonts w:hint="eastAsia" w:cs="Times New Roman"/>
                <w:bCs/>
                <w:color w:val="auto"/>
                <w:sz w:val="24"/>
                <w:lang w:val="en-US" w:eastAsia="zh-CN"/>
              </w:rPr>
              <w:t>1</w:t>
            </w:r>
            <w:r>
              <w:rPr>
                <w:rFonts w:hint="default" w:ascii="Times New Roman" w:hAnsi="Times New Roman" w:cs="Times New Roman"/>
                <w:bCs/>
                <w:color w:val="auto"/>
                <w:sz w:val="24"/>
              </w:rPr>
              <w:t>）</w:t>
            </w:r>
            <w:r>
              <w:rPr>
                <w:rFonts w:hint="eastAsia" w:cs="Times New Roman"/>
                <w:bCs/>
                <w:color w:val="auto"/>
                <w:sz w:val="24"/>
                <w:lang w:eastAsia="zh-CN"/>
              </w:rPr>
              <w:t>废气治理设施</w:t>
            </w:r>
          </w:p>
          <w:p w14:paraId="19C2D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drawing>
                <wp:inline distT="0" distB="0" distL="114300" distR="114300">
                  <wp:extent cx="5113655" cy="528955"/>
                  <wp:effectExtent l="0" t="0" r="1079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tretch>
                            <a:fillRect/>
                          </a:stretch>
                        </pic:blipFill>
                        <pic:spPr>
                          <a:xfrm>
                            <a:off x="0" y="0"/>
                            <a:ext cx="5113655" cy="528955"/>
                          </a:xfrm>
                          <a:prstGeom prst="rect">
                            <a:avLst/>
                          </a:prstGeom>
                          <a:noFill/>
                          <a:ln>
                            <a:noFill/>
                          </a:ln>
                        </pic:spPr>
                      </pic:pic>
                    </a:graphicData>
                  </a:graphic>
                </wp:inline>
              </w:drawing>
            </w:r>
          </w:p>
          <w:p w14:paraId="5FB7A1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FF0000"/>
                <w:szCs w:val="21"/>
                <w:lang w:eastAsia="zh-CN"/>
              </w:rPr>
            </w:pPr>
            <w:r>
              <w:rPr>
                <w:rFonts w:hint="default" w:ascii="Times New Roman" w:hAnsi="Times New Roman" w:cs="Times New Roman"/>
                <w:b/>
                <w:bCs/>
                <w:color w:val="FF0000"/>
                <w:szCs w:val="21"/>
                <w:lang w:eastAsia="zh-CN"/>
              </w:rPr>
              <w:t>图4-1项目废气治理措施示意图</w:t>
            </w:r>
          </w:p>
          <w:p w14:paraId="12EFAFD1">
            <w:pPr>
              <w:pStyle w:val="23"/>
              <w:keepNext w:val="0"/>
              <w:keepLines w:val="0"/>
              <w:pageBreakBefore w:val="0"/>
              <w:kinsoku/>
              <w:wordWrap/>
              <w:overflowPunct/>
              <w:topLinePunct w:val="0"/>
              <w:autoSpaceDE/>
              <w:autoSpaceDN/>
              <w:bidi w:val="0"/>
              <w:adjustRightInd w:val="0"/>
              <w:snapToGrid w:val="0"/>
              <w:spacing w:before="0" w:beforeAutospacing="0" w:after="0" w:afterAutospacing="0" w:line="500" w:lineRule="exact"/>
              <w:ind w:left="0" w:lef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①废气收集系统风量核算</w:t>
            </w:r>
          </w:p>
          <w:p w14:paraId="3F707B7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结合生产工艺、设备配置情况，本项目</w:t>
            </w:r>
            <w:r>
              <w:rPr>
                <w:rFonts w:hint="eastAsia" w:ascii="Times New Roman" w:hAnsi="Times New Roman" w:eastAsia="宋体" w:cs="Times New Roman"/>
                <w:bCs/>
                <w:color w:val="auto"/>
                <w:kern w:val="2"/>
                <w:sz w:val="24"/>
                <w:szCs w:val="24"/>
                <w:lang w:val="en-US" w:eastAsia="zh-CN" w:bidi="ar-SA"/>
              </w:rPr>
              <w:t>浸锡</w:t>
            </w:r>
            <w:r>
              <w:rPr>
                <w:rFonts w:hint="eastAsia" w:cs="Times New Roman"/>
                <w:color w:val="auto"/>
                <w:sz w:val="24"/>
                <w:lang w:val="en-US" w:eastAsia="zh-CN"/>
              </w:rPr>
              <w:t>废气</w:t>
            </w:r>
            <w:r>
              <w:rPr>
                <w:rFonts w:hint="default" w:ascii="Times New Roman" w:hAnsi="Times New Roman" w:eastAsia="宋体" w:cs="Times New Roman"/>
                <w:color w:val="auto"/>
                <w:sz w:val="24"/>
                <w:szCs w:val="24"/>
              </w:rPr>
              <w:t>采用上吸风罩收集。</w:t>
            </w:r>
          </w:p>
          <w:p w14:paraId="157587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上吸风罩排风量L（m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/s）的计算公式为：</w:t>
            </w:r>
          </w:p>
          <w:p w14:paraId="09FCA3AA">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rPr>
            </w:pPr>
            <m:oMathPara>
              <m:oMath>
                <m:r>
                  <m:rPr>
                    <m:sty m:val="p"/>
                  </m:rPr>
                  <w:rPr>
                    <w:rFonts w:hint="default" w:ascii="Cambria Math" w:hAnsi="Cambria Math" w:eastAsia="宋体" w:cs="Times New Roman"/>
                    <w:color w:val="auto"/>
                    <w:kern w:val="2"/>
                    <w:sz w:val="24"/>
                    <w:szCs w:val="24"/>
                    <w:lang w:val="en-US" w:eastAsia="zh-CN" w:bidi="ar-SA"/>
                  </w:rPr>
                  <m:t>L=K∗P∗H∗</m:t>
                </m:r>
                <m:sSub>
                  <m:sSubPr>
                    <m:ctrlPr>
                      <w:rPr>
                        <w:rFonts w:hint="default" w:ascii="Cambria Math" w:hAnsi="Cambria Math" w:eastAsia="宋体" w:cs="Times New Roman"/>
                        <w:color w:val="auto"/>
                        <w:kern w:val="2"/>
                        <w:sz w:val="24"/>
                        <w:szCs w:val="24"/>
                        <w:lang w:val="en-US" w:eastAsia="zh-CN" w:bidi="ar-SA"/>
                      </w:rPr>
                    </m:ctrlPr>
                  </m:sSubPr>
                  <m:e>
                    <m:r>
                      <m:rPr>
                        <m:sty m:val="p"/>
                      </m:rPr>
                      <w:rPr>
                        <w:rFonts w:hint="default" w:ascii="Cambria Math" w:hAnsi="Cambria Math" w:eastAsia="宋体" w:cs="Times New Roman"/>
                        <w:color w:val="auto"/>
                        <w:kern w:val="2"/>
                        <w:sz w:val="24"/>
                        <w:szCs w:val="24"/>
                        <w:lang w:val="en-US" w:eastAsia="zh-CN" w:bidi="ar-SA"/>
                      </w:rPr>
                      <m:t>V</m:t>
                    </m:r>
                    <m:ctrlPr>
                      <w:rPr>
                        <w:rFonts w:hint="default" w:ascii="Cambria Math" w:hAnsi="Cambria Math" w:eastAsia="宋体" w:cs="Times New Roman"/>
                        <w:color w:val="auto"/>
                        <w:kern w:val="2"/>
                        <w:sz w:val="24"/>
                        <w:szCs w:val="24"/>
                        <w:lang w:val="en-US" w:eastAsia="zh-CN" w:bidi="ar-SA"/>
                      </w:rPr>
                    </m:ctrlPr>
                  </m:e>
                  <m:sub>
                    <m:r>
                      <m:rPr>
                        <m:sty m:val="p"/>
                      </m:rPr>
                      <w:rPr>
                        <w:rFonts w:hint="default" w:ascii="Cambria Math" w:hAnsi="Cambria Math" w:eastAsia="宋体" w:cs="Times New Roman"/>
                        <w:color w:val="auto"/>
                        <w:kern w:val="2"/>
                        <w:sz w:val="24"/>
                        <w:szCs w:val="24"/>
                        <w:lang w:val="en-US" w:eastAsia="zh-CN" w:bidi="ar-SA"/>
                      </w:rPr>
                      <m:t>x</m:t>
                    </m:r>
                    <m:ctrlPr>
                      <w:rPr>
                        <w:rFonts w:hint="default" w:ascii="Cambria Math" w:hAnsi="Cambria Math" w:eastAsia="宋体" w:cs="Times New Roman"/>
                        <w:color w:val="auto"/>
                        <w:kern w:val="2"/>
                        <w:sz w:val="24"/>
                        <w:szCs w:val="24"/>
                        <w:lang w:val="en-US" w:eastAsia="zh-CN" w:bidi="ar-SA"/>
                      </w:rPr>
                    </m:ctrlPr>
                  </m:sub>
                </m:sSub>
              </m:oMath>
            </m:oMathPara>
          </w:p>
          <w:p w14:paraId="52B0C100">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val="en-US" w:eastAsia="zh-CN"/>
              </w:rPr>
              <w:t>K</w:t>
            </w:r>
            <w:r>
              <w:rPr>
                <w:rFonts w:hint="default" w:ascii="Times New Roman" w:hAnsi="Times New Roman" w:eastAsia="宋体" w:cs="Times New Roman"/>
                <w:color w:val="auto"/>
                <w:sz w:val="24"/>
              </w:rPr>
              <w:t>——考虑沿高度分布不均匀的安全系数，通常取K=1.4</w:t>
            </w:r>
            <w:r>
              <w:rPr>
                <w:rFonts w:hint="default" w:ascii="Times New Roman" w:hAnsi="Times New Roman" w:eastAsia="宋体" w:cs="Times New Roman"/>
                <w:bCs/>
                <w:color w:val="auto"/>
                <w:sz w:val="24"/>
              </w:rPr>
              <w:t>；</w:t>
            </w:r>
          </w:p>
          <w:p w14:paraId="79E187EE">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P</w:t>
            </w:r>
            <w:r>
              <w:rPr>
                <w:rFonts w:hint="default" w:ascii="Times New Roman" w:hAnsi="Times New Roman" w:eastAsia="宋体" w:cs="Times New Roman"/>
                <w:color w:val="auto"/>
                <w:sz w:val="24"/>
              </w:rPr>
              <w:t>——排风罩敞开面的周长，m；</w:t>
            </w:r>
          </w:p>
          <w:p w14:paraId="58EEE229">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H</w:t>
            </w:r>
            <w:r>
              <w:rPr>
                <w:rFonts w:hint="default" w:ascii="Times New Roman" w:hAnsi="Times New Roman" w:eastAsia="宋体" w:cs="Times New Roman"/>
                <w:color w:val="auto"/>
                <w:sz w:val="24"/>
              </w:rPr>
              <w:t>——罩口至有害物源的距离，m；</w:t>
            </w:r>
          </w:p>
          <w:p w14:paraId="7B5A8627">
            <w:pPr>
              <w:keepNext w:val="0"/>
              <w:keepLines w:val="0"/>
              <w:pageBreakBefore w:val="0"/>
              <w:widowControl w:val="0"/>
              <w:kinsoku/>
              <w:wordWrap/>
              <w:topLinePunct w:val="0"/>
              <w:autoSpaceDN/>
              <w:bidi w:val="0"/>
              <w:adjustRightInd w:val="0"/>
              <w:snapToGrid w:val="0"/>
              <w:spacing w:line="50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V</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——边缘控制点的控制风速，m/s；</w:t>
            </w:r>
          </w:p>
          <w:p w14:paraId="45512274">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cs="Times New Roman"/>
                <w:b/>
                <w:bCs/>
                <w:color w:val="auto"/>
                <w:szCs w:val="21"/>
              </w:rPr>
            </w:pPr>
            <w:r>
              <w:rPr>
                <w:rFonts w:hint="default" w:ascii="Times New Roman" w:hAnsi="Times New Roman" w:eastAsia="宋体" w:cs="Times New Roman"/>
                <w:color w:val="auto"/>
                <w:sz w:val="24"/>
              </w:rPr>
              <w:t>根据以上内容，计算各废气处理系统处理风量结果如下表所示：</w:t>
            </w:r>
          </w:p>
          <w:p w14:paraId="7BF79A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 xml:space="preserve">-1 </w:t>
            </w:r>
            <w:r>
              <w:rPr>
                <w:rFonts w:hint="eastAsia" w:ascii="Times New Roman" w:hAnsi="Times New Roman" w:cs="Times New Roman"/>
                <w:b/>
                <w:bCs/>
                <w:color w:val="auto"/>
                <w:szCs w:val="21"/>
                <w:lang w:val="en-US" w:eastAsia="zh-CN"/>
              </w:rPr>
              <w:t xml:space="preserve"> </w:t>
            </w:r>
            <w:r>
              <w:rPr>
                <w:rFonts w:hint="eastAsia" w:cs="Times New Roman"/>
                <w:b/>
                <w:bCs/>
                <w:color w:val="auto"/>
                <w:szCs w:val="21"/>
                <w:lang w:val="en-US" w:eastAsia="zh-CN"/>
              </w:rPr>
              <w:t>项目</w:t>
            </w:r>
            <w:r>
              <w:rPr>
                <w:rFonts w:hint="default" w:ascii="Times New Roman" w:hAnsi="Times New Roman" w:cs="Times New Roman"/>
                <w:b/>
                <w:bCs/>
                <w:color w:val="auto"/>
                <w:szCs w:val="21"/>
              </w:rPr>
              <w:t>废气收集系统风量核算表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88"/>
              <w:gridCol w:w="1206"/>
              <w:gridCol w:w="1007"/>
              <w:gridCol w:w="1236"/>
              <w:gridCol w:w="1306"/>
              <w:gridCol w:w="1671"/>
            </w:tblGrid>
            <w:tr w14:paraId="488948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restart"/>
                  <w:tcBorders>
                    <w:tl2br w:val="nil"/>
                    <w:tr2bl w:val="nil"/>
                  </w:tcBorders>
                  <w:vAlign w:val="center"/>
                </w:tcPr>
                <w:p w14:paraId="4826AA0B">
                  <w:pPr>
                    <w:adjustRightInd w:val="0"/>
                    <w:snapToGrid w:val="0"/>
                    <w:jc w:val="center"/>
                    <w:rPr>
                      <w:b/>
                      <w:bCs/>
                      <w:color w:val="auto"/>
                      <w:szCs w:val="21"/>
                    </w:rPr>
                  </w:pPr>
                  <w:r>
                    <w:rPr>
                      <w:rFonts w:hint="eastAsia"/>
                      <w:b/>
                      <w:bCs/>
                      <w:color w:val="auto"/>
                      <w:szCs w:val="21"/>
                    </w:rPr>
                    <w:t>设备</w:t>
                  </w:r>
                </w:p>
              </w:tc>
              <w:tc>
                <w:tcPr>
                  <w:tcW w:w="550" w:type="pct"/>
                  <w:vMerge w:val="restart"/>
                  <w:tcBorders>
                    <w:tl2br w:val="nil"/>
                    <w:tr2bl w:val="nil"/>
                  </w:tcBorders>
                  <w:vAlign w:val="center"/>
                </w:tcPr>
                <w:p w14:paraId="593B69AC">
                  <w:pPr>
                    <w:adjustRightInd w:val="0"/>
                    <w:snapToGrid w:val="0"/>
                    <w:jc w:val="center"/>
                    <w:rPr>
                      <w:b/>
                      <w:bCs/>
                      <w:color w:val="auto"/>
                      <w:szCs w:val="21"/>
                    </w:rPr>
                  </w:pPr>
                  <w:r>
                    <w:rPr>
                      <w:rFonts w:hint="eastAsia"/>
                      <w:b/>
                      <w:bCs/>
                      <w:color w:val="auto"/>
                      <w:szCs w:val="21"/>
                    </w:rPr>
                    <w:t>H（m）</w:t>
                  </w:r>
                </w:p>
              </w:tc>
              <w:tc>
                <w:tcPr>
                  <w:tcW w:w="1371" w:type="pct"/>
                  <w:gridSpan w:val="2"/>
                  <w:tcBorders>
                    <w:tl2br w:val="nil"/>
                    <w:tr2bl w:val="nil"/>
                  </w:tcBorders>
                  <w:vAlign w:val="center"/>
                </w:tcPr>
                <w:p w14:paraId="3147675B">
                  <w:pPr>
                    <w:adjustRightInd w:val="0"/>
                    <w:snapToGrid w:val="0"/>
                    <w:jc w:val="center"/>
                    <w:rPr>
                      <w:b/>
                      <w:bCs/>
                      <w:color w:val="auto"/>
                      <w:szCs w:val="21"/>
                    </w:rPr>
                  </w:pPr>
                  <w:r>
                    <w:rPr>
                      <w:rFonts w:hint="eastAsia"/>
                      <w:b/>
                      <w:bCs/>
                      <w:color w:val="auto"/>
                      <w:szCs w:val="21"/>
                    </w:rPr>
                    <w:t>罩口参数</w:t>
                  </w:r>
                </w:p>
              </w:tc>
              <w:tc>
                <w:tcPr>
                  <w:tcW w:w="766" w:type="pct"/>
                  <w:vMerge w:val="restart"/>
                  <w:tcBorders>
                    <w:tl2br w:val="nil"/>
                    <w:tr2bl w:val="nil"/>
                  </w:tcBorders>
                  <w:vAlign w:val="center"/>
                </w:tcPr>
                <w:p w14:paraId="0C04DD2E">
                  <w:pPr>
                    <w:adjustRightInd w:val="0"/>
                    <w:snapToGrid w:val="0"/>
                    <w:jc w:val="center"/>
                    <w:rPr>
                      <w:b/>
                      <w:bCs/>
                      <w:color w:val="auto"/>
                      <w:szCs w:val="21"/>
                    </w:rPr>
                  </w:pPr>
                  <w:r>
                    <w:rPr>
                      <w:rFonts w:hint="eastAsia"/>
                      <w:b/>
                      <w:bCs/>
                      <w:color w:val="auto"/>
                      <w:szCs w:val="21"/>
                    </w:rPr>
                    <w:t>Vx（m/s）</w:t>
                  </w:r>
                </w:p>
              </w:tc>
              <w:tc>
                <w:tcPr>
                  <w:tcW w:w="809" w:type="pct"/>
                  <w:vMerge w:val="restart"/>
                  <w:tcBorders>
                    <w:tl2br w:val="nil"/>
                    <w:tr2bl w:val="nil"/>
                  </w:tcBorders>
                  <w:vAlign w:val="center"/>
                </w:tcPr>
                <w:p w14:paraId="70C7EBD3">
                  <w:pPr>
                    <w:adjustRightInd w:val="0"/>
                    <w:snapToGrid w:val="0"/>
                    <w:jc w:val="center"/>
                    <w:rPr>
                      <w:b/>
                      <w:bCs/>
                      <w:color w:val="auto"/>
                      <w:szCs w:val="21"/>
                    </w:rPr>
                  </w:pPr>
                  <w:r>
                    <w:rPr>
                      <w:rFonts w:hint="eastAsia"/>
                      <w:b/>
                      <w:bCs/>
                      <w:color w:val="auto"/>
                      <w:szCs w:val="21"/>
                    </w:rPr>
                    <w:t>Q（m</w:t>
                  </w:r>
                  <w:r>
                    <w:rPr>
                      <w:rFonts w:hint="eastAsia"/>
                      <w:b/>
                      <w:bCs/>
                      <w:color w:val="auto"/>
                      <w:szCs w:val="21"/>
                      <w:vertAlign w:val="superscript"/>
                    </w:rPr>
                    <w:t>3</w:t>
                  </w:r>
                  <w:r>
                    <w:rPr>
                      <w:rFonts w:hint="eastAsia"/>
                      <w:b/>
                      <w:bCs/>
                      <w:color w:val="auto"/>
                      <w:szCs w:val="21"/>
                    </w:rPr>
                    <w:t>/h）</w:t>
                  </w:r>
                </w:p>
              </w:tc>
              <w:tc>
                <w:tcPr>
                  <w:tcW w:w="1035" w:type="pct"/>
                  <w:vMerge w:val="restart"/>
                  <w:tcBorders>
                    <w:tl2br w:val="nil"/>
                    <w:tr2bl w:val="nil"/>
                  </w:tcBorders>
                  <w:vAlign w:val="center"/>
                </w:tcPr>
                <w:p w14:paraId="5CA02ACC">
                  <w:pPr>
                    <w:adjustRightInd w:val="0"/>
                    <w:snapToGrid w:val="0"/>
                    <w:jc w:val="center"/>
                    <w:rPr>
                      <w:b/>
                      <w:bCs/>
                      <w:color w:val="auto"/>
                      <w:szCs w:val="21"/>
                    </w:rPr>
                  </w:pPr>
                  <w:r>
                    <w:rPr>
                      <w:rFonts w:hint="eastAsia"/>
                      <w:b/>
                      <w:bCs/>
                      <w:color w:val="auto"/>
                      <w:szCs w:val="21"/>
                    </w:rPr>
                    <w:t>设计风量（m</w:t>
                  </w:r>
                  <w:r>
                    <w:rPr>
                      <w:rFonts w:hint="eastAsia"/>
                      <w:b/>
                      <w:bCs/>
                      <w:color w:val="auto"/>
                      <w:szCs w:val="21"/>
                      <w:vertAlign w:val="superscript"/>
                    </w:rPr>
                    <w:t>3</w:t>
                  </w:r>
                  <w:r>
                    <w:rPr>
                      <w:rFonts w:hint="eastAsia"/>
                      <w:b/>
                      <w:bCs/>
                      <w:color w:val="auto"/>
                      <w:szCs w:val="21"/>
                    </w:rPr>
                    <w:t>/h）</w:t>
                  </w:r>
                </w:p>
              </w:tc>
            </w:tr>
            <w:tr w14:paraId="26256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vAlign w:val="center"/>
                </w:tcPr>
                <w:p w14:paraId="47173B01">
                  <w:pPr>
                    <w:adjustRightInd w:val="0"/>
                    <w:snapToGrid w:val="0"/>
                    <w:jc w:val="center"/>
                    <w:rPr>
                      <w:color w:val="auto"/>
                      <w:szCs w:val="21"/>
                    </w:rPr>
                  </w:pPr>
                </w:p>
              </w:tc>
              <w:tc>
                <w:tcPr>
                  <w:tcW w:w="550" w:type="pct"/>
                  <w:vMerge w:val="continue"/>
                  <w:tcBorders>
                    <w:tl2br w:val="nil"/>
                    <w:tr2bl w:val="nil"/>
                  </w:tcBorders>
                  <w:vAlign w:val="center"/>
                </w:tcPr>
                <w:p w14:paraId="765549DF">
                  <w:pPr>
                    <w:adjustRightInd w:val="0"/>
                    <w:snapToGrid w:val="0"/>
                    <w:jc w:val="center"/>
                    <w:rPr>
                      <w:color w:val="auto"/>
                      <w:szCs w:val="21"/>
                    </w:rPr>
                  </w:pPr>
                </w:p>
              </w:tc>
              <w:tc>
                <w:tcPr>
                  <w:tcW w:w="747" w:type="pct"/>
                  <w:tcBorders>
                    <w:tl2br w:val="nil"/>
                    <w:tr2bl w:val="nil"/>
                  </w:tcBorders>
                  <w:vAlign w:val="center"/>
                </w:tcPr>
                <w:p w14:paraId="678E9DC2">
                  <w:pPr>
                    <w:adjustRightInd w:val="0"/>
                    <w:snapToGrid w:val="0"/>
                    <w:jc w:val="center"/>
                    <w:rPr>
                      <w:b/>
                      <w:bCs/>
                      <w:color w:val="auto"/>
                      <w:szCs w:val="21"/>
                    </w:rPr>
                  </w:pPr>
                  <w:r>
                    <w:rPr>
                      <w:rFonts w:hint="eastAsia"/>
                      <w:b/>
                      <w:bCs/>
                      <w:color w:val="auto"/>
                      <w:szCs w:val="21"/>
                    </w:rPr>
                    <w:t>数量（个）</w:t>
                  </w:r>
                </w:p>
              </w:tc>
              <w:tc>
                <w:tcPr>
                  <w:tcW w:w="623" w:type="pct"/>
                  <w:tcBorders>
                    <w:tl2br w:val="nil"/>
                    <w:tr2bl w:val="nil"/>
                  </w:tcBorders>
                  <w:vAlign w:val="center"/>
                </w:tcPr>
                <w:p w14:paraId="38CC5456">
                  <w:pPr>
                    <w:adjustRightInd w:val="0"/>
                    <w:snapToGrid w:val="0"/>
                    <w:jc w:val="center"/>
                    <w:rPr>
                      <w:b/>
                      <w:bCs/>
                      <w:color w:val="auto"/>
                      <w:szCs w:val="21"/>
                    </w:rPr>
                  </w:pPr>
                  <w:r>
                    <w:rPr>
                      <w:rFonts w:hint="eastAsia"/>
                      <w:b/>
                      <w:bCs/>
                      <w:color w:val="auto"/>
                      <w:szCs w:val="21"/>
                    </w:rPr>
                    <w:t>P（m）</w:t>
                  </w:r>
                </w:p>
              </w:tc>
              <w:tc>
                <w:tcPr>
                  <w:tcW w:w="766" w:type="pct"/>
                  <w:vMerge w:val="continue"/>
                  <w:tcBorders>
                    <w:tl2br w:val="nil"/>
                    <w:tr2bl w:val="nil"/>
                  </w:tcBorders>
                  <w:vAlign w:val="center"/>
                </w:tcPr>
                <w:p w14:paraId="231E02C4">
                  <w:pPr>
                    <w:adjustRightInd w:val="0"/>
                    <w:snapToGrid w:val="0"/>
                    <w:jc w:val="center"/>
                    <w:rPr>
                      <w:b/>
                      <w:bCs/>
                      <w:color w:val="auto"/>
                      <w:szCs w:val="21"/>
                    </w:rPr>
                  </w:pPr>
                </w:p>
              </w:tc>
              <w:tc>
                <w:tcPr>
                  <w:tcW w:w="809" w:type="pct"/>
                  <w:vMerge w:val="continue"/>
                  <w:tcBorders>
                    <w:tl2br w:val="nil"/>
                    <w:tr2bl w:val="nil"/>
                  </w:tcBorders>
                  <w:vAlign w:val="center"/>
                </w:tcPr>
                <w:p w14:paraId="10BBECE5">
                  <w:pPr>
                    <w:adjustRightInd w:val="0"/>
                    <w:snapToGrid w:val="0"/>
                    <w:jc w:val="center"/>
                    <w:rPr>
                      <w:b/>
                      <w:bCs/>
                      <w:color w:val="auto"/>
                      <w:szCs w:val="21"/>
                    </w:rPr>
                  </w:pPr>
                </w:p>
              </w:tc>
              <w:tc>
                <w:tcPr>
                  <w:tcW w:w="1035" w:type="pct"/>
                  <w:vMerge w:val="continue"/>
                  <w:tcBorders>
                    <w:tl2br w:val="nil"/>
                    <w:tr2bl w:val="nil"/>
                  </w:tcBorders>
                  <w:vAlign w:val="center"/>
                </w:tcPr>
                <w:p w14:paraId="73B93FA7">
                  <w:pPr>
                    <w:adjustRightInd w:val="0"/>
                    <w:snapToGrid w:val="0"/>
                    <w:jc w:val="center"/>
                    <w:rPr>
                      <w:b/>
                      <w:bCs/>
                      <w:color w:val="auto"/>
                      <w:szCs w:val="21"/>
                    </w:rPr>
                  </w:pPr>
                </w:p>
              </w:tc>
            </w:tr>
            <w:tr w14:paraId="0F0C6F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vAlign w:val="center"/>
                </w:tcPr>
                <w:p w14:paraId="57379617">
                  <w:pPr>
                    <w:adjustRightInd w:val="0"/>
                    <w:snapToGrid w:val="0"/>
                    <w:jc w:val="center"/>
                    <w:rPr>
                      <w:rFonts w:hint="eastAsia" w:ascii="宋体" w:hAnsi="宋体" w:eastAsia="宋体" w:cs="宋体"/>
                      <w:color w:val="auto"/>
                      <w:szCs w:val="21"/>
                      <w:lang w:eastAsia="zh-CN"/>
                    </w:rPr>
                  </w:pPr>
                  <w:r>
                    <w:rPr>
                      <w:rFonts w:hint="eastAsia" w:ascii="Times New Roman" w:hAnsi="Times New Roman" w:eastAsia="宋体" w:cs="Times New Roman"/>
                      <w:bCs/>
                      <w:color w:val="auto"/>
                      <w:sz w:val="21"/>
                      <w:szCs w:val="21"/>
                      <w:lang w:val="en-US" w:eastAsia="zh-CN"/>
                    </w:rPr>
                    <w:t>锡炉</w:t>
                  </w:r>
                </w:p>
              </w:tc>
              <w:tc>
                <w:tcPr>
                  <w:tcW w:w="550" w:type="pct"/>
                  <w:tcBorders>
                    <w:tl2br w:val="nil"/>
                    <w:tr2bl w:val="nil"/>
                  </w:tcBorders>
                  <w:vAlign w:val="center"/>
                </w:tcPr>
                <w:p w14:paraId="0DB34697">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747" w:type="pct"/>
                  <w:tcBorders>
                    <w:tl2br w:val="nil"/>
                    <w:tr2bl w:val="nil"/>
                  </w:tcBorders>
                  <w:vAlign w:val="center"/>
                </w:tcPr>
                <w:p w14:paraId="008239A0">
                  <w:pPr>
                    <w:adjustRightInd w:val="0"/>
                    <w:snapToGrid w:val="0"/>
                    <w:jc w:val="center"/>
                    <w:rPr>
                      <w:rFonts w:hint="eastAsia" w:eastAsia="宋体"/>
                      <w:color w:val="auto"/>
                      <w:szCs w:val="21"/>
                      <w:lang w:val="en-US" w:eastAsia="zh-CN"/>
                    </w:rPr>
                  </w:pPr>
                  <w:r>
                    <w:rPr>
                      <w:rFonts w:hint="eastAsia"/>
                      <w:color w:val="auto"/>
                      <w:szCs w:val="21"/>
                      <w:lang w:val="en-US" w:eastAsia="zh-CN"/>
                    </w:rPr>
                    <w:t>2</w:t>
                  </w:r>
                </w:p>
              </w:tc>
              <w:tc>
                <w:tcPr>
                  <w:tcW w:w="623" w:type="pct"/>
                  <w:tcBorders>
                    <w:tl2br w:val="nil"/>
                    <w:tr2bl w:val="nil"/>
                  </w:tcBorders>
                  <w:vAlign w:val="center"/>
                </w:tcPr>
                <w:p w14:paraId="7AB7A950">
                  <w:pPr>
                    <w:adjustRightInd w:val="0"/>
                    <w:snapToGrid w:val="0"/>
                    <w:jc w:val="center"/>
                    <w:rPr>
                      <w:rFonts w:hint="default" w:eastAsia="宋体"/>
                      <w:color w:val="auto"/>
                      <w:szCs w:val="21"/>
                      <w:lang w:val="en-US" w:eastAsia="zh-CN"/>
                    </w:rPr>
                  </w:pPr>
                  <w:r>
                    <w:rPr>
                      <w:rFonts w:hint="eastAsia"/>
                      <w:color w:val="auto"/>
                      <w:szCs w:val="21"/>
                      <w:lang w:val="en-US" w:eastAsia="zh-CN"/>
                    </w:rPr>
                    <w:t>0.8</w:t>
                  </w:r>
                </w:p>
              </w:tc>
              <w:tc>
                <w:tcPr>
                  <w:tcW w:w="766" w:type="pct"/>
                  <w:tcBorders>
                    <w:tl2br w:val="nil"/>
                    <w:tr2bl w:val="nil"/>
                  </w:tcBorders>
                  <w:vAlign w:val="center"/>
                </w:tcPr>
                <w:p w14:paraId="1D465ECD">
                  <w:pPr>
                    <w:adjustRightInd w:val="0"/>
                    <w:snapToGrid w:val="0"/>
                    <w:jc w:val="center"/>
                    <w:rPr>
                      <w:rFonts w:hint="default" w:eastAsia="宋体"/>
                      <w:color w:val="auto"/>
                      <w:szCs w:val="21"/>
                      <w:lang w:val="en-US" w:eastAsia="zh-CN"/>
                    </w:rPr>
                  </w:pPr>
                  <w:r>
                    <w:rPr>
                      <w:rFonts w:hint="eastAsia"/>
                      <w:color w:val="auto"/>
                      <w:szCs w:val="21"/>
                      <w:lang w:val="en-US" w:eastAsia="zh-CN"/>
                    </w:rPr>
                    <w:t>0.3</w:t>
                  </w:r>
                </w:p>
              </w:tc>
              <w:tc>
                <w:tcPr>
                  <w:tcW w:w="809" w:type="pct"/>
                  <w:tcBorders>
                    <w:tl2br w:val="nil"/>
                    <w:tr2bl w:val="nil"/>
                  </w:tcBorders>
                  <w:vAlign w:val="center"/>
                </w:tcPr>
                <w:p w14:paraId="16801E0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725.8</w:t>
                  </w:r>
                </w:p>
              </w:tc>
              <w:tc>
                <w:tcPr>
                  <w:tcW w:w="1035" w:type="pct"/>
                  <w:tcBorders>
                    <w:tl2br w:val="nil"/>
                    <w:tr2bl w:val="nil"/>
                  </w:tcBorders>
                  <w:vAlign w:val="center"/>
                </w:tcPr>
                <w:p w14:paraId="6F3FB9B0">
                  <w:pPr>
                    <w:adjustRightInd w:val="0"/>
                    <w:snapToGrid w:val="0"/>
                    <w:jc w:val="center"/>
                    <w:rPr>
                      <w:rFonts w:hint="default" w:eastAsia="宋体"/>
                      <w:color w:val="auto"/>
                      <w:szCs w:val="21"/>
                      <w:lang w:val="en-US" w:eastAsia="zh-CN"/>
                    </w:rPr>
                  </w:pPr>
                  <w:r>
                    <w:rPr>
                      <w:rFonts w:hint="eastAsia"/>
                      <w:color w:val="auto"/>
                      <w:szCs w:val="21"/>
                      <w:lang w:val="en-US" w:eastAsia="zh-CN"/>
                    </w:rPr>
                    <w:t>1000</w:t>
                  </w:r>
                </w:p>
              </w:tc>
            </w:tr>
          </w:tbl>
          <w:p w14:paraId="0D79AE72">
            <w:pPr>
              <w:keepNext w:val="0"/>
              <w:keepLines w:val="0"/>
              <w:pageBreakBefore w:val="0"/>
              <w:widowControl w:val="0"/>
              <w:kinsoku/>
              <w:wordWrap/>
              <w:topLinePunct w:val="0"/>
              <w:autoSpaceDN/>
              <w:bidi w:val="0"/>
              <w:adjustRightInd w:val="0"/>
              <w:snapToGrid w:val="0"/>
              <w:spacing w:line="500" w:lineRule="exact"/>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bCs/>
                <w:color w:val="FF0000"/>
                <w:sz w:val="24"/>
                <w:szCs w:val="24"/>
                <w:highlight w:val="none"/>
              </w:rPr>
              <w:t>由上表可知，本项目</w:t>
            </w:r>
            <w:r>
              <w:rPr>
                <w:rFonts w:hint="eastAsia"/>
                <w:color w:val="FF0000"/>
                <w:sz w:val="24"/>
                <w:szCs w:val="24"/>
                <w:lang w:val="en-US" w:eastAsia="zh-CN"/>
              </w:rPr>
              <w:t>废气收集系统</w:t>
            </w:r>
            <w:r>
              <w:rPr>
                <w:rFonts w:hint="default" w:ascii="Times New Roman" w:hAnsi="Times New Roman" w:eastAsia="宋体" w:cs="Times New Roman"/>
                <w:bCs/>
                <w:color w:val="FF0000"/>
                <w:sz w:val="24"/>
                <w:szCs w:val="24"/>
                <w:highlight w:val="none"/>
              </w:rPr>
              <w:t>拟设计风量为</w:t>
            </w:r>
            <w:r>
              <w:rPr>
                <w:rFonts w:hint="eastAsia" w:cs="Times New Roman"/>
                <w:bCs/>
                <w:color w:val="FF0000"/>
                <w:sz w:val="24"/>
                <w:szCs w:val="24"/>
                <w:highlight w:val="none"/>
                <w:lang w:val="en-US" w:eastAsia="zh-CN"/>
              </w:rPr>
              <w:t>10</w:t>
            </w:r>
            <w:r>
              <w:rPr>
                <w:rFonts w:hint="default" w:ascii="Times New Roman" w:hAnsi="Times New Roman" w:eastAsia="宋体" w:cs="Times New Roman"/>
                <w:bCs/>
                <w:color w:val="FF0000"/>
                <w:sz w:val="24"/>
                <w:szCs w:val="24"/>
                <w:highlight w:val="none"/>
              </w:rPr>
              <w:t>00m</w:t>
            </w:r>
            <w:r>
              <w:rPr>
                <w:rFonts w:hint="default" w:ascii="Times New Roman" w:hAnsi="Times New Roman" w:eastAsia="宋体" w:cs="Times New Roman"/>
                <w:bCs/>
                <w:color w:val="FF0000"/>
                <w:sz w:val="24"/>
                <w:szCs w:val="24"/>
                <w:highlight w:val="none"/>
                <w:vertAlign w:val="superscript"/>
              </w:rPr>
              <w:t>3</w:t>
            </w:r>
            <w:r>
              <w:rPr>
                <w:rFonts w:hint="default" w:ascii="Times New Roman" w:hAnsi="Times New Roman" w:eastAsia="宋体" w:cs="Times New Roman"/>
                <w:bCs/>
                <w:color w:val="FF0000"/>
                <w:sz w:val="24"/>
                <w:szCs w:val="24"/>
                <w:highlight w:val="none"/>
              </w:rPr>
              <w:t>/h</w:t>
            </w:r>
            <w:r>
              <w:rPr>
                <w:rFonts w:hint="default" w:ascii="Times New Roman" w:hAnsi="Times New Roman" w:eastAsia="宋体" w:cs="Times New Roman"/>
                <w:color w:val="FF0000"/>
                <w:sz w:val="24"/>
                <w:szCs w:val="24"/>
              </w:rPr>
              <w:t>。</w:t>
            </w:r>
          </w:p>
          <w:p w14:paraId="7AB35A8D">
            <w:pPr>
              <w:adjustRightInd w:val="0"/>
              <w:snapToGrid w:val="0"/>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②废气污染防治措施概述</w:t>
            </w:r>
          </w:p>
          <w:p w14:paraId="05BF762D">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Cs/>
                <w:color w:val="auto"/>
                <w:kern w:val="2"/>
                <w:sz w:val="24"/>
                <w:szCs w:val="24"/>
                <w:lang w:val="en-US" w:eastAsia="zh-CN" w:bidi="ar-SA"/>
              </w:rPr>
              <w:t>浸锡废气</w:t>
            </w:r>
            <w:r>
              <w:rPr>
                <w:rFonts w:hint="default" w:ascii="Times New Roman" w:hAnsi="Times New Roman" w:eastAsia="宋体" w:cs="Times New Roman"/>
                <w:color w:val="auto"/>
                <w:sz w:val="24"/>
                <w:szCs w:val="24"/>
                <w:highlight w:val="none"/>
                <w:lang w:val="en-US" w:eastAsia="zh-CN"/>
              </w:rPr>
              <w:t>采用</w:t>
            </w:r>
            <w:r>
              <w:rPr>
                <w:rFonts w:hint="eastAsia"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en-US" w:eastAsia="zh-CN"/>
              </w:rPr>
              <w:t>收集后</w:t>
            </w:r>
            <w:r>
              <w:rPr>
                <w:rFonts w:hint="eastAsia" w:ascii="Times New Roman" w:hAnsi="Times New Roman" w:eastAsia="宋体" w:cs="Times New Roman"/>
                <w:color w:val="auto"/>
                <w:sz w:val="24"/>
                <w:szCs w:val="24"/>
                <w:highlight w:val="none"/>
                <w:lang w:val="en-US" w:eastAsia="zh-CN"/>
              </w:rPr>
              <w:t>进入</w:t>
            </w:r>
            <w:r>
              <w:rPr>
                <w:rFonts w:hint="default" w:ascii="Times New Roman" w:hAnsi="Times New Roman" w:eastAsia="宋体" w:cs="Times New Roman"/>
                <w:color w:val="auto"/>
                <w:sz w:val="24"/>
                <w:szCs w:val="24"/>
                <w:lang w:val="en-US" w:eastAsia="zh-CN"/>
              </w:rPr>
              <w:t>袋式除尘</w:t>
            </w:r>
            <w:r>
              <w:rPr>
                <w:rFonts w:hint="eastAsia" w:ascii="Times New Roman" w:hAnsi="Times New Roman" w:eastAsia="宋体" w:cs="Times New Roman"/>
                <w:color w:val="auto"/>
                <w:sz w:val="24"/>
                <w:szCs w:val="24"/>
                <w:highlight w:val="none"/>
                <w:lang w:val="en-US" w:eastAsia="zh-CN"/>
              </w:rPr>
              <w:t>装置处理，尾气</w:t>
            </w:r>
            <w:r>
              <w:rPr>
                <w:rFonts w:hint="eastAsia" w:cs="Times New Roman"/>
                <w:color w:val="auto"/>
                <w:sz w:val="24"/>
                <w:szCs w:val="24"/>
                <w:highlight w:val="none"/>
                <w:lang w:val="en-US" w:eastAsia="zh-CN"/>
              </w:rPr>
              <w:t>在厂区无组织排放</w:t>
            </w:r>
            <w:r>
              <w:rPr>
                <w:rFonts w:hint="default" w:ascii="Times New Roman" w:hAnsi="Times New Roman" w:eastAsia="宋体" w:cs="Times New Roman"/>
                <w:color w:val="auto"/>
                <w:sz w:val="24"/>
                <w:szCs w:val="24"/>
                <w:highlight w:val="none"/>
                <w:lang w:val="en-US" w:eastAsia="zh-CN"/>
              </w:rPr>
              <w:t>。</w:t>
            </w:r>
          </w:p>
          <w:p w14:paraId="7D6BD8F7">
            <w:pPr>
              <w:keepNext w:val="0"/>
              <w:keepLines w:val="0"/>
              <w:pageBreakBefore w:val="0"/>
              <w:kinsoku/>
              <w:wordWrap/>
              <w:overflowPunct/>
              <w:topLinePunct w:val="0"/>
              <w:autoSpaceDE/>
              <w:autoSpaceDN/>
              <w:bidi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szCs w:val="24"/>
                <w:lang w:val="en-US" w:eastAsia="zh-CN"/>
              </w:rPr>
              <w:t>袋式除尘</w:t>
            </w:r>
            <w:r>
              <w:rPr>
                <w:rFonts w:hint="default" w:ascii="Times New Roman" w:hAnsi="Times New Roman" w:eastAsia="宋体" w:cs="Times New Roman"/>
                <w:b/>
                <w:bCs/>
                <w:color w:val="auto"/>
                <w:sz w:val="24"/>
              </w:rPr>
              <w:t>工作原理：</w:t>
            </w:r>
          </w:p>
          <w:p w14:paraId="6970324A">
            <w:pPr>
              <w:adjustRightInd w:val="0"/>
              <w:snapToGrid w:val="0"/>
              <w:spacing w:line="50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lang w:val="en-US" w:eastAsia="zh-CN"/>
              </w:rPr>
              <w:t>袋式除尘</w:t>
            </w:r>
            <w:r>
              <w:rPr>
                <w:rFonts w:hint="default" w:ascii="Times New Roman" w:hAnsi="Times New Roman" w:eastAsia="宋体" w:cs="Times New Roman"/>
                <w:color w:val="auto"/>
                <w:sz w:val="24"/>
                <w:highlight w:val="none"/>
                <w:lang w:val="en-US" w:eastAsia="zh-CN"/>
              </w:rPr>
              <w:t>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对照《袋式除尘工程通用技术规范》（HJ2020-2012）袋式除尘工艺适用于各种风量下的含尘气体净化，且含尘空气的净化应优先采用袋式除尘工艺，袋式除尘器是一种成熟常用的除尘工艺，处理效率可达</w:t>
            </w:r>
            <w:r>
              <w:rPr>
                <w:rFonts w:hint="eastAsia" w:cs="Times New Roman"/>
                <w:color w:val="auto"/>
                <w:sz w:val="24"/>
                <w:highlight w:val="none"/>
                <w:lang w:val="en-US" w:eastAsia="zh-CN"/>
              </w:rPr>
              <w:t>99</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由于项目</w:t>
            </w:r>
            <w:r>
              <w:rPr>
                <w:rFonts w:hint="eastAsia" w:ascii="Times New Roman" w:hAnsi="Times New Roman" w:eastAsia="宋体" w:cs="Times New Roman"/>
                <w:bCs/>
                <w:color w:val="auto"/>
                <w:kern w:val="2"/>
                <w:sz w:val="24"/>
                <w:szCs w:val="24"/>
                <w:lang w:val="en-US" w:eastAsia="zh-CN" w:bidi="ar-SA"/>
              </w:rPr>
              <w:t>浸锡废气源强极低，本次保守考虑</w:t>
            </w:r>
            <w:r>
              <w:rPr>
                <w:rFonts w:hint="eastAsia" w:cs="Times New Roman"/>
                <w:bCs/>
                <w:color w:val="auto"/>
                <w:kern w:val="2"/>
                <w:sz w:val="24"/>
                <w:szCs w:val="24"/>
                <w:lang w:val="en-US" w:eastAsia="zh-CN" w:bidi="ar-SA"/>
              </w:rPr>
              <w:t>废气</w:t>
            </w:r>
            <w:r>
              <w:rPr>
                <w:rFonts w:hint="default" w:ascii="Times New Roman" w:hAnsi="Times New Roman" w:eastAsia="宋体" w:cs="Times New Roman"/>
                <w:color w:val="auto"/>
                <w:sz w:val="24"/>
                <w:highlight w:val="none"/>
                <w:lang w:val="en-US" w:eastAsia="zh-CN"/>
              </w:rPr>
              <w:t>处理效率</w:t>
            </w:r>
            <w:r>
              <w:rPr>
                <w:rFonts w:hint="eastAsia" w:ascii="Times New Roman" w:hAnsi="Times New Roman" w:eastAsia="宋体" w:cs="Times New Roman"/>
                <w:bCs/>
                <w:color w:val="auto"/>
                <w:kern w:val="2"/>
                <w:sz w:val="24"/>
                <w:szCs w:val="24"/>
                <w:lang w:val="en-US" w:eastAsia="zh-CN" w:bidi="ar-SA"/>
              </w:rPr>
              <w:t>取90%。</w:t>
            </w:r>
          </w:p>
          <w:p w14:paraId="75905811">
            <w:pPr>
              <w:adjustRightInd w:val="0"/>
              <w:snapToGrid w:val="0"/>
              <w:spacing w:line="500" w:lineRule="exact"/>
              <w:ind w:firstLine="480" w:firstLineChars="200"/>
              <w:rPr>
                <w:rFonts w:hint="default" w:ascii="Times New Roman" w:hAnsi="Times New Roman" w:cs="Times New Roman"/>
                <w:color w:val="auto"/>
                <w:sz w:val="24"/>
                <w:szCs w:val="22"/>
              </w:rPr>
            </w:pPr>
            <w:r>
              <w:rPr>
                <w:rFonts w:hint="default" w:ascii="Times New Roman" w:hAnsi="Times New Roman" w:cs="Times New Roman"/>
                <w:bCs/>
                <w:color w:val="auto"/>
                <w:sz w:val="24"/>
              </w:rPr>
              <w:t>2）</w:t>
            </w:r>
            <w:r>
              <w:rPr>
                <w:rFonts w:hint="default" w:ascii="Times New Roman" w:hAnsi="Times New Roman" w:cs="Times New Roman"/>
                <w:color w:val="auto"/>
                <w:sz w:val="24"/>
                <w:szCs w:val="22"/>
              </w:rPr>
              <w:t>技术可行性论证</w:t>
            </w:r>
          </w:p>
          <w:p w14:paraId="58C106DA">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废气主要为</w:t>
            </w:r>
            <w:r>
              <w:rPr>
                <w:rFonts w:hint="eastAsia" w:ascii="Times New Roman" w:hAnsi="Times New Roman" w:eastAsia="宋体" w:cs="Times New Roman"/>
                <w:bCs/>
                <w:color w:val="auto"/>
                <w:kern w:val="2"/>
                <w:sz w:val="24"/>
                <w:szCs w:val="24"/>
                <w:lang w:val="en-US" w:eastAsia="zh-CN" w:bidi="ar-SA"/>
              </w:rPr>
              <w:t>锡及其化合物</w:t>
            </w:r>
            <w:r>
              <w:rPr>
                <w:rFonts w:hint="eastAsia" w:ascii="Times New Roman" w:hAnsi="Times New Roman" w:cs="Times New Roman"/>
                <w:bCs/>
                <w:color w:val="auto"/>
                <w:kern w:val="2"/>
                <w:sz w:val="24"/>
                <w:szCs w:val="24"/>
                <w:lang w:val="en-US" w:eastAsia="zh-CN" w:bidi="ar-SA"/>
              </w:rPr>
              <w:t>，</w:t>
            </w:r>
            <w:r>
              <w:rPr>
                <w:rFonts w:hint="eastAsia" w:cs="Times New Roman"/>
                <w:bCs/>
                <w:color w:val="auto"/>
                <w:kern w:val="2"/>
                <w:sz w:val="24"/>
                <w:szCs w:val="24"/>
                <w:lang w:val="en-US" w:eastAsia="zh-CN" w:bidi="ar-SA"/>
              </w:rPr>
              <w:t>根据</w:t>
            </w:r>
            <w:r>
              <w:rPr>
                <w:rFonts w:hint="default" w:ascii="Times New Roman" w:hAnsi="Times New Roman" w:eastAsia="宋体" w:cs="Times New Roman"/>
                <w:color w:val="auto"/>
                <w:sz w:val="24"/>
                <w:szCs w:val="28"/>
                <w:lang w:eastAsia="zh-CN"/>
              </w:rPr>
              <w:t>《排污许可证申请与核发技术规范</w:t>
            </w:r>
            <w:r>
              <w:rPr>
                <w:rFonts w:hint="eastAsia" w:ascii="Times New Roman" w:hAnsi="Times New Roman" w:eastAsia="宋体" w:cs="Times New Roman"/>
                <w:color w:val="auto"/>
                <w:sz w:val="24"/>
                <w:szCs w:val="28"/>
                <w:lang w:val="en-US" w:eastAsia="zh-CN"/>
              </w:rPr>
              <w:t xml:space="preserve"> </w:t>
            </w:r>
            <w:r>
              <w:rPr>
                <w:rFonts w:hint="eastAsia" w:ascii="Times New Roman" w:hAnsi="Times New Roman" w:eastAsia="宋体" w:cs="Times New Roman"/>
                <w:color w:val="auto"/>
                <w:sz w:val="24"/>
                <w:szCs w:val="28"/>
                <w:lang w:eastAsia="zh-CN"/>
              </w:rPr>
              <w:t>电子工业</w:t>
            </w:r>
            <w:r>
              <w:rPr>
                <w:rFonts w:hint="default"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eastAsia="zh-CN"/>
              </w:rPr>
              <w:t>HJ1031—2019</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4"/>
                <w:lang w:val="en-US" w:eastAsia="zh-CN"/>
              </w:rPr>
              <w:t>中</w:t>
            </w:r>
            <w:r>
              <w:rPr>
                <w:rFonts w:hint="eastAsia" w:cs="Times New Roman"/>
                <w:color w:val="auto"/>
                <w:sz w:val="24"/>
                <w:szCs w:val="24"/>
                <w:lang w:val="en-US" w:eastAsia="zh-CN"/>
              </w:rPr>
              <w:t>附录B中</w:t>
            </w:r>
            <w:r>
              <w:rPr>
                <w:rFonts w:hint="default" w:ascii="Times New Roman" w:hAnsi="Times New Roman" w:eastAsia="宋体" w:cs="Times New Roman"/>
                <w:color w:val="auto"/>
                <w:sz w:val="24"/>
                <w:szCs w:val="24"/>
                <w:lang w:val="en-US" w:eastAsia="zh-CN"/>
              </w:rPr>
              <w:t>废气</w:t>
            </w:r>
            <w:r>
              <w:rPr>
                <w:rFonts w:hint="eastAsia" w:cs="Times New Roman"/>
                <w:color w:val="auto"/>
                <w:sz w:val="24"/>
                <w:szCs w:val="24"/>
                <w:lang w:val="en-US" w:eastAsia="zh-CN"/>
              </w:rPr>
              <w:t>和废水防治</w:t>
            </w:r>
            <w:r>
              <w:rPr>
                <w:rFonts w:hint="default" w:ascii="Times New Roman" w:hAnsi="Times New Roman" w:eastAsia="宋体" w:cs="Times New Roman"/>
                <w:color w:val="auto"/>
                <w:sz w:val="24"/>
                <w:szCs w:val="24"/>
                <w:lang w:val="en-US" w:eastAsia="zh-CN"/>
              </w:rPr>
              <w:t>可行技术</w:t>
            </w:r>
            <w:r>
              <w:rPr>
                <w:rFonts w:hint="eastAsia" w:cs="Times New Roman"/>
                <w:color w:val="auto"/>
                <w:sz w:val="24"/>
                <w:szCs w:val="24"/>
                <w:lang w:val="en-US" w:eastAsia="zh-CN"/>
              </w:rPr>
              <w:t>参考表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颗粒物</w:t>
            </w:r>
            <w:r>
              <w:rPr>
                <w:rFonts w:hint="eastAsia" w:cs="Times New Roman"/>
                <w:color w:val="auto"/>
                <w:sz w:val="24"/>
                <w:szCs w:val="24"/>
                <w:lang w:val="en-US" w:eastAsia="zh-CN"/>
              </w:rPr>
              <w:t>（</w:t>
            </w:r>
            <w:r>
              <w:rPr>
                <w:rFonts w:hint="eastAsia" w:ascii="Times New Roman" w:hAnsi="Times New Roman" w:eastAsia="宋体" w:cs="Times New Roman"/>
                <w:bCs/>
                <w:color w:val="auto"/>
                <w:kern w:val="2"/>
                <w:sz w:val="24"/>
                <w:szCs w:val="24"/>
                <w:lang w:val="en-US" w:eastAsia="zh-CN" w:bidi="ar-SA"/>
              </w:rPr>
              <w:t>锡及其化合物</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采用袋式除尘器</w:t>
            </w:r>
            <w:r>
              <w:rPr>
                <w:rFonts w:hint="eastAsia" w:ascii="Times New Roman" w:hAnsi="Times New Roman" w:eastAsia="宋体" w:cs="Times New Roman"/>
                <w:color w:val="auto"/>
                <w:sz w:val="24"/>
                <w:szCs w:val="24"/>
                <w:lang w:val="en-US" w:eastAsia="zh-CN"/>
              </w:rPr>
              <w:t>处理</w:t>
            </w:r>
            <w:r>
              <w:rPr>
                <w:rFonts w:hint="default" w:ascii="Times New Roman" w:hAnsi="Times New Roman" w:eastAsia="宋体" w:cs="Times New Roman"/>
                <w:color w:val="auto"/>
                <w:sz w:val="24"/>
                <w:szCs w:val="24"/>
                <w:lang w:val="en-US" w:eastAsia="zh-CN"/>
              </w:rPr>
              <w:t>为可行技术。因</w:t>
            </w:r>
            <w:r>
              <w:rPr>
                <w:rFonts w:hint="default" w:ascii="Times New Roman" w:hAnsi="Times New Roman" w:cs="Times New Roman"/>
                <w:color w:val="auto"/>
                <w:sz w:val="24"/>
                <w:lang w:val="en-US" w:eastAsia="zh-CN"/>
              </w:rPr>
              <w:t>此</w:t>
            </w:r>
            <w:r>
              <w:rPr>
                <w:rFonts w:hint="default" w:ascii="Times New Roman" w:hAnsi="Times New Roman" w:cs="Times New Roman"/>
                <w:color w:val="auto"/>
                <w:sz w:val="24"/>
              </w:rPr>
              <w:t>，本项目拟采取的废气处理措施是可行的。</w:t>
            </w:r>
          </w:p>
        </w:tc>
      </w:tr>
    </w:tbl>
    <w:p w14:paraId="73905F8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footerReference r:id="rId5"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bookmarkStart w:id="5" w:name="_Toc9211"/>
    </w:p>
    <w:tbl>
      <w:tblPr>
        <w:tblStyle w:val="29"/>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175"/>
      </w:tblGrid>
      <w:tr w14:paraId="1C8B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8" w:hRule="atLeast"/>
          <w:jc w:val="center"/>
        </w:trPr>
        <w:tc>
          <w:tcPr>
            <w:tcW w:w="562" w:type="dxa"/>
            <w:vAlign w:val="center"/>
          </w:tcPr>
          <w:p w14:paraId="762C8494">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14:paraId="2BB6B07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14:paraId="1BF76853">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14:paraId="18593C3E">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14:paraId="4C269AE0">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14:paraId="59D4E977">
            <w:pPr>
              <w:adjustRightInd w:val="0"/>
              <w:snapToGrid w:val="0"/>
              <w:jc w:val="center"/>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4"/>
              </w:rPr>
              <w:t>措施</w:t>
            </w:r>
          </w:p>
        </w:tc>
        <w:tc>
          <w:tcPr>
            <w:tcW w:w="13175" w:type="dxa"/>
          </w:tcPr>
          <w:p w14:paraId="6733B8F2">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color w:val="auto"/>
                <w:sz w:val="24"/>
                <w:lang w:val="en-US"/>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w:t>
            </w:r>
            <w:r>
              <w:rPr>
                <w:rFonts w:hint="default" w:ascii="Times New Roman" w:hAnsi="Times New Roman" w:cs="Times New Roman"/>
                <w:b/>
                <w:bCs/>
                <w:color w:val="auto"/>
                <w:sz w:val="24"/>
                <w:lang w:val="en-US" w:eastAsia="zh-CN"/>
              </w:rPr>
              <w:t>情况及达标情况分析</w:t>
            </w:r>
          </w:p>
          <w:p w14:paraId="00EFDD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FF0000"/>
                <w:szCs w:val="21"/>
                <w:lang w:val="en-US" w:eastAsia="zh-CN"/>
              </w:rPr>
            </w:pPr>
            <w:r>
              <w:rPr>
                <w:rFonts w:hint="default" w:ascii="Times New Roman" w:hAnsi="Times New Roman" w:cs="Times New Roman"/>
                <w:b/>
                <w:bCs/>
                <w:color w:val="FF0000"/>
                <w:szCs w:val="21"/>
                <w:lang w:val="en-US" w:eastAsia="zh-CN"/>
              </w:rPr>
              <w:t>表4-</w:t>
            </w:r>
            <w:r>
              <w:rPr>
                <w:rFonts w:hint="eastAsia" w:cs="Times New Roman"/>
                <w:b/>
                <w:bCs/>
                <w:color w:val="FF0000"/>
                <w:szCs w:val="21"/>
                <w:lang w:val="en-US" w:eastAsia="zh-CN"/>
              </w:rPr>
              <w:t>2本项目</w:t>
            </w:r>
            <w:r>
              <w:rPr>
                <w:rFonts w:hint="default" w:ascii="Times New Roman" w:hAnsi="Times New Roman" w:cs="Times New Roman"/>
                <w:b/>
                <w:bCs/>
                <w:color w:val="FF0000"/>
                <w:szCs w:val="21"/>
                <w:lang w:val="en-US" w:eastAsia="zh-CN"/>
              </w:rPr>
              <w:t>无组织废气产生及排放源强表</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454"/>
              <w:gridCol w:w="2168"/>
              <w:gridCol w:w="1825"/>
              <w:gridCol w:w="1447"/>
              <w:gridCol w:w="1447"/>
              <w:gridCol w:w="1447"/>
              <w:gridCol w:w="1683"/>
              <w:gridCol w:w="1483"/>
            </w:tblGrid>
            <w:tr w14:paraId="45B27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61" w:type="pct"/>
                  <w:vAlign w:val="center"/>
                </w:tcPr>
                <w:p w14:paraId="34A6D074">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工作车间</w:t>
                  </w:r>
                </w:p>
              </w:tc>
              <w:tc>
                <w:tcPr>
                  <w:tcW w:w="836" w:type="pct"/>
                  <w:vAlign w:val="center"/>
                </w:tcPr>
                <w:p w14:paraId="2B93E6B4">
                  <w:pPr>
                    <w:adjustRightInd w:val="0"/>
                    <w:snapToGrid w:val="0"/>
                    <w:jc w:val="center"/>
                    <w:rPr>
                      <w:rFonts w:hint="default" w:ascii="Times New Roman" w:hAnsi="Times New Roman" w:cs="Times New Roman"/>
                      <w:color w:val="FF0000"/>
                      <w:sz w:val="21"/>
                      <w:szCs w:val="21"/>
                    </w:rPr>
                  </w:pPr>
                  <w:r>
                    <w:rPr>
                      <w:rFonts w:hint="default" w:ascii="Times New Roman" w:hAnsi="Times New Roman" w:cs="Times New Roman"/>
                      <w:b/>
                      <w:bCs/>
                      <w:color w:val="FF0000"/>
                      <w:sz w:val="21"/>
                      <w:szCs w:val="21"/>
                    </w:rPr>
                    <w:t>产生环节</w:t>
                  </w:r>
                </w:p>
              </w:tc>
              <w:tc>
                <w:tcPr>
                  <w:tcW w:w="704" w:type="pct"/>
                  <w:vAlign w:val="center"/>
                </w:tcPr>
                <w:p w14:paraId="2835E595">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污染物名称</w:t>
                  </w:r>
                </w:p>
              </w:tc>
              <w:tc>
                <w:tcPr>
                  <w:tcW w:w="558" w:type="pct"/>
                  <w:vAlign w:val="center"/>
                </w:tcPr>
                <w:p w14:paraId="25D9E9DE">
                  <w:pPr>
                    <w:adjustRightInd w:val="0"/>
                    <w:snapToGrid w:val="0"/>
                    <w:jc w:val="center"/>
                    <w:rPr>
                      <w:rFonts w:hint="default" w:ascii="Times New Roman" w:hAnsi="Times New Roman" w:eastAsia="宋体" w:cs="Times New Roman"/>
                      <w:b/>
                      <w:bCs/>
                      <w:color w:val="FF0000"/>
                      <w:sz w:val="21"/>
                      <w:szCs w:val="21"/>
                      <w:lang w:val="en-US" w:eastAsia="zh-CN"/>
                    </w:rPr>
                  </w:pPr>
                  <w:r>
                    <w:rPr>
                      <w:rFonts w:hint="eastAsia" w:cs="Times New Roman"/>
                      <w:b/>
                      <w:bCs/>
                      <w:color w:val="FF0000"/>
                      <w:sz w:val="21"/>
                      <w:szCs w:val="21"/>
                      <w:lang w:val="en-US" w:eastAsia="zh-CN"/>
                    </w:rPr>
                    <w:t>产生量</w:t>
                  </w:r>
                </w:p>
              </w:tc>
              <w:tc>
                <w:tcPr>
                  <w:tcW w:w="558" w:type="pct"/>
                  <w:vAlign w:val="center"/>
                </w:tcPr>
                <w:p w14:paraId="091118E6">
                  <w:pPr>
                    <w:adjustRightInd w:val="0"/>
                    <w:snapToGrid w:val="0"/>
                    <w:jc w:val="center"/>
                    <w:rPr>
                      <w:rFonts w:hint="eastAsia" w:cs="Times New Roman"/>
                      <w:b/>
                      <w:bCs/>
                      <w:color w:val="FF0000"/>
                      <w:sz w:val="21"/>
                      <w:szCs w:val="21"/>
                      <w:lang w:val="en-US" w:eastAsia="zh-CN"/>
                    </w:rPr>
                  </w:pPr>
                  <w:r>
                    <w:rPr>
                      <w:rFonts w:hint="default" w:ascii="Times New Roman" w:hAnsi="Times New Roman" w:cs="Times New Roman" w:eastAsiaTheme="minorEastAsia"/>
                      <w:b/>
                      <w:bCs/>
                      <w:color w:val="FF0000"/>
                      <w:sz w:val="21"/>
                      <w:szCs w:val="21"/>
                      <w:lang w:val="en-US" w:eastAsia="zh-CN"/>
                    </w:rPr>
                    <w:t>污染防治措施</w:t>
                  </w:r>
                </w:p>
              </w:tc>
              <w:tc>
                <w:tcPr>
                  <w:tcW w:w="558" w:type="pct"/>
                  <w:vAlign w:val="center"/>
                </w:tcPr>
                <w:p w14:paraId="1A4C9F1D">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排放量t/a</w:t>
                  </w:r>
                </w:p>
              </w:tc>
              <w:tc>
                <w:tcPr>
                  <w:tcW w:w="649" w:type="pct"/>
                  <w:vAlign w:val="center"/>
                </w:tcPr>
                <w:p w14:paraId="5B3AB702">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面源面积m</w:t>
                  </w:r>
                  <w:r>
                    <w:rPr>
                      <w:rFonts w:hint="default" w:ascii="Times New Roman" w:hAnsi="Times New Roman" w:cs="Times New Roman"/>
                      <w:b/>
                      <w:bCs/>
                      <w:color w:val="FF0000"/>
                      <w:sz w:val="21"/>
                      <w:szCs w:val="21"/>
                      <w:vertAlign w:val="superscript"/>
                    </w:rPr>
                    <w:t>2</w:t>
                  </w:r>
                </w:p>
              </w:tc>
              <w:tc>
                <w:tcPr>
                  <w:tcW w:w="572" w:type="pct"/>
                  <w:vAlign w:val="center"/>
                </w:tcPr>
                <w:p w14:paraId="1E651B8B">
                  <w:pPr>
                    <w:adjustRightInd w:val="0"/>
                    <w:snapToGrid w:val="0"/>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面源高度m</w:t>
                  </w:r>
                </w:p>
              </w:tc>
            </w:tr>
            <w:tr w14:paraId="76365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61" w:type="pct"/>
                  <w:vMerge w:val="restart"/>
                  <w:vAlign w:val="center"/>
                </w:tcPr>
                <w:p w14:paraId="0D40FBDF">
                  <w:pPr>
                    <w:adjustRightInd w:val="0"/>
                    <w:snapToGrid w:val="0"/>
                    <w:jc w:val="center"/>
                    <w:rPr>
                      <w:rFonts w:hint="default" w:ascii="Times New Roman" w:hAnsi="Times New Roman" w:eastAsia="宋体" w:cs="Times New Roman"/>
                      <w:color w:val="FF0000"/>
                      <w:kern w:val="44"/>
                      <w:sz w:val="21"/>
                      <w:szCs w:val="21"/>
                      <w:lang w:val="en-US" w:eastAsia="zh-CN"/>
                    </w:rPr>
                  </w:pPr>
                  <w:r>
                    <w:rPr>
                      <w:rFonts w:hint="eastAsia" w:cs="Times New Roman"/>
                      <w:color w:val="FF0000"/>
                      <w:kern w:val="44"/>
                      <w:sz w:val="21"/>
                      <w:szCs w:val="21"/>
                      <w:lang w:val="en-US" w:eastAsia="zh-CN"/>
                    </w:rPr>
                    <w:t>车间</w:t>
                  </w:r>
                </w:p>
              </w:tc>
              <w:tc>
                <w:tcPr>
                  <w:tcW w:w="836" w:type="pct"/>
                  <w:vAlign w:val="center"/>
                </w:tcPr>
                <w:p w14:paraId="77EE1027">
                  <w:pPr>
                    <w:adjustRightInd w:val="0"/>
                    <w:snapToGrid w:val="0"/>
                    <w:jc w:val="center"/>
                    <w:rPr>
                      <w:rFonts w:hint="default" w:ascii="Times New Roman" w:hAnsi="Times New Roman" w:eastAsia="宋体" w:cs="Times New Roman"/>
                      <w:color w:val="FF0000"/>
                      <w:kern w:val="44"/>
                      <w:sz w:val="21"/>
                      <w:szCs w:val="21"/>
                      <w:lang w:val="en-US" w:eastAsia="zh-CN"/>
                    </w:rPr>
                  </w:pPr>
                  <w:r>
                    <w:rPr>
                      <w:rFonts w:hint="eastAsia" w:ascii="Times New Roman" w:hAnsi="Times New Roman" w:eastAsia="宋体" w:cs="Times New Roman"/>
                      <w:bCs/>
                      <w:color w:val="FF0000"/>
                      <w:kern w:val="2"/>
                      <w:sz w:val="21"/>
                      <w:szCs w:val="21"/>
                      <w:lang w:val="en-US" w:eastAsia="zh-CN" w:bidi="ar-SA"/>
                    </w:rPr>
                    <w:t>浸锡</w:t>
                  </w:r>
                </w:p>
              </w:tc>
              <w:tc>
                <w:tcPr>
                  <w:tcW w:w="704" w:type="pct"/>
                  <w:vAlign w:val="center"/>
                </w:tcPr>
                <w:p w14:paraId="37185F8E">
                  <w:pPr>
                    <w:pStyle w:val="22"/>
                    <w:spacing w:after="0" w:line="240" w:lineRule="auto"/>
                    <w:jc w:val="center"/>
                    <w:rPr>
                      <w:rFonts w:hint="default" w:ascii="Times New Roman" w:hAnsi="Times New Roman" w:cs="Times New Roman"/>
                      <w:color w:val="FF0000"/>
                      <w:kern w:val="44"/>
                      <w:sz w:val="21"/>
                      <w:szCs w:val="21"/>
                      <w:lang w:val="en-US" w:eastAsia="zh-CN"/>
                    </w:rPr>
                  </w:pPr>
                  <w:r>
                    <w:rPr>
                      <w:rFonts w:hint="eastAsia" w:ascii="Times New Roman" w:hAnsi="Times New Roman" w:eastAsia="宋体" w:cs="Times New Roman"/>
                      <w:bCs/>
                      <w:color w:val="FF0000"/>
                      <w:kern w:val="2"/>
                      <w:sz w:val="21"/>
                      <w:szCs w:val="21"/>
                      <w:lang w:val="en-US" w:eastAsia="zh-CN" w:bidi="ar-SA"/>
                    </w:rPr>
                    <w:t>锡及其化合物</w:t>
                  </w:r>
                </w:p>
              </w:tc>
              <w:tc>
                <w:tcPr>
                  <w:tcW w:w="558" w:type="pct"/>
                  <w:vAlign w:val="center"/>
                </w:tcPr>
                <w:p w14:paraId="5E0EDD00">
                  <w:pPr>
                    <w:pStyle w:val="22"/>
                    <w:spacing w:after="0" w:line="240" w:lineRule="auto"/>
                    <w:jc w:val="center"/>
                    <w:rPr>
                      <w:rFonts w:hint="default" w:cs="Times New Roman" w:eastAsiaTheme="minorEastAsia"/>
                      <w:bCs/>
                      <w:color w:val="FF0000"/>
                      <w:sz w:val="21"/>
                      <w:szCs w:val="21"/>
                      <w:lang w:val="en-US" w:eastAsia="zh-CN"/>
                    </w:rPr>
                  </w:pPr>
                  <w:r>
                    <w:rPr>
                      <w:rFonts w:hint="eastAsia" w:cs="Times New Roman" w:eastAsiaTheme="minorEastAsia"/>
                      <w:bCs/>
                      <w:color w:val="FF0000"/>
                      <w:kern w:val="2"/>
                      <w:sz w:val="21"/>
                      <w:szCs w:val="21"/>
                      <w:lang w:val="en-US" w:eastAsia="zh-CN" w:bidi="ar-SA"/>
                    </w:rPr>
                    <w:t>0.004</w:t>
                  </w:r>
                </w:p>
              </w:tc>
              <w:tc>
                <w:tcPr>
                  <w:tcW w:w="558" w:type="pct"/>
                  <w:vAlign w:val="center"/>
                </w:tcPr>
                <w:p w14:paraId="11DA7526">
                  <w:pPr>
                    <w:pStyle w:val="22"/>
                    <w:spacing w:after="0" w:line="240" w:lineRule="auto"/>
                    <w:jc w:val="center"/>
                    <w:rPr>
                      <w:rFonts w:hint="default" w:cs="Times New Roman" w:eastAsiaTheme="minorEastAsia"/>
                      <w:bCs/>
                      <w:color w:val="FF0000"/>
                      <w:sz w:val="21"/>
                      <w:szCs w:val="21"/>
                      <w:lang w:val="en-US" w:eastAsia="zh-CN"/>
                    </w:rPr>
                  </w:pPr>
                  <w:r>
                    <w:rPr>
                      <w:rFonts w:hint="eastAsia" w:cs="Times New Roman" w:eastAsiaTheme="minorEastAsia"/>
                      <w:bCs/>
                      <w:color w:val="FF0000"/>
                      <w:sz w:val="21"/>
                      <w:szCs w:val="21"/>
                      <w:lang w:val="en-US" w:eastAsia="zh-CN"/>
                    </w:rPr>
                    <w:t>袋式除尘</w:t>
                  </w:r>
                </w:p>
              </w:tc>
              <w:tc>
                <w:tcPr>
                  <w:tcW w:w="1447" w:type="dxa"/>
                  <w:vAlign w:val="center"/>
                </w:tcPr>
                <w:p w14:paraId="54B810B1">
                  <w:pPr>
                    <w:pStyle w:val="22"/>
                    <w:spacing w:after="0" w:line="240" w:lineRule="auto"/>
                    <w:jc w:val="center"/>
                    <w:rPr>
                      <w:rFonts w:hint="default" w:ascii="Times New Roman" w:hAnsi="Times New Roman" w:eastAsia="宋体" w:cs="Times New Roman"/>
                      <w:color w:val="FF0000"/>
                      <w:kern w:val="44"/>
                      <w:sz w:val="21"/>
                      <w:szCs w:val="21"/>
                      <w:lang w:val="en-US" w:eastAsia="zh-CN"/>
                    </w:rPr>
                  </w:pPr>
                  <w:r>
                    <w:rPr>
                      <w:rFonts w:hint="eastAsia" w:cs="Times New Roman" w:eastAsiaTheme="minorEastAsia"/>
                      <w:bCs/>
                      <w:color w:val="FF0000"/>
                      <w:kern w:val="2"/>
                      <w:sz w:val="21"/>
                      <w:szCs w:val="21"/>
                      <w:lang w:val="en-US" w:eastAsia="zh-CN" w:bidi="ar-SA"/>
                    </w:rPr>
                    <w:t>0.0008</w:t>
                  </w:r>
                </w:p>
              </w:tc>
              <w:tc>
                <w:tcPr>
                  <w:tcW w:w="649" w:type="pct"/>
                  <w:vMerge w:val="restart"/>
                  <w:vAlign w:val="center"/>
                </w:tcPr>
                <w:p w14:paraId="6B30CAC6">
                  <w:pPr>
                    <w:adjustRightInd w:val="0"/>
                    <w:snapToGrid w:val="0"/>
                    <w:jc w:val="center"/>
                    <w:rPr>
                      <w:rFonts w:hint="default" w:ascii="Times New Roman" w:hAnsi="Times New Roman" w:eastAsia="宋体" w:cs="Times New Roman"/>
                      <w:color w:val="FF0000"/>
                      <w:kern w:val="44"/>
                      <w:sz w:val="21"/>
                      <w:szCs w:val="21"/>
                      <w:lang w:val="en-US" w:eastAsia="zh-CN" w:bidi="ar-SA"/>
                    </w:rPr>
                  </w:pPr>
                  <w:r>
                    <w:rPr>
                      <w:rFonts w:hint="eastAsia" w:cs="Times New Roman"/>
                      <w:color w:val="FF0000"/>
                      <w:kern w:val="44"/>
                      <w:sz w:val="21"/>
                      <w:szCs w:val="21"/>
                      <w:lang w:val="en-US" w:eastAsia="zh-CN" w:bidi="ar-SA"/>
                    </w:rPr>
                    <w:t>450</w:t>
                  </w:r>
                </w:p>
              </w:tc>
              <w:tc>
                <w:tcPr>
                  <w:tcW w:w="572" w:type="pct"/>
                  <w:vMerge w:val="restart"/>
                  <w:vAlign w:val="center"/>
                </w:tcPr>
                <w:p w14:paraId="70B4E0A9">
                  <w:pPr>
                    <w:adjustRightInd w:val="0"/>
                    <w:snapToGrid w:val="0"/>
                    <w:jc w:val="center"/>
                    <w:rPr>
                      <w:rFonts w:hint="default" w:ascii="Times New Roman" w:hAnsi="Times New Roman" w:eastAsia="宋体" w:cs="Times New Roman"/>
                      <w:color w:val="FF0000"/>
                      <w:kern w:val="44"/>
                      <w:sz w:val="21"/>
                      <w:szCs w:val="21"/>
                      <w:lang w:val="en-US" w:eastAsia="zh-CN"/>
                    </w:rPr>
                  </w:pPr>
                  <w:r>
                    <w:rPr>
                      <w:rFonts w:hint="eastAsia" w:cs="Times New Roman"/>
                      <w:color w:val="FF0000"/>
                      <w:kern w:val="44"/>
                      <w:sz w:val="21"/>
                      <w:szCs w:val="21"/>
                      <w:lang w:val="en-US" w:eastAsia="zh-CN"/>
                    </w:rPr>
                    <w:t>8</w:t>
                  </w:r>
                </w:p>
              </w:tc>
            </w:tr>
            <w:tr w14:paraId="6D140E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61" w:type="pct"/>
                  <w:vMerge w:val="continue"/>
                  <w:vAlign w:val="center"/>
                </w:tcPr>
                <w:p w14:paraId="58E5EB1C">
                  <w:pPr>
                    <w:pStyle w:val="22"/>
                    <w:spacing w:after="0" w:line="240" w:lineRule="auto"/>
                    <w:jc w:val="center"/>
                    <w:rPr>
                      <w:color w:val="FF0000"/>
                    </w:rPr>
                  </w:pPr>
                </w:p>
              </w:tc>
              <w:tc>
                <w:tcPr>
                  <w:tcW w:w="836" w:type="pct"/>
                  <w:vAlign w:val="center"/>
                </w:tcPr>
                <w:p w14:paraId="6274E6D7">
                  <w:pPr>
                    <w:pStyle w:val="22"/>
                    <w:spacing w:after="0" w:line="240" w:lineRule="auto"/>
                    <w:jc w:val="center"/>
                    <w:rPr>
                      <w:rFonts w:hint="default"/>
                      <w:color w:val="FF0000"/>
                      <w:sz w:val="21"/>
                      <w:szCs w:val="21"/>
                      <w:lang w:val="en-US"/>
                    </w:rPr>
                  </w:pPr>
                  <w:r>
                    <w:rPr>
                      <w:rFonts w:hint="eastAsia" w:ascii="Times New Roman" w:hAnsi="Times New Roman" w:eastAsia="宋体" w:cs="Times New Roman"/>
                      <w:bCs/>
                      <w:color w:val="FF0000"/>
                      <w:kern w:val="2"/>
                      <w:sz w:val="21"/>
                      <w:szCs w:val="21"/>
                      <w:lang w:val="en-US" w:eastAsia="zh-CN" w:bidi="ar-SA"/>
                    </w:rPr>
                    <w:t>浸助焊剂</w:t>
                  </w:r>
                </w:p>
              </w:tc>
              <w:tc>
                <w:tcPr>
                  <w:tcW w:w="704" w:type="pct"/>
                  <w:vAlign w:val="center"/>
                </w:tcPr>
                <w:p w14:paraId="5C5AD663">
                  <w:pPr>
                    <w:pStyle w:val="22"/>
                    <w:spacing w:after="0" w:line="240" w:lineRule="auto"/>
                    <w:jc w:val="center"/>
                    <w:rPr>
                      <w:color w:val="FF0000"/>
                      <w:sz w:val="21"/>
                      <w:szCs w:val="21"/>
                    </w:rPr>
                  </w:pPr>
                  <w:r>
                    <w:rPr>
                      <w:rFonts w:hint="eastAsia" w:cs="Times New Roman" w:eastAsiaTheme="minorEastAsia"/>
                      <w:bCs/>
                      <w:color w:val="FF0000"/>
                      <w:sz w:val="21"/>
                      <w:szCs w:val="21"/>
                      <w:lang w:val="en-US" w:eastAsia="zh-CN"/>
                    </w:rPr>
                    <w:t>非甲烷总烃</w:t>
                  </w:r>
                </w:p>
              </w:tc>
              <w:tc>
                <w:tcPr>
                  <w:tcW w:w="558" w:type="pct"/>
                  <w:vAlign w:val="center"/>
                </w:tcPr>
                <w:p w14:paraId="069A1EC4">
                  <w:pPr>
                    <w:pStyle w:val="22"/>
                    <w:spacing w:after="0" w:line="240" w:lineRule="auto"/>
                    <w:jc w:val="center"/>
                    <w:rPr>
                      <w:rFonts w:hint="default" w:cs="Times New Roman" w:eastAsiaTheme="minorEastAsia"/>
                      <w:bCs/>
                      <w:color w:val="FF0000"/>
                      <w:sz w:val="21"/>
                      <w:szCs w:val="21"/>
                      <w:lang w:val="en-US" w:eastAsia="zh-CN"/>
                    </w:rPr>
                  </w:pPr>
                  <w:r>
                    <w:rPr>
                      <w:rFonts w:hint="eastAsia" w:cs="Times New Roman" w:eastAsiaTheme="minorEastAsia"/>
                      <w:bCs/>
                      <w:color w:val="FF0000"/>
                      <w:sz w:val="21"/>
                      <w:szCs w:val="21"/>
                      <w:lang w:val="en-US" w:eastAsia="zh-CN"/>
                    </w:rPr>
                    <w:t>0.001</w:t>
                  </w:r>
                </w:p>
              </w:tc>
              <w:tc>
                <w:tcPr>
                  <w:tcW w:w="558" w:type="pct"/>
                  <w:vAlign w:val="center"/>
                </w:tcPr>
                <w:p w14:paraId="7C9CCCA6">
                  <w:pPr>
                    <w:pStyle w:val="22"/>
                    <w:spacing w:after="0" w:line="240" w:lineRule="auto"/>
                    <w:jc w:val="center"/>
                    <w:rPr>
                      <w:rFonts w:hint="default" w:cs="Times New Roman" w:eastAsiaTheme="minorEastAsia"/>
                      <w:bCs/>
                      <w:color w:val="FF0000"/>
                      <w:sz w:val="21"/>
                      <w:szCs w:val="21"/>
                      <w:lang w:val="en-US" w:eastAsia="zh-CN"/>
                    </w:rPr>
                  </w:pPr>
                  <w:r>
                    <w:rPr>
                      <w:rFonts w:hint="eastAsia" w:cs="Times New Roman" w:eastAsiaTheme="minorEastAsia"/>
                      <w:bCs/>
                      <w:color w:val="FF0000"/>
                      <w:sz w:val="21"/>
                      <w:szCs w:val="21"/>
                      <w:lang w:val="en-US" w:eastAsia="zh-CN"/>
                    </w:rPr>
                    <w:t>/</w:t>
                  </w:r>
                </w:p>
              </w:tc>
              <w:tc>
                <w:tcPr>
                  <w:tcW w:w="1447" w:type="dxa"/>
                  <w:vAlign w:val="center"/>
                </w:tcPr>
                <w:p w14:paraId="7EC496B0">
                  <w:pPr>
                    <w:pStyle w:val="22"/>
                    <w:spacing w:after="0" w:line="240" w:lineRule="auto"/>
                    <w:jc w:val="center"/>
                    <w:rPr>
                      <w:rFonts w:hint="eastAsia" w:cs="Times New Roman" w:eastAsiaTheme="minorEastAsia"/>
                      <w:bCs/>
                      <w:color w:val="FF0000"/>
                      <w:sz w:val="21"/>
                      <w:szCs w:val="21"/>
                      <w:lang w:val="en-US" w:eastAsia="zh-CN"/>
                    </w:rPr>
                  </w:pPr>
                  <w:r>
                    <w:rPr>
                      <w:rFonts w:hint="eastAsia" w:cs="Times New Roman" w:eastAsiaTheme="minorEastAsia"/>
                      <w:bCs/>
                      <w:color w:val="FF0000"/>
                      <w:sz w:val="21"/>
                      <w:szCs w:val="21"/>
                      <w:lang w:val="en-US" w:eastAsia="zh-CN"/>
                    </w:rPr>
                    <w:t>0.001</w:t>
                  </w:r>
                </w:p>
              </w:tc>
              <w:tc>
                <w:tcPr>
                  <w:tcW w:w="649" w:type="pct"/>
                  <w:vMerge w:val="continue"/>
                  <w:vAlign w:val="center"/>
                </w:tcPr>
                <w:p w14:paraId="7EE27CF6">
                  <w:pPr>
                    <w:pStyle w:val="22"/>
                    <w:spacing w:after="0" w:line="240" w:lineRule="auto"/>
                    <w:jc w:val="center"/>
                    <w:rPr>
                      <w:rFonts w:hint="eastAsia" w:cs="Times New Roman" w:eastAsiaTheme="minorEastAsia"/>
                      <w:bCs/>
                      <w:color w:val="FF0000"/>
                      <w:sz w:val="21"/>
                      <w:szCs w:val="21"/>
                      <w:lang w:val="en-US" w:eastAsia="zh-CN"/>
                    </w:rPr>
                  </w:pPr>
                </w:p>
              </w:tc>
              <w:tc>
                <w:tcPr>
                  <w:tcW w:w="572" w:type="pct"/>
                  <w:vMerge w:val="continue"/>
                  <w:vAlign w:val="center"/>
                </w:tcPr>
                <w:p w14:paraId="03507762">
                  <w:pPr>
                    <w:pStyle w:val="22"/>
                    <w:spacing w:after="0" w:line="240" w:lineRule="auto"/>
                    <w:jc w:val="center"/>
                    <w:rPr>
                      <w:rFonts w:hint="eastAsia" w:cs="Times New Roman" w:eastAsiaTheme="minorEastAsia"/>
                      <w:bCs/>
                      <w:color w:val="FF0000"/>
                      <w:sz w:val="21"/>
                      <w:szCs w:val="21"/>
                      <w:lang w:val="en-US" w:eastAsia="zh-CN"/>
                    </w:rPr>
                  </w:pPr>
                </w:p>
              </w:tc>
            </w:tr>
          </w:tbl>
          <w:p w14:paraId="126EF1BC">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4、</w:t>
            </w:r>
            <w:r>
              <w:rPr>
                <w:rFonts w:hint="default" w:ascii="Times New Roman" w:hAnsi="Times New Roman" w:eastAsia="宋体" w:cs="Times New Roman"/>
                <w:b/>
                <w:bCs/>
                <w:color w:val="auto"/>
                <w:sz w:val="24"/>
              </w:rPr>
              <w:t>非正常工况</w:t>
            </w:r>
          </w:p>
          <w:p w14:paraId="10219768">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建设项目非正常工况是指生产运行阶段的开、停工及维修或环保设施达不到设计规定指标等工况。</w:t>
            </w:r>
          </w:p>
          <w:p w14:paraId="1616615D">
            <w:pPr>
              <w:adjustRightInd w:val="0"/>
              <w:snapToGrid w:val="0"/>
              <w:spacing w:line="500" w:lineRule="exact"/>
              <w:ind w:firstLine="480" w:firstLineChars="200"/>
              <w:rPr>
                <w:rFonts w:hint="default" w:ascii="Times New Roman" w:hAnsi="Times New Roman" w:cs="Times New Roman"/>
                <w:color w:val="FF0000"/>
                <w:sz w:val="24"/>
              </w:rPr>
            </w:pPr>
            <w:r>
              <w:rPr>
                <w:rFonts w:hint="default" w:ascii="Times New Roman" w:hAnsi="Times New Roman" w:cs="Times New Roman"/>
                <w:color w:val="auto"/>
                <w:sz w:val="24"/>
              </w:rPr>
              <w:t>本项目考虑最大风险情况下，废气治理设备出现非正常工况导致</w:t>
            </w:r>
            <w:r>
              <w:rPr>
                <w:rFonts w:hint="eastAsia" w:cs="Times New Roman"/>
                <w:color w:val="auto"/>
                <w:sz w:val="24"/>
                <w:lang w:eastAsia="zh-CN"/>
              </w:rPr>
              <w:t>项目</w:t>
            </w:r>
            <w:r>
              <w:rPr>
                <w:rFonts w:hint="default" w:ascii="Times New Roman" w:hAnsi="Times New Roman" w:cs="Times New Roman"/>
                <w:color w:val="auto"/>
                <w:sz w:val="24"/>
              </w:rPr>
              <w:t>废气未经处理直接排放</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情况进行分析</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本项目非正常工况时废气源强</w:t>
            </w:r>
            <w:r>
              <w:rPr>
                <w:rFonts w:hint="default" w:ascii="Times New Roman" w:hAnsi="Times New Roman" w:cs="Times New Roman"/>
                <w:color w:val="auto"/>
                <w:sz w:val="24"/>
                <w:lang w:val="en-US" w:eastAsia="zh-CN"/>
              </w:rPr>
              <w:t>如下表</w:t>
            </w:r>
            <w:r>
              <w:rPr>
                <w:rFonts w:hint="default" w:ascii="Times New Roman" w:hAnsi="Times New Roman" w:cs="Times New Roman"/>
                <w:color w:val="auto"/>
                <w:sz w:val="24"/>
              </w:rPr>
              <w:t>所示。</w:t>
            </w:r>
          </w:p>
          <w:p w14:paraId="617200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FF0000"/>
                <w:szCs w:val="21"/>
                <w:lang w:val="en-US" w:eastAsia="zh-CN"/>
              </w:rPr>
            </w:pPr>
            <w:r>
              <w:rPr>
                <w:rFonts w:hint="default" w:ascii="Times New Roman" w:hAnsi="Times New Roman" w:cs="Times New Roman"/>
                <w:b/>
                <w:bCs/>
                <w:color w:val="FF0000"/>
                <w:szCs w:val="21"/>
                <w:lang w:val="en-US" w:eastAsia="zh-CN"/>
              </w:rPr>
              <w:t>表4-</w:t>
            </w:r>
            <w:r>
              <w:rPr>
                <w:rFonts w:hint="eastAsia" w:cs="Times New Roman"/>
                <w:b/>
                <w:bCs/>
                <w:color w:val="FF0000"/>
                <w:szCs w:val="21"/>
                <w:lang w:val="en-US" w:eastAsia="zh-CN"/>
              </w:rPr>
              <w:t>3</w:t>
            </w:r>
            <w:r>
              <w:rPr>
                <w:rFonts w:hint="default" w:ascii="Times New Roman" w:hAnsi="Times New Roman" w:cs="Times New Roman"/>
                <w:b/>
                <w:bCs/>
                <w:color w:val="FF0000"/>
                <w:szCs w:val="21"/>
                <w:lang w:val="en-US" w:eastAsia="zh-CN"/>
              </w:rPr>
              <w:t>非正常工况时废气排放情况表</w:t>
            </w:r>
          </w:p>
          <w:tbl>
            <w:tblPr>
              <w:tblStyle w:val="2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923"/>
              <w:gridCol w:w="1231"/>
              <w:gridCol w:w="1457"/>
              <w:gridCol w:w="1307"/>
              <w:gridCol w:w="1983"/>
              <w:gridCol w:w="1667"/>
              <w:gridCol w:w="1112"/>
              <w:gridCol w:w="1213"/>
              <w:gridCol w:w="2061"/>
            </w:tblGrid>
            <w:tr w14:paraId="4777D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6" w:type="pct"/>
                  <w:vMerge w:val="restart"/>
                  <w:vAlign w:val="center"/>
                </w:tcPr>
                <w:p w14:paraId="07EFAF47">
                  <w:pPr>
                    <w:adjustRightInd w:val="0"/>
                    <w:snapToGrid w:val="0"/>
                    <w:jc w:val="center"/>
                    <w:rPr>
                      <w:rFonts w:hint="eastAsia" w:ascii="Times New Roman" w:hAnsi="Times New Roman" w:eastAsia="宋体" w:cs="Times New Roman"/>
                      <w:b/>
                      <w:color w:val="FF0000"/>
                      <w:szCs w:val="21"/>
                      <w:lang w:eastAsia="zh-CN"/>
                    </w:rPr>
                  </w:pPr>
                  <w:r>
                    <w:rPr>
                      <w:rFonts w:hint="eastAsia" w:cs="Times New Roman"/>
                      <w:b/>
                      <w:color w:val="FF0000"/>
                      <w:szCs w:val="21"/>
                      <w:lang w:val="en-US" w:eastAsia="zh-CN"/>
                    </w:rPr>
                    <w:t>序号</w:t>
                  </w:r>
                </w:p>
              </w:tc>
              <w:tc>
                <w:tcPr>
                  <w:tcW w:w="475" w:type="pct"/>
                  <w:vMerge w:val="restart"/>
                  <w:vAlign w:val="center"/>
                </w:tcPr>
                <w:p w14:paraId="05ED4084">
                  <w:pPr>
                    <w:adjustRightInd w:val="0"/>
                    <w:snapToGrid w:val="0"/>
                    <w:jc w:val="center"/>
                    <w:rPr>
                      <w:rFonts w:hint="eastAsia" w:ascii="Times New Roman" w:hAnsi="Times New Roman" w:eastAsia="宋体" w:cs="Times New Roman"/>
                      <w:b/>
                      <w:color w:val="FF0000"/>
                      <w:szCs w:val="21"/>
                      <w:lang w:eastAsia="zh-CN"/>
                    </w:rPr>
                  </w:pPr>
                  <w:r>
                    <w:rPr>
                      <w:rFonts w:hint="default" w:ascii="Times New Roman" w:hAnsi="Times New Roman" w:eastAsia="CIDFont" w:cs="Times New Roman"/>
                      <w:b/>
                      <w:bCs/>
                      <w:color w:val="FF0000"/>
                      <w:kern w:val="0"/>
                      <w:szCs w:val="21"/>
                      <w:lang w:bidi="ar"/>
                    </w:rPr>
                    <w:t>非正常</w:t>
                  </w:r>
                  <w:r>
                    <w:rPr>
                      <w:rFonts w:hint="default" w:ascii="Times New Roman" w:hAnsi="Times New Roman" w:cs="Times New Roman"/>
                      <w:b/>
                      <w:color w:val="FF0000"/>
                      <w:szCs w:val="21"/>
                    </w:rPr>
                    <w:t>排放</w:t>
                  </w:r>
                  <w:r>
                    <w:rPr>
                      <w:rFonts w:hint="eastAsia" w:cs="Times New Roman"/>
                      <w:b/>
                      <w:color w:val="FF0000"/>
                      <w:szCs w:val="21"/>
                      <w:lang w:val="en-US" w:eastAsia="zh-CN"/>
                    </w:rPr>
                    <w:t>源</w:t>
                  </w:r>
                </w:p>
              </w:tc>
              <w:tc>
                <w:tcPr>
                  <w:tcW w:w="562" w:type="pct"/>
                  <w:vMerge w:val="restart"/>
                  <w:vAlign w:val="center"/>
                </w:tcPr>
                <w:p w14:paraId="3FAFC0E1">
                  <w:pPr>
                    <w:widowControl/>
                    <w:jc w:val="center"/>
                    <w:rPr>
                      <w:rFonts w:hint="default" w:ascii="Times New Roman" w:hAnsi="Times New Roman" w:cs="Times New Roman"/>
                      <w:b/>
                      <w:color w:val="FF0000"/>
                      <w:szCs w:val="21"/>
                    </w:rPr>
                  </w:pPr>
                  <w:r>
                    <w:rPr>
                      <w:rFonts w:hint="default" w:ascii="Times New Roman" w:hAnsi="Times New Roman" w:eastAsia="CIDFont" w:cs="Times New Roman"/>
                      <w:b/>
                      <w:bCs/>
                      <w:color w:val="FF0000"/>
                      <w:kern w:val="0"/>
                      <w:szCs w:val="21"/>
                      <w:lang w:bidi="ar"/>
                    </w:rPr>
                    <w:t>非正常排放原因</w:t>
                  </w:r>
                </w:p>
              </w:tc>
              <w:tc>
                <w:tcPr>
                  <w:tcW w:w="504" w:type="pct"/>
                  <w:vMerge w:val="restart"/>
                  <w:vAlign w:val="center"/>
                </w:tcPr>
                <w:p w14:paraId="7BC0FB22">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产污及污染物名称</w:t>
                  </w:r>
                </w:p>
              </w:tc>
              <w:tc>
                <w:tcPr>
                  <w:tcW w:w="1408" w:type="pct"/>
                  <w:gridSpan w:val="2"/>
                  <w:vAlign w:val="center"/>
                </w:tcPr>
                <w:p w14:paraId="255F921E">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排放情况</w:t>
                  </w:r>
                </w:p>
              </w:tc>
              <w:tc>
                <w:tcPr>
                  <w:tcW w:w="429" w:type="pct"/>
                  <w:vMerge w:val="restart"/>
                  <w:vAlign w:val="center"/>
                </w:tcPr>
                <w:p w14:paraId="47889A53">
                  <w:pPr>
                    <w:widowControl/>
                    <w:jc w:val="center"/>
                    <w:rPr>
                      <w:rFonts w:hint="default" w:ascii="Times New Roman" w:hAnsi="Times New Roman" w:cs="Times New Roman"/>
                      <w:color w:val="FF0000"/>
                    </w:rPr>
                  </w:pPr>
                  <w:r>
                    <w:rPr>
                      <w:rFonts w:hint="default" w:ascii="Times New Roman" w:hAnsi="Times New Roman" w:eastAsia="CIDFont" w:cs="Times New Roman"/>
                      <w:b/>
                      <w:bCs/>
                      <w:color w:val="FF0000"/>
                      <w:kern w:val="0"/>
                      <w:szCs w:val="21"/>
                      <w:lang w:bidi="ar"/>
                    </w:rPr>
                    <w:t>单次持续</w:t>
                  </w:r>
                </w:p>
                <w:p w14:paraId="7B7EDC6E">
                  <w:pPr>
                    <w:widowControl/>
                    <w:jc w:val="center"/>
                    <w:rPr>
                      <w:rFonts w:hint="default" w:ascii="Times New Roman" w:hAnsi="Times New Roman" w:cs="Times New Roman"/>
                      <w:b/>
                      <w:color w:val="FF0000"/>
                      <w:szCs w:val="21"/>
                    </w:rPr>
                  </w:pPr>
                  <w:r>
                    <w:rPr>
                      <w:rFonts w:hint="default" w:ascii="Times New Roman" w:hAnsi="Times New Roman" w:eastAsia="CIDFont" w:cs="Times New Roman"/>
                      <w:b/>
                      <w:bCs/>
                      <w:color w:val="FF0000"/>
                      <w:kern w:val="0"/>
                      <w:szCs w:val="21"/>
                      <w:lang w:bidi="ar"/>
                    </w:rPr>
                    <w:t>时间/h</w:t>
                  </w:r>
                </w:p>
              </w:tc>
              <w:tc>
                <w:tcPr>
                  <w:tcW w:w="468" w:type="pct"/>
                  <w:vMerge w:val="restart"/>
                  <w:vAlign w:val="center"/>
                </w:tcPr>
                <w:p w14:paraId="6C0A735F">
                  <w:pPr>
                    <w:widowControl/>
                    <w:jc w:val="center"/>
                    <w:rPr>
                      <w:rFonts w:hint="default" w:ascii="Times New Roman" w:hAnsi="Times New Roman" w:cs="Times New Roman"/>
                      <w:color w:val="FF0000"/>
                    </w:rPr>
                  </w:pPr>
                  <w:r>
                    <w:rPr>
                      <w:rFonts w:hint="default" w:ascii="Times New Roman" w:hAnsi="Times New Roman" w:eastAsia="CIDFont" w:cs="Times New Roman"/>
                      <w:b/>
                      <w:bCs/>
                      <w:color w:val="FF0000"/>
                      <w:kern w:val="0"/>
                      <w:szCs w:val="21"/>
                      <w:lang w:bidi="ar"/>
                    </w:rPr>
                    <w:t>年发生频</w:t>
                  </w:r>
                </w:p>
                <w:p w14:paraId="71A598DB">
                  <w:pPr>
                    <w:widowControl/>
                    <w:jc w:val="center"/>
                    <w:rPr>
                      <w:rFonts w:hint="default" w:ascii="Times New Roman" w:hAnsi="Times New Roman" w:cs="Times New Roman"/>
                      <w:b/>
                      <w:color w:val="FF0000"/>
                      <w:szCs w:val="21"/>
                    </w:rPr>
                  </w:pPr>
                  <w:r>
                    <w:rPr>
                      <w:rFonts w:hint="default" w:ascii="Times New Roman" w:hAnsi="Times New Roman" w:eastAsia="CIDFont" w:cs="Times New Roman"/>
                      <w:b/>
                      <w:bCs/>
                      <w:color w:val="FF0000"/>
                      <w:kern w:val="0"/>
                      <w:szCs w:val="21"/>
                      <w:lang w:bidi="ar"/>
                    </w:rPr>
                    <w:t>次/次</w:t>
                  </w:r>
                </w:p>
              </w:tc>
              <w:tc>
                <w:tcPr>
                  <w:tcW w:w="795" w:type="pct"/>
                  <w:vMerge w:val="restart"/>
                  <w:vAlign w:val="center"/>
                </w:tcPr>
                <w:p w14:paraId="2F5DB8F6">
                  <w:pPr>
                    <w:widowControl/>
                    <w:jc w:val="center"/>
                    <w:rPr>
                      <w:rFonts w:hint="default" w:ascii="Times New Roman" w:hAnsi="Times New Roman" w:cs="Times New Roman"/>
                      <w:b/>
                      <w:color w:val="FF0000"/>
                      <w:szCs w:val="21"/>
                    </w:rPr>
                  </w:pPr>
                  <w:r>
                    <w:rPr>
                      <w:rFonts w:hint="default" w:ascii="Times New Roman" w:hAnsi="Times New Roman" w:eastAsia="CIDFont" w:cs="Times New Roman"/>
                      <w:b/>
                      <w:bCs/>
                      <w:color w:val="FF0000"/>
                      <w:kern w:val="0"/>
                      <w:szCs w:val="21"/>
                      <w:lang w:bidi="ar"/>
                    </w:rPr>
                    <w:t>应对措施</w:t>
                  </w:r>
                </w:p>
              </w:tc>
            </w:tr>
            <w:tr w14:paraId="47C96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6" w:type="pct"/>
                  <w:vMerge w:val="continue"/>
                  <w:vAlign w:val="center"/>
                </w:tcPr>
                <w:p w14:paraId="02141C7A">
                  <w:pPr>
                    <w:adjustRightInd w:val="0"/>
                    <w:snapToGrid w:val="0"/>
                    <w:jc w:val="center"/>
                    <w:rPr>
                      <w:rFonts w:hint="default" w:ascii="Times New Roman" w:hAnsi="Times New Roman" w:cs="Times New Roman"/>
                      <w:b/>
                      <w:color w:val="FF0000"/>
                      <w:szCs w:val="21"/>
                    </w:rPr>
                  </w:pPr>
                </w:p>
              </w:tc>
              <w:tc>
                <w:tcPr>
                  <w:tcW w:w="475" w:type="pct"/>
                  <w:vMerge w:val="continue"/>
                  <w:vAlign w:val="center"/>
                </w:tcPr>
                <w:p w14:paraId="302B0D2D">
                  <w:pPr>
                    <w:adjustRightInd w:val="0"/>
                    <w:snapToGrid w:val="0"/>
                    <w:jc w:val="center"/>
                    <w:rPr>
                      <w:rFonts w:hint="default" w:ascii="Times New Roman" w:hAnsi="Times New Roman" w:cs="Times New Roman"/>
                      <w:b/>
                      <w:color w:val="FF0000"/>
                      <w:szCs w:val="21"/>
                    </w:rPr>
                  </w:pPr>
                </w:p>
              </w:tc>
              <w:tc>
                <w:tcPr>
                  <w:tcW w:w="562" w:type="pct"/>
                  <w:vMerge w:val="continue"/>
                  <w:vAlign w:val="center"/>
                </w:tcPr>
                <w:p w14:paraId="2845EFC8">
                  <w:pPr>
                    <w:widowControl/>
                    <w:jc w:val="center"/>
                    <w:rPr>
                      <w:rFonts w:hint="default" w:ascii="Times New Roman" w:hAnsi="Times New Roman" w:eastAsia="CIDFont" w:cs="Times New Roman"/>
                      <w:b/>
                      <w:bCs/>
                      <w:color w:val="FF0000"/>
                      <w:kern w:val="0"/>
                      <w:szCs w:val="21"/>
                      <w:lang w:bidi="ar"/>
                    </w:rPr>
                  </w:pPr>
                </w:p>
              </w:tc>
              <w:tc>
                <w:tcPr>
                  <w:tcW w:w="504" w:type="pct"/>
                  <w:vMerge w:val="continue"/>
                  <w:vAlign w:val="center"/>
                </w:tcPr>
                <w:p w14:paraId="0C84552F">
                  <w:pPr>
                    <w:adjustRightInd w:val="0"/>
                    <w:snapToGrid w:val="0"/>
                    <w:jc w:val="center"/>
                    <w:rPr>
                      <w:rFonts w:hint="default" w:ascii="Times New Roman" w:hAnsi="Times New Roman" w:cs="Times New Roman"/>
                      <w:b/>
                      <w:color w:val="FF0000"/>
                      <w:szCs w:val="21"/>
                    </w:rPr>
                  </w:pPr>
                </w:p>
              </w:tc>
              <w:tc>
                <w:tcPr>
                  <w:tcW w:w="765" w:type="pct"/>
                  <w:vAlign w:val="center"/>
                </w:tcPr>
                <w:p w14:paraId="44B8E8B0">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浓度（mg/m</w:t>
                  </w:r>
                  <w:r>
                    <w:rPr>
                      <w:rFonts w:hint="default" w:ascii="Times New Roman" w:hAnsi="Times New Roman" w:cs="Times New Roman"/>
                      <w:b/>
                      <w:color w:val="FF0000"/>
                      <w:szCs w:val="21"/>
                      <w:vertAlign w:val="superscript"/>
                    </w:rPr>
                    <w:t>3</w:t>
                  </w:r>
                  <w:r>
                    <w:rPr>
                      <w:rFonts w:hint="default" w:ascii="Times New Roman" w:hAnsi="Times New Roman" w:cs="Times New Roman"/>
                      <w:b/>
                      <w:color w:val="FF0000"/>
                      <w:szCs w:val="21"/>
                    </w:rPr>
                    <w:t>）</w:t>
                  </w:r>
                </w:p>
              </w:tc>
              <w:tc>
                <w:tcPr>
                  <w:tcW w:w="643" w:type="pct"/>
                  <w:vAlign w:val="center"/>
                </w:tcPr>
                <w:p w14:paraId="14D1015E">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速率（kg/h）</w:t>
                  </w:r>
                </w:p>
              </w:tc>
              <w:tc>
                <w:tcPr>
                  <w:tcW w:w="429" w:type="pct"/>
                  <w:vMerge w:val="continue"/>
                  <w:vAlign w:val="center"/>
                </w:tcPr>
                <w:p w14:paraId="19C409D4">
                  <w:pPr>
                    <w:adjustRightInd w:val="0"/>
                    <w:snapToGrid w:val="0"/>
                    <w:jc w:val="center"/>
                    <w:rPr>
                      <w:rFonts w:hint="default" w:ascii="Times New Roman" w:hAnsi="Times New Roman" w:cs="Times New Roman"/>
                      <w:b/>
                      <w:color w:val="FF0000"/>
                      <w:szCs w:val="21"/>
                    </w:rPr>
                  </w:pPr>
                </w:p>
              </w:tc>
              <w:tc>
                <w:tcPr>
                  <w:tcW w:w="468" w:type="pct"/>
                  <w:vMerge w:val="continue"/>
                  <w:vAlign w:val="center"/>
                </w:tcPr>
                <w:p w14:paraId="175277F1">
                  <w:pPr>
                    <w:adjustRightInd w:val="0"/>
                    <w:snapToGrid w:val="0"/>
                    <w:jc w:val="center"/>
                    <w:rPr>
                      <w:rFonts w:hint="default" w:ascii="Times New Roman" w:hAnsi="Times New Roman" w:cs="Times New Roman"/>
                      <w:b/>
                      <w:color w:val="FF0000"/>
                      <w:szCs w:val="21"/>
                    </w:rPr>
                  </w:pPr>
                </w:p>
              </w:tc>
              <w:tc>
                <w:tcPr>
                  <w:tcW w:w="795" w:type="pct"/>
                  <w:vMerge w:val="continue"/>
                  <w:vAlign w:val="center"/>
                </w:tcPr>
                <w:p w14:paraId="3CF6A05F">
                  <w:pPr>
                    <w:adjustRightInd w:val="0"/>
                    <w:snapToGrid w:val="0"/>
                    <w:jc w:val="center"/>
                    <w:rPr>
                      <w:rFonts w:hint="default" w:ascii="Times New Roman" w:hAnsi="Times New Roman" w:cs="Times New Roman"/>
                      <w:b/>
                      <w:color w:val="FF0000"/>
                      <w:szCs w:val="21"/>
                    </w:rPr>
                  </w:pPr>
                </w:p>
              </w:tc>
            </w:tr>
            <w:tr w14:paraId="655E64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356" w:type="pct"/>
                  <w:vAlign w:val="center"/>
                </w:tcPr>
                <w:p w14:paraId="542543A4">
                  <w:pPr>
                    <w:adjustRightInd w:val="0"/>
                    <w:snapToGrid w:val="0"/>
                    <w:jc w:val="center"/>
                    <w:rPr>
                      <w:rFonts w:hint="default" w:ascii="Times New Roman" w:hAnsi="Times New Roman" w:cs="Times New Roman"/>
                      <w:color w:val="FF0000"/>
                      <w:szCs w:val="21"/>
                      <w:lang w:val="en-US" w:eastAsia="zh-CN"/>
                    </w:rPr>
                  </w:pPr>
                  <w:r>
                    <w:rPr>
                      <w:rFonts w:hint="eastAsia" w:cs="Times New Roman"/>
                      <w:color w:val="FF0000"/>
                      <w:szCs w:val="21"/>
                      <w:lang w:val="en-US" w:eastAsia="zh-CN"/>
                    </w:rPr>
                    <w:t>1</w:t>
                  </w:r>
                </w:p>
              </w:tc>
              <w:tc>
                <w:tcPr>
                  <w:tcW w:w="475" w:type="pct"/>
                  <w:vAlign w:val="center"/>
                </w:tcPr>
                <w:p w14:paraId="2F0F3177">
                  <w:pPr>
                    <w:pStyle w:val="22"/>
                    <w:spacing w:after="0" w:line="240" w:lineRule="auto"/>
                    <w:jc w:val="center"/>
                    <w:rPr>
                      <w:rFonts w:hint="default" w:ascii="Times New Roman" w:hAnsi="Times New Roman" w:eastAsia="宋体" w:cs="Times New Roman"/>
                      <w:color w:val="FF0000"/>
                      <w:szCs w:val="21"/>
                      <w:lang w:val="en-US" w:eastAsia="zh-CN"/>
                    </w:rPr>
                  </w:pPr>
                  <w:r>
                    <w:rPr>
                      <w:rFonts w:hint="eastAsia" w:cs="Times New Roman"/>
                      <w:bCs/>
                      <w:color w:val="FF0000"/>
                      <w:kern w:val="2"/>
                      <w:sz w:val="21"/>
                      <w:szCs w:val="21"/>
                      <w:lang w:val="en-US" w:eastAsia="zh-CN" w:bidi="ar-SA"/>
                    </w:rPr>
                    <w:t>浸锡</w:t>
                  </w:r>
                </w:p>
              </w:tc>
              <w:tc>
                <w:tcPr>
                  <w:tcW w:w="562" w:type="pct"/>
                  <w:vAlign w:val="center"/>
                </w:tcPr>
                <w:p w14:paraId="31D665BB">
                  <w:pPr>
                    <w:pStyle w:val="22"/>
                    <w:spacing w:after="0" w:line="240" w:lineRule="auto"/>
                    <w:jc w:val="center"/>
                    <w:rPr>
                      <w:rFonts w:hint="default" w:ascii="Times New Roman" w:hAnsi="Times New Roman" w:cs="Times New Roman"/>
                      <w:color w:val="FF0000"/>
                      <w:szCs w:val="21"/>
                      <w:lang w:val="en-US"/>
                    </w:rPr>
                  </w:pPr>
                  <w:r>
                    <w:rPr>
                      <w:rFonts w:hint="eastAsia" w:cs="Times New Roman" w:eastAsiaTheme="minorEastAsia"/>
                      <w:bCs/>
                      <w:color w:val="FF0000"/>
                      <w:sz w:val="21"/>
                      <w:szCs w:val="21"/>
                      <w:lang w:val="en-US" w:eastAsia="zh-CN"/>
                    </w:rPr>
                    <w:t>废气处理设施异常</w:t>
                  </w:r>
                </w:p>
              </w:tc>
              <w:tc>
                <w:tcPr>
                  <w:tcW w:w="504" w:type="pct"/>
                  <w:vAlign w:val="center"/>
                </w:tcPr>
                <w:p w14:paraId="600DE70F">
                  <w:pPr>
                    <w:pStyle w:val="22"/>
                    <w:spacing w:after="0" w:line="240" w:lineRule="auto"/>
                    <w:jc w:val="center"/>
                    <w:rPr>
                      <w:rFonts w:hint="default" w:ascii="Times New Roman" w:hAnsi="Times New Roman" w:cs="Times New Roman"/>
                      <w:color w:val="FF0000"/>
                      <w:szCs w:val="21"/>
                      <w:lang w:val="en-US" w:eastAsia="zh-CN"/>
                    </w:rPr>
                  </w:pPr>
                  <w:r>
                    <w:rPr>
                      <w:rFonts w:hint="eastAsia" w:ascii="Times New Roman" w:hAnsi="Times New Roman" w:eastAsia="宋体" w:cs="Times New Roman"/>
                      <w:bCs/>
                      <w:color w:val="FF0000"/>
                      <w:kern w:val="2"/>
                      <w:sz w:val="21"/>
                      <w:szCs w:val="21"/>
                      <w:lang w:val="en-US" w:eastAsia="zh-CN" w:bidi="ar-SA"/>
                    </w:rPr>
                    <w:t>锡及其化合物</w:t>
                  </w:r>
                </w:p>
              </w:tc>
              <w:tc>
                <w:tcPr>
                  <w:tcW w:w="765" w:type="pct"/>
                  <w:vAlign w:val="center"/>
                </w:tcPr>
                <w:p w14:paraId="395A0AFF">
                  <w:pPr>
                    <w:pStyle w:val="22"/>
                    <w:spacing w:after="0" w:line="240" w:lineRule="auto"/>
                    <w:jc w:val="center"/>
                    <w:rPr>
                      <w:rFonts w:hint="default" w:ascii="Times New Roman" w:hAnsi="Times New Roman" w:cs="Times New Roman" w:eastAsiaTheme="minorEastAsia"/>
                      <w:bCs/>
                      <w:color w:val="FF0000"/>
                      <w:szCs w:val="22"/>
                      <w:lang w:val="en-US" w:eastAsia="zh-CN"/>
                    </w:rPr>
                  </w:pPr>
                  <w:r>
                    <w:rPr>
                      <w:rFonts w:hint="eastAsia" w:cs="Times New Roman" w:eastAsiaTheme="minorEastAsia"/>
                      <w:bCs/>
                      <w:color w:val="FF0000"/>
                      <w:sz w:val="21"/>
                      <w:szCs w:val="21"/>
                      <w:lang w:val="en-US" w:eastAsia="zh-CN"/>
                    </w:rPr>
                    <w:t>/</w:t>
                  </w:r>
                </w:p>
              </w:tc>
              <w:tc>
                <w:tcPr>
                  <w:tcW w:w="643" w:type="pct"/>
                  <w:vAlign w:val="center"/>
                </w:tcPr>
                <w:p w14:paraId="392EEC0A">
                  <w:pPr>
                    <w:pStyle w:val="22"/>
                    <w:spacing w:after="0" w:line="240" w:lineRule="auto"/>
                    <w:jc w:val="center"/>
                    <w:rPr>
                      <w:rFonts w:hint="default" w:ascii="Times New Roman" w:hAnsi="Times New Roman" w:cs="Times New Roman" w:eastAsiaTheme="minorEastAsia"/>
                      <w:bCs/>
                      <w:color w:val="FF0000"/>
                      <w:kern w:val="2"/>
                      <w:sz w:val="21"/>
                      <w:szCs w:val="22"/>
                      <w:lang w:val="en-US" w:eastAsia="zh-CN" w:bidi="ar-SA"/>
                    </w:rPr>
                  </w:pPr>
                  <w:r>
                    <w:rPr>
                      <w:rFonts w:hint="eastAsia" w:cs="Times New Roman" w:eastAsiaTheme="minorEastAsia"/>
                      <w:bCs/>
                      <w:color w:val="FF0000"/>
                      <w:kern w:val="2"/>
                      <w:sz w:val="21"/>
                      <w:szCs w:val="22"/>
                      <w:lang w:val="en-US" w:eastAsia="zh-CN" w:bidi="ar-SA"/>
                    </w:rPr>
                    <w:t>0.0013</w:t>
                  </w:r>
                </w:p>
              </w:tc>
              <w:tc>
                <w:tcPr>
                  <w:tcW w:w="429" w:type="pct"/>
                  <w:vAlign w:val="center"/>
                </w:tcPr>
                <w:p w14:paraId="17EEA40C">
                  <w:pPr>
                    <w:widowControl/>
                    <w:jc w:val="center"/>
                    <w:rPr>
                      <w:rFonts w:hint="default" w:ascii="Times New Roman" w:hAnsi="Times New Roman" w:eastAsia="宋体" w:cs="Times New Roman"/>
                      <w:color w:val="FF0000"/>
                      <w:kern w:val="0"/>
                      <w:szCs w:val="21"/>
                      <w:lang w:val="en-US" w:eastAsia="zh-CN" w:bidi="ar"/>
                    </w:rPr>
                  </w:pPr>
                  <w:r>
                    <w:rPr>
                      <w:rFonts w:hint="default" w:ascii="Times New Roman" w:hAnsi="Times New Roman" w:eastAsia="CIDFont" w:cs="Times New Roman"/>
                      <w:color w:val="FF0000"/>
                      <w:kern w:val="0"/>
                      <w:szCs w:val="21"/>
                      <w:lang w:bidi="ar"/>
                    </w:rPr>
                    <w:t>≤</w:t>
                  </w:r>
                  <w:r>
                    <w:rPr>
                      <w:rFonts w:hint="eastAsia" w:eastAsia="宋体" w:cs="Times New Roman"/>
                      <w:color w:val="FF0000"/>
                      <w:kern w:val="0"/>
                      <w:szCs w:val="21"/>
                      <w:lang w:val="en-US" w:eastAsia="zh-CN" w:bidi="ar"/>
                    </w:rPr>
                    <w:t>0.5</w:t>
                  </w:r>
                </w:p>
              </w:tc>
              <w:tc>
                <w:tcPr>
                  <w:tcW w:w="468" w:type="pct"/>
                  <w:vAlign w:val="center"/>
                </w:tcPr>
                <w:p w14:paraId="7F12F7E2">
                  <w:pPr>
                    <w:widowControl/>
                    <w:jc w:val="center"/>
                    <w:rPr>
                      <w:rFonts w:hint="default" w:ascii="Times New Roman" w:hAnsi="Times New Roman" w:eastAsia="CIDFont" w:cs="Times New Roman"/>
                      <w:color w:val="FF0000"/>
                      <w:kern w:val="0"/>
                      <w:szCs w:val="21"/>
                      <w:lang w:bidi="ar"/>
                    </w:rPr>
                  </w:pPr>
                  <w:r>
                    <w:rPr>
                      <w:rFonts w:hint="default" w:ascii="Times New Roman" w:hAnsi="Times New Roman" w:eastAsia="CIDFont" w:cs="Times New Roman"/>
                      <w:color w:val="FF0000"/>
                      <w:kern w:val="0"/>
                      <w:szCs w:val="21"/>
                      <w:lang w:bidi="ar"/>
                    </w:rPr>
                    <w:t>≤1</w:t>
                  </w:r>
                </w:p>
              </w:tc>
              <w:tc>
                <w:tcPr>
                  <w:tcW w:w="795" w:type="pct"/>
                  <w:vAlign w:val="center"/>
                </w:tcPr>
                <w:p w14:paraId="7B003D07">
                  <w:pPr>
                    <w:widowControl/>
                    <w:jc w:val="center"/>
                    <w:rPr>
                      <w:rFonts w:hint="default" w:ascii="Times New Roman" w:hAnsi="Times New Roman" w:cs="Times New Roman"/>
                      <w:color w:val="FF0000"/>
                      <w:szCs w:val="21"/>
                    </w:rPr>
                  </w:pPr>
                  <w:r>
                    <w:rPr>
                      <w:rFonts w:hint="default" w:ascii="Times New Roman" w:hAnsi="Times New Roman" w:eastAsia="CIDFont" w:cs="Times New Roman"/>
                      <w:color w:val="FF0000"/>
                      <w:kern w:val="0"/>
                      <w:szCs w:val="21"/>
                      <w:lang w:bidi="ar"/>
                    </w:rPr>
                    <w:t>加强维护、选用可靠设备，加强管理</w:t>
                  </w:r>
                </w:p>
              </w:tc>
            </w:tr>
          </w:tbl>
          <w:p w14:paraId="3CBE820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eastAsia" w:cs="Times New Roman"/>
                <w:b/>
                <w:bCs/>
                <w:color w:val="FF0000"/>
                <w:sz w:val="24"/>
                <w:lang w:val="en-US" w:eastAsia="zh-CN"/>
              </w:rPr>
            </w:pPr>
          </w:p>
          <w:p w14:paraId="722F3470">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5、</w:t>
            </w:r>
            <w:r>
              <w:rPr>
                <w:rFonts w:hint="default" w:ascii="Times New Roman" w:hAnsi="Times New Roman" w:eastAsia="宋体" w:cs="Times New Roman"/>
                <w:b/>
                <w:bCs/>
                <w:color w:val="auto"/>
                <w:sz w:val="24"/>
                <w:lang w:val="en-US" w:eastAsia="zh-CN"/>
              </w:rPr>
              <w:t>废气</w:t>
            </w:r>
            <w:r>
              <w:rPr>
                <w:rFonts w:hint="default" w:ascii="Times New Roman" w:hAnsi="Times New Roman" w:eastAsia="宋体" w:cs="Times New Roman"/>
                <w:b/>
                <w:bCs/>
                <w:color w:val="auto"/>
                <w:sz w:val="24"/>
              </w:rPr>
              <w:t>排放口基本情况</w:t>
            </w:r>
            <w:r>
              <w:rPr>
                <w:rFonts w:hint="default" w:ascii="Times New Roman" w:hAnsi="Times New Roman" w:eastAsia="宋体" w:cs="Times New Roman"/>
                <w:b/>
                <w:bCs/>
                <w:color w:val="auto"/>
                <w:sz w:val="24"/>
                <w:lang w:val="en-US" w:eastAsia="zh-CN"/>
              </w:rPr>
              <w:t>及监测方案</w:t>
            </w:r>
          </w:p>
          <w:p w14:paraId="7CD635E0">
            <w:pPr>
              <w:adjustRightInd w:val="0"/>
              <w:snapToGrid w:val="0"/>
              <w:spacing w:line="500" w:lineRule="exact"/>
              <w:ind w:firstLine="480" w:firstLineChars="20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highlight w:val="none"/>
                <w:lang w:val="en-US" w:eastAsia="zh-CN"/>
              </w:rPr>
              <w:t>参</w:t>
            </w:r>
            <w:r>
              <w:rPr>
                <w:rFonts w:hint="default" w:ascii="Times New Roman" w:hAnsi="Times New Roman" w:eastAsia="宋体" w:cs="Times New Roman"/>
                <w:color w:val="auto"/>
                <w:sz w:val="24"/>
                <w:highlight w:val="none"/>
                <w:lang w:val="en-US" w:eastAsia="zh-CN"/>
              </w:rPr>
              <w:t>照</w:t>
            </w:r>
            <w:r>
              <w:rPr>
                <w:rFonts w:hint="eastAsia" w:ascii="Times New Roman" w:hAnsi="Times New Roman" w:eastAsia="宋体" w:cs="Times New Roman"/>
                <w:color w:val="auto"/>
                <w:sz w:val="24"/>
                <w:highlight w:val="none"/>
                <w:lang w:val="en-US" w:eastAsia="zh-CN"/>
              </w:rPr>
              <w:t>《排污单位自行监测技术指南 总则》（HJ 819-2017）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《排污许可证申请与核发技术规范 电子工业》（HJ1031—2019）</w:t>
            </w:r>
            <w:r>
              <w:rPr>
                <w:rFonts w:hint="eastAsia" w:cs="Times New Roman"/>
                <w:color w:val="auto"/>
                <w:sz w:val="24"/>
                <w:szCs w:val="24"/>
                <w:lang w:val="en-US" w:eastAsia="zh-CN"/>
              </w:rPr>
              <w:t>中相关要求</w:t>
            </w:r>
            <w:r>
              <w:rPr>
                <w:rFonts w:hint="eastAsia" w:cs="Times New Roman"/>
                <w:color w:val="auto"/>
                <w:sz w:val="24"/>
                <w:highlight w:val="none"/>
                <w:lang w:val="en-US" w:eastAsia="zh-CN"/>
              </w:rPr>
              <w:t>，项目废气自行监测方案见下表</w:t>
            </w:r>
            <w:r>
              <w:rPr>
                <w:rFonts w:hint="default" w:ascii="Times New Roman" w:hAnsi="Times New Roman" w:eastAsia="宋体" w:cs="Times New Roman"/>
                <w:color w:val="auto"/>
                <w:sz w:val="24"/>
                <w:highlight w:val="none"/>
                <w:lang w:val="en-US" w:eastAsia="zh-CN"/>
              </w:rPr>
              <w:t>。</w:t>
            </w:r>
          </w:p>
          <w:p w14:paraId="4B92EA19">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1"/>
                <w:szCs w:val="21"/>
                <w:highlight w:val="none"/>
              </w:rPr>
            </w:pPr>
          </w:p>
          <w:p w14:paraId="523FFBCD">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cs="Times New Roman"/>
                <w:b/>
                <w:color w:val="auto"/>
                <w:sz w:val="21"/>
                <w:szCs w:val="21"/>
                <w:highlight w:val="none"/>
              </w:rPr>
            </w:pPr>
          </w:p>
          <w:p w14:paraId="4911657A">
            <w:pPr>
              <w:keepNext w:val="0"/>
              <w:keepLines w:val="0"/>
              <w:pageBreakBefore w:val="0"/>
              <w:widowControl w:val="0"/>
              <w:kinsoku/>
              <w:wordWrap/>
              <w:overflowPunct/>
              <w:topLinePunct w:val="0"/>
              <w:autoSpaceDE/>
              <w:autoSpaceDN/>
              <w:bidi w:val="0"/>
              <w:snapToGrid w:val="0"/>
              <w:spacing w:line="500" w:lineRule="exact"/>
              <w:jc w:val="center"/>
              <w:textAlignment w:val="auto"/>
              <w:rPr>
                <w:rFonts w:hint="default" w:ascii="Times New Roman" w:hAnsi="Times New Roman" w:eastAsia="宋体" w:cs="Times New Roman"/>
                <w:b/>
                <w:color w:val="FF0000"/>
                <w:sz w:val="21"/>
                <w:szCs w:val="21"/>
                <w:highlight w:val="none"/>
                <w:lang w:eastAsia="zh-CN"/>
              </w:rPr>
            </w:pPr>
            <w:r>
              <w:rPr>
                <w:rFonts w:hint="default" w:ascii="Times New Roman" w:hAnsi="Times New Roman" w:cs="Times New Roman"/>
                <w:b/>
                <w:color w:val="FF0000"/>
                <w:sz w:val="21"/>
                <w:szCs w:val="21"/>
                <w:highlight w:val="none"/>
              </w:rPr>
              <w:t>表4-</w:t>
            </w:r>
            <w:r>
              <w:rPr>
                <w:rFonts w:hint="eastAsia" w:cs="Times New Roman"/>
                <w:b/>
                <w:color w:val="FF0000"/>
                <w:sz w:val="21"/>
                <w:szCs w:val="21"/>
                <w:highlight w:val="none"/>
                <w:lang w:val="en-US" w:eastAsia="zh-CN"/>
              </w:rPr>
              <w:t xml:space="preserve">4 </w:t>
            </w:r>
            <w:r>
              <w:rPr>
                <w:rFonts w:hint="default" w:ascii="Times New Roman" w:hAnsi="Times New Roman" w:cs="Times New Roman"/>
                <w:b/>
                <w:color w:val="FF0000"/>
                <w:sz w:val="21"/>
                <w:szCs w:val="21"/>
                <w:highlight w:val="none"/>
                <w:lang w:val="en-US" w:eastAsia="zh-CN"/>
              </w:rPr>
              <w:t>本项目</w:t>
            </w:r>
            <w:r>
              <w:rPr>
                <w:rFonts w:hint="default" w:ascii="Times New Roman" w:hAnsi="Times New Roman" w:cs="Times New Roman"/>
                <w:b/>
                <w:color w:val="FF0000"/>
                <w:sz w:val="21"/>
                <w:szCs w:val="21"/>
                <w:highlight w:val="none"/>
              </w:rPr>
              <w:t>废气</w:t>
            </w:r>
            <w:r>
              <w:rPr>
                <w:rFonts w:hint="default" w:ascii="Times New Roman" w:hAnsi="Times New Roman" w:cs="Times New Roman"/>
                <w:b/>
                <w:color w:val="FF0000"/>
                <w:sz w:val="21"/>
                <w:szCs w:val="21"/>
                <w:highlight w:val="none"/>
                <w:lang w:val="en-US" w:eastAsia="zh-CN"/>
              </w:rPr>
              <w:t>自行</w:t>
            </w:r>
            <w:r>
              <w:rPr>
                <w:rFonts w:hint="default" w:ascii="Times New Roman" w:hAnsi="Times New Roman" w:cs="Times New Roman"/>
                <w:b/>
                <w:color w:val="FF0000"/>
                <w:sz w:val="21"/>
                <w:szCs w:val="21"/>
                <w:highlight w:val="none"/>
              </w:rPr>
              <w:t>监测</w:t>
            </w:r>
            <w:r>
              <w:rPr>
                <w:rFonts w:hint="default" w:ascii="Times New Roman" w:hAnsi="Times New Roman" w:cs="Times New Roman"/>
                <w:b/>
                <w:color w:val="FF0000"/>
                <w:sz w:val="21"/>
                <w:szCs w:val="21"/>
                <w:highlight w:val="none"/>
                <w:lang w:val="en-US" w:eastAsia="zh-CN"/>
              </w:rPr>
              <w:t>方案</w:t>
            </w:r>
          </w:p>
          <w:tbl>
            <w:tblPr>
              <w:tblStyle w:val="2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79" w:type="dxa"/>
                <w:bottom w:w="28" w:type="dxa"/>
                <w:right w:w="79" w:type="dxa"/>
              </w:tblCellMar>
            </w:tblPr>
            <w:tblGrid>
              <w:gridCol w:w="1668"/>
              <w:gridCol w:w="4714"/>
              <w:gridCol w:w="4527"/>
              <w:gridCol w:w="2045"/>
            </w:tblGrid>
            <w:tr w14:paraId="0A638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Align w:val="center"/>
                </w:tcPr>
                <w:p w14:paraId="40807BD2">
                  <w:pPr>
                    <w:adjustRightInd w:val="0"/>
                    <w:snapToGrid w:val="0"/>
                    <w:jc w:val="center"/>
                    <w:rPr>
                      <w:rFonts w:hint="default" w:ascii="Times New Roman" w:hAnsi="Times New Roman" w:eastAsia="宋体" w:cs="Times New Roman"/>
                      <w:b/>
                      <w:color w:val="FF0000"/>
                      <w:szCs w:val="21"/>
                      <w:lang w:eastAsia="zh-CN"/>
                    </w:rPr>
                  </w:pPr>
                  <w:r>
                    <w:rPr>
                      <w:rFonts w:hint="default" w:ascii="Times New Roman" w:hAnsi="Times New Roman" w:cs="Times New Roman"/>
                      <w:b/>
                      <w:color w:val="FF0000"/>
                      <w:szCs w:val="21"/>
                      <w:lang w:val="en-US" w:eastAsia="zh-CN"/>
                    </w:rPr>
                    <w:t>类别</w:t>
                  </w:r>
                </w:p>
              </w:tc>
              <w:tc>
                <w:tcPr>
                  <w:tcW w:w="1819" w:type="pct"/>
                  <w:vAlign w:val="center"/>
                </w:tcPr>
                <w:p w14:paraId="5E586593">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监测点位</w:t>
                  </w:r>
                </w:p>
              </w:tc>
              <w:tc>
                <w:tcPr>
                  <w:tcW w:w="1747" w:type="pct"/>
                  <w:vAlign w:val="center"/>
                </w:tcPr>
                <w:p w14:paraId="11AEF2FB">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监测项目</w:t>
                  </w:r>
                </w:p>
              </w:tc>
              <w:tc>
                <w:tcPr>
                  <w:tcW w:w="789" w:type="pct"/>
                  <w:vAlign w:val="center"/>
                </w:tcPr>
                <w:p w14:paraId="126E8460">
                  <w:pPr>
                    <w:adjustRightInd w:val="0"/>
                    <w:snapToGrid w:val="0"/>
                    <w:jc w:val="center"/>
                    <w:rPr>
                      <w:rFonts w:hint="default" w:ascii="Times New Roman" w:hAnsi="Times New Roman" w:cs="Times New Roman"/>
                      <w:b/>
                      <w:color w:val="FF0000"/>
                      <w:szCs w:val="21"/>
                    </w:rPr>
                  </w:pPr>
                  <w:r>
                    <w:rPr>
                      <w:rFonts w:hint="default" w:ascii="Times New Roman" w:hAnsi="Times New Roman" w:cs="Times New Roman"/>
                      <w:b/>
                      <w:color w:val="FF0000"/>
                      <w:szCs w:val="21"/>
                    </w:rPr>
                    <w:t>监测频率</w:t>
                  </w:r>
                </w:p>
              </w:tc>
            </w:tr>
            <w:tr w14:paraId="324904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3" w:type="pct"/>
                  <w:vMerge w:val="restart"/>
                  <w:vAlign w:val="center"/>
                </w:tcPr>
                <w:p w14:paraId="2E0EA3D0">
                  <w:pPr>
                    <w:adjustRightInd w:val="0"/>
                    <w:snapToGrid w:val="0"/>
                    <w:jc w:val="center"/>
                    <w:rPr>
                      <w:rFonts w:hint="default" w:ascii="Times New Roman" w:hAnsi="Times New Roman" w:eastAsia="宋体" w:cs="Times New Roman"/>
                      <w:color w:val="FF0000"/>
                      <w:szCs w:val="21"/>
                      <w:lang w:val="en-US" w:eastAsia="zh-CN"/>
                    </w:rPr>
                  </w:pPr>
                  <w:r>
                    <w:rPr>
                      <w:rFonts w:hint="default" w:ascii="Times New Roman" w:hAnsi="Times New Roman" w:cs="Times New Roman"/>
                      <w:color w:val="FF0000"/>
                      <w:szCs w:val="21"/>
                      <w:lang w:val="en-US" w:eastAsia="zh-CN"/>
                    </w:rPr>
                    <w:t>无组织</w:t>
                  </w:r>
                </w:p>
              </w:tc>
              <w:tc>
                <w:tcPr>
                  <w:tcW w:w="1819" w:type="pct"/>
                  <w:vAlign w:val="center"/>
                </w:tcPr>
                <w:p w14:paraId="3F45E101">
                  <w:pPr>
                    <w:adjustRightInd w:val="0"/>
                    <w:snapToGrid w:val="0"/>
                    <w:jc w:val="center"/>
                    <w:rPr>
                      <w:rFonts w:hint="default" w:ascii="Times New Roman" w:hAnsi="Times New Roman" w:cs="Times New Roman"/>
                      <w:color w:val="FF0000"/>
                      <w:szCs w:val="21"/>
                      <w:lang w:val="en-US" w:eastAsia="zh-CN"/>
                    </w:rPr>
                  </w:pPr>
                  <w:r>
                    <w:rPr>
                      <w:rFonts w:hint="default" w:ascii="Times New Roman" w:hAnsi="Times New Roman" w:cs="Times New Roman"/>
                      <w:color w:val="FF0000"/>
                      <w:szCs w:val="21"/>
                      <w:lang w:val="en-US" w:eastAsia="zh-CN"/>
                    </w:rPr>
                    <w:t>厂界外</w:t>
                  </w:r>
                </w:p>
              </w:tc>
              <w:tc>
                <w:tcPr>
                  <w:tcW w:w="1747" w:type="pct"/>
                  <w:vAlign w:val="center"/>
                </w:tcPr>
                <w:p w14:paraId="5E6BD174">
                  <w:pPr>
                    <w:adjustRightInd w:val="0"/>
                    <w:snapToGrid w:val="0"/>
                    <w:jc w:val="center"/>
                    <w:rPr>
                      <w:rFonts w:hint="default" w:ascii="Times New Roman" w:hAnsi="Times New Roman" w:cs="Times New Roman"/>
                      <w:color w:val="FF0000"/>
                      <w:szCs w:val="21"/>
                      <w:lang w:val="en-US" w:eastAsia="zh-CN"/>
                    </w:rPr>
                  </w:pPr>
                  <w:r>
                    <w:rPr>
                      <w:rFonts w:hint="default" w:ascii="Times New Roman" w:hAnsi="Times New Roman" w:eastAsia="宋体" w:cs="Times New Roman"/>
                      <w:bCs/>
                      <w:color w:val="FF0000"/>
                      <w:kern w:val="2"/>
                      <w:sz w:val="21"/>
                      <w:szCs w:val="21"/>
                      <w:lang w:val="en-US" w:eastAsia="zh-CN" w:bidi="ar-SA"/>
                    </w:rPr>
                    <w:t>锡及其化合物</w:t>
                  </w:r>
                  <w:r>
                    <w:rPr>
                      <w:rFonts w:hint="eastAsia" w:cs="Times New Roman"/>
                      <w:color w:val="FF0000"/>
                      <w:szCs w:val="21"/>
                      <w:lang w:val="en-US" w:eastAsia="zh-CN"/>
                    </w:rPr>
                    <w:t>、</w:t>
                  </w:r>
                  <w:r>
                    <w:rPr>
                      <w:rFonts w:hint="eastAsia" w:ascii="Times New Roman" w:hAnsi="Times New Roman" w:eastAsia="宋体" w:cs="Times New Roman"/>
                      <w:color w:val="FF0000"/>
                      <w:sz w:val="21"/>
                      <w:szCs w:val="21"/>
                      <w:lang w:val="en-US" w:eastAsia="zh-CN"/>
                    </w:rPr>
                    <w:t>非甲烷总烃</w:t>
                  </w:r>
                </w:p>
              </w:tc>
              <w:tc>
                <w:tcPr>
                  <w:tcW w:w="789" w:type="pct"/>
                  <w:vAlign w:val="center"/>
                </w:tcPr>
                <w:p w14:paraId="2F292281">
                  <w:pPr>
                    <w:adjustRightInd w:val="0"/>
                    <w:snapToGrid w:val="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rPr>
                    <w:t>1次</w:t>
                  </w:r>
                  <w:r>
                    <w:rPr>
                      <w:rFonts w:hint="eastAsia" w:cs="Times New Roman"/>
                      <w:color w:val="FF0000"/>
                      <w:szCs w:val="21"/>
                      <w:lang w:val="en-US" w:eastAsia="zh-CN"/>
                    </w:rPr>
                    <w:t>/a</w:t>
                  </w:r>
                </w:p>
              </w:tc>
            </w:tr>
            <w:tr w14:paraId="45731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24" w:hRule="atLeast"/>
                <w:jc w:val="center"/>
              </w:trPr>
              <w:tc>
                <w:tcPr>
                  <w:tcW w:w="643" w:type="pct"/>
                  <w:vMerge w:val="continue"/>
                  <w:vAlign w:val="center"/>
                </w:tcPr>
                <w:p w14:paraId="46B5E296">
                  <w:pPr>
                    <w:adjustRightInd w:val="0"/>
                    <w:snapToGrid w:val="0"/>
                    <w:jc w:val="center"/>
                    <w:rPr>
                      <w:rFonts w:hint="default" w:ascii="Times New Roman" w:hAnsi="Times New Roman" w:cs="Times New Roman"/>
                      <w:color w:val="FF0000"/>
                      <w:szCs w:val="21"/>
                      <w:lang w:val="en-US" w:eastAsia="zh-CN"/>
                    </w:rPr>
                  </w:pPr>
                </w:p>
              </w:tc>
              <w:tc>
                <w:tcPr>
                  <w:tcW w:w="1819" w:type="pct"/>
                  <w:vAlign w:val="center"/>
                </w:tcPr>
                <w:p w14:paraId="068A3FFC">
                  <w:pPr>
                    <w:adjustRightInd w:val="0"/>
                    <w:snapToGrid w:val="0"/>
                    <w:jc w:val="center"/>
                    <w:rPr>
                      <w:rFonts w:hint="default" w:ascii="Times New Roman" w:hAnsi="Times New Roman" w:cs="Times New Roman"/>
                      <w:color w:val="FF0000"/>
                      <w:szCs w:val="21"/>
                      <w:lang w:val="en-US" w:eastAsia="zh-CN"/>
                    </w:rPr>
                  </w:pPr>
                  <w:r>
                    <w:rPr>
                      <w:rFonts w:hint="eastAsia" w:cs="Times New Roman"/>
                      <w:color w:val="FF0000"/>
                      <w:szCs w:val="21"/>
                      <w:lang w:val="en-US" w:eastAsia="zh-CN"/>
                    </w:rPr>
                    <w:t>车间外</w:t>
                  </w:r>
                </w:p>
              </w:tc>
              <w:tc>
                <w:tcPr>
                  <w:tcW w:w="1747" w:type="pct"/>
                  <w:vAlign w:val="center"/>
                </w:tcPr>
                <w:p w14:paraId="7E06CF2B">
                  <w:pPr>
                    <w:adjustRightInd w:val="0"/>
                    <w:snapToGrid w:val="0"/>
                    <w:jc w:val="center"/>
                    <w:rPr>
                      <w:rFonts w:hint="eastAsia" w:cs="Times New Roman"/>
                      <w:color w:val="FF0000"/>
                      <w:szCs w:val="21"/>
                      <w:lang w:val="en-US" w:eastAsia="zh-CN"/>
                    </w:rPr>
                  </w:pPr>
                  <w:r>
                    <w:rPr>
                      <w:rFonts w:hint="eastAsia" w:ascii="Times New Roman" w:hAnsi="Times New Roman" w:eastAsia="宋体" w:cs="Times New Roman"/>
                      <w:color w:val="FF0000"/>
                      <w:sz w:val="21"/>
                      <w:szCs w:val="21"/>
                      <w:lang w:val="en-US" w:eastAsia="zh-CN"/>
                    </w:rPr>
                    <w:t>非甲烷总烃</w:t>
                  </w:r>
                </w:p>
              </w:tc>
              <w:tc>
                <w:tcPr>
                  <w:tcW w:w="789" w:type="pct"/>
                  <w:vAlign w:val="center"/>
                </w:tcPr>
                <w:p w14:paraId="0D8708F4">
                  <w:pPr>
                    <w:adjustRightInd w:val="0"/>
                    <w:snapToGrid w:val="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1次</w:t>
                  </w:r>
                  <w:r>
                    <w:rPr>
                      <w:rFonts w:hint="eastAsia" w:cs="Times New Roman"/>
                      <w:color w:val="FF0000"/>
                      <w:szCs w:val="21"/>
                      <w:lang w:val="en-US" w:eastAsia="zh-CN"/>
                    </w:rPr>
                    <w:t>/a</w:t>
                  </w:r>
                </w:p>
              </w:tc>
            </w:tr>
          </w:tbl>
          <w:p w14:paraId="3A78800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cs="Times New Roman"/>
                <w:color w:val="auto"/>
              </w:rPr>
            </w:pPr>
          </w:p>
        </w:tc>
      </w:tr>
    </w:tbl>
    <w:p w14:paraId="4461F161">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8"/>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69FC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5FFBCA5C">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运营</w:t>
            </w:r>
          </w:p>
          <w:p w14:paraId="3257A86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期环</w:t>
            </w:r>
          </w:p>
          <w:p w14:paraId="53B6AEA1">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境影</w:t>
            </w:r>
          </w:p>
          <w:p w14:paraId="2F7726C0">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响和</w:t>
            </w:r>
          </w:p>
          <w:p w14:paraId="74674179">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保护</w:t>
            </w:r>
          </w:p>
          <w:p w14:paraId="6C19A51A">
            <w:pPr>
              <w:adjustRightInd w:val="0"/>
              <w:snapToGrid w:val="0"/>
              <w:jc w:val="center"/>
              <w:rPr>
                <w:rFonts w:hint="default" w:ascii="Times New Roman" w:hAnsi="Times New Roman" w:cs="Times New Roman"/>
                <w:bCs/>
                <w:color w:val="auto"/>
                <w:sz w:val="24"/>
              </w:rPr>
            </w:pPr>
            <w:r>
              <w:rPr>
                <w:rFonts w:hint="default" w:ascii="Times New Roman" w:hAnsi="Times New Roman" w:cs="Times New Roman"/>
                <w:bCs/>
                <w:color w:val="auto"/>
                <w:sz w:val="24"/>
              </w:rPr>
              <w:t>措施</w:t>
            </w:r>
          </w:p>
        </w:tc>
        <w:tc>
          <w:tcPr>
            <w:tcW w:w="8425" w:type="dxa"/>
            <w:vAlign w:val="center"/>
          </w:tcPr>
          <w:p w14:paraId="0C7E1305">
            <w:pPr>
              <w:adjustRightInd w:val="0"/>
              <w:snapToGrid w:val="0"/>
              <w:spacing w:line="500" w:lineRule="exact"/>
              <w:ind w:firstLine="482" w:firstLineChars="200"/>
              <w:rPr>
                <w:rFonts w:hint="default" w:ascii="Times New Roman" w:hAnsi="Times New Roman" w:cs="Times New Roman"/>
                <w:b/>
                <w:color w:val="auto"/>
                <w:sz w:val="24"/>
              </w:rPr>
            </w:pPr>
            <w:r>
              <w:rPr>
                <w:rFonts w:hint="eastAsia" w:cs="Times New Roman"/>
                <w:b/>
                <w:color w:val="auto"/>
                <w:sz w:val="24"/>
                <w:lang w:val="en-US" w:eastAsia="zh-CN"/>
              </w:rPr>
              <w:t>6、</w:t>
            </w:r>
            <w:r>
              <w:rPr>
                <w:rFonts w:hint="default" w:ascii="Times New Roman" w:hAnsi="Times New Roman" w:cs="Times New Roman"/>
                <w:b/>
                <w:color w:val="auto"/>
                <w:sz w:val="24"/>
              </w:rPr>
              <w:t>大气环境影响分析</w:t>
            </w:r>
          </w:p>
          <w:p w14:paraId="6124E72B">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1）大气环境防护距离</w:t>
            </w:r>
          </w:p>
          <w:p w14:paraId="4516B73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根据分析，本项目未捕集</w:t>
            </w:r>
            <w:r>
              <w:rPr>
                <w:rFonts w:hint="default" w:ascii="Times New Roman" w:hAnsi="Times New Roman" w:cs="Times New Roman"/>
                <w:color w:val="auto"/>
                <w:sz w:val="24"/>
                <w:lang w:val="en-US" w:eastAsia="zh-CN"/>
              </w:rPr>
              <w:t>废气</w:t>
            </w:r>
            <w:r>
              <w:rPr>
                <w:rFonts w:hint="default" w:ascii="Times New Roman" w:hAnsi="Times New Roman" w:cs="Times New Roman"/>
                <w:color w:val="auto"/>
                <w:sz w:val="24"/>
              </w:rPr>
              <w:t>无组织排放，大气环境防护距离计算模式采用环境保护部环境工程评估中心环境质量模拟重点实验室软件，经计算，本项目无组织排放废气计算结果无超标点。本项目不需设定大气环境防护距离。</w:t>
            </w:r>
          </w:p>
          <w:p w14:paraId="7138BDF8">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2）卫生防护距离</w:t>
            </w:r>
          </w:p>
          <w:p w14:paraId="190A1351">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根据《大气有害物质无组织排放卫生防护距离推导技术导则》(GB/T39499-2020)，各类工业企业卫生防护距离按下式计算：</w:t>
            </w:r>
          </w:p>
          <w:p w14:paraId="32495E4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position w:val="-30"/>
                <w:sz w:val="24"/>
              </w:rPr>
              <w:object>
                <v:shape id="_x0000_i1025" o:spt="75" type="#_x0000_t75" style="height:38.15pt;width:153.15pt;" o:ole="t" filled="f" coordsize="21600,21600">
                  <v:path/>
                  <v:fill on="f" focussize="0,0"/>
                  <v:stroke/>
                  <v:imagedata r:id="rId21" o:title=""/>
                  <o:lock v:ext="edit" aspectratio="t"/>
                  <w10:wrap type="none"/>
                  <w10:anchorlock/>
                </v:shape>
                <o:OLEObject Type="Embed" ProgID="Equation.3" ShapeID="_x0000_i1025" DrawAspect="Content" ObjectID="_1468075725" r:id="rId20">
                  <o:LockedField>false</o:LockedField>
                </o:OLEObject>
              </w:object>
            </w:r>
          </w:p>
          <w:p w14:paraId="0581E3AA">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511682DE">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—大气有害物质环境空气质量的标准限值，单位为毫克每立方米(mg/m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30189841">
            <w:pPr>
              <w:snapToGrid w:val="0"/>
              <w:spacing w:line="50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L—大气有害物质卫生防护距离初值，单位为米(m)</w:t>
            </w:r>
            <w:r>
              <w:rPr>
                <w:rFonts w:hint="eastAsia" w:cs="Times New Roman"/>
                <w:color w:val="auto"/>
                <w:sz w:val="24"/>
                <w:lang w:eastAsia="zh-CN"/>
              </w:rPr>
              <w:t>；</w:t>
            </w:r>
          </w:p>
          <w:p w14:paraId="261779D5">
            <w:pPr>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r—大气有害物质无组织排放源所在生产单元的等效半径，单位为米(m)；</w:t>
            </w:r>
          </w:p>
          <w:p w14:paraId="27C5A59C">
            <w:pPr>
              <w:snapToGrid w:val="0"/>
              <w:spacing w:line="500" w:lineRule="exact"/>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rPr>
              <w:t>A、B、C、D—卫生防护距离初值计算系数，该地区的平均</w:t>
            </w:r>
            <w:r>
              <w:rPr>
                <w:rFonts w:hint="default" w:ascii="Times New Roman" w:hAnsi="Times New Roman" w:cs="Times New Roman"/>
                <w:color w:val="auto"/>
                <w:sz w:val="24"/>
                <w:szCs w:val="22"/>
              </w:rPr>
              <w:t>风速</w:t>
            </w:r>
            <w:r>
              <w:rPr>
                <w:rFonts w:hint="default" w:ascii="Times New Roman" w:hAnsi="Times New Roman" w:cs="Times New Roman"/>
                <w:color w:val="auto"/>
                <w:sz w:val="24"/>
              </w:rPr>
              <w:t>为2.9m/s，</w:t>
            </w:r>
            <w:r>
              <w:rPr>
                <w:rFonts w:hint="default" w:ascii="Times New Roman" w:hAnsi="Times New Roman" w:cs="Times New Roman"/>
                <w:color w:val="auto"/>
                <w:sz w:val="24"/>
                <w:lang w:val="en-US" w:eastAsia="zh-CN"/>
              </w:rPr>
              <w:t>参数</w:t>
            </w:r>
            <w:r>
              <w:rPr>
                <w:rFonts w:hint="default" w:ascii="Times New Roman" w:hAnsi="Times New Roman" w:cs="Times New Roman"/>
                <w:color w:val="auto"/>
                <w:sz w:val="24"/>
              </w:rPr>
              <w:t>的选取见下表。</w:t>
            </w:r>
          </w:p>
          <w:p w14:paraId="39461875">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5</w:t>
            </w:r>
            <w:r>
              <w:rPr>
                <w:rFonts w:hint="default" w:ascii="Times New Roman" w:hAnsi="Times New Roman" w:cs="Times New Roman"/>
                <w:b/>
                <w:color w:val="auto"/>
                <w:szCs w:val="21"/>
              </w:rPr>
              <w:t>卫生防护距离计算系数</w:t>
            </w:r>
          </w:p>
          <w:tbl>
            <w:tblPr>
              <w:tblStyle w:val="29"/>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2CB8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65E1A780">
                  <w:pPr>
                    <w:jc w:val="center"/>
                    <w:rPr>
                      <w:rFonts w:hint="default" w:ascii="Times New Roman" w:hAnsi="Times New Roman" w:cs="Times New Roman"/>
                      <w:color w:val="auto"/>
                      <w:szCs w:val="21"/>
                    </w:rPr>
                  </w:pPr>
                  <w:r>
                    <w:rPr>
                      <w:rFonts w:hint="default" w:ascii="Times New Roman" w:hAnsi="Times New Roman" w:cs="Times New Roman"/>
                      <w:color w:val="auto"/>
                      <w:szCs w:val="21"/>
                    </w:rPr>
                    <w:t>计</w:t>
                  </w:r>
                </w:p>
                <w:p w14:paraId="7A29809D">
                  <w:pPr>
                    <w:jc w:val="center"/>
                    <w:rPr>
                      <w:rFonts w:hint="default" w:ascii="Times New Roman" w:hAnsi="Times New Roman" w:cs="Times New Roman"/>
                      <w:color w:val="auto"/>
                      <w:szCs w:val="21"/>
                    </w:rPr>
                  </w:pPr>
                  <w:r>
                    <w:rPr>
                      <w:rFonts w:hint="default" w:ascii="Times New Roman" w:hAnsi="Times New Roman" w:cs="Times New Roman"/>
                      <w:color w:val="auto"/>
                      <w:szCs w:val="21"/>
                    </w:rPr>
                    <w:t>算</w:t>
                  </w:r>
                </w:p>
                <w:p w14:paraId="3349ED2D">
                  <w:pPr>
                    <w:jc w:val="center"/>
                    <w:rPr>
                      <w:rFonts w:hint="default" w:ascii="Times New Roman" w:hAnsi="Times New Roman" w:cs="Times New Roman"/>
                      <w:color w:val="auto"/>
                      <w:szCs w:val="21"/>
                    </w:rPr>
                  </w:pPr>
                  <w:r>
                    <w:rPr>
                      <w:rFonts w:hint="default" w:ascii="Times New Roman" w:hAnsi="Times New Roman" w:cs="Times New Roman"/>
                      <w:color w:val="auto"/>
                      <w:szCs w:val="21"/>
                    </w:rPr>
                    <w:t>系</w:t>
                  </w:r>
                </w:p>
                <w:p w14:paraId="7D928EDD">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w:t>
                  </w:r>
                </w:p>
              </w:tc>
              <w:tc>
                <w:tcPr>
                  <w:tcW w:w="466" w:type="pct"/>
                  <w:vMerge w:val="restart"/>
                  <w:vAlign w:val="center"/>
                </w:tcPr>
                <w:p w14:paraId="47F861B6">
                  <w:pPr>
                    <w:jc w:val="center"/>
                    <w:rPr>
                      <w:rFonts w:hint="default" w:ascii="Times New Roman" w:hAnsi="Times New Roman" w:cs="Times New Roman"/>
                      <w:color w:val="auto"/>
                      <w:szCs w:val="21"/>
                    </w:rPr>
                  </w:pPr>
                  <w:r>
                    <w:rPr>
                      <w:rFonts w:hint="default" w:ascii="Times New Roman" w:hAnsi="Times New Roman" w:cs="Times New Roman"/>
                      <w:color w:val="auto"/>
                      <w:szCs w:val="21"/>
                    </w:rPr>
                    <w:t>5年平均风速</w:t>
                  </w:r>
                </w:p>
                <w:p w14:paraId="65419D46">
                  <w:pPr>
                    <w:jc w:val="center"/>
                    <w:rPr>
                      <w:rFonts w:hint="default" w:ascii="Times New Roman" w:hAnsi="Times New Roman" w:cs="Times New Roman"/>
                      <w:color w:val="auto"/>
                      <w:szCs w:val="21"/>
                    </w:rPr>
                  </w:pPr>
                  <w:r>
                    <w:rPr>
                      <w:rFonts w:hint="default" w:ascii="Times New Roman" w:hAnsi="Times New Roman" w:cs="Times New Roman"/>
                      <w:color w:val="auto"/>
                      <w:szCs w:val="21"/>
                    </w:rPr>
                    <w:t>m/s</w:t>
                  </w:r>
                </w:p>
              </w:tc>
              <w:tc>
                <w:tcPr>
                  <w:tcW w:w="4187" w:type="pct"/>
                  <w:gridSpan w:val="9"/>
                  <w:vAlign w:val="center"/>
                </w:tcPr>
                <w:p w14:paraId="6CBDB588">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卫生防护距离L，m</w:t>
                  </w:r>
                </w:p>
              </w:tc>
            </w:tr>
            <w:tr w14:paraId="32E9D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CF298D">
                  <w:pPr>
                    <w:jc w:val="center"/>
                    <w:rPr>
                      <w:rFonts w:hint="default" w:ascii="Times New Roman" w:hAnsi="Times New Roman" w:cs="Times New Roman"/>
                      <w:color w:val="auto"/>
                      <w:sz w:val="24"/>
                    </w:rPr>
                  </w:pPr>
                </w:p>
              </w:tc>
              <w:tc>
                <w:tcPr>
                  <w:tcW w:w="466" w:type="pct"/>
                  <w:vMerge w:val="continue"/>
                  <w:vAlign w:val="center"/>
                </w:tcPr>
                <w:p w14:paraId="6D02AB91">
                  <w:pPr>
                    <w:jc w:val="center"/>
                    <w:rPr>
                      <w:rFonts w:hint="default" w:ascii="Times New Roman" w:hAnsi="Times New Roman" w:cs="Times New Roman"/>
                      <w:color w:val="auto"/>
                      <w:sz w:val="24"/>
                    </w:rPr>
                  </w:pPr>
                </w:p>
              </w:tc>
              <w:tc>
                <w:tcPr>
                  <w:tcW w:w="1397" w:type="pct"/>
                  <w:gridSpan w:val="3"/>
                  <w:vAlign w:val="center"/>
                </w:tcPr>
                <w:p w14:paraId="274CCE16">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7" w:type="pct"/>
                  <w:gridSpan w:val="3"/>
                  <w:vAlign w:val="center"/>
                </w:tcPr>
                <w:p w14:paraId="2F37DB14">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c>
                <w:tcPr>
                  <w:tcW w:w="1392" w:type="pct"/>
                  <w:gridSpan w:val="3"/>
                  <w:vAlign w:val="center"/>
                </w:tcPr>
                <w:p w14:paraId="5CFA6883">
                  <w:pPr>
                    <w:jc w:val="center"/>
                    <w:rPr>
                      <w:rFonts w:hint="default" w:ascii="Times New Roman" w:hAnsi="Times New Roman" w:cs="Times New Roman"/>
                      <w:color w:val="auto"/>
                      <w:szCs w:val="21"/>
                    </w:rPr>
                  </w:pPr>
                  <w:r>
                    <w:rPr>
                      <w:rFonts w:hint="default" w:ascii="Times New Roman" w:hAnsi="Times New Roman" w:cs="Times New Roman"/>
                      <w:color w:val="auto"/>
                      <w:szCs w:val="21"/>
                    </w:rPr>
                    <w:t>L≤1000</w:t>
                  </w:r>
                </w:p>
              </w:tc>
            </w:tr>
            <w:tr w14:paraId="21F3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B5F6343">
                  <w:pPr>
                    <w:jc w:val="center"/>
                    <w:rPr>
                      <w:rFonts w:hint="default" w:ascii="Times New Roman" w:hAnsi="Times New Roman" w:cs="Times New Roman"/>
                      <w:color w:val="auto"/>
                      <w:sz w:val="24"/>
                    </w:rPr>
                  </w:pPr>
                </w:p>
              </w:tc>
              <w:tc>
                <w:tcPr>
                  <w:tcW w:w="466" w:type="pct"/>
                  <w:vMerge w:val="continue"/>
                  <w:vAlign w:val="center"/>
                </w:tcPr>
                <w:p w14:paraId="47C4EAFD">
                  <w:pPr>
                    <w:jc w:val="center"/>
                    <w:rPr>
                      <w:rFonts w:hint="default" w:ascii="Times New Roman" w:hAnsi="Times New Roman" w:cs="Times New Roman"/>
                      <w:color w:val="auto"/>
                      <w:sz w:val="24"/>
                    </w:rPr>
                  </w:pPr>
                </w:p>
              </w:tc>
              <w:tc>
                <w:tcPr>
                  <w:tcW w:w="4187" w:type="pct"/>
                  <w:gridSpan w:val="9"/>
                  <w:vAlign w:val="center"/>
                </w:tcPr>
                <w:p w14:paraId="4274F823">
                  <w:pPr>
                    <w:pStyle w:val="74"/>
                    <w:spacing w:line="240" w:lineRule="auto"/>
                    <w:ind w:firstLine="422"/>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工业大气污染源构成类别</w:t>
                  </w:r>
                </w:p>
              </w:tc>
            </w:tr>
            <w:tr w14:paraId="1A5F8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5D4E182">
                  <w:pPr>
                    <w:jc w:val="center"/>
                    <w:rPr>
                      <w:rFonts w:hint="default" w:ascii="Times New Roman" w:hAnsi="Times New Roman" w:cs="Times New Roman"/>
                      <w:color w:val="auto"/>
                      <w:sz w:val="24"/>
                    </w:rPr>
                  </w:pPr>
                </w:p>
              </w:tc>
              <w:tc>
                <w:tcPr>
                  <w:tcW w:w="466" w:type="pct"/>
                  <w:vMerge w:val="continue"/>
                  <w:vAlign w:val="center"/>
                </w:tcPr>
                <w:p w14:paraId="711BCCA6">
                  <w:pPr>
                    <w:jc w:val="center"/>
                    <w:rPr>
                      <w:rFonts w:hint="default" w:ascii="Times New Roman" w:hAnsi="Times New Roman" w:cs="Times New Roman"/>
                      <w:color w:val="auto"/>
                      <w:sz w:val="24"/>
                    </w:rPr>
                  </w:pPr>
                </w:p>
              </w:tc>
              <w:tc>
                <w:tcPr>
                  <w:tcW w:w="465" w:type="pct"/>
                  <w:vAlign w:val="center"/>
                </w:tcPr>
                <w:p w14:paraId="1E899DC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60D9DEFF">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40AFBB9">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6ADFAA4D">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4D04E6BB">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5" w:type="pct"/>
                  <w:vAlign w:val="center"/>
                </w:tcPr>
                <w:p w14:paraId="19F7F1A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465" w:type="pct"/>
                  <w:vAlign w:val="center"/>
                </w:tcPr>
                <w:p w14:paraId="24B68114">
                  <w:pPr>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465" w:type="pct"/>
                  <w:vAlign w:val="center"/>
                </w:tcPr>
                <w:p w14:paraId="134839C8">
                  <w:pPr>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460" w:type="pct"/>
                  <w:vAlign w:val="center"/>
                </w:tcPr>
                <w:p w14:paraId="0CB4C860">
                  <w:pPr>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r>
            <w:tr w14:paraId="51B7D5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43FB5747">
                  <w:pPr>
                    <w:jc w:val="center"/>
                    <w:rPr>
                      <w:rFonts w:hint="default" w:ascii="Times New Roman" w:hAnsi="Times New Roman" w:cs="Times New Roman"/>
                      <w:color w:val="auto"/>
                      <w:szCs w:val="21"/>
                    </w:rPr>
                  </w:pPr>
                  <w:r>
                    <w:rPr>
                      <w:rFonts w:hint="default" w:ascii="Times New Roman" w:hAnsi="Times New Roman" w:cs="Times New Roman"/>
                      <w:color w:val="auto"/>
                      <w:szCs w:val="21"/>
                    </w:rPr>
                    <w:t>A</w:t>
                  </w:r>
                </w:p>
              </w:tc>
              <w:tc>
                <w:tcPr>
                  <w:tcW w:w="466" w:type="pct"/>
                  <w:vAlign w:val="center"/>
                </w:tcPr>
                <w:p w14:paraId="318B2C40">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65" w:type="pct"/>
                  <w:vAlign w:val="center"/>
                </w:tcPr>
                <w:p w14:paraId="79FC47F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1117201C">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255BCF90">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1CDB3DF">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62F249DB">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5E6A16B5">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465" w:type="pct"/>
                  <w:vAlign w:val="center"/>
                </w:tcPr>
                <w:p w14:paraId="34F9EE61">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5" w:type="pct"/>
                  <w:vAlign w:val="center"/>
                </w:tcPr>
                <w:p w14:paraId="0D5DC19E">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0" w:type="pct"/>
                  <w:vAlign w:val="center"/>
                </w:tcPr>
                <w:p w14:paraId="059E1A97">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14:paraId="588D6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E733011">
                  <w:pPr>
                    <w:jc w:val="center"/>
                    <w:rPr>
                      <w:rFonts w:hint="default" w:ascii="Times New Roman" w:hAnsi="Times New Roman" w:cs="Times New Roman"/>
                      <w:color w:val="auto"/>
                      <w:sz w:val="24"/>
                    </w:rPr>
                  </w:pPr>
                </w:p>
              </w:tc>
              <w:tc>
                <w:tcPr>
                  <w:tcW w:w="466" w:type="pct"/>
                  <w:vAlign w:val="center"/>
                </w:tcPr>
                <w:p w14:paraId="2176161C">
                  <w:pPr>
                    <w:jc w:val="center"/>
                    <w:rPr>
                      <w:rFonts w:hint="default" w:ascii="Times New Roman" w:hAnsi="Times New Roman" w:cs="Times New Roman"/>
                      <w:color w:val="auto"/>
                      <w:sz w:val="24"/>
                    </w:rPr>
                  </w:pPr>
                  <w:r>
                    <w:rPr>
                      <w:rFonts w:hint="default" w:ascii="Times New Roman" w:hAnsi="Times New Roman" w:cs="Times New Roman"/>
                      <w:color w:val="auto"/>
                      <w:szCs w:val="21"/>
                    </w:rPr>
                    <w:t>2～4</w:t>
                  </w:r>
                </w:p>
              </w:tc>
              <w:tc>
                <w:tcPr>
                  <w:tcW w:w="465" w:type="pct"/>
                  <w:vAlign w:val="center"/>
                </w:tcPr>
                <w:p w14:paraId="667B07ED">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shd w:val="clear" w:color="auto" w:fill="F1F1F1" w:themeFill="background1" w:themeFillShade="F2"/>
                  <w:vAlign w:val="center"/>
                </w:tcPr>
                <w:p w14:paraId="5022BEF1">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01E299E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7B67E1E">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465" w:type="pct"/>
                  <w:vAlign w:val="center"/>
                </w:tcPr>
                <w:p w14:paraId="6B0BE56E">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465" w:type="pct"/>
                  <w:vAlign w:val="center"/>
                </w:tcPr>
                <w:p w14:paraId="42FE7D27">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0E9A8719">
                  <w:pPr>
                    <w:jc w:val="center"/>
                    <w:rPr>
                      <w:rFonts w:hint="default" w:ascii="Times New Roman" w:hAnsi="Times New Roman" w:cs="Times New Roman"/>
                      <w:color w:val="auto"/>
                      <w:szCs w:val="21"/>
                    </w:rPr>
                  </w:pPr>
                  <w:r>
                    <w:rPr>
                      <w:rFonts w:hint="default" w:ascii="Times New Roman" w:hAnsi="Times New Roman" w:cs="Times New Roman"/>
                      <w:color w:val="auto"/>
                      <w:szCs w:val="21"/>
                    </w:rPr>
                    <w:t>380</w:t>
                  </w:r>
                </w:p>
              </w:tc>
              <w:tc>
                <w:tcPr>
                  <w:tcW w:w="465" w:type="pct"/>
                  <w:vAlign w:val="center"/>
                </w:tcPr>
                <w:p w14:paraId="185830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460" w:type="pct"/>
                  <w:vAlign w:val="center"/>
                </w:tcPr>
                <w:p w14:paraId="25EBFF5D">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r>
            <w:tr w14:paraId="00613F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C8DDB44">
                  <w:pPr>
                    <w:jc w:val="center"/>
                    <w:rPr>
                      <w:rFonts w:hint="default" w:ascii="Times New Roman" w:hAnsi="Times New Roman" w:cs="Times New Roman"/>
                      <w:color w:val="auto"/>
                      <w:sz w:val="24"/>
                    </w:rPr>
                  </w:pPr>
                </w:p>
              </w:tc>
              <w:tc>
                <w:tcPr>
                  <w:tcW w:w="466" w:type="pct"/>
                  <w:vAlign w:val="center"/>
                </w:tcPr>
                <w:p w14:paraId="09BDD9D3">
                  <w:pPr>
                    <w:jc w:val="center"/>
                    <w:rPr>
                      <w:rFonts w:hint="default" w:ascii="Times New Roman" w:hAnsi="Times New Roman" w:cs="Times New Roman"/>
                      <w:color w:val="auto"/>
                      <w:sz w:val="24"/>
                    </w:rPr>
                  </w:pPr>
                  <w:r>
                    <w:rPr>
                      <w:rFonts w:hint="default" w:ascii="Times New Roman" w:hAnsi="Times New Roman" w:cs="Times New Roman"/>
                      <w:color w:val="auto"/>
                      <w:szCs w:val="21"/>
                    </w:rPr>
                    <w:t>＞4</w:t>
                  </w:r>
                </w:p>
              </w:tc>
              <w:tc>
                <w:tcPr>
                  <w:tcW w:w="465" w:type="pct"/>
                  <w:vAlign w:val="center"/>
                </w:tcPr>
                <w:p w14:paraId="298AE9B2">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0EF14E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1BFE3B8">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37FF0ECB">
                  <w:pPr>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465" w:type="pct"/>
                  <w:vAlign w:val="center"/>
                </w:tcPr>
                <w:p w14:paraId="35D76188">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465" w:type="pct"/>
                  <w:vAlign w:val="center"/>
                </w:tcPr>
                <w:p w14:paraId="4E220D5B">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465" w:type="pct"/>
                  <w:vAlign w:val="center"/>
                </w:tcPr>
                <w:p w14:paraId="74A6F881">
                  <w:pPr>
                    <w:jc w:val="center"/>
                    <w:rPr>
                      <w:rFonts w:hint="default" w:ascii="Times New Roman" w:hAnsi="Times New Roman" w:cs="Times New Roman"/>
                      <w:color w:val="auto"/>
                      <w:szCs w:val="21"/>
                    </w:rPr>
                  </w:pPr>
                  <w:r>
                    <w:rPr>
                      <w:rFonts w:hint="default" w:ascii="Times New Roman" w:hAnsi="Times New Roman" w:cs="Times New Roman"/>
                      <w:color w:val="auto"/>
                      <w:szCs w:val="21"/>
                    </w:rPr>
                    <w:t>290</w:t>
                  </w:r>
                </w:p>
              </w:tc>
              <w:tc>
                <w:tcPr>
                  <w:tcW w:w="465" w:type="pct"/>
                  <w:vAlign w:val="center"/>
                </w:tcPr>
                <w:p w14:paraId="3B3A2894">
                  <w:pPr>
                    <w:jc w:val="center"/>
                    <w:rPr>
                      <w:rFonts w:hint="default" w:ascii="Times New Roman" w:hAnsi="Times New Roman" w:cs="Times New Roman"/>
                      <w:color w:val="auto"/>
                      <w:szCs w:val="21"/>
                    </w:rPr>
                  </w:pPr>
                  <w:r>
                    <w:rPr>
                      <w:rFonts w:hint="default" w:ascii="Times New Roman" w:hAnsi="Times New Roman" w:cs="Times New Roman"/>
                      <w:color w:val="auto"/>
                      <w:szCs w:val="21"/>
                    </w:rPr>
                    <w:t>190</w:t>
                  </w:r>
                </w:p>
              </w:tc>
              <w:tc>
                <w:tcPr>
                  <w:tcW w:w="460" w:type="pct"/>
                  <w:vAlign w:val="center"/>
                </w:tcPr>
                <w:p w14:paraId="058B7A55">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r>
            <w:tr w14:paraId="4318E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0FE37E5">
                  <w:pPr>
                    <w:jc w:val="center"/>
                    <w:rPr>
                      <w:rFonts w:hint="default" w:ascii="Times New Roman" w:hAnsi="Times New Roman" w:cs="Times New Roman"/>
                      <w:color w:val="auto"/>
                      <w:szCs w:val="21"/>
                    </w:rPr>
                  </w:pPr>
                  <w:r>
                    <w:rPr>
                      <w:rFonts w:hint="default" w:ascii="Times New Roman" w:hAnsi="Times New Roman" w:cs="Times New Roman"/>
                      <w:color w:val="auto"/>
                      <w:szCs w:val="21"/>
                    </w:rPr>
                    <w:t>B</w:t>
                  </w:r>
                </w:p>
              </w:tc>
              <w:tc>
                <w:tcPr>
                  <w:tcW w:w="466" w:type="pct"/>
                  <w:vAlign w:val="center"/>
                </w:tcPr>
                <w:p w14:paraId="4A9901E7">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03226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397" w:type="pct"/>
                  <w:gridSpan w:val="3"/>
                  <w:vAlign w:val="center"/>
                </w:tcPr>
                <w:p w14:paraId="695C562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392" w:type="pct"/>
                  <w:gridSpan w:val="3"/>
                  <w:vAlign w:val="center"/>
                </w:tcPr>
                <w:p w14:paraId="096020A2">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14:paraId="1DA07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5ED500F">
                  <w:pPr>
                    <w:jc w:val="center"/>
                    <w:rPr>
                      <w:rFonts w:hint="default" w:ascii="Times New Roman" w:hAnsi="Times New Roman" w:cs="Times New Roman"/>
                      <w:color w:val="auto"/>
                      <w:sz w:val="24"/>
                    </w:rPr>
                  </w:pPr>
                </w:p>
              </w:tc>
              <w:tc>
                <w:tcPr>
                  <w:tcW w:w="466" w:type="pct"/>
                  <w:vAlign w:val="center"/>
                </w:tcPr>
                <w:p w14:paraId="491F0AC8">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667DBA63">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0.021</w:t>
                  </w:r>
                </w:p>
              </w:tc>
              <w:tc>
                <w:tcPr>
                  <w:tcW w:w="1397" w:type="pct"/>
                  <w:gridSpan w:val="3"/>
                  <w:vAlign w:val="center"/>
                </w:tcPr>
                <w:p w14:paraId="36DE5684">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c>
                <w:tcPr>
                  <w:tcW w:w="1392" w:type="pct"/>
                  <w:gridSpan w:val="3"/>
                  <w:vAlign w:val="center"/>
                </w:tcPr>
                <w:p w14:paraId="1C1ECE08">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0.036</w:t>
                  </w:r>
                </w:p>
              </w:tc>
            </w:tr>
            <w:tr w14:paraId="0415D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117987EA">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p>
              </w:tc>
              <w:tc>
                <w:tcPr>
                  <w:tcW w:w="466" w:type="pct"/>
                  <w:vAlign w:val="center"/>
                </w:tcPr>
                <w:p w14:paraId="684B9442">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6EB8F3E">
                  <w:pPr>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701890C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c>
                <w:tcPr>
                  <w:tcW w:w="1392" w:type="pct"/>
                  <w:gridSpan w:val="3"/>
                  <w:vAlign w:val="center"/>
                </w:tcPr>
                <w:p w14:paraId="2CA9B521">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r>
            <w:tr w14:paraId="17DFBB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5A44F3CD">
                  <w:pPr>
                    <w:jc w:val="center"/>
                    <w:rPr>
                      <w:rFonts w:hint="default" w:ascii="Times New Roman" w:hAnsi="Times New Roman" w:cs="Times New Roman"/>
                      <w:color w:val="auto"/>
                      <w:sz w:val="24"/>
                    </w:rPr>
                  </w:pPr>
                </w:p>
              </w:tc>
              <w:tc>
                <w:tcPr>
                  <w:tcW w:w="466" w:type="pct"/>
                  <w:vAlign w:val="center"/>
                </w:tcPr>
                <w:p w14:paraId="6C08984F">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4CBAA97A">
                  <w:pPr>
                    <w:shd w:val="clear" w:fill="F1F1F1" w:themeFill="background1" w:themeFillShade="F2"/>
                    <w:jc w:val="center"/>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397" w:type="pct"/>
                  <w:gridSpan w:val="3"/>
                  <w:vAlign w:val="center"/>
                </w:tcPr>
                <w:p w14:paraId="545BF96A">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c>
                <w:tcPr>
                  <w:tcW w:w="1392" w:type="pct"/>
                  <w:gridSpan w:val="3"/>
                  <w:vAlign w:val="center"/>
                </w:tcPr>
                <w:p w14:paraId="6AAB8FDD">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r>
            <w:tr w14:paraId="3384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6F40551">
                  <w:pPr>
                    <w:jc w:val="center"/>
                    <w:rPr>
                      <w:rFonts w:hint="default" w:ascii="Times New Roman" w:hAnsi="Times New Roman" w:cs="Times New Roman"/>
                      <w:color w:val="auto"/>
                      <w:szCs w:val="21"/>
                    </w:rPr>
                  </w:pPr>
                  <w:r>
                    <w:rPr>
                      <w:rFonts w:hint="default" w:ascii="Times New Roman" w:hAnsi="Times New Roman" w:cs="Times New Roman"/>
                      <w:color w:val="auto"/>
                      <w:szCs w:val="21"/>
                    </w:rPr>
                    <w:t>D</w:t>
                  </w:r>
                </w:p>
              </w:tc>
              <w:tc>
                <w:tcPr>
                  <w:tcW w:w="466" w:type="pct"/>
                  <w:vAlign w:val="center"/>
                </w:tcPr>
                <w:p w14:paraId="16000985">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97" w:type="pct"/>
                  <w:gridSpan w:val="3"/>
                  <w:vAlign w:val="center"/>
                </w:tcPr>
                <w:p w14:paraId="293DE92F">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7" w:type="pct"/>
                  <w:gridSpan w:val="3"/>
                  <w:vAlign w:val="center"/>
                </w:tcPr>
                <w:p w14:paraId="2124A44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392" w:type="pct"/>
                  <w:gridSpan w:val="3"/>
                  <w:vAlign w:val="center"/>
                </w:tcPr>
                <w:p w14:paraId="3025C746">
                  <w:pPr>
                    <w:jc w:val="center"/>
                    <w:rPr>
                      <w:rFonts w:hint="default" w:ascii="Times New Roman" w:hAnsi="Times New Roman" w:cs="Times New Roman"/>
                      <w:color w:val="auto"/>
                      <w:szCs w:val="21"/>
                    </w:rPr>
                  </w:pPr>
                  <w:r>
                    <w:rPr>
                      <w:rFonts w:hint="default" w:ascii="Times New Roman" w:hAnsi="Times New Roman" w:cs="Times New Roman"/>
                      <w:color w:val="auto"/>
                      <w:szCs w:val="21"/>
                    </w:rPr>
                    <w:t>0.57</w:t>
                  </w:r>
                </w:p>
              </w:tc>
            </w:tr>
            <w:tr w14:paraId="495298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738B8AEA">
                  <w:pPr>
                    <w:jc w:val="center"/>
                    <w:rPr>
                      <w:rFonts w:hint="default" w:ascii="Times New Roman" w:hAnsi="Times New Roman" w:cs="Times New Roman"/>
                      <w:color w:val="auto"/>
                      <w:sz w:val="24"/>
                    </w:rPr>
                  </w:pPr>
                </w:p>
              </w:tc>
              <w:tc>
                <w:tcPr>
                  <w:tcW w:w="466" w:type="pct"/>
                  <w:vAlign w:val="center"/>
                </w:tcPr>
                <w:p w14:paraId="2833B615">
                  <w:pPr>
                    <w:jc w:val="center"/>
                    <w:rPr>
                      <w:rFonts w:hint="default" w:ascii="Times New Roman" w:hAnsi="Times New Roman" w:cs="Times New Roman"/>
                      <w:color w:val="auto"/>
                      <w:sz w:val="24"/>
                    </w:rPr>
                  </w:pPr>
                  <w:r>
                    <w:rPr>
                      <w:rFonts w:hint="default" w:ascii="Times New Roman" w:hAnsi="Times New Roman" w:cs="Times New Roman"/>
                      <w:color w:val="auto"/>
                      <w:szCs w:val="21"/>
                    </w:rPr>
                    <w:t>＞2</w:t>
                  </w:r>
                </w:p>
              </w:tc>
              <w:tc>
                <w:tcPr>
                  <w:tcW w:w="1397" w:type="pct"/>
                  <w:gridSpan w:val="3"/>
                  <w:shd w:val="clear" w:color="auto" w:fill="F1F1F1" w:themeFill="background1" w:themeFillShade="F2"/>
                  <w:vAlign w:val="center"/>
                </w:tcPr>
                <w:p w14:paraId="583E6DBC">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7" w:type="pct"/>
                  <w:gridSpan w:val="3"/>
                  <w:vAlign w:val="center"/>
                </w:tcPr>
                <w:p w14:paraId="60FDE0C4">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392" w:type="pct"/>
                  <w:gridSpan w:val="3"/>
                  <w:vAlign w:val="center"/>
                </w:tcPr>
                <w:p w14:paraId="527746CB">
                  <w:pPr>
                    <w:jc w:val="center"/>
                    <w:rPr>
                      <w:rFonts w:hint="default" w:ascii="Times New Roman" w:hAnsi="Times New Roman" w:cs="Times New Roman"/>
                      <w:color w:val="auto"/>
                      <w:szCs w:val="21"/>
                    </w:rPr>
                  </w:pPr>
                  <w:r>
                    <w:rPr>
                      <w:rFonts w:hint="default" w:ascii="Times New Roman" w:hAnsi="Times New Roman" w:cs="Times New Roman"/>
                      <w:color w:val="auto"/>
                      <w:szCs w:val="21"/>
                    </w:rPr>
                    <w:t>0.76</w:t>
                  </w:r>
                </w:p>
              </w:tc>
            </w:tr>
          </w:tbl>
          <w:p w14:paraId="2F80E063">
            <w:pPr>
              <w:adjustRightInd w:val="0"/>
              <w:snapToGrid w:val="0"/>
              <w:spacing w:line="500" w:lineRule="exact"/>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经计算，</w:t>
            </w:r>
            <w:r>
              <w:rPr>
                <w:rFonts w:hint="default" w:ascii="Times New Roman" w:hAnsi="Times New Roman" w:cs="Times New Roman"/>
                <w:color w:val="auto"/>
                <w:sz w:val="24"/>
              </w:rPr>
              <w:t>本项目卫生防护距离计算结果见下表。</w:t>
            </w:r>
          </w:p>
          <w:p w14:paraId="34411BC6">
            <w:pPr>
              <w:adjustRightInd w:val="0"/>
              <w:snapToGrid w:val="0"/>
              <w:spacing w:line="5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 xml:space="preserve">6 </w:t>
            </w:r>
            <w:r>
              <w:rPr>
                <w:rFonts w:hint="default" w:ascii="Times New Roman" w:hAnsi="Times New Roman" w:cs="Times New Roman"/>
                <w:b/>
                <w:color w:val="auto"/>
                <w:szCs w:val="21"/>
                <w:lang w:val="en-US" w:eastAsia="zh-CN"/>
              </w:rPr>
              <w:t>本项目</w:t>
            </w:r>
            <w:r>
              <w:rPr>
                <w:rFonts w:hint="default" w:ascii="Times New Roman" w:hAnsi="Times New Roman" w:cs="Times New Roman"/>
                <w:b/>
                <w:color w:val="auto"/>
                <w:szCs w:val="21"/>
              </w:rPr>
              <w:t>污染物卫生防护距离计算表</w:t>
            </w:r>
          </w:p>
          <w:tbl>
            <w:tblPr>
              <w:tblStyle w:val="29"/>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12"/>
              <w:gridCol w:w="811"/>
              <w:gridCol w:w="1115"/>
              <w:gridCol w:w="709"/>
              <w:gridCol w:w="709"/>
              <w:gridCol w:w="709"/>
              <w:gridCol w:w="711"/>
              <w:gridCol w:w="1141"/>
              <w:gridCol w:w="808"/>
              <w:gridCol w:w="776"/>
            </w:tblGrid>
            <w:tr w14:paraId="3E5BB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Align w:val="center"/>
                </w:tcPr>
                <w:p w14:paraId="1DA62874">
                  <w:pPr>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污染源</w:t>
                  </w:r>
                </w:p>
              </w:tc>
              <w:tc>
                <w:tcPr>
                  <w:tcW w:w="494" w:type="pct"/>
                  <w:vAlign w:val="center"/>
                </w:tcPr>
                <w:p w14:paraId="2C021A6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影响因子</w:t>
                  </w:r>
                </w:p>
              </w:tc>
              <w:tc>
                <w:tcPr>
                  <w:tcW w:w="679" w:type="pct"/>
                  <w:vAlign w:val="center"/>
                </w:tcPr>
                <w:p w14:paraId="1E4B1CA0">
                  <w:pPr>
                    <w:jc w:val="center"/>
                    <w:rPr>
                      <w:rFonts w:hint="default" w:ascii="Times New Roman" w:hAnsi="Times New Roman" w:cs="Times New Roman"/>
                      <w:b/>
                      <w:color w:val="auto"/>
                    </w:rPr>
                  </w:pPr>
                  <w:r>
                    <w:rPr>
                      <w:rFonts w:hint="default" w:ascii="Times New Roman" w:hAnsi="Times New Roman" w:cs="Times New Roman"/>
                      <w:b/>
                      <w:color w:val="auto"/>
                    </w:rPr>
                    <w:t>Qc</w:t>
                  </w:r>
                </w:p>
                <w:p w14:paraId="7B37C2FD">
                  <w:pPr>
                    <w:jc w:val="center"/>
                    <w:rPr>
                      <w:rFonts w:hint="default" w:ascii="Times New Roman" w:hAnsi="Times New Roman" w:cs="Times New Roman"/>
                      <w:b/>
                      <w:color w:val="auto"/>
                    </w:rPr>
                  </w:pPr>
                  <w:r>
                    <w:rPr>
                      <w:rFonts w:hint="default" w:ascii="Times New Roman" w:hAnsi="Times New Roman" w:cs="Times New Roman"/>
                      <w:b/>
                      <w:color w:val="auto"/>
                    </w:rPr>
                    <w:t>（kg/h）</w:t>
                  </w:r>
                </w:p>
              </w:tc>
              <w:tc>
                <w:tcPr>
                  <w:tcW w:w="432" w:type="pct"/>
                  <w:vAlign w:val="center"/>
                </w:tcPr>
                <w:p w14:paraId="37D955B1">
                  <w:pPr>
                    <w:jc w:val="center"/>
                    <w:rPr>
                      <w:rFonts w:hint="default" w:ascii="Times New Roman" w:hAnsi="Times New Roman" w:cs="Times New Roman"/>
                      <w:b/>
                      <w:color w:val="auto"/>
                    </w:rPr>
                  </w:pPr>
                  <w:r>
                    <w:rPr>
                      <w:rFonts w:hint="default" w:ascii="Times New Roman" w:hAnsi="Times New Roman" w:cs="Times New Roman"/>
                      <w:b/>
                      <w:color w:val="auto"/>
                    </w:rPr>
                    <w:t>A</w:t>
                  </w:r>
                </w:p>
              </w:tc>
              <w:tc>
                <w:tcPr>
                  <w:tcW w:w="432" w:type="pct"/>
                  <w:vAlign w:val="center"/>
                </w:tcPr>
                <w:p w14:paraId="21133F94">
                  <w:pPr>
                    <w:jc w:val="center"/>
                    <w:rPr>
                      <w:rFonts w:hint="default" w:ascii="Times New Roman" w:hAnsi="Times New Roman" w:cs="Times New Roman"/>
                      <w:b/>
                      <w:color w:val="auto"/>
                    </w:rPr>
                  </w:pPr>
                  <w:r>
                    <w:rPr>
                      <w:rFonts w:hint="default" w:ascii="Times New Roman" w:hAnsi="Times New Roman" w:cs="Times New Roman"/>
                      <w:b/>
                      <w:color w:val="auto"/>
                    </w:rPr>
                    <w:t>B</w:t>
                  </w:r>
                </w:p>
              </w:tc>
              <w:tc>
                <w:tcPr>
                  <w:tcW w:w="432" w:type="pct"/>
                  <w:vAlign w:val="center"/>
                </w:tcPr>
                <w:p w14:paraId="3427E918">
                  <w:pPr>
                    <w:jc w:val="center"/>
                    <w:rPr>
                      <w:rFonts w:hint="default" w:ascii="Times New Roman" w:hAnsi="Times New Roman" w:cs="Times New Roman"/>
                      <w:b/>
                      <w:color w:val="auto"/>
                    </w:rPr>
                  </w:pPr>
                  <w:r>
                    <w:rPr>
                      <w:rFonts w:hint="default" w:ascii="Times New Roman" w:hAnsi="Times New Roman" w:cs="Times New Roman"/>
                      <w:b/>
                      <w:color w:val="auto"/>
                    </w:rPr>
                    <w:t>C</w:t>
                  </w:r>
                </w:p>
              </w:tc>
              <w:tc>
                <w:tcPr>
                  <w:tcW w:w="433" w:type="pct"/>
                  <w:vAlign w:val="center"/>
                </w:tcPr>
                <w:p w14:paraId="67BCAED3">
                  <w:pPr>
                    <w:jc w:val="center"/>
                    <w:rPr>
                      <w:rFonts w:hint="default" w:ascii="Times New Roman" w:hAnsi="Times New Roman" w:cs="Times New Roman"/>
                      <w:b/>
                      <w:color w:val="auto"/>
                    </w:rPr>
                  </w:pPr>
                  <w:r>
                    <w:rPr>
                      <w:rFonts w:hint="default" w:ascii="Times New Roman" w:hAnsi="Times New Roman" w:cs="Times New Roman"/>
                      <w:b/>
                      <w:color w:val="auto"/>
                    </w:rPr>
                    <w:t>D</w:t>
                  </w:r>
                </w:p>
              </w:tc>
              <w:tc>
                <w:tcPr>
                  <w:tcW w:w="695" w:type="pct"/>
                  <w:vAlign w:val="center"/>
                </w:tcPr>
                <w:p w14:paraId="3BC5EFFD">
                  <w:pPr>
                    <w:jc w:val="center"/>
                    <w:rPr>
                      <w:rFonts w:hint="default" w:ascii="Times New Roman" w:hAnsi="Times New Roman" w:cs="Times New Roman"/>
                      <w:b/>
                      <w:color w:val="auto"/>
                    </w:rPr>
                  </w:pPr>
                  <w:r>
                    <w:rPr>
                      <w:rFonts w:hint="default" w:ascii="Times New Roman" w:hAnsi="Times New Roman" w:cs="Times New Roman"/>
                      <w:b/>
                      <w:color w:val="auto"/>
                    </w:rPr>
                    <w:t>Cm</w:t>
                  </w:r>
                </w:p>
                <w:p w14:paraId="74080EFB">
                  <w:pPr>
                    <w:jc w:val="center"/>
                    <w:rPr>
                      <w:rFonts w:hint="default" w:ascii="Times New Roman" w:hAnsi="Times New Roman" w:cs="Times New Roman"/>
                      <w:b/>
                      <w:color w:val="auto"/>
                    </w:rPr>
                  </w:pPr>
                  <w:r>
                    <w:rPr>
                      <w:rFonts w:hint="default" w:ascii="Times New Roman" w:hAnsi="Times New Roman" w:cs="Times New Roman"/>
                      <w:b/>
                      <w:color w:val="auto"/>
                    </w:rPr>
                    <w:t>（mg/m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492" w:type="pct"/>
                  <w:vAlign w:val="center"/>
                </w:tcPr>
                <w:p w14:paraId="10D5A50E">
                  <w:pPr>
                    <w:jc w:val="center"/>
                    <w:rPr>
                      <w:rFonts w:hint="default" w:ascii="Times New Roman" w:hAnsi="Times New Roman" w:cs="Times New Roman"/>
                      <w:b/>
                      <w:color w:val="auto"/>
                    </w:rPr>
                  </w:pPr>
                  <w:r>
                    <w:rPr>
                      <w:rFonts w:hint="default" w:ascii="Times New Roman" w:hAnsi="Times New Roman" w:cs="Times New Roman"/>
                      <w:b/>
                      <w:color w:val="auto"/>
                    </w:rPr>
                    <w:t>L计算</w:t>
                  </w:r>
                </w:p>
                <w:p w14:paraId="345A6510">
                  <w:pPr>
                    <w:jc w:val="center"/>
                    <w:rPr>
                      <w:rFonts w:hint="default" w:ascii="Times New Roman" w:hAnsi="Times New Roman" w:cs="Times New Roman"/>
                      <w:b/>
                      <w:color w:val="auto"/>
                    </w:rPr>
                  </w:pPr>
                  <w:r>
                    <w:rPr>
                      <w:rFonts w:hint="default" w:ascii="Times New Roman" w:hAnsi="Times New Roman" w:cs="Times New Roman"/>
                      <w:b/>
                      <w:color w:val="auto"/>
                    </w:rPr>
                    <w:t>（m）</w:t>
                  </w:r>
                </w:p>
              </w:tc>
              <w:tc>
                <w:tcPr>
                  <w:tcW w:w="473" w:type="pct"/>
                  <w:vAlign w:val="center"/>
                </w:tcPr>
                <w:p w14:paraId="691797C6">
                  <w:pPr>
                    <w:jc w:val="center"/>
                    <w:rPr>
                      <w:rFonts w:hint="default" w:ascii="Times New Roman" w:hAnsi="Times New Roman" w:cs="Times New Roman"/>
                      <w:b/>
                      <w:color w:val="auto"/>
                    </w:rPr>
                  </w:pPr>
                  <w:r>
                    <w:rPr>
                      <w:rFonts w:hint="default" w:ascii="Times New Roman" w:hAnsi="Times New Roman" w:cs="Times New Roman"/>
                      <w:b/>
                      <w:color w:val="auto"/>
                    </w:rPr>
                    <w:t>L</w:t>
                  </w:r>
                </w:p>
                <w:p w14:paraId="175B7B9F">
                  <w:pPr>
                    <w:jc w:val="center"/>
                    <w:rPr>
                      <w:rFonts w:hint="default" w:ascii="Times New Roman" w:hAnsi="Times New Roman" w:cs="Times New Roman"/>
                      <w:b/>
                      <w:color w:val="auto"/>
                    </w:rPr>
                  </w:pPr>
                  <w:r>
                    <w:rPr>
                      <w:rFonts w:hint="default" w:ascii="Times New Roman" w:hAnsi="Times New Roman" w:cs="Times New Roman"/>
                      <w:b/>
                      <w:color w:val="auto"/>
                    </w:rPr>
                    <w:t>（m）</w:t>
                  </w:r>
                </w:p>
              </w:tc>
            </w:tr>
            <w:tr w14:paraId="0A40D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Merge w:val="restart"/>
                  <w:vAlign w:val="center"/>
                </w:tcPr>
                <w:p w14:paraId="7F4E6456">
                  <w:pPr>
                    <w:pStyle w:val="18"/>
                    <w:tabs>
                      <w:tab w:val="clear" w:pos="4153"/>
                      <w:tab w:val="clear" w:pos="8306"/>
                    </w:tabs>
                    <w:adjustRightInd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生产车间</w:t>
                  </w:r>
                </w:p>
              </w:tc>
              <w:tc>
                <w:tcPr>
                  <w:tcW w:w="811" w:type="dxa"/>
                  <w:vAlign w:val="center"/>
                </w:tcPr>
                <w:p w14:paraId="3334D4CD">
                  <w:pPr>
                    <w:pStyle w:val="22"/>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锡及其化合物</w:t>
                  </w:r>
                </w:p>
              </w:tc>
              <w:tc>
                <w:tcPr>
                  <w:tcW w:w="679" w:type="pct"/>
                  <w:vAlign w:val="center"/>
                </w:tcPr>
                <w:p w14:paraId="554AA7AC">
                  <w:pPr>
                    <w:pStyle w:val="6"/>
                    <w:adjustRightInd w:val="0"/>
                    <w:snapToGrid w:val="0"/>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0.0003</w:t>
                  </w:r>
                </w:p>
              </w:tc>
              <w:tc>
                <w:tcPr>
                  <w:tcW w:w="432" w:type="pct"/>
                  <w:vAlign w:val="center"/>
                </w:tcPr>
                <w:p w14:paraId="7E13C65A">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470</w:t>
                  </w:r>
                </w:p>
              </w:tc>
              <w:tc>
                <w:tcPr>
                  <w:tcW w:w="432" w:type="pct"/>
                  <w:vAlign w:val="center"/>
                </w:tcPr>
                <w:p w14:paraId="68039D12">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432" w:type="pct"/>
                  <w:vAlign w:val="center"/>
                </w:tcPr>
                <w:p w14:paraId="676F3684">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1.85</w:t>
                  </w:r>
                </w:p>
              </w:tc>
              <w:tc>
                <w:tcPr>
                  <w:tcW w:w="433" w:type="pct"/>
                  <w:vAlign w:val="center"/>
                </w:tcPr>
                <w:p w14:paraId="6A1D2C52">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0.84</w:t>
                  </w:r>
                </w:p>
              </w:tc>
              <w:tc>
                <w:tcPr>
                  <w:tcW w:w="695" w:type="pct"/>
                  <w:vAlign w:val="center"/>
                </w:tcPr>
                <w:p w14:paraId="209F3255">
                  <w:pPr>
                    <w:pStyle w:val="6"/>
                    <w:adjustRightInd w:val="0"/>
                    <w:snapToGrid w:val="0"/>
                    <w:ind w:firstLine="0" w:firstLineChars="0"/>
                    <w:jc w:val="center"/>
                    <w:rPr>
                      <w:rFonts w:hint="default" w:ascii="Times New Roman" w:hAnsi="Times New Roman" w:cs="Times New Roman"/>
                      <w:bCs/>
                      <w:color w:val="auto"/>
                      <w:szCs w:val="21"/>
                      <w:lang w:val="en-US"/>
                    </w:rPr>
                  </w:pPr>
                  <w:r>
                    <w:rPr>
                      <w:rFonts w:hint="eastAsia" w:ascii="Times New Roman" w:hAnsi="Times New Roman" w:cs="Times New Roman"/>
                      <w:color w:val="auto"/>
                      <w:sz w:val="21"/>
                      <w:szCs w:val="21"/>
                      <w:lang w:val="en-US" w:eastAsia="zh-CN"/>
                    </w:rPr>
                    <w:t>0.06</w:t>
                  </w:r>
                </w:p>
              </w:tc>
              <w:tc>
                <w:tcPr>
                  <w:tcW w:w="492" w:type="pct"/>
                  <w:vAlign w:val="center"/>
                </w:tcPr>
                <w:p w14:paraId="646F58F8">
                  <w:pPr>
                    <w:pStyle w:val="6"/>
                    <w:adjustRightInd w:val="0"/>
                    <w:snapToGrid w:val="0"/>
                    <w:ind w:firstLine="0"/>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&lt;50</w:t>
                  </w:r>
                </w:p>
              </w:tc>
              <w:tc>
                <w:tcPr>
                  <w:tcW w:w="473" w:type="pct"/>
                  <w:vMerge w:val="restart"/>
                  <w:vAlign w:val="center"/>
                </w:tcPr>
                <w:p w14:paraId="3501475D">
                  <w:pPr>
                    <w:tabs>
                      <w:tab w:val="left" w:pos="1418"/>
                    </w:tabs>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100</w:t>
                  </w:r>
                </w:p>
              </w:tc>
            </w:tr>
            <w:tr w14:paraId="14DB9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34" w:type="pct"/>
                  <w:vMerge w:val="continue"/>
                  <w:vAlign w:val="center"/>
                </w:tcPr>
                <w:p w14:paraId="51FBB03C">
                  <w:pPr>
                    <w:pStyle w:val="18"/>
                    <w:tabs>
                      <w:tab w:val="clear" w:pos="4153"/>
                      <w:tab w:val="clear" w:pos="8306"/>
                    </w:tabs>
                    <w:adjustRightInd w:val="0"/>
                    <w:rPr>
                      <w:rFonts w:hint="eastAsia" w:cs="Times New Roman"/>
                      <w:color w:val="auto"/>
                      <w:sz w:val="21"/>
                      <w:szCs w:val="21"/>
                      <w:lang w:val="en-US" w:eastAsia="zh-CN"/>
                    </w:rPr>
                  </w:pPr>
                </w:p>
              </w:tc>
              <w:tc>
                <w:tcPr>
                  <w:tcW w:w="811" w:type="dxa"/>
                  <w:vAlign w:val="center"/>
                </w:tcPr>
                <w:p w14:paraId="68DE6A74">
                  <w:pPr>
                    <w:pStyle w:val="22"/>
                    <w:spacing w:after="0" w:line="240" w:lineRule="auto"/>
                    <w:jc w:val="center"/>
                    <w:rPr>
                      <w:rFonts w:hint="default" w:cs="Times New Roman"/>
                      <w:color w:val="auto"/>
                      <w:sz w:val="21"/>
                      <w:szCs w:val="21"/>
                      <w:lang w:val="en-US" w:eastAsia="zh-CN"/>
                    </w:rPr>
                  </w:pPr>
                  <w:r>
                    <w:rPr>
                      <w:rFonts w:hint="eastAsia" w:cs="Times New Roman" w:eastAsiaTheme="minorEastAsia"/>
                      <w:bCs/>
                      <w:color w:val="auto"/>
                      <w:sz w:val="21"/>
                      <w:szCs w:val="21"/>
                      <w:lang w:val="en-US" w:eastAsia="zh-CN"/>
                    </w:rPr>
                    <w:t>非甲烷总烃</w:t>
                  </w:r>
                </w:p>
              </w:tc>
              <w:tc>
                <w:tcPr>
                  <w:tcW w:w="679" w:type="pct"/>
                  <w:vAlign w:val="center"/>
                </w:tcPr>
                <w:p w14:paraId="70690B7D">
                  <w:pPr>
                    <w:pStyle w:val="6"/>
                    <w:adjustRightInd w:val="0"/>
                    <w:snapToGrid w:val="0"/>
                    <w:ind w:firstLine="0" w:firstLineChars="0"/>
                    <w:jc w:val="center"/>
                    <w:rPr>
                      <w:rFonts w:hint="default" w:ascii="Times New Roman" w:hAnsi="Times New Roman" w:cs="Times New Roman" w:eastAsiaTheme="minorEastAsia"/>
                      <w:bCs/>
                      <w:color w:val="auto"/>
                      <w:kern w:val="2"/>
                      <w:sz w:val="21"/>
                      <w:szCs w:val="22"/>
                      <w:lang w:val="en-US" w:eastAsia="zh-CN" w:bidi="ar-SA"/>
                    </w:rPr>
                  </w:pPr>
                  <w:r>
                    <w:rPr>
                      <w:rFonts w:hint="eastAsia" w:ascii="Times New Roman" w:hAnsi="Times New Roman" w:cs="Times New Roman" w:eastAsiaTheme="minorEastAsia"/>
                      <w:bCs/>
                      <w:color w:val="auto"/>
                      <w:kern w:val="2"/>
                      <w:sz w:val="21"/>
                      <w:szCs w:val="22"/>
                      <w:lang w:val="en-US" w:eastAsia="zh-CN" w:bidi="ar-SA"/>
                    </w:rPr>
                    <w:t>0.0003</w:t>
                  </w:r>
                </w:p>
              </w:tc>
              <w:tc>
                <w:tcPr>
                  <w:tcW w:w="709" w:type="dxa"/>
                  <w:vAlign w:val="center"/>
                </w:tcPr>
                <w:p w14:paraId="4DD5BEE7">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470</w:t>
                  </w:r>
                </w:p>
              </w:tc>
              <w:tc>
                <w:tcPr>
                  <w:tcW w:w="709" w:type="dxa"/>
                  <w:vAlign w:val="center"/>
                </w:tcPr>
                <w:p w14:paraId="2897E36C">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709" w:type="dxa"/>
                  <w:vAlign w:val="center"/>
                </w:tcPr>
                <w:p w14:paraId="0D8E54AD">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1.85</w:t>
                  </w:r>
                </w:p>
              </w:tc>
              <w:tc>
                <w:tcPr>
                  <w:tcW w:w="711" w:type="dxa"/>
                  <w:vAlign w:val="center"/>
                </w:tcPr>
                <w:p w14:paraId="3197FEC6">
                  <w:pPr>
                    <w:pStyle w:val="6"/>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0.84</w:t>
                  </w:r>
                </w:p>
              </w:tc>
              <w:tc>
                <w:tcPr>
                  <w:tcW w:w="695" w:type="pct"/>
                  <w:vAlign w:val="center"/>
                </w:tcPr>
                <w:p w14:paraId="4DAB9FAC">
                  <w:pPr>
                    <w:pStyle w:val="6"/>
                    <w:adjustRightInd w:val="0"/>
                    <w:snapToGrid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492" w:type="pct"/>
                  <w:vAlign w:val="center"/>
                </w:tcPr>
                <w:p w14:paraId="48E5A6D9">
                  <w:pPr>
                    <w:pStyle w:val="6"/>
                    <w:adjustRightInd w:val="0"/>
                    <w:snapToGrid w:val="0"/>
                    <w:ind w:firstLine="0"/>
                    <w:jc w:val="center"/>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&lt;50</w:t>
                  </w:r>
                </w:p>
              </w:tc>
              <w:tc>
                <w:tcPr>
                  <w:tcW w:w="473" w:type="pct"/>
                  <w:vMerge w:val="continue"/>
                  <w:vAlign w:val="center"/>
                </w:tcPr>
                <w:p w14:paraId="21E25F50">
                  <w:pPr>
                    <w:tabs>
                      <w:tab w:val="left" w:pos="1418"/>
                    </w:tabs>
                    <w:adjustRightInd w:val="0"/>
                    <w:snapToGrid w:val="0"/>
                    <w:jc w:val="center"/>
                    <w:rPr>
                      <w:rFonts w:hint="eastAsia" w:cs="Times New Roman"/>
                      <w:color w:val="auto"/>
                      <w:szCs w:val="21"/>
                      <w:lang w:val="en-US" w:eastAsia="zh-CN"/>
                    </w:rPr>
                  </w:pPr>
                </w:p>
              </w:tc>
            </w:tr>
          </w:tbl>
          <w:p w14:paraId="581DE39B">
            <w:pPr>
              <w:adjustRightInd w:val="0"/>
              <w:snapToGrid w:val="0"/>
              <w:spacing w:line="500" w:lineRule="exact"/>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rPr>
              <w:t>由上表可知，</w:t>
            </w:r>
            <w:r>
              <w:rPr>
                <w:rFonts w:hint="default" w:ascii="Times New Roman" w:hAnsi="Times New Roman" w:cs="Times New Roman"/>
                <w:color w:val="auto"/>
                <w:sz w:val="24"/>
                <w:highlight w:val="none"/>
              </w:rPr>
              <w:t>项目建成后，卫生防护距离为</w:t>
            </w:r>
            <w:r>
              <w:rPr>
                <w:rFonts w:hint="eastAsia"/>
                <w:color w:val="auto"/>
                <w:sz w:val="24"/>
                <w:lang w:val="en-US" w:eastAsia="zh-CN"/>
              </w:rPr>
              <w:t>1#</w:t>
            </w:r>
            <w:r>
              <w:rPr>
                <w:rFonts w:hint="eastAsia"/>
                <w:color w:val="auto"/>
                <w:sz w:val="24"/>
                <w:szCs w:val="24"/>
                <w:lang w:val="en-US" w:eastAsia="zh-CN"/>
              </w:rPr>
              <w:t>厂房（</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车间</w:t>
            </w:r>
            <w:r>
              <w:rPr>
                <w:rFonts w:hint="eastAsia"/>
                <w:color w:val="auto"/>
                <w:sz w:val="24"/>
                <w:szCs w:val="24"/>
                <w:lang w:val="en-US" w:eastAsia="zh-CN"/>
              </w:rPr>
              <w:t>）</w:t>
            </w:r>
            <w:r>
              <w:rPr>
                <w:rFonts w:hint="default" w:ascii="Times New Roman" w:hAnsi="Times New Roman" w:cs="Times New Roman"/>
                <w:color w:val="auto"/>
                <w:sz w:val="24"/>
                <w:highlight w:val="none"/>
              </w:rPr>
              <w:t>外扩</w:t>
            </w:r>
            <w:r>
              <w:rPr>
                <w:rFonts w:hint="eastAsia" w:cs="Times New Roman"/>
                <w:color w:val="auto"/>
                <w:sz w:val="24"/>
                <w:highlight w:val="none"/>
                <w:lang w:val="en-US" w:eastAsia="zh-CN"/>
              </w:rPr>
              <w:t>100</w:t>
            </w:r>
            <w:r>
              <w:rPr>
                <w:rFonts w:hint="default" w:ascii="Times New Roman" w:hAnsi="Times New Roman" w:cs="Times New Roman"/>
                <w:color w:val="auto"/>
                <w:sz w:val="24"/>
                <w:highlight w:val="none"/>
              </w:rPr>
              <w:t>m形成的区域，经实地勘察，项目卫生防护距离内目前无居住、医院、学校等环境敏感点。</w:t>
            </w:r>
          </w:p>
          <w:p w14:paraId="7F858A5E">
            <w:pPr>
              <w:tabs>
                <w:tab w:val="left" w:pos="1155"/>
              </w:tabs>
              <w:adjustRightInd w:val="0"/>
              <w:snapToGrid w:val="0"/>
              <w:spacing w:line="500" w:lineRule="exact"/>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val="en-US" w:eastAsia="zh-CN"/>
              </w:rPr>
              <w:t>废气排放环境影响分析</w:t>
            </w:r>
          </w:p>
          <w:p w14:paraId="18B16EB7">
            <w:pPr>
              <w:adjustRightInd w:val="0"/>
              <w:snapToGrid w:val="0"/>
              <w:spacing w:line="500" w:lineRule="exact"/>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62A3675">
            <w:pPr>
              <w:adjustRightInd w:val="0"/>
              <w:snapToGrid w:val="0"/>
              <w:spacing w:line="50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bCs/>
                <w:color w:val="auto"/>
                <w:sz w:val="24"/>
                <w:lang w:val="en-US" w:eastAsia="zh-CN"/>
              </w:rPr>
              <w:t>本项目排放的大</w:t>
            </w:r>
            <w:r>
              <w:rPr>
                <w:rFonts w:hint="default" w:ascii="Times New Roman" w:hAnsi="Times New Roman" w:eastAsia="宋体" w:cs="Times New Roman"/>
                <w:bCs/>
                <w:color w:val="auto"/>
                <w:sz w:val="24"/>
                <w:lang w:val="en-US" w:eastAsia="zh-CN"/>
              </w:rPr>
              <w:t>气污染物</w:t>
            </w:r>
            <w:r>
              <w:rPr>
                <w:rFonts w:hint="eastAsia" w:ascii="Times New Roman" w:hAnsi="Times New Roman" w:eastAsia="宋体" w:cs="Times New Roman"/>
                <w:bCs/>
                <w:color w:val="auto"/>
                <w:sz w:val="24"/>
                <w:lang w:val="en-US" w:eastAsia="zh-CN"/>
              </w:rPr>
              <w:t>主要</w:t>
            </w:r>
            <w:r>
              <w:rPr>
                <w:rFonts w:hint="default" w:ascii="Times New Roman" w:hAnsi="Times New Roman" w:eastAsia="宋体" w:cs="Times New Roman"/>
                <w:bCs/>
                <w:color w:val="auto"/>
                <w:sz w:val="24"/>
                <w:lang w:val="en-US" w:eastAsia="zh-CN"/>
              </w:rPr>
              <w:t>为</w:t>
            </w:r>
            <w:r>
              <w:rPr>
                <w:rFonts w:hint="eastAsia" w:ascii="Times New Roman" w:hAnsi="Times New Roman" w:eastAsia="宋体" w:cs="Times New Roman"/>
                <w:bCs/>
                <w:color w:val="auto"/>
                <w:sz w:val="24"/>
                <w:lang w:val="en-US" w:eastAsia="zh-CN"/>
              </w:rPr>
              <w:t>锡及其化合物、非甲烷总烃</w:t>
            </w:r>
            <w:r>
              <w:rPr>
                <w:rFonts w:hint="default" w:ascii="Times New Roman" w:hAnsi="Times New Roman" w:eastAsia="宋体" w:cs="Times New Roman"/>
                <w:bCs/>
                <w:color w:val="auto"/>
                <w:sz w:val="24"/>
                <w:lang w:val="en-US" w:eastAsia="zh-CN"/>
              </w:rPr>
              <w:t>，针对各产污环节，均采取了合适可行的污染治理措施，经收集处理后的污</w:t>
            </w:r>
            <w:r>
              <w:rPr>
                <w:rFonts w:hint="default" w:ascii="Times New Roman" w:hAnsi="Times New Roman" w:cs="Times New Roman"/>
                <w:bCs/>
                <w:color w:val="auto"/>
                <w:sz w:val="24"/>
                <w:lang w:val="en-US" w:eastAsia="zh-CN"/>
              </w:rPr>
              <w:t>染物排放强度较低，且本项目</w:t>
            </w:r>
            <w:r>
              <w:rPr>
                <w:rFonts w:hint="default" w:ascii="Times New Roman" w:hAnsi="Times New Roman" w:cs="Times New Roman"/>
                <w:bCs/>
                <w:color w:val="auto"/>
                <w:sz w:val="24"/>
                <w:highlight w:val="none"/>
              </w:rPr>
              <w:t>满足</w:t>
            </w:r>
            <w:r>
              <w:rPr>
                <w:rFonts w:hint="default" w:ascii="Times New Roman" w:hAnsi="Times New Roman" w:cs="Times New Roman"/>
                <w:bCs/>
                <w:color w:val="auto"/>
                <w:sz w:val="24"/>
                <w:highlight w:val="none"/>
                <w:lang w:val="en-US" w:eastAsia="zh-CN"/>
              </w:rPr>
              <w:t>大气</w:t>
            </w:r>
            <w:r>
              <w:rPr>
                <w:rFonts w:hint="default" w:ascii="Times New Roman" w:hAnsi="Times New Roman" w:cs="Times New Roman"/>
                <w:bCs/>
                <w:color w:val="auto"/>
                <w:sz w:val="24"/>
                <w:highlight w:val="none"/>
              </w:rPr>
              <w:t>卫生防护距离设置要求</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故</w:t>
            </w:r>
            <w:r>
              <w:rPr>
                <w:rFonts w:hint="default" w:ascii="Times New Roman" w:hAnsi="Times New Roman" w:cs="Times New Roman"/>
                <w:bCs/>
                <w:color w:val="auto"/>
                <w:sz w:val="24"/>
                <w:szCs w:val="22"/>
              </w:rPr>
              <w:t>本项目废气</w:t>
            </w:r>
            <w:r>
              <w:rPr>
                <w:rFonts w:hint="default" w:ascii="Times New Roman" w:hAnsi="Times New Roman" w:cs="Times New Roman"/>
                <w:bCs/>
                <w:color w:val="auto"/>
                <w:sz w:val="24"/>
                <w:szCs w:val="22"/>
                <w:lang w:val="en-US" w:eastAsia="zh-CN"/>
              </w:rPr>
              <w:t>排放的</w:t>
            </w:r>
            <w:r>
              <w:rPr>
                <w:rFonts w:hint="default" w:ascii="Times New Roman" w:hAnsi="Times New Roman" w:cs="Times New Roman"/>
                <w:bCs/>
                <w:color w:val="auto"/>
                <w:sz w:val="24"/>
                <w:szCs w:val="22"/>
              </w:rPr>
              <w:t>环境影响较小。</w:t>
            </w:r>
          </w:p>
          <w:p w14:paraId="5E0AFAD2">
            <w:pPr>
              <w:keepNext w:val="0"/>
              <w:keepLines w:val="0"/>
              <w:pageBreakBefore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b/>
                <w:color w:val="auto"/>
                <w:sz w:val="24"/>
              </w:rPr>
            </w:pPr>
            <w:r>
              <w:rPr>
                <w:rFonts w:hint="eastAsia" w:cs="Times New Roman"/>
                <w:b/>
                <w:color w:val="auto"/>
                <w:sz w:val="24"/>
                <w:lang w:eastAsia="zh-CN"/>
              </w:rPr>
              <w:t>二</w:t>
            </w:r>
            <w:r>
              <w:rPr>
                <w:rFonts w:hint="default" w:ascii="Times New Roman" w:hAnsi="Times New Roman" w:cs="Times New Roman"/>
                <w:b/>
                <w:color w:val="auto"/>
                <w:sz w:val="24"/>
              </w:rPr>
              <w:t>、废水</w:t>
            </w:r>
          </w:p>
          <w:p w14:paraId="3B2195F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1、项目用水环节分析</w:t>
            </w:r>
          </w:p>
          <w:p w14:paraId="3D4B92F7">
            <w:pPr>
              <w:pStyle w:val="10"/>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ascii="Times New Roman" w:hAnsi="Times New Roman" w:cs="Times New Roman"/>
                <w:color w:val="auto"/>
                <w:sz w:val="24"/>
                <w:lang w:val="en-US" w:eastAsia="zh-CN"/>
              </w:rPr>
              <w:t>车间</w:t>
            </w:r>
            <w:r>
              <w:rPr>
                <w:rFonts w:hint="default" w:ascii="Times New Roman" w:hAnsi="Times New Roman" w:eastAsia="宋体" w:cs="Times New Roman"/>
                <w:color w:val="auto"/>
                <w:sz w:val="24"/>
                <w:lang w:val="en-US" w:eastAsia="zh-CN"/>
              </w:rPr>
              <w:t>地面为标准环氧粉刷地面，生产班次结束由员工对地面及散落的边角料清理即可，项目无需对地面进行冲洗</w:t>
            </w:r>
            <w:r>
              <w:rPr>
                <w:color w:val="auto"/>
                <w:kern w:val="0"/>
                <w:sz w:val="24"/>
              </w:rPr>
              <w:t>。</w:t>
            </w:r>
            <w:r>
              <w:rPr>
                <w:rFonts w:hint="eastAsia"/>
                <w:color w:val="auto"/>
                <w:kern w:val="0"/>
                <w:sz w:val="24"/>
                <w:lang w:val="en-US" w:eastAsia="zh-CN"/>
              </w:rPr>
              <w:t>项目用水主要为生活用水。</w:t>
            </w:r>
          </w:p>
          <w:p w14:paraId="343DFB57">
            <w:pPr>
              <w:pStyle w:val="8"/>
              <w:keepNext w:val="0"/>
              <w:keepLines w:val="0"/>
              <w:pageBreakBefore w:val="0"/>
              <w:kinsoku/>
              <w:wordWrap/>
              <w:overflowPunct/>
              <w:topLinePunct w:val="0"/>
              <w:autoSpaceDE/>
              <w:autoSpaceDN/>
              <w:bidi w:val="0"/>
              <w:adjustRightInd w:val="0"/>
              <w:snapToGrid w:val="0"/>
              <w:spacing w:before="0" w:after="0" w:line="500" w:lineRule="exact"/>
              <w:ind w:left="0" w:right="0" w:rightChars="0" w:firstLine="480" w:firstLineChars="200"/>
              <w:textAlignment w:val="auto"/>
              <w:rPr>
                <w:color w:val="auto"/>
                <w:sz w:val="24"/>
              </w:rPr>
            </w:pPr>
            <w:r>
              <w:rPr>
                <w:color w:val="auto"/>
                <w:sz w:val="24"/>
              </w:rPr>
              <w:t>本项目</w:t>
            </w:r>
            <w:r>
              <w:rPr>
                <w:rFonts w:hint="eastAsia"/>
                <w:color w:val="auto"/>
                <w:sz w:val="24"/>
                <w:lang w:val="en-US" w:eastAsia="zh-CN"/>
              </w:rPr>
              <w:t>劳动定员30</w:t>
            </w:r>
            <w:r>
              <w:rPr>
                <w:color w:val="auto"/>
                <w:sz w:val="24"/>
              </w:rPr>
              <w:t>人，年工作</w:t>
            </w:r>
            <w:r>
              <w:rPr>
                <w:rFonts w:hint="default" w:ascii="Times New Roman" w:hAnsi="Times New Roman" w:cs="Times New Roman"/>
                <w:color w:val="auto"/>
                <w:sz w:val="24"/>
              </w:rPr>
              <w:t>3</w:t>
            </w:r>
            <w:r>
              <w:rPr>
                <w:rFonts w:hint="eastAsia" w:cs="Times New Roman"/>
                <w:color w:val="auto"/>
                <w:sz w:val="24"/>
                <w:lang w:val="en-US" w:eastAsia="zh-CN"/>
              </w:rPr>
              <w:t>0</w:t>
            </w:r>
            <w:r>
              <w:rPr>
                <w:rFonts w:hint="default" w:ascii="Times New Roman" w:hAnsi="Times New Roman" w:cs="Times New Roman"/>
                <w:color w:val="auto"/>
                <w:sz w:val="24"/>
              </w:rPr>
              <w:t>0</w:t>
            </w:r>
            <w:r>
              <w:rPr>
                <w:color w:val="auto"/>
                <w:sz w:val="24"/>
              </w:rPr>
              <w:t>天，不设食堂、宿舍和浴室。人均生活用水定额按</w:t>
            </w:r>
            <w:r>
              <w:rPr>
                <w:rFonts w:hint="eastAsia"/>
                <w:color w:val="auto"/>
                <w:sz w:val="24"/>
                <w:lang w:val="en-US" w:eastAsia="zh-CN"/>
              </w:rPr>
              <w:t>10</w:t>
            </w:r>
            <w:r>
              <w:rPr>
                <w:rFonts w:hint="eastAsia"/>
                <w:color w:val="auto"/>
                <w:sz w:val="24"/>
              </w:rPr>
              <w:t>0</w:t>
            </w:r>
            <w:r>
              <w:rPr>
                <w:color w:val="auto"/>
                <w:sz w:val="24"/>
              </w:rPr>
              <w:t>L/（人·天）计，则生活用水量为</w:t>
            </w:r>
            <w:r>
              <w:rPr>
                <w:rFonts w:hint="eastAsia"/>
                <w:color w:val="auto"/>
                <w:sz w:val="24"/>
                <w:lang w:val="en-US" w:eastAsia="zh-CN"/>
              </w:rPr>
              <w:t>90</w:t>
            </w:r>
            <w:r>
              <w:rPr>
                <w:rFonts w:hint="eastAsia"/>
                <w:color w:val="auto"/>
                <w:sz w:val="24"/>
              </w:rPr>
              <w:t>0</w:t>
            </w:r>
            <w:r>
              <w:rPr>
                <w:color w:val="auto"/>
                <w:sz w:val="24"/>
              </w:rPr>
              <w:t>t/a</w:t>
            </w:r>
            <w:r>
              <w:rPr>
                <w:color w:val="auto"/>
                <w:kern w:val="0"/>
                <w:sz w:val="24"/>
              </w:rPr>
              <w:t>。</w:t>
            </w:r>
          </w:p>
          <w:p w14:paraId="79AB35B8">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val="0"/>
                <w:bCs/>
                <w:color w:val="auto"/>
                <w:sz w:val="24"/>
              </w:rPr>
            </w:pPr>
            <w:r>
              <w:rPr>
                <w:rFonts w:hint="eastAsia" w:cs="Times New Roman"/>
                <w:b/>
                <w:bCs w:val="0"/>
                <w:color w:val="auto"/>
                <w:sz w:val="24"/>
                <w:lang w:val="en-US" w:eastAsia="zh-CN"/>
              </w:rPr>
              <w:t>2、</w:t>
            </w:r>
            <w:r>
              <w:rPr>
                <w:rFonts w:hint="default" w:ascii="Times New Roman" w:hAnsi="Times New Roman" w:eastAsia="宋体" w:cs="Times New Roman"/>
                <w:b/>
                <w:bCs/>
                <w:color w:val="auto"/>
                <w:sz w:val="24"/>
                <w:lang w:val="en-US" w:eastAsia="zh-CN"/>
              </w:rPr>
              <w:t xml:space="preserve">废水污染源强分析 </w:t>
            </w:r>
          </w:p>
          <w:p w14:paraId="118AB35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b/>
                <w:bCs/>
                <w:color w:val="auto"/>
                <w:szCs w:val="21"/>
              </w:rPr>
            </w:pPr>
            <w:r>
              <w:rPr>
                <w:rFonts w:hint="default" w:ascii="Times New Roman" w:hAnsi="Times New Roman" w:eastAsia="宋体" w:cs="Times New Roman"/>
                <w:color w:val="auto"/>
                <w:sz w:val="24"/>
                <w:lang w:val="en-US" w:eastAsia="zh-CN"/>
              </w:rPr>
              <w:t>项目生活污水产污率</w:t>
            </w:r>
            <w:r>
              <w:rPr>
                <w:rFonts w:hint="eastAsia"/>
                <w:color w:val="auto"/>
                <w:sz w:val="24"/>
                <w:lang w:val="en-US" w:eastAsia="zh-CN"/>
              </w:rPr>
              <w:t>取</w:t>
            </w:r>
            <w:r>
              <w:rPr>
                <w:color w:val="auto"/>
                <w:sz w:val="24"/>
              </w:rPr>
              <w:t>0.8，则生活污水排放量为</w:t>
            </w:r>
            <w:r>
              <w:rPr>
                <w:rFonts w:hint="eastAsia"/>
                <w:color w:val="auto"/>
                <w:sz w:val="24"/>
                <w:lang w:val="en-US" w:eastAsia="zh-CN"/>
              </w:rPr>
              <w:t>720</w:t>
            </w:r>
            <w:r>
              <w:rPr>
                <w:color w:val="auto"/>
                <w:sz w:val="24"/>
              </w:rPr>
              <w:t>t/a，主要污染物为：COD、SS、氨氮、</w:t>
            </w:r>
            <w:r>
              <w:rPr>
                <w:rFonts w:hint="eastAsia"/>
                <w:color w:val="auto"/>
                <w:sz w:val="24"/>
              </w:rPr>
              <w:t>TN</w:t>
            </w:r>
            <w:r>
              <w:rPr>
                <w:color w:val="auto"/>
                <w:sz w:val="24"/>
              </w:rPr>
              <w:t>、</w:t>
            </w:r>
            <w:r>
              <w:rPr>
                <w:rFonts w:hint="eastAsia"/>
                <w:color w:val="auto"/>
                <w:sz w:val="24"/>
              </w:rPr>
              <w:t>TP</w:t>
            </w:r>
            <w:r>
              <w:rPr>
                <w:color w:val="auto"/>
                <w:sz w:val="24"/>
              </w:rPr>
              <w:t>产生浓度分别为400mg/L、</w:t>
            </w:r>
            <w:r>
              <w:rPr>
                <w:rFonts w:hint="eastAsia"/>
                <w:color w:val="auto"/>
                <w:sz w:val="24"/>
              </w:rPr>
              <w:t>2</w:t>
            </w:r>
            <w:r>
              <w:rPr>
                <w:rFonts w:hint="eastAsia"/>
                <w:color w:val="auto"/>
                <w:sz w:val="24"/>
                <w:lang w:val="en-US" w:eastAsia="zh-CN"/>
              </w:rPr>
              <w:t>0</w:t>
            </w:r>
            <w:r>
              <w:rPr>
                <w:color w:val="auto"/>
                <w:sz w:val="24"/>
              </w:rPr>
              <w:t>0mg/L、3</w:t>
            </w:r>
            <w:r>
              <w:rPr>
                <w:rFonts w:hint="eastAsia"/>
                <w:color w:val="auto"/>
                <w:sz w:val="24"/>
              </w:rPr>
              <w:t>0</w:t>
            </w:r>
            <w:r>
              <w:rPr>
                <w:color w:val="auto"/>
                <w:sz w:val="24"/>
              </w:rPr>
              <w:t>mg/L、</w:t>
            </w:r>
            <w:r>
              <w:rPr>
                <w:rFonts w:hint="eastAsia"/>
                <w:color w:val="auto"/>
                <w:sz w:val="24"/>
                <w:lang w:val="en-US" w:eastAsia="zh-CN"/>
              </w:rPr>
              <w:t>40</w:t>
            </w:r>
            <w:r>
              <w:rPr>
                <w:color w:val="auto"/>
                <w:sz w:val="24"/>
              </w:rPr>
              <w:t>mg/L、</w:t>
            </w:r>
            <w:r>
              <w:rPr>
                <w:rFonts w:hint="eastAsia"/>
                <w:color w:val="auto"/>
                <w:sz w:val="24"/>
                <w:lang w:val="en-US" w:eastAsia="zh-CN"/>
              </w:rPr>
              <w:t>3</w:t>
            </w:r>
            <w:r>
              <w:rPr>
                <w:color w:val="auto"/>
                <w:sz w:val="24"/>
              </w:rPr>
              <w:t>mg/L。</w:t>
            </w:r>
          </w:p>
          <w:p w14:paraId="67EEC765">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3、</w:t>
            </w:r>
            <w:r>
              <w:rPr>
                <w:b/>
                <w:bCs/>
                <w:color w:val="auto"/>
                <w:sz w:val="24"/>
              </w:rPr>
              <w:t>污染防治措施</w:t>
            </w:r>
          </w:p>
          <w:p w14:paraId="3CEBC290">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color w:val="auto"/>
                <w:sz w:val="24"/>
              </w:rPr>
              <w:t>厂区实现雨污分流。本项目生活污水</w:t>
            </w:r>
            <w:r>
              <w:rPr>
                <w:rFonts w:hint="eastAsia"/>
                <w:color w:val="auto"/>
                <w:sz w:val="24"/>
                <w:lang w:val="en-US" w:eastAsia="zh-CN"/>
              </w:rPr>
              <w:t>经出租方化粪池收集后</w:t>
            </w:r>
            <w:r>
              <w:rPr>
                <w:rFonts w:hint="eastAsia" w:cs="Times New Roman"/>
                <w:bCs/>
                <w:color w:val="auto"/>
                <w:sz w:val="24"/>
                <w:szCs w:val="24"/>
                <w:lang w:val="en-US" w:eastAsia="zh-CN"/>
              </w:rPr>
              <w:t>接管至</w:t>
            </w:r>
            <w:r>
              <w:rPr>
                <w:rFonts w:hint="eastAsia" w:cs="Times New Roman"/>
                <w:bCs/>
                <w:color w:val="auto"/>
                <w:sz w:val="24"/>
                <w:szCs w:val="24"/>
                <w:lang w:eastAsia="zh-CN"/>
              </w:rPr>
              <w:t>金坛区指前镇新河村农村生活污水处理站</w:t>
            </w:r>
            <w:r>
              <w:rPr>
                <w:rFonts w:hint="default" w:ascii="Times New Roman" w:hAnsi="Times New Roman" w:cs="Times New Roman"/>
                <w:bCs/>
                <w:color w:val="auto"/>
                <w:sz w:val="24"/>
                <w:szCs w:val="24"/>
                <w:lang w:eastAsia="zh-CN"/>
              </w:rPr>
              <w:t>集中处理</w:t>
            </w:r>
            <w:r>
              <w:rPr>
                <w:color w:val="auto"/>
                <w:sz w:val="24"/>
              </w:rPr>
              <w:t>。</w:t>
            </w:r>
            <w:r>
              <w:rPr>
                <w:color w:val="auto"/>
                <w:sz w:val="24"/>
              </w:rPr>
              <w:br w:type="textWrapping"/>
            </w:r>
            <w:r>
              <w:rPr>
                <w:rFonts w:hint="eastAsia"/>
                <w:b/>
                <w:bCs/>
                <w:color w:val="auto"/>
                <w:sz w:val="24"/>
                <w:lang w:val="en-US" w:eastAsia="zh-CN"/>
              </w:rPr>
              <w:t xml:space="preserve">  </w:t>
            </w:r>
            <w:r>
              <w:rPr>
                <w:rFonts w:hint="eastAsia" w:ascii="Times New Roman" w:hAnsi="Times New Roman" w:eastAsia="宋体" w:cs="Times New Roman"/>
                <w:b/>
                <w:bCs/>
                <w:color w:val="auto"/>
                <w:sz w:val="24"/>
                <w:highlight w:val="none"/>
                <w:lang w:val="en-US" w:eastAsia="zh-CN"/>
              </w:rPr>
              <w:t xml:space="preserve">  4、接管可行性分析</w:t>
            </w:r>
          </w:p>
          <w:p w14:paraId="32181D53">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（1）水量可行性分析</w:t>
            </w:r>
          </w:p>
          <w:p w14:paraId="5973C064">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金坛区指前镇新河村农村生活污水处理站设计处理规模为300m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/d。本项目生活污水720t/a（2.4t/d），从水量上来看产生规模仅占处理规模的0.8%。</w:t>
            </w:r>
          </w:p>
          <w:p w14:paraId="4C8280FA">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因此，从水量上看，本项目生活污水接入金坛区指前镇新河村农村生活污水处理站是可行的。</w:t>
            </w:r>
          </w:p>
          <w:p w14:paraId="3881D67E">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（2）水质可行性分析</w:t>
            </w:r>
          </w:p>
          <w:p w14:paraId="5D874DF9">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本项目仅产生生活污水，COD、SS、NH</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-N、TP、TN的接管浓度分别为400mg/L、200mg/L、30mg/L、3mg/L、40mg/L，污水中的COD、SS、NH</w:t>
            </w:r>
            <w:r>
              <w:rPr>
                <w:rFonts w:hint="eastAsia" w:ascii="Times New Roman" w:hAnsi="Times New Roman" w:eastAsia="宋体" w:cs="Times New Roman"/>
                <w:bCs/>
                <w:color w:val="auto"/>
                <w:sz w:val="24"/>
                <w:highlight w:val="none"/>
                <w:vertAlign w:val="subscript"/>
                <w:lang w:val="en-US" w:eastAsia="zh-CN"/>
              </w:rPr>
              <w:t>3</w:t>
            </w:r>
            <w:r>
              <w:rPr>
                <w:rFonts w:hint="eastAsia" w:ascii="Times New Roman" w:hAnsi="Times New Roman" w:eastAsia="宋体" w:cs="Times New Roman"/>
                <w:bCs/>
                <w:color w:val="auto"/>
                <w:sz w:val="24"/>
                <w:highlight w:val="none"/>
                <w:lang w:val="en-US" w:eastAsia="zh-CN"/>
              </w:rPr>
              <w:t>-N、TN、TP均符合《污水排入城镇下水道水质标准》（GB/T31962-2015）B级标准，水质简单，污染物也属常规污染因子，不具备冲击性，符合水质接管要求。</w:t>
            </w:r>
          </w:p>
          <w:p w14:paraId="08F14E45">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因此，从水质上看，本项目生活污水接入金坛区指前镇新河村农村生活污水处理站是可行的。</w:t>
            </w:r>
          </w:p>
          <w:p w14:paraId="324D363A">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（3）管网配套可行性分析</w:t>
            </w:r>
          </w:p>
          <w:p w14:paraId="01C90FB1">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经核实，本项目所在地市政污水管网尚未铺设到位。距离金坛区指前镇新河村农村生活污水处理站约100m，距离较近，从空间距离上看，具备接入金坛区指前镇新河村农村生活污水处理站集中处理的条件。</w:t>
            </w:r>
          </w:p>
          <w:p w14:paraId="215B86D3">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因此，从管网配套可行性上看，本项目生活污水接入金坛区指前镇新河村农村生活污水处理站是可行的。</w:t>
            </w:r>
          </w:p>
          <w:p w14:paraId="2C929BE5">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（4）处理工艺达标可行性分析</w:t>
            </w:r>
          </w:p>
          <w:p w14:paraId="2F6A863D">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调查，金坛区指前镇新河村农村生活污水处理站施配套管网内的污水由格栅拦截水中较大的漂浮物,随之进入调节池进行均质均混，然后进入设备水处理系统，应用系统中的生物接触氧化(AAO)工艺进行去除污水中的COD、氮、磷等污染物，进行生态处理，最后达标排放。</w:t>
            </w:r>
          </w:p>
          <w:p w14:paraId="05435FAB">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因此，生物接触氧化(AAO)工艺对于生活污水处理方面较为成熟，其处理工艺从技术上看是可行的。</w:t>
            </w:r>
          </w:p>
          <w:p w14:paraId="32AFCECF">
            <w:pPr>
              <w:adjustRightInd w:val="0"/>
              <w:snapToGrid w:val="0"/>
              <w:spacing w:line="500" w:lineRule="exact"/>
              <w:ind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综上所述，从接管水质、水量及管网配套等情况来看，本项目投产后生活污水接入金坛区指前镇新河村农村生活污水处理站集中处理是可行的。</w:t>
            </w:r>
          </w:p>
          <w:p w14:paraId="426C6A9D">
            <w:pPr>
              <w:adjustRightInd w:val="0"/>
              <w:snapToGrid w:val="0"/>
              <w:spacing w:line="500" w:lineRule="exact"/>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5、</w:t>
            </w:r>
            <w:r>
              <w:rPr>
                <w:rFonts w:hint="default" w:ascii="Times New Roman" w:hAnsi="Times New Roman" w:eastAsia="宋体" w:cs="Times New Roman"/>
                <w:b/>
                <w:bCs w:val="0"/>
                <w:color w:val="auto"/>
                <w:sz w:val="24"/>
                <w:highlight w:val="none"/>
                <w:lang w:val="en-US" w:eastAsia="zh-CN"/>
              </w:rPr>
              <w:t>废水排放情况</w:t>
            </w:r>
          </w:p>
          <w:p w14:paraId="5F21FEED">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废水排放情况汇总</w:t>
            </w:r>
          </w:p>
          <w:p w14:paraId="197695F0">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w:t>
            </w:r>
            <w:r>
              <w:rPr>
                <w:rFonts w:hint="eastAsia" w:ascii="Times New Roman" w:hAnsi="Times New Roman" w:eastAsia="宋体" w:cs="Times New Roman"/>
                <w:bCs/>
                <w:color w:val="auto"/>
                <w:sz w:val="24"/>
                <w:highlight w:val="none"/>
                <w:lang w:val="en-US" w:eastAsia="zh-CN"/>
              </w:rPr>
              <w:t>化粪池预处理后</w:t>
            </w:r>
            <w:r>
              <w:rPr>
                <w:rFonts w:hint="eastAsia" w:cs="Times New Roman"/>
                <w:bCs/>
                <w:color w:val="auto"/>
                <w:sz w:val="24"/>
                <w:highlight w:val="none"/>
                <w:lang w:val="en-US" w:eastAsia="zh-CN"/>
              </w:rPr>
              <w:t>接管至金坛区指前镇新河村农村生活污水处理站</w:t>
            </w:r>
            <w:r>
              <w:rPr>
                <w:rFonts w:hint="default" w:ascii="Times New Roman" w:hAnsi="Times New Roman" w:eastAsia="宋体" w:cs="Times New Roman"/>
                <w:bCs/>
                <w:color w:val="auto"/>
                <w:sz w:val="24"/>
                <w:highlight w:val="none"/>
                <w:lang w:val="en-US" w:eastAsia="zh-CN"/>
              </w:rPr>
              <w:t>集中处理</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废水产生及排放情况见</w:t>
            </w:r>
            <w:r>
              <w:rPr>
                <w:rFonts w:hint="eastAsia" w:ascii="Times New Roman" w:hAnsi="Times New Roman" w:eastAsia="宋体" w:cs="Times New Roman"/>
                <w:bCs/>
                <w:color w:val="auto"/>
                <w:sz w:val="24"/>
                <w:highlight w:val="none"/>
                <w:lang w:val="en-US" w:eastAsia="zh-CN"/>
              </w:rPr>
              <w:t>下</w:t>
            </w:r>
            <w:r>
              <w:rPr>
                <w:rFonts w:hint="default" w:ascii="Times New Roman" w:hAnsi="Times New Roman" w:eastAsia="宋体" w:cs="Times New Roman"/>
                <w:bCs/>
                <w:color w:val="auto"/>
                <w:sz w:val="24"/>
                <w:highlight w:val="none"/>
                <w:lang w:val="en-US" w:eastAsia="zh-CN"/>
              </w:rPr>
              <w:t>表。</w:t>
            </w:r>
          </w:p>
          <w:p w14:paraId="4D877C9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b/>
                <w:bCs/>
                <w:color w:val="auto"/>
                <w:szCs w:val="21"/>
              </w:rPr>
            </w:pPr>
            <w:r>
              <w:rPr>
                <w:b/>
                <w:bCs/>
                <w:color w:val="auto"/>
                <w:szCs w:val="21"/>
              </w:rPr>
              <w:t>表4-</w:t>
            </w:r>
            <w:r>
              <w:rPr>
                <w:rFonts w:hint="eastAsia"/>
                <w:b/>
                <w:bCs/>
                <w:color w:val="auto"/>
                <w:szCs w:val="21"/>
                <w:lang w:val="en-US" w:eastAsia="zh-CN"/>
              </w:rPr>
              <w:t>7</w:t>
            </w:r>
            <w:r>
              <w:rPr>
                <w:b/>
                <w:bCs/>
                <w:color w:val="auto"/>
                <w:szCs w:val="21"/>
              </w:rPr>
              <w:t>本项目废水污染物排放情况表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9"/>
              <w:gridCol w:w="838"/>
              <w:gridCol w:w="838"/>
              <w:gridCol w:w="844"/>
              <w:gridCol w:w="1104"/>
              <w:gridCol w:w="714"/>
              <w:gridCol w:w="714"/>
              <w:gridCol w:w="782"/>
              <w:gridCol w:w="788"/>
              <w:gridCol w:w="903"/>
            </w:tblGrid>
            <w:tr w14:paraId="21E99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77A177BD">
                  <w:pPr>
                    <w:tabs>
                      <w:tab w:val="left" w:pos="6840"/>
                    </w:tabs>
                    <w:spacing w:line="270" w:lineRule="exact"/>
                    <w:jc w:val="center"/>
                    <w:rPr>
                      <w:b/>
                      <w:bCs/>
                      <w:color w:val="auto"/>
                      <w:szCs w:val="21"/>
                    </w:rPr>
                  </w:pPr>
                  <w:r>
                    <w:rPr>
                      <w:b/>
                      <w:bCs/>
                      <w:color w:val="auto"/>
                      <w:szCs w:val="21"/>
                    </w:rPr>
                    <w:t>废水产生源</w:t>
                  </w:r>
                </w:p>
              </w:tc>
              <w:tc>
                <w:tcPr>
                  <w:tcW w:w="1534" w:type="pct"/>
                  <w:gridSpan w:val="3"/>
                  <w:vAlign w:val="center"/>
                </w:tcPr>
                <w:p w14:paraId="61D3CD38">
                  <w:pPr>
                    <w:tabs>
                      <w:tab w:val="left" w:pos="6840"/>
                    </w:tabs>
                    <w:spacing w:line="270" w:lineRule="exact"/>
                    <w:jc w:val="center"/>
                    <w:rPr>
                      <w:b/>
                      <w:bCs/>
                      <w:color w:val="auto"/>
                      <w:szCs w:val="21"/>
                    </w:rPr>
                  </w:pPr>
                  <w:r>
                    <w:rPr>
                      <w:b/>
                      <w:bCs/>
                      <w:color w:val="auto"/>
                      <w:szCs w:val="21"/>
                    </w:rPr>
                    <w:t>污染物产生情况</w:t>
                  </w:r>
                </w:p>
              </w:tc>
              <w:tc>
                <w:tcPr>
                  <w:tcW w:w="672" w:type="pct"/>
                  <w:vMerge w:val="restart"/>
                  <w:vAlign w:val="center"/>
                </w:tcPr>
                <w:p w14:paraId="6308BFA3">
                  <w:pPr>
                    <w:tabs>
                      <w:tab w:val="left" w:pos="6840"/>
                    </w:tabs>
                    <w:spacing w:line="270" w:lineRule="exact"/>
                    <w:jc w:val="center"/>
                    <w:rPr>
                      <w:b/>
                      <w:bCs/>
                      <w:color w:val="auto"/>
                      <w:szCs w:val="21"/>
                    </w:rPr>
                  </w:pPr>
                  <w:r>
                    <w:rPr>
                      <w:b/>
                      <w:bCs/>
                      <w:color w:val="auto"/>
                      <w:szCs w:val="21"/>
                    </w:rPr>
                    <w:t>拟采取</w:t>
                  </w:r>
                </w:p>
                <w:p w14:paraId="2E1812C8">
                  <w:pPr>
                    <w:tabs>
                      <w:tab w:val="left" w:pos="6840"/>
                    </w:tabs>
                    <w:spacing w:line="270" w:lineRule="exact"/>
                    <w:jc w:val="center"/>
                    <w:rPr>
                      <w:b/>
                      <w:bCs/>
                      <w:color w:val="auto"/>
                      <w:szCs w:val="21"/>
                    </w:rPr>
                  </w:pPr>
                  <w:r>
                    <w:rPr>
                      <w:b/>
                      <w:bCs/>
                      <w:color w:val="auto"/>
                      <w:szCs w:val="21"/>
                    </w:rPr>
                    <w:t>措施</w:t>
                  </w:r>
                </w:p>
              </w:tc>
              <w:tc>
                <w:tcPr>
                  <w:tcW w:w="1346" w:type="pct"/>
                  <w:gridSpan w:val="3"/>
                  <w:vAlign w:val="center"/>
                </w:tcPr>
                <w:p w14:paraId="2D77AD27">
                  <w:pPr>
                    <w:tabs>
                      <w:tab w:val="left" w:pos="6840"/>
                    </w:tabs>
                    <w:spacing w:line="270" w:lineRule="exact"/>
                    <w:jc w:val="center"/>
                    <w:rPr>
                      <w:b/>
                      <w:bCs/>
                      <w:color w:val="auto"/>
                      <w:szCs w:val="21"/>
                    </w:rPr>
                  </w:pPr>
                  <w:r>
                    <w:rPr>
                      <w:b/>
                      <w:bCs/>
                      <w:color w:val="auto"/>
                      <w:szCs w:val="21"/>
                    </w:rPr>
                    <w:t>污染物排放情况</w:t>
                  </w:r>
                </w:p>
              </w:tc>
              <w:tc>
                <w:tcPr>
                  <w:tcW w:w="480" w:type="pct"/>
                  <w:vMerge w:val="restart"/>
                  <w:vAlign w:val="center"/>
                </w:tcPr>
                <w:p w14:paraId="0A4D7AA5">
                  <w:pPr>
                    <w:tabs>
                      <w:tab w:val="left" w:pos="6840"/>
                    </w:tabs>
                    <w:spacing w:line="270" w:lineRule="exact"/>
                    <w:jc w:val="center"/>
                    <w:rPr>
                      <w:b/>
                      <w:bCs/>
                      <w:color w:val="auto"/>
                      <w:szCs w:val="21"/>
                    </w:rPr>
                  </w:pPr>
                  <w:r>
                    <w:rPr>
                      <w:rFonts w:hint="eastAsia"/>
                      <w:b/>
                      <w:bCs/>
                      <w:color w:val="auto"/>
                      <w:szCs w:val="21"/>
                    </w:rPr>
                    <w:t>浓度</w:t>
                  </w:r>
                </w:p>
                <w:p w14:paraId="777DB5F0">
                  <w:pPr>
                    <w:tabs>
                      <w:tab w:val="left" w:pos="6840"/>
                    </w:tabs>
                    <w:spacing w:line="270" w:lineRule="exact"/>
                    <w:jc w:val="center"/>
                    <w:rPr>
                      <w:b/>
                      <w:bCs/>
                      <w:color w:val="auto"/>
                      <w:szCs w:val="21"/>
                    </w:rPr>
                  </w:pPr>
                  <w:r>
                    <w:rPr>
                      <w:rFonts w:hint="eastAsia"/>
                      <w:b/>
                      <w:bCs/>
                      <w:color w:val="auto"/>
                      <w:szCs w:val="21"/>
                    </w:rPr>
                    <w:t>标准</w:t>
                  </w:r>
                  <w:r>
                    <w:rPr>
                      <w:b/>
                      <w:bCs/>
                      <w:color w:val="auto"/>
                      <w:szCs w:val="21"/>
                    </w:rPr>
                    <w:t>(mg/L)</w:t>
                  </w:r>
                </w:p>
              </w:tc>
              <w:tc>
                <w:tcPr>
                  <w:tcW w:w="550" w:type="pct"/>
                  <w:vMerge w:val="restart"/>
                  <w:vAlign w:val="center"/>
                </w:tcPr>
                <w:p w14:paraId="3EEA89EB">
                  <w:pPr>
                    <w:tabs>
                      <w:tab w:val="left" w:pos="6840"/>
                    </w:tabs>
                    <w:spacing w:line="270" w:lineRule="exact"/>
                    <w:jc w:val="center"/>
                    <w:rPr>
                      <w:b/>
                      <w:bCs/>
                      <w:color w:val="auto"/>
                      <w:szCs w:val="21"/>
                    </w:rPr>
                  </w:pPr>
                  <w:r>
                    <w:rPr>
                      <w:b/>
                      <w:bCs/>
                      <w:color w:val="auto"/>
                      <w:szCs w:val="21"/>
                    </w:rPr>
                    <w:t>排放方式与去向</w:t>
                  </w:r>
                </w:p>
              </w:tc>
            </w:tr>
            <w:tr w14:paraId="1F9D2B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57EE00C3">
                  <w:pPr>
                    <w:tabs>
                      <w:tab w:val="left" w:pos="6840"/>
                    </w:tabs>
                    <w:spacing w:line="270" w:lineRule="exact"/>
                    <w:jc w:val="center"/>
                    <w:rPr>
                      <w:b/>
                      <w:bCs/>
                      <w:color w:val="auto"/>
                      <w:szCs w:val="21"/>
                    </w:rPr>
                  </w:pPr>
                </w:p>
              </w:tc>
              <w:tc>
                <w:tcPr>
                  <w:tcW w:w="510" w:type="pct"/>
                  <w:vAlign w:val="center"/>
                </w:tcPr>
                <w:p w14:paraId="0E6452A6">
                  <w:pPr>
                    <w:tabs>
                      <w:tab w:val="left" w:pos="6840"/>
                    </w:tabs>
                    <w:spacing w:line="270" w:lineRule="exact"/>
                    <w:jc w:val="center"/>
                    <w:rPr>
                      <w:b/>
                      <w:bCs/>
                      <w:color w:val="auto"/>
                      <w:szCs w:val="21"/>
                    </w:rPr>
                  </w:pPr>
                  <w:r>
                    <w:rPr>
                      <w:b/>
                      <w:bCs/>
                      <w:color w:val="auto"/>
                      <w:szCs w:val="21"/>
                    </w:rPr>
                    <w:t>污染物</w:t>
                  </w:r>
                </w:p>
                <w:p w14:paraId="6AF018D8">
                  <w:pPr>
                    <w:tabs>
                      <w:tab w:val="left" w:pos="6840"/>
                    </w:tabs>
                    <w:spacing w:line="270" w:lineRule="exact"/>
                    <w:jc w:val="center"/>
                    <w:rPr>
                      <w:b/>
                      <w:bCs/>
                      <w:color w:val="auto"/>
                      <w:szCs w:val="21"/>
                    </w:rPr>
                  </w:pPr>
                  <w:r>
                    <w:rPr>
                      <w:b/>
                      <w:bCs/>
                      <w:color w:val="auto"/>
                      <w:szCs w:val="21"/>
                    </w:rPr>
                    <w:t>名称</w:t>
                  </w:r>
                </w:p>
              </w:tc>
              <w:tc>
                <w:tcPr>
                  <w:tcW w:w="510" w:type="pct"/>
                  <w:vAlign w:val="center"/>
                </w:tcPr>
                <w:p w14:paraId="6B917664">
                  <w:pPr>
                    <w:tabs>
                      <w:tab w:val="left" w:pos="6840"/>
                    </w:tabs>
                    <w:spacing w:line="270" w:lineRule="exact"/>
                    <w:jc w:val="center"/>
                    <w:rPr>
                      <w:b/>
                      <w:bCs/>
                      <w:color w:val="auto"/>
                      <w:szCs w:val="21"/>
                    </w:rPr>
                  </w:pPr>
                  <w:r>
                    <w:rPr>
                      <w:b/>
                      <w:bCs/>
                      <w:color w:val="auto"/>
                      <w:szCs w:val="21"/>
                    </w:rPr>
                    <w:t>浓度</w:t>
                  </w:r>
                </w:p>
                <w:p w14:paraId="55BD35CF">
                  <w:pPr>
                    <w:tabs>
                      <w:tab w:val="left" w:pos="6840"/>
                    </w:tabs>
                    <w:spacing w:line="270" w:lineRule="exact"/>
                    <w:jc w:val="center"/>
                    <w:rPr>
                      <w:b/>
                      <w:bCs/>
                      <w:color w:val="auto"/>
                      <w:szCs w:val="21"/>
                    </w:rPr>
                  </w:pPr>
                  <w:r>
                    <w:rPr>
                      <w:b/>
                      <w:bCs/>
                      <w:color w:val="auto"/>
                      <w:szCs w:val="21"/>
                    </w:rPr>
                    <w:t>mg/L</w:t>
                  </w:r>
                </w:p>
              </w:tc>
              <w:tc>
                <w:tcPr>
                  <w:tcW w:w="513" w:type="pct"/>
                  <w:vAlign w:val="center"/>
                </w:tcPr>
                <w:p w14:paraId="6CE8CAC7">
                  <w:pPr>
                    <w:tabs>
                      <w:tab w:val="left" w:pos="6840"/>
                    </w:tabs>
                    <w:spacing w:line="270" w:lineRule="exact"/>
                    <w:jc w:val="center"/>
                    <w:rPr>
                      <w:b/>
                      <w:bCs/>
                      <w:color w:val="auto"/>
                      <w:szCs w:val="21"/>
                    </w:rPr>
                  </w:pPr>
                  <w:r>
                    <w:rPr>
                      <w:b/>
                      <w:bCs/>
                      <w:color w:val="auto"/>
                      <w:szCs w:val="21"/>
                    </w:rPr>
                    <w:t>产生量</w:t>
                  </w:r>
                </w:p>
                <w:p w14:paraId="5269931E">
                  <w:pPr>
                    <w:tabs>
                      <w:tab w:val="left" w:pos="6840"/>
                    </w:tabs>
                    <w:spacing w:line="270" w:lineRule="exact"/>
                    <w:jc w:val="center"/>
                    <w:rPr>
                      <w:b/>
                      <w:bCs/>
                      <w:color w:val="auto"/>
                      <w:szCs w:val="21"/>
                    </w:rPr>
                  </w:pPr>
                  <w:r>
                    <w:rPr>
                      <w:b/>
                      <w:bCs/>
                      <w:color w:val="auto"/>
                      <w:szCs w:val="21"/>
                    </w:rPr>
                    <w:t>t/a</w:t>
                  </w:r>
                </w:p>
              </w:tc>
              <w:tc>
                <w:tcPr>
                  <w:tcW w:w="672" w:type="pct"/>
                  <w:vMerge w:val="continue"/>
                  <w:vAlign w:val="center"/>
                </w:tcPr>
                <w:p w14:paraId="3D28D907">
                  <w:pPr>
                    <w:tabs>
                      <w:tab w:val="left" w:pos="6840"/>
                    </w:tabs>
                    <w:spacing w:line="270" w:lineRule="exact"/>
                    <w:jc w:val="center"/>
                    <w:rPr>
                      <w:b/>
                      <w:bCs/>
                      <w:color w:val="auto"/>
                      <w:szCs w:val="21"/>
                    </w:rPr>
                  </w:pPr>
                </w:p>
              </w:tc>
              <w:tc>
                <w:tcPr>
                  <w:tcW w:w="435" w:type="pct"/>
                  <w:vAlign w:val="center"/>
                </w:tcPr>
                <w:p w14:paraId="0190D020">
                  <w:pPr>
                    <w:tabs>
                      <w:tab w:val="left" w:pos="6840"/>
                    </w:tabs>
                    <w:spacing w:line="270" w:lineRule="exact"/>
                    <w:jc w:val="center"/>
                    <w:rPr>
                      <w:b/>
                      <w:bCs/>
                      <w:color w:val="auto"/>
                      <w:szCs w:val="21"/>
                    </w:rPr>
                  </w:pPr>
                  <w:r>
                    <w:rPr>
                      <w:b/>
                      <w:bCs/>
                      <w:color w:val="auto"/>
                      <w:szCs w:val="21"/>
                    </w:rPr>
                    <w:t>污染物</w:t>
                  </w:r>
                </w:p>
                <w:p w14:paraId="0498DAF4">
                  <w:pPr>
                    <w:tabs>
                      <w:tab w:val="left" w:pos="6840"/>
                    </w:tabs>
                    <w:spacing w:line="270" w:lineRule="exact"/>
                    <w:jc w:val="center"/>
                    <w:rPr>
                      <w:b/>
                      <w:bCs/>
                      <w:color w:val="auto"/>
                      <w:szCs w:val="21"/>
                    </w:rPr>
                  </w:pPr>
                  <w:r>
                    <w:rPr>
                      <w:b/>
                      <w:bCs/>
                      <w:color w:val="auto"/>
                      <w:szCs w:val="21"/>
                    </w:rPr>
                    <w:t>名称</w:t>
                  </w:r>
                </w:p>
              </w:tc>
              <w:tc>
                <w:tcPr>
                  <w:tcW w:w="435" w:type="pct"/>
                  <w:vAlign w:val="center"/>
                </w:tcPr>
                <w:p w14:paraId="7DB64FCF">
                  <w:pPr>
                    <w:tabs>
                      <w:tab w:val="left" w:pos="6840"/>
                    </w:tabs>
                    <w:spacing w:line="270" w:lineRule="exact"/>
                    <w:jc w:val="center"/>
                    <w:rPr>
                      <w:b/>
                      <w:bCs/>
                      <w:color w:val="auto"/>
                      <w:szCs w:val="21"/>
                    </w:rPr>
                  </w:pPr>
                  <w:r>
                    <w:rPr>
                      <w:b/>
                      <w:bCs/>
                      <w:color w:val="auto"/>
                      <w:szCs w:val="21"/>
                    </w:rPr>
                    <w:t>浓度</w:t>
                  </w:r>
                </w:p>
                <w:p w14:paraId="1EA96624">
                  <w:pPr>
                    <w:tabs>
                      <w:tab w:val="left" w:pos="6840"/>
                    </w:tabs>
                    <w:spacing w:line="270" w:lineRule="exact"/>
                    <w:jc w:val="center"/>
                    <w:rPr>
                      <w:b/>
                      <w:bCs/>
                      <w:color w:val="auto"/>
                      <w:szCs w:val="21"/>
                    </w:rPr>
                  </w:pPr>
                  <w:r>
                    <w:rPr>
                      <w:b/>
                      <w:bCs/>
                      <w:color w:val="auto"/>
                      <w:szCs w:val="21"/>
                    </w:rPr>
                    <w:t>mg/L</w:t>
                  </w:r>
                </w:p>
              </w:tc>
              <w:tc>
                <w:tcPr>
                  <w:tcW w:w="476" w:type="pct"/>
                  <w:vAlign w:val="center"/>
                </w:tcPr>
                <w:p w14:paraId="60F70E4E">
                  <w:pPr>
                    <w:tabs>
                      <w:tab w:val="left" w:pos="6840"/>
                    </w:tabs>
                    <w:spacing w:line="270" w:lineRule="exact"/>
                    <w:jc w:val="center"/>
                    <w:rPr>
                      <w:b/>
                      <w:bCs/>
                      <w:color w:val="auto"/>
                      <w:szCs w:val="21"/>
                    </w:rPr>
                  </w:pPr>
                  <w:r>
                    <w:rPr>
                      <w:b/>
                      <w:bCs/>
                      <w:color w:val="auto"/>
                      <w:szCs w:val="21"/>
                    </w:rPr>
                    <w:t>排放量</w:t>
                  </w:r>
                </w:p>
                <w:p w14:paraId="7CBE5AAF">
                  <w:pPr>
                    <w:tabs>
                      <w:tab w:val="left" w:pos="6840"/>
                    </w:tabs>
                    <w:spacing w:line="270" w:lineRule="exact"/>
                    <w:jc w:val="center"/>
                    <w:rPr>
                      <w:b/>
                      <w:bCs/>
                      <w:color w:val="auto"/>
                      <w:szCs w:val="21"/>
                    </w:rPr>
                  </w:pPr>
                  <w:r>
                    <w:rPr>
                      <w:b/>
                      <w:bCs/>
                      <w:color w:val="auto"/>
                      <w:szCs w:val="21"/>
                    </w:rPr>
                    <w:t>t/a</w:t>
                  </w:r>
                </w:p>
              </w:tc>
              <w:tc>
                <w:tcPr>
                  <w:tcW w:w="480" w:type="pct"/>
                  <w:vMerge w:val="continue"/>
                  <w:vAlign w:val="center"/>
                </w:tcPr>
                <w:p w14:paraId="381DC2B9">
                  <w:pPr>
                    <w:tabs>
                      <w:tab w:val="left" w:pos="6840"/>
                    </w:tabs>
                    <w:spacing w:line="270" w:lineRule="exact"/>
                    <w:jc w:val="center"/>
                    <w:rPr>
                      <w:color w:val="auto"/>
                      <w:szCs w:val="21"/>
                    </w:rPr>
                  </w:pPr>
                </w:p>
              </w:tc>
              <w:tc>
                <w:tcPr>
                  <w:tcW w:w="550" w:type="pct"/>
                  <w:vMerge w:val="continue"/>
                  <w:vAlign w:val="center"/>
                </w:tcPr>
                <w:p w14:paraId="73581EAD">
                  <w:pPr>
                    <w:tabs>
                      <w:tab w:val="left" w:pos="6840"/>
                    </w:tabs>
                    <w:spacing w:line="270" w:lineRule="exact"/>
                    <w:jc w:val="center"/>
                    <w:rPr>
                      <w:color w:val="auto"/>
                      <w:szCs w:val="21"/>
                    </w:rPr>
                  </w:pPr>
                </w:p>
              </w:tc>
            </w:tr>
            <w:tr w14:paraId="1B9CDE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vAlign w:val="center"/>
                </w:tcPr>
                <w:p w14:paraId="567B406A">
                  <w:pPr>
                    <w:tabs>
                      <w:tab w:val="left" w:pos="6840"/>
                    </w:tabs>
                    <w:spacing w:line="270" w:lineRule="exact"/>
                    <w:jc w:val="center"/>
                    <w:rPr>
                      <w:rFonts w:hint="default" w:eastAsia="宋体"/>
                      <w:color w:val="auto"/>
                      <w:sz w:val="21"/>
                      <w:szCs w:val="21"/>
                      <w:lang w:val="en-US" w:eastAsia="zh-CN"/>
                    </w:rPr>
                  </w:pPr>
                  <w:r>
                    <w:rPr>
                      <w:color w:val="auto"/>
                      <w:szCs w:val="21"/>
                    </w:rPr>
                    <w:t>生活</w:t>
                  </w:r>
                  <w:r>
                    <w:rPr>
                      <w:color w:val="auto"/>
                      <w:sz w:val="21"/>
                      <w:szCs w:val="21"/>
                    </w:rPr>
                    <w:t>污水</w:t>
                  </w:r>
                  <w:r>
                    <w:rPr>
                      <w:rFonts w:hint="eastAsia"/>
                      <w:color w:val="auto"/>
                      <w:sz w:val="21"/>
                      <w:szCs w:val="21"/>
                      <w:lang w:val="en-US" w:eastAsia="zh-CN"/>
                    </w:rPr>
                    <w:t>720</w:t>
                  </w:r>
                </w:p>
                <w:p w14:paraId="730327EB">
                  <w:pPr>
                    <w:tabs>
                      <w:tab w:val="left" w:pos="6840"/>
                    </w:tabs>
                    <w:spacing w:line="270" w:lineRule="exact"/>
                    <w:jc w:val="center"/>
                    <w:rPr>
                      <w:color w:val="auto"/>
                      <w:szCs w:val="21"/>
                    </w:rPr>
                  </w:pPr>
                  <w:r>
                    <w:rPr>
                      <w:color w:val="auto"/>
                      <w:sz w:val="21"/>
                      <w:szCs w:val="21"/>
                    </w:rPr>
                    <w:t>t/a</w:t>
                  </w:r>
                </w:p>
              </w:tc>
              <w:tc>
                <w:tcPr>
                  <w:tcW w:w="510" w:type="pct"/>
                  <w:vAlign w:val="center"/>
                </w:tcPr>
                <w:p w14:paraId="77A9ED37">
                  <w:pPr>
                    <w:tabs>
                      <w:tab w:val="left" w:pos="6840"/>
                    </w:tabs>
                    <w:spacing w:line="270" w:lineRule="exact"/>
                    <w:jc w:val="center"/>
                    <w:rPr>
                      <w:color w:val="auto"/>
                      <w:szCs w:val="21"/>
                    </w:rPr>
                  </w:pPr>
                  <w:r>
                    <w:rPr>
                      <w:color w:val="auto"/>
                      <w:szCs w:val="21"/>
                    </w:rPr>
                    <w:t>COD</w:t>
                  </w:r>
                </w:p>
              </w:tc>
              <w:tc>
                <w:tcPr>
                  <w:tcW w:w="510" w:type="pct"/>
                  <w:vAlign w:val="center"/>
                </w:tcPr>
                <w:p w14:paraId="1A73AEE6">
                  <w:pPr>
                    <w:tabs>
                      <w:tab w:val="left" w:pos="6840"/>
                    </w:tabs>
                    <w:spacing w:line="270" w:lineRule="exact"/>
                    <w:jc w:val="center"/>
                    <w:rPr>
                      <w:color w:val="auto"/>
                      <w:szCs w:val="21"/>
                    </w:rPr>
                  </w:pPr>
                  <w:r>
                    <w:rPr>
                      <w:color w:val="auto"/>
                      <w:szCs w:val="21"/>
                    </w:rPr>
                    <w:t>400</w:t>
                  </w:r>
                </w:p>
              </w:tc>
              <w:tc>
                <w:tcPr>
                  <w:tcW w:w="862" w:type="dxa"/>
                  <w:vAlign w:val="center"/>
                </w:tcPr>
                <w:p w14:paraId="504AAD69">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0.288</w:t>
                  </w:r>
                </w:p>
              </w:tc>
              <w:tc>
                <w:tcPr>
                  <w:tcW w:w="672" w:type="pct"/>
                  <w:vMerge w:val="restart"/>
                  <w:vAlign w:val="center"/>
                </w:tcPr>
                <w:p w14:paraId="2499746F">
                  <w:pPr>
                    <w:tabs>
                      <w:tab w:val="left" w:pos="6840"/>
                    </w:tabs>
                    <w:spacing w:line="270" w:lineRule="exact"/>
                    <w:jc w:val="center"/>
                    <w:rPr>
                      <w:rFonts w:hint="default" w:eastAsia="宋体"/>
                      <w:color w:val="auto"/>
                      <w:szCs w:val="21"/>
                      <w:lang w:val="en-US" w:eastAsia="zh-CN"/>
                    </w:rPr>
                  </w:pPr>
                  <w:r>
                    <w:rPr>
                      <w:rFonts w:hint="eastAsia"/>
                      <w:color w:val="auto"/>
                      <w:szCs w:val="21"/>
                      <w:lang w:val="en-US" w:eastAsia="zh-CN"/>
                    </w:rPr>
                    <w:t>化粪池（依托出租方）</w:t>
                  </w:r>
                </w:p>
              </w:tc>
              <w:tc>
                <w:tcPr>
                  <w:tcW w:w="435" w:type="pct"/>
                  <w:vAlign w:val="center"/>
                </w:tcPr>
                <w:p w14:paraId="7CFA5C1B">
                  <w:pPr>
                    <w:tabs>
                      <w:tab w:val="left" w:pos="6840"/>
                    </w:tabs>
                    <w:spacing w:line="270" w:lineRule="exact"/>
                    <w:jc w:val="center"/>
                    <w:rPr>
                      <w:color w:val="auto"/>
                      <w:szCs w:val="21"/>
                    </w:rPr>
                  </w:pPr>
                  <w:r>
                    <w:rPr>
                      <w:color w:val="auto"/>
                      <w:szCs w:val="21"/>
                    </w:rPr>
                    <w:t>COD</w:t>
                  </w:r>
                </w:p>
              </w:tc>
              <w:tc>
                <w:tcPr>
                  <w:tcW w:w="435" w:type="pct"/>
                  <w:vAlign w:val="center"/>
                </w:tcPr>
                <w:p w14:paraId="760AF418">
                  <w:pPr>
                    <w:tabs>
                      <w:tab w:val="left" w:pos="6840"/>
                    </w:tabs>
                    <w:spacing w:line="270" w:lineRule="exact"/>
                    <w:jc w:val="center"/>
                    <w:rPr>
                      <w:color w:val="auto"/>
                      <w:szCs w:val="21"/>
                    </w:rPr>
                  </w:pPr>
                  <w:r>
                    <w:rPr>
                      <w:color w:val="auto"/>
                      <w:szCs w:val="21"/>
                    </w:rPr>
                    <w:t>400</w:t>
                  </w:r>
                </w:p>
              </w:tc>
              <w:tc>
                <w:tcPr>
                  <w:tcW w:w="782" w:type="dxa"/>
                  <w:vAlign w:val="center"/>
                </w:tcPr>
                <w:p w14:paraId="226DD0AC">
                  <w:pPr>
                    <w:jc w:val="center"/>
                    <w:rPr>
                      <w:color w:val="auto"/>
                      <w:szCs w:val="21"/>
                    </w:rPr>
                  </w:pPr>
                  <w:r>
                    <w:rPr>
                      <w:rFonts w:hint="eastAsia" w:cs="Times New Roman"/>
                      <w:color w:val="auto"/>
                      <w:szCs w:val="21"/>
                      <w:lang w:val="en-US" w:eastAsia="zh-CN"/>
                    </w:rPr>
                    <w:t>0.288</w:t>
                  </w:r>
                </w:p>
              </w:tc>
              <w:tc>
                <w:tcPr>
                  <w:tcW w:w="788" w:type="dxa"/>
                  <w:vAlign w:val="center"/>
                </w:tcPr>
                <w:p w14:paraId="61B01F14">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550" w:type="pct"/>
                  <w:vMerge w:val="restart"/>
                  <w:vAlign w:val="center"/>
                </w:tcPr>
                <w:p w14:paraId="3B333BEF">
                  <w:pPr>
                    <w:tabs>
                      <w:tab w:val="left" w:pos="6840"/>
                    </w:tabs>
                    <w:spacing w:line="270" w:lineRule="exact"/>
                    <w:jc w:val="center"/>
                    <w:rPr>
                      <w:rFonts w:hint="eastAsia" w:eastAsia="宋体"/>
                      <w:color w:val="auto"/>
                      <w:szCs w:val="21"/>
                      <w:lang w:eastAsia="zh-CN"/>
                    </w:rPr>
                  </w:pPr>
                  <w:r>
                    <w:rPr>
                      <w:rFonts w:hint="eastAsia"/>
                      <w:color w:val="auto"/>
                      <w:szCs w:val="21"/>
                      <w:lang w:val="en-US" w:eastAsia="zh-CN"/>
                    </w:rPr>
                    <w:t>接管至</w:t>
                  </w:r>
                  <w:r>
                    <w:rPr>
                      <w:rFonts w:hint="eastAsia"/>
                      <w:color w:val="auto"/>
                      <w:szCs w:val="21"/>
                      <w:lang w:eastAsia="zh-CN"/>
                    </w:rPr>
                    <w:t>金坛区指前镇新河村农村生活污水处理站</w:t>
                  </w:r>
                </w:p>
              </w:tc>
            </w:tr>
            <w:tr w14:paraId="7F8A9A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0D460A9">
                  <w:pPr>
                    <w:tabs>
                      <w:tab w:val="left" w:pos="6840"/>
                    </w:tabs>
                    <w:spacing w:line="270" w:lineRule="exact"/>
                    <w:jc w:val="center"/>
                    <w:rPr>
                      <w:color w:val="auto"/>
                      <w:szCs w:val="21"/>
                    </w:rPr>
                  </w:pPr>
                </w:p>
              </w:tc>
              <w:tc>
                <w:tcPr>
                  <w:tcW w:w="510" w:type="pct"/>
                  <w:vAlign w:val="center"/>
                </w:tcPr>
                <w:p w14:paraId="32EFA197">
                  <w:pPr>
                    <w:tabs>
                      <w:tab w:val="left" w:pos="6840"/>
                    </w:tabs>
                    <w:spacing w:line="270" w:lineRule="exact"/>
                    <w:jc w:val="center"/>
                    <w:rPr>
                      <w:color w:val="auto"/>
                      <w:szCs w:val="21"/>
                    </w:rPr>
                  </w:pPr>
                  <w:r>
                    <w:rPr>
                      <w:color w:val="auto"/>
                      <w:szCs w:val="21"/>
                    </w:rPr>
                    <w:t>SS</w:t>
                  </w:r>
                </w:p>
              </w:tc>
              <w:tc>
                <w:tcPr>
                  <w:tcW w:w="510" w:type="pct"/>
                  <w:vAlign w:val="center"/>
                </w:tcPr>
                <w:p w14:paraId="72A9A935">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862" w:type="dxa"/>
                  <w:vAlign w:val="center"/>
                </w:tcPr>
                <w:p w14:paraId="31BA9BBF">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0.144</w:t>
                  </w:r>
                </w:p>
              </w:tc>
              <w:tc>
                <w:tcPr>
                  <w:tcW w:w="672" w:type="pct"/>
                  <w:vMerge w:val="continue"/>
                  <w:vAlign w:val="center"/>
                </w:tcPr>
                <w:p w14:paraId="070E66BA">
                  <w:pPr>
                    <w:tabs>
                      <w:tab w:val="left" w:pos="6840"/>
                    </w:tabs>
                    <w:spacing w:line="270" w:lineRule="exact"/>
                    <w:jc w:val="center"/>
                    <w:rPr>
                      <w:color w:val="auto"/>
                      <w:szCs w:val="21"/>
                    </w:rPr>
                  </w:pPr>
                </w:p>
              </w:tc>
              <w:tc>
                <w:tcPr>
                  <w:tcW w:w="435" w:type="pct"/>
                  <w:vAlign w:val="center"/>
                </w:tcPr>
                <w:p w14:paraId="3FF34CE9">
                  <w:pPr>
                    <w:tabs>
                      <w:tab w:val="left" w:pos="6840"/>
                    </w:tabs>
                    <w:spacing w:line="270" w:lineRule="exact"/>
                    <w:jc w:val="center"/>
                    <w:rPr>
                      <w:color w:val="auto"/>
                      <w:szCs w:val="21"/>
                    </w:rPr>
                  </w:pPr>
                  <w:r>
                    <w:rPr>
                      <w:color w:val="auto"/>
                      <w:szCs w:val="21"/>
                    </w:rPr>
                    <w:t>SS</w:t>
                  </w:r>
                </w:p>
              </w:tc>
              <w:tc>
                <w:tcPr>
                  <w:tcW w:w="435" w:type="pct"/>
                  <w:vAlign w:val="center"/>
                </w:tcPr>
                <w:p w14:paraId="6CECDB21">
                  <w:pPr>
                    <w:tabs>
                      <w:tab w:val="left" w:pos="6840"/>
                    </w:tabs>
                    <w:spacing w:line="270" w:lineRule="exact"/>
                    <w:jc w:val="center"/>
                    <w:rPr>
                      <w:color w:val="auto"/>
                      <w:szCs w:val="21"/>
                    </w:rPr>
                  </w:pPr>
                  <w:r>
                    <w:rPr>
                      <w:rFonts w:hint="eastAsia"/>
                      <w:color w:val="auto"/>
                      <w:szCs w:val="21"/>
                    </w:rPr>
                    <w:t>2</w:t>
                  </w:r>
                  <w:r>
                    <w:rPr>
                      <w:rFonts w:hint="eastAsia"/>
                      <w:color w:val="auto"/>
                      <w:szCs w:val="21"/>
                      <w:lang w:val="en-US" w:eastAsia="zh-CN"/>
                    </w:rPr>
                    <w:t>0</w:t>
                  </w:r>
                  <w:r>
                    <w:rPr>
                      <w:color w:val="auto"/>
                      <w:szCs w:val="21"/>
                    </w:rPr>
                    <w:t>0</w:t>
                  </w:r>
                </w:p>
              </w:tc>
              <w:tc>
                <w:tcPr>
                  <w:tcW w:w="782" w:type="dxa"/>
                  <w:vAlign w:val="center"/>
                </w:tcPr>
                <w:p w14:paraId="1C426EC5">
                  <w:pPr>
                    <w:jc w:val="center"/>
                    <w:rPr>
                      <w:color w:val="auto"/>
                      <w:szCs w:val="21"/>
                    </w:rPr>
                  </w:pPr>
                  <w:r>
                    <w:rPr>
                      <w:rFonts w:hint="eastAsia" w:cs="Times New Roman"/>
                      <w:color w:val="auto"/>
                      <w:szCs w:val="21"/>
                      <w:lang w:val="en-US" w:eastAsia="zh-CN"/>
                    </w:rPr>
                    <w:t>0.144</w:t>
                  </w:r>
                </w:p>
              </w:tc>
              <w:tc>
                <w:tcPr>
                  <w:tcW w:w="788" w:type="dxa"/>
                  <w:vAlign w:val="center"/>
                </w:tcPr>
                <w:p w14:paraId="74B39F8D">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400</w:t>
                  </w:r>
                </w:p>
              </w:tc>
              <w:tc>
                <w:tcPr>
                  <w:tcW w:w="550" w:type="pct"/>
                  <w:vMerge w:val="continue"/>
                  <w:vAlign w:val="center"/>
                </w:tcPr>
                <w:p w14:paraId="685A5F00">
                  <w:pPr>
                    <w:tabs>
                      <w:tab w:val="left" w:pos="6840"/>
                    </w:tabs>
                    <w:spacing w:line="270" w:lineRule="exact"/>
                    <w:jc w:val="center"/>
                    <w:rPr>
                      <w:color w:val="auto"/>
                      <w:szCs w:val="21"/>
                    </w:rPr>
                  </w:pPr>
                </w:p>
              </w:tc>
            </w:tr>
            <w:tr w14:paraId="78922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32694B3A">
                  <w:pPr>
                    <w:tabs>
                      <w:tab w:val="left" w:pos="6840"/>
                    </w:tabs>
                    <w:spacing w:line="270" w:lineRule="exact"/>
                    <w:jc w:val="center"/>
                    <w:rPr>
                      <w:color w:val="auto"/>
                      <w:szCs w:val="21"/>
                    </w:rPr>
                  </w:pPr>
                </w:p>
              </w:tc>
              <w:tc>
                <w:tcPr>
                  <w:tcW w:w="510" w:type="pct"/>
                  <w:vAlign w:val="center"/>
                </w:tcPr>
                <w:p w14:paraId="73CF11B5">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510" w:type="pct"/>
                  <w:vAlign w:val="center"/>
                </w:tcPr>
                <w:p w14:paraId="4AA8B7A6">
                  <w:pPr>
                    <w:tabs>
                      <w:tab w:val="left" w:pos="6840"/>
                    </w:tabs>
                    <w:spacing w:line="270" w:lineRule="exact"/>
                    <w:jc w:val="center"/>
                    <w:rPr>
                      <w:color w:val="auto"/>
                      <w:szCs w:val="21"/>
                    </w:rPr>
                  </w:pPr>
                  <w:r>
                    <w:rPr>
                      <w:rFonts w:hint="eastAsia"/>
                      <w:color w:val="auto"/>
                      <w:szCs w:val="21"/>
                    </w:rPr>
                    <w:t>30</w:t>
                  </w:r>
                </w:p>
              </w:tc>
              <w:tc>
                <w:tcPr>
                  <w:tcW w:w="862" w:type="dxa"/>
                  <w:vAlign w:val="center"/>
                </w:tcPr>
                <w:p w14:paraId="74578621">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0.022</w:t>
                  </w:r>
                </w:p>
              </w:tc>
              <w:tc>
                <w:tcPr>
                  <w:tcW w:w="672" w:type="pct"/>
                  <w:vMerge w:val="continue"/>
                  <w:vAlign w:val="center"/>
                </w:tcPr>
                <w:p w14:paraId="32BEDC21">
                  <w:pPr>
                    <w:tabs>
                      <w:tab w:val="left" w:pos="6840"/>
                    </w:tabs>
                    <w:spacing w:line="270" w:lineRule="exact"/>
                    <w:jc w:val="center"/>
                    <w:rPr>
                      <w:color w:val="auto"/>
                      <w:szCs w:val="21"/>
                    </w:rPr>
                  </w:pPr>
                </w:p>
              </w:tc>
              <w:tc>
                <w:tcPr>
                  <w:tcW w:w="435" w:type="pct"/>
                  <w:vAlign w:val="center"/>
                </w:tcPr>
                <w:p w14:paraId="6090C6C1">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435" w:type="pct"/>
                  <w:vAlign w:val="center"/>
                </w:tcPr>
                <w:p w14:paraId="7F0F52F5">
                  <w:pPr>
                    <w:tabs>
                      <w:tab w:val="left" w:pos="6840"/>
                    </w:tabs>
                    <w:spacing w:line="270" w:lineRule="exact"/>
                    <w:jc w:val="center"/>
                    <w:rPr>
                      <w:color w:val="auto"/>
                      <w:szCs w:val="21"/>
                    </w:rPr>
                  </w:pPr>
                  <w:r>
                    <w:rPr>
                      <w:rFonts w:hint="eastAsia"/>
                      <w:color w:val="auto"/>
                      <w:szCs w:val="21"/>
                    </w:rPr>
                    <w:t>30</w:t>
                  </w:r>
                </w:p>
              </w:tc>
              <w:tc>
                <w:tcPr>
                  <w:tcW w:w="782" w:type="dxa"/>
                  <w:vAlign w:val="center"/>
                </w:tcPr>
                <w:p w14:paraId="3F8AAD74">
                  <w:pPr>
                    <w:jc w:val="center"/>
                    <w:rPr>
                      <w:color w:val="auto"/>
                      <w:szCs w:val="21"/>
                    </w:rPr>
                  </w:pPr>
                  <w:r>
                    <w:rPr>
                      <w:rFonts w:hint="eastAsia" w:cs="Times New Roman"/>
                      <w:color w:val="auto"/>
                      <w:szCs w:val="21"/>
                      <w:lang w:val="en-US" w:eastAsia="zh-CN"/>
                    </w:rPr>
                    <w:t>0.022</w:t>
                  </w:r>
                </w:p>
              </w:tc>
              <w:tc>
                <w:tcPr>
                  <w:tcW w:w="788" w:type="dxa"/>
                  <w:vAlign w:val="center"/>
                </w:tcPr>
                <w:p w14:paraId="3BBD617B">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45</w:t>
                  </w:r>
                </w:p>
              </w:tc>
              <w:tc>
                <w:tcPr>
                  <w:tcW w:w="550" w:type="pct"/>
                  <w:vMerge w:val="continue"/>
                  <w:vAlign w:val="center"/>
                </w:tcPr>
                <w:p w14:paraId="739EE394">
                  <w:pPr>
                    <w:tabs>
                      <w:tab w:val="left" w:pos="6840"/>
                    </w:tabs>
                    <w:spacing w:line="270" w:lineRule="exact"/>
                    <w:jc w:val="center"/>
                    <w:rPr>
                      <w:color w:val="auto"/>
                      <w:szCs w:val="21"/>
                    </w:rPr>
                  </w:pPr>
                </w:p>
              </w:tc>
            </w:tr>
            <w:tr w14:paraId="61858B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B8D0837">
                  <w:pPr>
                    <w:tabs>
                      <w:tab w:val="left" w:pos="6840"/>
                    </w:tabs>
                    <w:spacing w:line="270" w:lineRule="exact"/>
                    <w:jc w:val="center"/>
                    <w:rPr>
                      <w:color w:val="auto"/>
                      <w:szCs w:val="21"/>
                    </w:rPr>
                  </w:pPr>
                </w:p>
              </w:tc>
              <w:tc>
                <w:tcPr>
                  <w:tcW w:w="510" w:type="pct"/>
                  <w:vAlign w:val="center"/>
                </w:tcPr>
                <w:p w14:paraId="1BAD2911">
                  <w:pPr>
                    <w:tabs>
                      <w:tab w:val="left" w:pos="6840"/>
                    </w:tabs>
                    <w:spacing w:line="270" w:lineRule="exact"/>
                    <w:jc w:val="center"/>
                    <w:rPr>
                      <w:color w:val="auto"/>
                      <w:szCs w:val="21"/>
                    </w:rPr>
                  </w:pPr>
                  <w:r>
                    <w:rPr>
                      <w:color w:val="auto"/>
                      <w:szCs w:val="21"/>
                    </w:rPr>
                    <w:t>TN</w:t>
                  </w:r>
                </w:p>
              </w:tc>
              <w:tc>
                <w:tcPr>
                  <w:tcW w:w="510" w:type="pct"/>
                  <w:vAlign w:val="center"/>
                </w:tcPr>
                <w:p w14:paraId="3D51A8B3">
                  <w:pPr>
                    <w:jc w:val="center"/>
                    <w:rPr>
                      <w:rFonts w:hint="default" w:eastAsia="宋体"/>
                      <w:color w:val="auto"/>
                      <w:szCs w:val="21"/>
                      <w:lang w:val="en-US" w:eastAsia="zh-CN"/>
                    </w:rPr>
                  </w:pPr>
                  <w:r>
                    <w:rPr>
                      <w:rFonts w:hint="eastAsia"/>
                      <w:color w:val="auto"/>
                      <w:szCs w:val="21"/>
                      <w:lang w:val="en-US" w:eastAsia="zh-CN"/>
                    </w:rPr>
                    <w:t>40</w:t>
                  </w:r>
                </w:p>
              </w:tc>
              <w:tc>
                <w:tcPr>
                  <w:tcW w:w="862" w:type="dxa"/>
                  <w:vAlign w:val="center"/>
                </w:tcPr>
                <w:p w14:paraId="4B8452AB">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0.029</w:t>
                  </w:r>
                </w:p>
              </w:tc>
              <w:tc>
                <w:tcPr>
                  <w:tcW w:w="672" w:type="pct"/>
                  <w:vMerge w:val="continue"/>
                  <w:vAlign w:val="center"/>
                </w:tcPr>
                <w:p w14:paraId="34CA5706">
                  <w:pPr>
                    <w:tabs>
                      <w:tab w:val="left" w:pos="6840"/>
                    </w:tabs>
                    <w:spacing w:line="270" w:lineRule="exact"/>
                    <w:jc w:val="center"/>
                    <w:rPr>
                      <w:color w:val="auto"/>
                      <w:szCs w:val="21"/>
                    </w:rPr>
                  </w:pPr>
                </w:p>
              </w:tc>
              <w:tc>
                <w:tcPr>
                  <w:tcW w:w="435" w:type="pct"/>
                  <w:vAlign w:val="center"/>
                </w:tcPr>
                <w:p w14:paraId="3996B32C">
                  <w:pPr>
                    <w:tabs>
                      <w:tab w:val="left" w:pos="6840"/>
                    </w:tabs>
                    <w:spacing w:line="270" w:lineRule="exact"/>
                    <w:jc w:val="center"/>
                    <w:rPr>
                      <w:color w:val="auto"/>
                      <w:szCs w:val="21"/>
                    </w:rPr>
                  </w:pPr>
                  <w:r>
                    <w:rPr>
                      <w:color w:val="auto"/>
                      <w:szCs w:val="21"/>
                    </w:rPr>
                    <w:t>TN</w:t>
                  </w:r>
                </w:p>
              </w:tc>
              <w:tc>
                <w:tcPr>
                  <w:tcW w:w="435" w:type="pct"/>
                  <w:vAlign w:val="center"/>
                </w:tcPr>
                <w:p w14:paraId="0ADC6B31">
                  <w:pPr>
                    <w:jc w:val="center"/>
                    <w:rPr>
                      <w:rFonts w:hint="default" w:eastAsia="宋体"/>
                      <w:color w:val="auto"/>
                      <w:szCs w:val="21"/>
                      <w:lang w:val="en-US" w:eastAsia="zh-CN"/>
                    </w:rPr>
                  </w:pPr>
                  <w:r>
                    <w:rPr>
                      <w:rFonts w:hint="eastAsia"/>
                      <w:color w:val="auto"/>
                      <w:szCs w:val="21"/>
                      <w:lang w:val="en-US" w:eastAsia="zh-CN"/>
                    </w:rPr>
                    <w:t>40</w:t>
                  </w:r>
                </w:p>
              </w:tc>
              <w:tc>
                <w:tcPr>
                  <w:tcW w:w="782" w:type="dxa"/>
                  <w:vAlign w:val="center"/>
                </w:tcPr>
                <w:p w14:paraId="37A0E4F6">
                  <w:pPr>
                    <w:jc w:val="center"/>
                    <w:rPr>
                      <w:rFonts w:hint="default"/>
                      <w:color w:val="auto"/>
                      <w:szCs w:val="21"/>
                      <w:lang w:val="en-US"/>
                    </w:rPr>
                  </w:pPr>
                  <w:r>
                    <w:rPr>
                      <w:rFonts w:hint="eastAsia" w:cs="Times New Roman"/>
                      <w:color w:val="auto"/>
                      <w:szCs w:val="21"/>
                      <w:lang w:val="en-US" w:eastAsia="zh-CN"/>
                    </w:rPr>
                    <w:t>0.029</w:t>
                  </w:r>
                </w:p>
              </w:tc>
              <w:tc>
                <w:tcPr>
                  <w:tcW w:w="788" w:type="dxa"/>
                  <w:vAlign w:val="center"/>
                </w:tcPr>
                <w:p w14:paraId="285E4800">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70</w:t>
                  </w:r>
                </w:p>
              </w:tc>
              <w:tc>
                <w:tcPr>
                  <w:tcW w:w="550" w:type="pct"/>
                  <w:vMerge w:val="continue"/>
                  <w:vAlign w:val="center"/>
                </w:tcPr>
                <w:p w14:paraId="2AEEAFAE">
                  <w:pPr>
                    <w:tabs>
                      <w:tab w:val="left" w:pos="6840"/>
                    </w:tabs>
                    <w:spacing w:line="270" w:lineRule="exact"/>
                    <w:jc w:val="center"/>
                    <w:rPr>
                      <w:color w:val="auto"/>
                      <w:szCs w:val="21"/>
                    </w:rPr>
                  </w:pPr>
                </w:p>
              </w:tc>
            </w:tr>
            <w:tr w14:paraId="2CE88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vAlign w:val="center"/>
                </w:tcPr>
                <w:p w14:paraId="4A828095">
                  <w:pPr>
                    <w:tabs>
                      <w:tab w:val="left" w:pos="6840"/>
                    </w:tabs>
                    <w:spacing w:line="270" w:lineRule="exact"/>
                    <w:jc w:val="center"/>
                    <w:rPr>
                      <w:color w:val="auto"/>
                      <w:szCs w:val="21"/>
                    </w:rPr>
                  </w:pPr>
                </w:p>
              </w:tc>
              <w:tc>
                <w:tcPr>
                  <w:tcW w:w="510" w:type="pct"/>
                  <w:vAlign w:val="center"/>
                </w:tcPr>
                <w:p w14:paraId="6A5E3B7A">
                  <w:pPr>
                    <w:tabs>
                      <w:tab w:val="left" w:pos="6840"/>
                    </w:tabs>
                    <w:spacing w:line="270" w:lineRule="exact"/>
                    <w:jc w:val="center"/>
                    <w:rPr>
                      <w:color w:val="auto"/>
                      <w:szCs w:val="21"/>
                    </w:rPr>
                  </w:pPr>
                  <w:r>
                    <w:rPr>
                      <w:color w:val="auto"/>
                      <w:szCs w:val="21"/>
                    </w:rPr>
                    <w:t>TP</w:t>
                  </w:r>
                </w:p>
              </w:tc>
              <w:tc>
                <w:tcPr>
                  <w:tcW w:w="510" w:type="pct"/>
                  <w:vAlign w:val="center"/>
                </w:tcPr>
                <w:p w14:paraId="4A72476E">
                  <w:pPr>
                    <w:jc w:val="center"/>
                    <w:rPr>
                      <w:rFonts w:hint="eastAsia" w:eastAsia="宋体"/>
                      <w:color w:val="auto"/>
                      <w:szCs w:val="21"/>
                      <w:lang w:eastAsia="zh-CN"/>
                    </w:rPr>
                  </w:pPr>
                  <w:r>
                    <w:rPr>
                      <w:rFonts w:hint="eastAsia"/>
                      <w:color w:val="auto"/>
                      <w:szCs w:val="21"/>
                      <w:lang w:val="en-US" w:eastAsia="zh-CN"/>
                    </w:rPr>
                    <w:t>3</w:t>
                  </w:r>
                </w:p>
              </w:tc>
              <w:tc>
                <w:tcPr>
                  <w:tcW w:w="862" w:type="dxa"/>
                  <w:vAlign w:val="center"/>
                </w:tcPr>
                <w:p w14:paraId="258541B0">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0.002</w:t>
                  </w:r>
                </w:p>
              </w:tc>
              <w:tc>
                <w:tcPr>
                  <w:tcW w:w="672" w:type="pct"/>
                  <w:vMerge w:val="continue"/>
                  <w:vAlign w:val="center"/>
                </w:tcPr>
                <w:p w14:paraId="6A05D10B">
                  <w:pPr>
                    <w:tabs>
                      <w:tab w:val="left" w:pos="6840"/>
                    </w:tabs>
                    <w:spacing w:line="270" w:lineRule="exact"/>
                    <w:jc w:val="center"/>
                    <w:rPr>
                      <w:color w:val="auto"/>
                      <w:szCs w:val="21"/>
                    </w:rPr>
                  </w:pPr>
                </w:p>
              </w:tc>
              <w:tc>
                <w:tcPr>
                  <w:tcW w:w="435" w:type="pct"/>
                  <w:vAlign w:val="center"/>
                </w:tcPr>
                <w:p w14:paraId="62808A5E">
                  <w:pPr>
                    <w:tabs>
                      <w:tab w:val="left" w:pos="6840"/>
                    </w:tabs>
                    <w:spacing w:line="270" w:lineRule="exact"/>
                    <w:jc w:val="center"/>
                    <w:rPr>
                      <w:color w:val="auto"/>
                      <w:szCs w:val="21"/>
                    </w:rPr>
                  </w:pPr>
                  <w:r>
                    <w:rPr>
                      <w:color w:val="auto"/>
                      <w:szCs w:val="21"/>
                    </w:rPr>
                    <w:t>TP</w:t>
                  </w:r>
                </w:p>
              </w:tc>
              <w:tc>
                <w:tcPr>
                  <w:tcW w:w="435" w:type="pct"/>
                  <w:vAlign w:val="center"/>
                </w:tcPr>
                <w:p w14:paraId="78E49F37">
                  <w:pPr>
                    <w:jc w:val="center"/>
                    <w:rPr>
                      <w:rFonts w:hint="eastAsia" w:eastAsia="宋体"/>
                      <w:color w:val="auto"/>
                      <w:szCs w:val="21"/>
                      <w:lang w:eastAsia="zh-CN"/>
                    </w:rPr>
                  </w:pPr>
                  <w:r>
                    <w:rPr>
                      <w:rFonts w:hint="eastAsia"/>
                      <w:color w:val="auto"/>
                      <w:szCs w:val="21"/>
                      <w:lang w:val="en-US" w:eastAsia="zh-CN"/>
                    </w:rPr>
                    <w:t>3</w:t>
                  </w:r>
                </w:p>
              </w:tc>
              <w:tc>
                <w:tcPr>
                  <w:tcW w:w="782" w:type="dxa"/>
                  <w:vAlign w:val="center"/>
                </w:tcPr>
                <w:p w14:paraId="359C2009">
                  <w:pPr>
                    <w:jc w:val="center"/>
                    <w:rPr>
                      <w:color w:val="auto"/>
                      <w:szCs w:val="21"/>
                    </w:rPr>
                  </w:pPr>
                  <w:r>
                    <w:rPr>
                      <w:rFonts w:hint="eastAsia" w:cs="Times New Roman"/>
                      <w:color w:val="auto"/>
                      <w:szCs w:val="21"/>
                      <w:lang w:val="en-US" w:eastAsia="zh-CN"/>
                    </w:rPr>
                    <w:t>0.002</w:t>
                  </w:r>
                </w:p>
              </w:tc>
              <w:tc>
                <w:tcPr>
                  <w:tcW w:w="788" w:type="dxa"/>
                  <w:vAlign w:val="center"/>
                </w:tcPr>
                <w:p w14:paraId="2E3BCE51">
                  <w:pPr>
                    <w:keepNext w:val="0"/>
                    <w:keepLines w:val="0"/>
                    <w:widowControl/>
                    <w:suppressLineNumbers w:val="0"/>
                    <w:jc w:val="center"/>
                    <w:textAlignment w:val="center"/>
                    <w:rPr>
                      <w:color w:val="auto"/>
                      <w:szCs w:val="21"/>
                    </w:rPr>
                  </w:pPr>
                  <w:r>
                    <w:rPr>
                      <w:rFonts w:hint="eastAsia" w:cs="Times New Roman"/>
                      <w:i w:val="0"/>
                      <w:iCs w:val="0"/>
                      <w:color w:val="auto"/>
                      <w:kern w:val="0"/>
                      <w:sz w:val="21"/>
                      <w:szCs w:val="21"/>
                      <w:u w:val="none"/>
                      <w:lang w:val="en-US" w:eastAsia="zh-CN" w:bidi="ar"/>
                    </w:rPr>
                    <w:t>8</w:t>
                  </w:r>
                </w:p>
              </w:tc>
              <w:tc>
                <w:tcPr>
                  <w:tcW w:w="550" w:type="pct"/>
                  <w:vMerge w:val="continue"/>
                  <w:vAlign w:val="center"/>
                </w:tcPr>
                <w:p w14:paraId="29ACA68F">
                  <w:pPr>
                    <w:tabs>
                      <w:tab w:val="left" w:pos="6840"/>
                    </w:tabs>
                    <w:spacing w:line="270" w:lineRule="exact"/>
                    <w:jc w:val="center"/>
                    <w:rPr>
                      <w:color w:val="auto"/>
                      <w:szCs w:val="21"/>
                    </w:rPr>
                  </w:pPr>
                </w:p>
              </w:tc>
            </w:tr>
          </w:tbl>
          <w:p w14:paraId="2CFA4A54">
            <w:pPr>
              <w:adjustRightInd w:val="0"/>
              <w:snapToGrid w:val="0"/>
              <w:spacing w:line="500" w:lineRule="exact"/>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排放口基本信息</w:t>
            </w:r>
          </w:p>
          <w:p w14:paraId="284DEB88">
            <w:pPr>
              <w:adjustRightInd w:val="0"/>
              <w:snapToGrid w:val="0"/>
              <w:jc w:val="center"/>
              <w:rPr>
                <w:b/>
                <w:bCs/>
                <w:color w:val="auto"/>
                <w:szCs w:val="21"/>
              </w:rPr>
            </w:pPr>
            <w:r>
              <w:rPr>
                <w:b/>
                <w:bCs/>
                <w:color w:val="auto"/>
                <w:szCs w:val="21"/>
              </w:rPr>
              <w:t>表4-</w:t>
            </w:r>
            <w:r>
              <w:rPr>
                <w:rFonts w:hint="eastAsia"/>
                <w:b/>
                <w:bCs/>
                <w:color w:val="auto"/>
                <w:szCs w:val="21"/>
                <w:lang w:val="en-US" w:eastAsia="zh-CN"/>
              </w:rPr>
              <w:t>8</w:t>
            </w:r>
            <w:r>
              <w:rPr>
                <w:b/>
                <w:bCs/>
                <w:color w:val="auto"/>
                <w:szCs w:val="21"/>
              </w:rPr>
              <w:t>废水间接排放口基本情况表</w:t>
            </w:r>
          </w:p>
          <w:tbl>
            <w:tblPr>
              <w:tblStyle w:val="28"/>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721"/>
              <w:gridCol w:w="1232"/>
              <w:gridCol w:w="1229"/>
              <w:gridCol w:w="662"/>
              <w:gridCol w:w="987"/>
              <w:gridCol w:w="456"/>
              <w:gridCol w:w="499"/>
              <w:gridCol w:w="685"/>
              <w:gridCol w:w="1036"/>
              <w:gridCol w:w="427"/>
            </w:tblGrid>
            <w:tr w14:paraId="286EF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1D964DAA">
                  <w:pPr>
                    <w:tabs>
                      <w:tab w:val="left" w:pos="6840"/>
                    </w:tabs>
                    <w:spacing w:line="270" w:lineRule="exact"/>
                    <w:jc w:val="center"/>
                    <w:rPr>
                      <w:b/>
                      <w:bCs/>
                      <w:color w:val="auto"/>
                      <w:szCs w:val="21"/>
                    </w:rPr>
                  </w:pPr>
                  <w:r>
                    <w:rPr>
                      <w:b/>
                      <w:bCs/>
                      <w:color w:val="auto"/>
                      <w:szCs w:val="21"/>
                    </w:rPr>
                    <w:t>序号</w:t>
                  </w:r>
                </w:p>
              </w:tc>
              <w:tc>
                <w:tcPr>
                  <w:tcW w:w="439" w:type="pct"/>
                  <w:vMerge w:val="restart"/>
                  <w:vAlign w:val="center"/>
                </w:tcPr>
                <w:p w14:paraId="05B1F1C1">
                  <w:pPr>
                    <w:tabs>
                      <w:tab w:val="left" w:pos="6840"/>
                    </w:tabs>
                    <w:spacing w:line="270" w:lineRule="exact"/>
                    <w:jc w:val="center"/>
                    <w:rPr>
                      <w:b/>
                      <w:bCs/>
                      <w:color w:val="auto"/>
                      <w:szCs w:val="21"/>
                    </w:rPr>
                  </w:pPr>
                  <w:r>
                    <w:rPr>
                      <w:b/>
                      <w:bCs/>
                      <w:color w:val="auto"/>
                      <w:szCs w:val="21"/>
                    </w:rPr>
                    <w:t>排放口</w:t>
                  </w:r>
                </w:p>
                <w:p w14:paraId="38F413D1">
                  <w:pPr>
                    <w:tabs>
                      <w:tab w:val="left" w:pos="6840"/>
                    </w:tabs>
                    <w:spacing w:line="270" w:lineRule="exact"/>
                    <w:jc w:val="center"/>
                    <w:rPr>
                      <w:b/>
                      <w:bCs/>
                      <w:color w:val="auto"/>
                      <w:szCs w:val="21"/>
                    </w:rPr>
                  </w:pPr>
                  <w:r>
                    <w:rPr>
                      <w:b/>
                      <w:bCs/>
                      <w:color w:val="auto"/>
                      <w:szCs w:val="21"/>
                    </w:rPr>
                    <w:t>编号</w:t>
                  </w:r>
                </w:p>
              </w:tc>
              <w:tc>
                <w:tcPr>
                  <w:tcW w:w="1500" w:type="pct"/>
                  <w:gridSpan w:val="2"/>
                  <w:vAlign w:val="center"/>
                </w:tcPr>
                <w:p w14:paraId="6FDAD1E6">
                  <w:pPr>
                    <w:tabs>
                      <w:tab w:val="left" w:pos="6840"/>
                    </w:tabs>
                    <w:spacing w:line="270" w:lineRule="exact"/>
                    <w:jc w:val="center"/>
                    <w:rPr>
                      <w:b/>
                      <w:bCs/>
                      <w:color w:val="auto"/>
                      <w:szCs w:val="21"/>
                    </w:rPr>
                  </w:pPr>
                  <w:r>
                    <w:rPr>
                      <w:b/>
                      <w:bCs/>
                      <w:color w:val="auto"/>
                      <w:szCs w:val="21"/>
                    </w:rPr>
                    <w:t>地理坐标</w:t>
                  </w:r>
                </w:p>
              </w:tc>
              <w:tc>
                <w:tcPr>
                  <w:tcW w:w="404" w:type="pct"/>
                  <w:vMerge w:val="restart"/>
                  <w:vAlign w:val="center"/>
                </w:tcPr>
                <w:p w14:paraId="388295B6">
                  <w:pPr>
                    <w:tabs>
                      <w:tab w:val="left" w:pos="6840"/>
                    </w:tabs>
                    <w:spacing w:line="270" w:lineRule="exact"/>
                    <w:jc w:val="center"/>
                    <w:rPr>
                      <w:b/>
                      <w:bCs/>
                      <w:color w:val="auto"/>
                      <w:szCs w:val="21"/>
                    </w:rPr>
                  </w:pPr>
                  <w:r>
                    <w:rPr>
                      <w:b/>
                      <w:bCs/>
                      <w:color w:val="auto"/>
                      <w:szCs w:val="21"/>
                    </w:rPr>
                    <w:t>排放</w:t>
                  </w:r>
                </w:p>
                <w:p w14:paraId="16988998">
                  <w:pPr>
                    <w:tabs>
                      <w:tab w:val="left" w:pos="6840"/>
                    </w:tabs>
                    <w:spacing w:line="270" w:lineRule="exact"/>
                    <w:jc w:val="center"/>
                    <w:rPr>
                      <w:b/>
                      <w:bCs/>
                      <w:color w:val="auto"/>
                      <w:szCs w:val="21"/>
                    </w:rPr>
                  </w:pPr>
                  <w:r>
                    <w:rPr>
                      <w:b/>
                      <w:bCs/>
                      <w:color w:val="auto"/>
                      <w:szCs w:val="21"/>
                    </w:rPr>
                    <w:t>去向</w:t>
                  </w:r>
                </w:p>
              </w:tc>
              <w:tc>
                <w:tcPr>
                  <w:tcW w:w="602" w:type="pct"/>
                  <w:vMerge w:val="restart"/>
                  <w:vAlign w:val="center"/>
                </w:tcPr>
                <w:p w14:paraId="27BC7067">
                  <w:pPr>
                    <w:tabs>
                      <w:tab w:val="left" w:pos="6840"/>
                    </w:tabs>
                    <w:spacing w:line="270" w:lineRule="exact"/>
                    <w:jc w:val="center"/>
                    <w:rPr>
                      <w:b/>
                      <w:bCs/>
                      <w:color w:val="auto"/>
                      <w:szCs w:val="21"/>
                    </w:rPr>
                  </w:pPr>
                  <w:r>
                    <w:rPr>
                      <w:b/>
                      <w:bCs/>
                      <w:color w:val="auto"/>
                      <w:szCs w:val="21"/>
                    </w:rPr>
                    <w:t>排放</w:t>
                  </w:r>
                </w:p>
                <w:p w14:paraId="24E31164">
                  <w:pPr>
                    <w:tabs>
                      <w:tab w:val="left" w:pos="6840"/>
                    </w:tabs>
                    <w:spacing w:line="270" w:lineRule="exact"/>
                    <w:jc w:val="center"/>
                    <w:rPr>
                      <w:b/>
                      <w:bCs/>
                      <w:color w:val="auto"/>
                      <w:szCs w:val="21"/>
                    </w:rPr>
                  </w:pPr>
                  <w:r>
                    <w:rPr>
                      <w:b/>
                      <w:bCs/>
                      <w:color w:val="auto"/>
                      <w:szCs w:val="21"/>
                    </w:rPr>
                    <w:t>规律</w:t>
                  </w:r>
                </w:p>
              </w:tc>
              <w:tc>
                <w:tcPr>
                  <w:tcW w:w="278" w:type="pct"/>
                  <w:vMerge w:val="restart"/>
                  <w:vAlign w:val="center"/>
                </w:tcPr>
                <w:p w14:paraId="76813B13">
                  <w:pPr>
                    <w:tabs>
                      <w:tab w:val="left" w:pos="6840"/>
                    </w:tabs>
                    <w:spacing w:line="270" w:lineRule="exact"/>
                    <w:jc w:val="center"/>
                    <w:rPr>
                      <w:b/>
                      <w:bCs/>
                      <w:color w:val="auto"/>
                      <w:szCs w:val="21"/>
                    </w:rPr>
                  </w:pPr>
                  <w:r>
                    <w:rPr>
                      <w:b/>
                      <w:bCs/>
                      <w:color w:val="auto"/>
                      <w:szCs w:val="21"/>
                    </w:rPr>
                    <w:t>间歇排放时段</w:t>
                  </w:r>
                </w:p>
              </w:tc>
              <w:tc>
                <w:tcPr>
                  <w:tcW w:w="1352" w:type="pct"/>
                  <w:gridSpan w:val="3"/>
                  <w:vAlign w:val="center"/>
                </w:tcPr>
                <w:p w14:paraId="123F1299">
                  <w:pPr>
                    <w:tabs>
                      <w:tab w:val="left" w:pos="6840"/>
                    </w:tabs>
                    <w:spacing w:line="270" w:lineRule="exact"/>
                    <w:jc w:val="center"/>
                    <w:rPr>
                      <w:b/>
                      <w:bCs/>
                      <w:color w:val="auto"/>
                      <w:szCs w:val="21"/>
                    </w:rPr>
                  </w:pPr>
                  <w:r>
                    <w:rPr>
                      <w:b/>
                      <w:bCs/>
                      <w:color w:val="auto"/>
                      <w:szCs w:val="21"/>
                    </w:rPr>
                    <w:t>受纳污水处理厂信息</w:t>
                  </w:r>
                </w:p>
              </w:tc>
              <w:tc>
                <w:tcPr>
                  <w:tcW w:w="260" w:type="pct"/>
                  <w:vMerge w:val="restart"/>
                  <w:vAlign w:val="center"/>
                </w:tcPr>
                <w:p w14:paraId="5F419414">
                  <w:pPr>
                    <w:tabs>
                      <w:tab w:val="left" w:pos="6840"/>
                    </w:tabs>
                    <w:spacing w:line="270" w:lineRule="exact"/>
                    <w:jc w:val="center"/>
                    <w:rPr>
                      <w:b/>
                      <w:bCs/>
                      <w:color w:val="auto"/>
                      <w:szCs w:val="21"/>
                    </w:rPr>
                  </w:pPr>
                  <w:r>
                    <w:rPr>
                      <w:rFonts w:hint="eastAsia"/>
                      <w:b/>
                      <w:bCs/>
                      <w:color w:val="auto"/>
                      <w:szCs w:val="21"/>
                    </w:rPr>
                    <w:t>排放口类型</w:t>
                  </w:r>
                </w:p>
              </w:tc>
            </w:tr>
            <w:tr w14:paraId="43A7B0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C46995D">
                  <w:pPr>
                    <w:tabs>
                      <w:tab w:val="left" w:pos="6840"/>
                    </w:tabs>
                    <w:spacing w:line="270" w:lineRule="exact"/>
                    <w:jc w:val="center"/>
                    <w:rPr>
                      <w:b/>
                      <w:bCs/>
                      <w:color w:val="auto"/>
                      <w:szCs w:val="21"/>
                    </w:rPr>
                  </w:pPr>
                </w:p>
              </w:tc>
              <w:tc>
                <w:tcPr>
                  <w:tcW w:w="439" w:type="pct"/>
                  <w:vMerge w:val="continue"/>
                  <w:vAlign w:val="center"/>
                </w:tcPr>
                <w:p w14:paraId="7FF90C58">
                  <w:pPr>
                    <w:tabs>
                      <w:tab w:val="left" w:pos="6840"/>
                    </w:tabs>
                    <w:spacing w:line="270" w:lineRule="exact"/>
                    <w:jc w:val="center"/>
                    <w:rPr>
                      <w:b/>
                      <w:bCs/>
                      <w:color w:val="auto"/>
                      <w:szCs w:val="21"/>
                    </w:rPr>
                  </w:pPr>
                </w:p>
              </w:tc>
              <w:tc>
                <w:tcPr>
                  <w:tcW w:w="751" w:type="pct"/>
                  <w:vAlign w:val="center"/>
                </w:tcPr>
                <w:p w14:paraId="6175FE74">
                  <w:pPr>
                    <w:tabs>
                      <w:tab w:val="left" w:pos="6840"/>
                    </w:tabs>
                    <w:spacing w:line="270" w:lineRule="exact"/>
                    <w:jc w:val="center"/>
                    <w:rPr>
                      <w:b/>
                      <w:bCs/>
                      <w:color w:val="auto"/>
                      <w:szCs w:val="21"/>
                    </w:rPr>
                  </w:pPr>
                  <w:r>
                    <w:rPr>
                      <w:b/>
                      <w:bCs/>
                      <w:color w:val="auto"/>
                      <w:szCs w:val="21"/>
                    </w:rPr>
                    <w:t>经度</w:t>
                  </w:r>
                </w:p>
              </w:tc>
              <w:tc>
                <w:tcPr>
                  <w:tcW w:w="749" w:type="pct"/>
                  <w:vAlign w:val="center"/>
                </w:tcPr>
                <w:p w14:paraId="3FC27357">
                  <w:pPr>
                    <w:tabs>
                      <w:tab w:val="left" w:pos="6840"/>
                    </w:tabs>
                    <w:spacing w:line="270" w:lineRule="exact"/>
                    <w:jc w:val="center"/>
                    <w:rPr>
                      <w:b/>
                      <w:bCs/>
                      <w:color w:val="auto"/>
                      <w:szCs w:val="21"/>
                    </w:rPr>
                  </w:pPr>
                  <w:r>
                    <w:rPr>
                      <w:b/>
                      <w:bCs/>
                      <w:color w:val="auto"/>
                      <w:szCs w:val="21"/>
                    </w:rPr>
                    <w:t>纬度</w:t>
                  </w:r>
                </w:p>
              </w:tc>
              <w:tc>
                <w:tcPr>
                  <w:tcW w:w="404" w:type="pct"/>
                  <w:vMerge w:val="continue"/>
                  <w:vAlign w:val="center"/>
                </w:tcPr>
                <w:p w14:paraId="7A2B105D">
                  <w:pPr>
                    <w:tabs>
                      <w:tab w:val="left" w:pos="6840"/>
                    </w:tabs>
                    <w:spacing w:line="270" w:lineRule="exact"/>
                    <w:jc w:val="center"/>
                    <w:rPr>
                      <w:b/>
                      <w:bCs/>
                      <w:color w:val="auto"/>
                      <w:szCs w:val="21"/>
                    </w:rPr>
                  </w:pPr>
                </w:p>
              </w:tc>
              <w:tc>
                <w:tcPr>
                  <w:tcW w:w="602" w:type="pct"/>
                  <w:vMerge w:val="continue"/>
                  <w:vAlign w:val="center"/>
                </w:tcPr>
                <w:p w14:paraId="44E36374">
                  <w:pPr>
                    <w:tabs>
                      <w:tab w:val="left" w:pos="6840"/>
                    </w:tabs>
                    <w:spacing w:line="270" w:lineRule="exact"/>
                    <w:jc w:val="center"/>
                    <w:rPr>
                      <w:b/>
                      <w:bCs/>
                      <w:color w:val="auto"/>
                      <w:szCs w:val="21"/>
                    </w:rPr>
                  </w:pPr>
                </w:p>
              </w:tc>
              <w:tc>
                <w:tcPr>
                  <w:tcW w:w="278" w:type="pct"/>
                  <w:vMerge w:val="continue"/>
                  <w:vAlign w:val="center"/>
                </w:tcPr>
                <w:p w14:paraId="25148547">
                  <w:pPr>
                    <w:tabs>
                      <w:tab w:val="left" w:pos="6840"/>
                    </w:tabs>
                    <w:spacing w:line="270" w:lineRule="exact"/>
                    <w:jc w:val="center"/>
                    <w:rPr>
                      <w:b/>
                      <w:bCs/>
                      <w:color w:val="auto"/>
                      <w:szCs w:val="21"/>
                    </w:rPr>
                  </w:pPr>
                </w:p>
              </w:tc>
              <w:tc>
                <w:tcPr>
                  <w:tcW w:w="304" w:type="pct"/>
                  <w:vAlign w:val="center"/>
                </w:tcPr>
                <w:p w14:paraId="11522CA3">
                  <w:pPr>
                    <w:tabs>
                      <w:tab w:val="left" w:pos="6840"/>
                    </w:tabs>
                    <w:spacing w:line="270" w:lineRule="exact"/>
                    <w:jc w:val="center"/>
                    <w:rPr>
                      <w:b/>
                      <w:bCs/>
                      <w:color w:val="auto"/>
                      <w:szCs w:val="21"/>
                    </w:rPr>
                  </w:pPr>
                  <w:r>
                    <w:rPr>
                      <w:b/>
                      <w:bCs/>
                      <w:color w:val="auto"/>
                      <w:szCs w:val="21"/>
                    </w:rPr>
                    <w:t>名称</w:t>
                  </w:r>
                </w:p>
              </w:tc>
              <w:tc>
                <w:tcPr>
                  <w:tcW w:w="417" w:type="pct"/>
                  <w:vAlign w:val="center"/>
                </w:tcPr>
                <w:p w14:paraId="7D470A1A">
                  <w:pPr>
                    <w:tabs>
                      <w:tab w:val="left" w:pos="6840"/>
                    </w:tabs>
                    <w:spacing w:line="270" w:lineRule="exact"/>
                    <w:jc w:val="center"/>
                    <w:rPr>
                      <w:b/>
                      <w:bCs/>
                      <w:color w:val="auto"/>
                      <w:szCs w:val="21"/>
                    </w:rPr>
                  </w:pPr>
                  <w:r>
                    <w:rPr>
                      <w:b/>
                      <w:bCs/>
                      <w:color w:val="auto"/>
                      <w:szCs w:val="21"/>
                    </w:rPr>
                    <w:t>污染物</w:t>
                  </w:r>
                </w:p>
                <w:p w14:paraId="1FE1E62D">
                  <w:pPr>
                    <w:tabs>
                      <w:tab w:val="left" w:pos="6840"/>
                    </w:tabs>
                    <w:spacing w:line="270" w:lineRule="exact"/>
                    <w:jc w:val="center"/>
                    <w:rPr>
                      <w:b/>
                      <w:bCs/>
                      <w:color w:val="auto"/>
                      <w:szCs w:val="21"/>
                    </w:rPr>
                  </w:pPr>
                  <w:r>
                    <w:rPr>
                      <w:b/>
                      <w:bCs/>
                      <w:color w:val="auto"/>
                      <w:szCs w:val="21"/>
                    </w:rPr>
                    <w:t>种类</w:t>
                  </w:r>
                </w:p>
              </w:tc>
              <w:tc>
                <w:tcPr>
                  <w:tcW w:w="631" w:type="pct"/>
                  <w:vAlign w:val="center"/>
                </w:tcPr>
                <w:p w14:paraId="183AEC8F">
                  <w:pPr>
                    <w:jc w:val="center"/>
                    <w:rPr>
                      <w:b/>
                      <w:bCs/>
                      <w:color w:val="auto"/>
                      <w:kern w:val="0"/>
                      <w:szCs w:val="21"/>
                    </w:rPr>
                  </w:pPr>
                  <w:r>
                    <w:rPr>
                      <w:b/>
                      <w:bCs/>
                      <w:color w:val="auto"/>
                      <w:kern w:val="0"/>
                      <w:szCs w:val="21"/>
                    </w:rPr>
                    <w:t>国家或地方污染物排放</w:t>
                  </w:r>
                  <w:r>
                    <w:rPr>
                      <w:rFonts w:hint="eastAsia"/>
                      <w:b/>
                      <w:bCs/>
                      <w:color w:val="auto"/>
                      <w:kern w:val="0"/>
                      <w:szCs w:val="21"/>
                      <w:lang w:eastAsia="zh-CN"/>
                    </w:rPr>
                    <w:t>标准</w:t>
                  </w:r>
                  <w:r>
                    <w:rPr>
                      <w:b/>
                      <w:bCs/>
                      <w:color w:val="auto"/>
                      <w:kern w:val="0"/>
                      <w:szCs w:val="21"/>
                    </w:rPr>
                    <w:t>浓度限值</w:t>
                  </w:r>
                </w:p>
                <w:p w14:paraId="0064F562">
                  <w:pPr>
                    <w:jc w:val="center"/>
                    <w:rPr>
                      <w:b/>
                      <w:bCs/>
                      <w:color w:val="auto"/>
                      <w:kern w:val="0"/>
                      <w:szCs w:val="21"/>
                    </w:rPr>
                  </w:pPr>
                  <w:r>
                    <w:rPr>
                      <w:b/>
                      <w:bCs/>
                      <w:color w:val="auto"/>
                      <w:kern w:val="0"/>
                      <w:szCs w:val="21"/>
                    </w:rPr>
                    <w:t>（mg/L）</w:t>
                  </w:r>
                </w:p>
              </w:tc>
              <w:tc>
                <w:tcPr>
                  <w:tcW w:w="260" w:type="pct"/>
                  <w:vMerge w:val="continue"/>
                  <w:vAlign w:val="center"/>
                </w:tcPr>
                <w:p w14:paraId="0AEE448F">
                  <w:pPr>
                    <w:tabs>
                      <w:tab w:val="left" w:pos="6840"/>
                    </w:tabs>
                    <w:spacing w:line="270" w:lineRule="exact"/>
                    <w:jc w:val="center"/>
                    <w:rPr>
                      <w:b/>
                      <w:bCs/>
                      <w:color w:val="auto"/>
                      <w:szCs w:val="21"/>
                    </w:rPr>
                  </w:pPr>
                </w:p>
              </w:tc>
            </w:tr>
            <w:tr w14:paraId="05AE64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restart"/>
                  <w:vAlign w:val="center"/>
                </w:tcPr>
                <w:p w14:paraId="6A14A1A2">
                  <w:pPr>
                    <w:tabs>
                      <w:tab w:val="left" w:pos="6840"/>
                    </w:tabs>
                    <w:spacing w:line="270" w:lineRule="exact"/>
                    <w:jc w:val="center"/>
                    <w:rPr>
                      <w:color w:val="auto"/>
                      <w:szCs w:val="21"/>
                    </w:rPr>
                  </w:pPr>
                  <w:r>
                    <w:rPr>
                      <w:color w:val="auto"/>
                      <w:szCs w:val="21"/>
                    </w:rPr>
                    <w:t>1</w:t>
                  </w:r>
                </w:p>
              </w:tc>
              <w:tc>
                <w:tcPr>
                  <w:tcW w:w="439" w:type="pct"/>
                  <w:vMerge w:val="restart"/>
                  <w:vAlign w:val="center"/>
                </w:tcPr>
                <w:p w14:paraId="2EA68794">
                  <w:pPr>
                    <w:tabs>
                      <w:tab w:val="left" w:pos="6840"/>
                    </w:tabs>
                    <w:spacing w:line="270" w:lineRule="exact"/>
                    <w:jc w:val="center"/>
                    <w:rPr>
                      <w:color w:val="auto"/>
                      <w:szCs w:val="21"/>
                    </w:rPr>
                  </w:pPr>
                  <w:r>
                    <w:rPr>
                      <w:color w:val="auto"/>
                      <w:szCs w:val="21"/>
                    </w:rPr>
                    <w:t>DW001</w:t>
                  </w:r>
                </w:p>
              </w:tc>
              <w:tc>
                <w:tcPr>
                  <w:tcW w:w="751" w:type="pct"/>
                  <w:vMerge w:val="restart"/>
                  <w:vAlign w:val="center"/>
                </w:tcPr>
                <w:p w14:paraId="0E67A2FB">
                  <w:pPr>
                    <w:tabs>
                      <w:tab w:val="left" w:pos="6840"/>
                    </w:tabs>
                    <w:spacing w:line="27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119.5</w:t>
                  </w:r>
                  <w:r>
                    <w:rPr>
                      <w:rFonts w:hint="eastAsia" w:cs="Times New Roman"/>
                      <w:color w:val="auto"/>
                      <w:szCs w:val="21"/>
                      <w:lang w:val="en-US" w:eastAsia="zh-CN"/>
                    </w:rPr>
                    <w:t>32884</w:t>
                  </w:r>
                </w:p>
              </w:tc>
              <w:tc>
                <w:tcPr>
                  <w:tcW w:w="749" w:type="pct"/>
                  <w:vMerge w:val="restart"/>
                  <w:vAlign w:val="center"/>
                </w:tcPr>
                <w:p w14:paraId="0563EFCC">
                  <w:pPr>
                    <w:tabs>
                      <w:tab w:val="left" w:pos="6840"/>
                    </w:tabs>
                    <w:spacing w:line="27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31.</w:t>
                  </w:r>
                  <w:r>
                    <w:rPr>
                      <w:rFonts w:hint="eastAsia" w:cs="Times New Roman"/>
                      <w:color w:val="auto"/>
                      <w:szCs w:val="21"/>
                      <w:lang w:val="en-US" w:eastAsia="zh-CN"/>
                    </w:rPr>
                    <w:t>670957</w:t>
                  </w:r>
                </w:p>
              </w:tc>
              <w:tc>
                <w:tcPr>
                  <w:tcW w:w="404" w:type="pct"/>
                  <w:vMerge w:val="restart"/>
                  <w:vAlign w:val="center"/>
                </w:tcPr>
                <w:p w14:paraId="4E2CFF8C">
                  <w:pPr>
                    <w:tabs>
                      <w:tab w:val="left" w:pos="6840"/>
                    </w:tabs>
                    <w:spacing w:line="270" w:lineRule="exact"/>
                    <w:jc w:val="center"/>
                    <w:rPr>
                      <w:color w:val="auto"/>
                      <w:szCs w:val="21"/>
                    </w:rPr>
                  </w:pPr>
                  <w:r>
                    <w:rPr>
                      <w:color w:val="auto"/>
                      <w:szCs w:val="21"/>
                    </w:rPr>
                    <w:t>进入城市污水处理厂</w:t>
                  </w:r>
                </w:p>
              </w:tc>
              <w:tc>
                <w:tcPr>
                  <w:tcW w:w="602" w:type="pct"/>
                  <w:vMerge w:val="restart"/>
                  <w:vAlign w:val="center"/>
                </w:tcPr>
                <w:p w14:paraId="36B8B4E5">
                  <w:pPr>
                    <w:tabs>
                      <w:tab w:val="left" w:pos="6840"/>
                    </w:tabs>
                    <w:spacing w:line="270" w:lineRule="exact"/>
                    <w:jc w:val="center"/>
                    <w:rPr>
                      <w:color w:val="auto"/>
                      <w:szCs w:val="21"/>
                    </w:rPr>
                  </w:pPr>
                  <w:r>
                    <w:rPr>
                      <w:color w:val="auto"/>
                      <w:szCs w:val="21"/>
                    </w:rPr>
                    <w:t>间断排放，排放期间流量不稳定且无规律，但不属于冲击型排放</w:t>
                  </w:r>
                </w:p>
              </w:tc>
              <w:tc>
                <w:tcPr>
                  <w:tcW w:w="278" w:type="pct"/>
                  <w:vMerge w:val="restart"/>
                  <w:vAlign w:val="center"/>
                </w:tcPr>
                <w:p w14:paraId="26AF3572">
                  <w:pPr>
                    <w:tabs>
                      <w:tab w:val="left" w:pos="6840"/>
                    </w:tabs>
                    <w:spacing w:line="270" w:lineRule="exact"/>
                    <w:jc w:val="center"/>
                    <w:rPr>
                      <w:color w:val="auto"/>
                      <w:szCs w:val="21"/>
                    </w:rPr>
                  </w:pPr>
                  <w:r>
                    <w:rPr>
                      <w:color w:val="auto"/>
                      <w:szCs w:val="21"/>
                    </w:rPr>
                    <w:t>/</w:t>
                  </w:r>
                </w:p>
              </w:tc>
              <w:tc>
                <w:tcPr>
                  <w:tcW w:w="304" w:type="pct"/>
                  <w:vMerge w:val="restart"/>
                  <w:vAlign w:val="center"/>
                </w:tcPr>
                <w:p w14:paraId="6B6D23B0">
                  <w:pPr>
                    <w:tabs>
                      <w:tab w:val="left" w:pos="6840"/>
                    </w:tabs>
                    <w:spacing w:line="270" w:lineRule="exact"/>
                    <w:jc w:val="center"/>
                    <w:rPr>
                      <w:rFonts w:hint="eastAsia" w:eastAsia="宋体"/>
                      <w:color w:val="auto"/>
                      <w:szCs w:val="21"/>
                      <w:lang w:eastAsia="zh-CN"/>
                    </w:rPr>
                  </w:pPr>
                  <w:r>
                    <w:rPr>
                      <w:rFonts w:hint="eastAsia"/>
                      <w:color w:val="auto"/>
                      <w:szCs w:val="21"/>
                      <w:lang w:eastAsia="zh-CN"/>
                    </w:rPr>
                    <w:t>金坛区指前镇新河村农村生活污水处理站</w:t>
                  </w:r>
                </w:p>
              </w:tc>
              <w:tc>
                <w:tcPr>
                  <w:tcW w:w="417" w:type="pct"/>
                  <w:vAlign w:val="center"/>
                </w:tcPr>
                <w:p w14:paraId="7F3507C6">
                  <w:pPr>
                    <w:tabs>
                      <w:tab w:val="left" w:pos="6840"/>
                    </w:tabs>
                    <w:spacing w:line="270" w:lineRule="exact"/>
                    <w:jc w:val="center"/>
                    <w:rPr>
                      <w:color w:val="auto"/>
                      <w:szCs w:val="21"/>
                    </w:rPr>
                  </w:pPr>
                  <w:r>
                    <w:rPr>
                      <w:color w:val="auto"/>
                      <w:szCs w:val="21"/>
                    </w:rPr>
                    <w:t>pH</w:t>
                  </w:r>
                </w:p>
              </w:tc>
              <w:tc>
                <w:tcPr>
                  <w:tcW w:w="631" w:type="pct"/>
                  <w:vAlign w:val="center"/>
                </w:tcPr>
                <w:p w14:paraId="48F6288D">
                  <w:pPr>
                    <w:tabs>
                      <w:tab w:val="left" w:pos="6840"/>
                    </w:tabs>
                    <w:spacing w:line="270" w:lineRule="exact"/>
                    <w:jc w:val="center"/>
                    <w:rPr>
                      <w:color w:val="auto"/>
                      <w:szCs w:val="21"/>
                    </w:rPr>
                  </w:pPr>
                  <w:r>
                    <w:rPr>
                      <w:color w:val="auto"/>
                      <w:szCs w:val="21"/>
                    </w:rPr>
                    <w:t>6~9</w:t>
                  </w:r>
                </w:p>
              </w:tc>
              <w:tc>
                <w:tcPr>
                  <w:tcW w:w="260" w:type="pct"/>
                  <w:vMerge w:val="restart"/>
                  <w:vAlign w:val="center"/>
                </w:tcPr>
                <w:p w14:paraId="55E28449">
                  <w:pPr>
                    <w:tabs>
                      <w:tab w:val="left" w:pos="6840"/>
                    </w:tabs>
                    <w:spacing w:line="270" w:lineRule="exact"/>
                    <w:jc w:val="center"/>
                    <w:rPr>
                      <w:color w:val="auto"/>
                      <w:szCs w:val="21"/>
                    </w:rPr>
                  </w:pPr>
                  <w:r>
                    <w:rPr>
                      <w:rFonts w:hint="eastAsia"/>
                      <w:color w:val="auto"/>
                      <w:szCs w:val="21"/>
                    </w:rPr>
                    <w:t>一般排放口</w:t>
                  </w:r>
                </w:p>
              </w:tc>
            </w:tr>
            <w:tr w14:paraId="5FCEC2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3CCEAE96">
                  <w:pPr>
                    <w:tabs>
                      <w:tab w:val="left" w:pos="6840"/>
                    </w:tabs>
                    <w:spacing w:line="270" w:lineRule="exact"/>
                    <w:jc w:val="center"/>
                    <w:rPr>
                      <w:color w:val="auto"/>
                      <w:szCs w:val="21"/>
                    </w:rPr>
                  </w:pPr>
                </w:p>
              </w:tc>
              <w:tc>
                <w:tcPr>
                  <w:tcW w:w="439" w:type="pct"/>
                  <w:vMerge w:val="continue"/>
                  <w:vAlign w:val="center"/>
                </w:tcPr>
                <w:p w14:paraId="0A0F5385">
                  <w:pPr>
                    <w:tabs>
                      <w:tab w:val="left" w:pos="6840"/>
                    </w:tabs>
                    <w:spacing w:line="270" w:lineRule="exact"/>
                    <w:jc w:val="center"/>
                    <w:rPr>
                      <w:color w:val="auto"/>
                      <w:szCs w:val="21"/>
                    </w:rPr>
                  </w:pPr>
                </w:p>
              </w:tc>
              <w:tc>
                <w:tcPr>
                  <w:tcW w:w="751" w:type="pct"/>
                  <w:vMerge w:val="continue"/>
                  <w:vAlign w:val="center"/>
                </w:tcPr>
                <w:p w14:paraId="7B994F3F">
                  <w:pPr>
                    <w:tabs>
                      <w:tab w:val="left" w:pos="6840"/>
                    </w:tabs>
                    <w:spacing w:line="270" w:lineRule="exact"/>
                    <w:jc w:val="center"/>
                    <w:rPr>
                      <w:color w:val="auto"/>
                      <w:szCs w:val="21"/>
                    </w:rPr>
                  </w:pPr>
                </w:p>
              </w:tc>
              <w:tc>
                <w:tcPr>
                  <w:tcW w:w="749" w:type="pct"/>
                  <w:vMerge w:val="continue"/>
                  <w:vAlign w:val="center"/>
                </w:tcPr>
                <w:p w14:paraId="442C0AAD">
                  <w:pPr>
                    <w:tabs>
                      <w:tab w:val="left" w:pos="6840"/>
                    </w:tabs>
                    <w:spacing w:line="270" w:lineRule="exact"/>
                    <w:jc w:val="center"/>
                    <w:rPr>
                      <w:color w:val="auto"/>
                      <w:szCs w:val="21"/>
                    </w:rPr>
                  </w:pPr>
                </w:p>
              </w:tc>
              <w:tc>
                <w:tcPr>
                  <w:tcW w:w="404" w:type="pct"/>
                  <w:vMerge w:val="continue"/>
                  <w:vAlign w:val="center"/>
                </w:tcPr>
                <w:p w14:paraId="5F36F95D">
                  <w:pPr>
                    <w:tabs>
                      <w:tab w:val="left" w:pos="6840"/>
                    </w:tabs>
                    <w:spacing w:line="270" w:lineRule="exact"/>
                    <w:jc w:val="center"/>
                    <w:rPr>
                      <w:color w:val="auto"/>
                      <w:szCs w:val="21"/>
                    </w:rPr>
                  </w:pPr>
                </w:p>
              </w:tc>
              <w:tc>
                <w:tcPr>
                  <w:tcW w:w="602" w:type="pct"/>
                  <w:vMerge w:val="continue"/>
                  <w:vAlign w:val="center"/>
                </w:tcPr>
                <w:p w14:paraId="2BBCE6AC">
                  <w:pPr>
                    <w:tabs>
                      <w:tab w:val="left" w:pos="6840"/>
                    </w:tabs>
                    <w:spacing w:line="270" w:lineRule="exact"/>
                    <w:jc w:val="center"/>
                    <w:rPr>
                      <w:color w:val="auto"/>
                      <w:szCs w:val="21"/>
                    </w:rPr>
                  </w:pPr>
                </w:p>
              </w:tc>
              <w:tc>
                <w:tcPr>
                  <w:tcW w:w="278" w:type="pct"/>
                  <w:vMerge w:val="continue"/>
                  <w:vAlign w:val="center"/>
                </w:tcPr>
                <w:p w14:paraId="06BB258C">
                  <w:pPr>
                    <w:tabs>
                      <w:tab w:val="left" w:pos="6840"/>
                    </w:tabs>
                    <w:spacing w:line="270" w:lineRule="exact"/>
                    <w:jc w:val="center"/>
                    <w:rPr>
                      <w:color w:val="auto"/>
                      <w:szCs w:val="21"/>
                    </w:rPr>
                  </w:pPr>
                </w:p>
              </w:tc>
              <w:tc>
                <w:tcPr>
                  <w:tcW w:w="304" w:type="pct"/>
                  <w:vMerge w:val="continue"/>
                  <w:vAlign w:val="center"/>
                </w:tcPr>
                <w:p w14:paraId="0767EDD7">
                  <w:pPr>
                    <w:tabs>
                      <w:tab w:val="left" w:pos="6840"/>
                    </w:tabs>
                    <w:spacing w:line="270" w:lineRule="exact"/>
                    <w:jc w:val="center"/>
                    <w:rPr>
                      <w:color w:val="auto"/>
                      <w:szCs w:val="21"/>
                    </w:rPr>
                  </w:pPr>
                </w:p>
              </w:tc>
              <w:tc>
                <w:tcPr>
                  <w:tcW w:w="417" w:type="pct"/>
                  <w:vAlign w:val="center"/>
                </w:tcPr>
                <w:p w14:paraId="11E382DF">
                  <w:pPr>
                    <w:tabs>
                      <w:tab w:val="left" w:pos="6840"/>
                    </w:tabs>
                    <w:spacing w:line="270" w:lineRule="exact"/>
                    <w:jc w:val="center"/>
                    <w:rPr>
                      <w:color w:val="auto"/>
                      <w:szCs w:val="21"/>
                    </w:rPr>
                  </w:pPr>
                  <w:r>
                    <w:rPr>
                      <w:color w:val="auto"/>
                      <w:szCs w:val="21"/>
                    </w:rPr>
                    <w:t>COD</w:t>
                  </w:r>
                </w:p>
              </w:tc>
              <w:tc>
                <w:tcPr>
                  <w:tcW w:w="631" w:type="pct"/>
                  <w:vAlign w:val="center"/>
                </w:tcPr>
                <w:p w14:paraId="49DC0693">
                  <w:pPr>
                    <w:tabs>
                      <w:tab w:val="left" w:pos="6840"/>
                    </w:tabs>
                    <w:spacing w:line="270" w:lineRule="exact"/>
                    <w:jc w:val="center"/>
                    <w:rPr>
                      <w:color w:val="auto"/>
                      <w:szCs w:val="21"/>
                    </w:rPr>
                  </w:pPr>
                  <w:r>
                    <w:rPr>
                      <w:rFonts w:hint="eastAsia"/>
                      <w:color w:val="auto"/>
                      <w:szCs w:val="21"/>
                    </w:rPr>
                    <w:t>50</w:t>
                  </w:r>
                </w:p>
              </w:tc>
              <w:tc>
                <w:tcPr>
                  <w:tcW w:w="260" w:type="pct"/>
                  <w:vMerge w:val="continue"/>
                  <w:vAlign w:val="center"/>
                </w:tcPr>
                <w:p w14:paraId="13EBF81E">
                  <w:pPr>
                    <w:tabs>
                      <w:tab w:val="left" w:pos="6840"/>
                    </w:tabs>
                    <w:spacing w:line="270" w:lineRule="exact"/>
                    <w:jc w:val="center"/>
                    <w:rPr>
                      <w:color w:val="auto"/>
                      <w:szCs w:val="21"/>
                    </w:rPr>
                  </w:pPr>
                </w:p>
              </w:tc>
            </w:tr>
            <w:tr w14:paraId="342FD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15638D2B">
                  <w:pPr>
                    <w:tabs>
                      <w:tab w:val="left" w:pos="6840"/>
                    </w:tabs>
                    <w:spacing w:line="270" w:lineRule="exact"/>
                    <w:jc w:val="center"/>
                    <w:rPr>
                      <w:color w:val="auto"/>
                      <w:szCs w:val="21"/>
                    </w:rPr>
                  </w:pPr>
                </w:p>
              </w:tc>
              <w:tc>
                <w:tcPr>
                  <w:tcW w:w="439" w:type="pct"/>
                  <w:vMerge w:val="continue"/>
                  <w:vAlign w:val="center"/>
                </w:tcPr>
                <w:p w14:paraId="54BD9EB5">
                  <w:pPr>
                    <w:tabs>
                      <w:tab w:val="left" w:pos="6840"/>
                    </w:tabs>
                    <w:spacing w:line="270" w:lineRule="exact"/>
                    <w:jc w:val="center"/>
                    <w:rPr>
                      <w:color w:val="auto"/>
                      <w:szCs w:val="21"/>
                    </w:rPr>
                  </w:pPr>
                </w:p>
              </w:tc>
              <w:tc>
                <w:tcPr>
                  <w:tcW w:w="751" w:type="pct"/>
                  <w:vMerge w:val="continue"/>
                  <w:vAlign w:val="center"/>
                </w:tcPr>
                <w:p w14:paraId="24845263">
                  <w:pPr>
                    <w:tabs>
                      <w:tab w:val="left" w:pos="6840"/>
                    </w:tabs>
                    <w:spacing w:line="270" w:lineRule="exact"/>
                    <w:jc w:val="center"/>
                    <w:rPr>
                      <w:color w:val="auto"/>
                      <w:szCs w:val="21"/>
                    </w:rPr>
                  </w:pPr>
                </w:p>
              </w:tc>
              <w:tc>
                <w:tcPr>
                  <w:tcW w:w="749" w:type="pct"/>
                  <w:vMerge w:val="continue"/>
                  <w:vAlign w:val="center"/>
                </w:tcPr>
                <w:p w14:paraId="65844313">
                  <w:pPr>
                    <w:tabs>
                      <w:tab w:val="left" w:pos="6840"/>
                    </w:tabs>
                    <w:spacing w:line="270" w:lineRule="exact"/>
                    <w:jc w:val="center"/>
                    <w:rPr>
                      <w:color w:val="auto"/>
                      <w:szCs w:val="21"/>
                    </w:rPr>
                  </w:pPr>
                </w:p>
              </w:tc>
              <w:tc>
                <w:tcPr>
                  <w:tcW w:w="404" w:type="pct"/>
                  <w:vMerge w:val="continue"/>
                  <w:vAlign w:val="center"/>
                </w:tcPr>
                <w:p w14:paraId="68C19203">
                  <w:pPr>
                    <w:tabs>
                      <w:tab w:val="left" w:pos="6840"/>
                    </w:tabs>
                    <w:spacing w:line="270" w:lineRule="exact"/>
                    <w:jc w:val="center"/>
                    <w:rPr>
                      <w:color w:val="auto"/>
                      <w:szCs w:val="21"/>
                    </w:rPr>
                  </w:pPr>
                </w:p>
              </w:tc>
              <w:tc>
                <w:tcPr>
                  <w:tcW w:w="602" w:type="pct"/>
                  <w:vMerge w:val="continue"/>
                  <w:vAlign w:val="center"/>
                </w:tcPr>
                <w:p w14:paraId="0C4848B7">
                  <w:pPr>
                    <w:tabs>
                      <w:tab w:val="left" w:pos="6840"/>
                    </w:tabs>
                    <w:spacing w:line="270" w:lineRule="exact"/>
                    <w:jc w:val="center"/>
                    <w:rPr>
                      <w:color w:val="auto"/>
                      <w:szCs w:val="21"/>
                    </w:rPr>
                  </w:pPr>
                </w:p>
              </w:tc>
              <w:tc>
                <w:tcPr>
                  <w:tcW w:w="278" w:type="pct"/>
                  <w:vMerge w:val="continue"/>
                  <w:vAlign w:val="center"/>
                </w:tcPr>
                <w:p w14:paraId="5DD9E239">
                  <w:pPr>
                    <w:tabs>
                      <w:tab w:val="left" w:pos="6840"/>
                    </w:tabs>
                    <w:spacing w:line="270" w:lineRule="exact"/>
                    <w:jc w:val="center"/>
                    <w:rPr>
                      <w:color w:val="auto"/>
                      <w:szCs w:val="21"/>
                    </w:rPr>
                  </w:pPr>
                </w:p>
              </w:tc>
              <w:tc>
                <w:tcPr>
                  <w:tcW w:w="304" w:type="pct"/>
                  <w:vMerge w:val="continue"/>
                  <w:vAlign w:val="center"/>
                </w:tcPr>
                <w:p w14:paraId="222329D5">
                  <w:pPr>
                    <w:tabs>
                      <w:tab w:val="left" w:pos="6840"/>
                    </w:tabs>
                    <w:spacing w:line="270" w:lineRule="exact"/>
                    <w:jc w:val="center"/>
                    <w:rPr>
                      <w:color w:val="auto"/>
                      <w:szCs w:val="21"/>
                    </w:rPr>
                  </w:pPr>
                </w:p>
              </w:tc>
              <w:tc>
                <w:tcPr>
                  <w:tcW w:w="417" w:type="pct"/>
                  <w:vAlign w:val="center"/>
                </w:tcPr>
                <w:p w14:paraId="2B9A8D5A">
                  <w:pPr>
                    <w:tabs>
                      <w:tab w:val="left" w:pos="6840"/>
                    </w:tabs>
                    <w:spacing w:line="270" w:lineRule="exact"/>
                    <w:jc w:val="center"/>
                    <w:rPr>
                      <w:color w:val="auto"/>
                      <w:szCs w:val="21"/>
                    </w:rPr>
                  </w:pPr>
                  <w:r>
                    <w:rPr>
                      <w:color w:val="auto"/>
                      <w:szCs w:val="21"/>
                    </w:rPr>
                    <w:t>SS</w:t>
                  </w:r>
                </w:p>
              </w:tc>
              <w:tc>
                <w:tcPr>
                  <w:tcW w:w="631" w:type="pct"/>
                  <w:vAlign w:val="center"/>
                </w:tcPr>
                <w:p w14:paraId="0EA5D832">
                  <w:pPr>
                    <w:tabs>
                      <w:tab w:val="left" w:pos="6840"/>
                    </w:tabs>
                    <w:spacing w:line="270" w:lineRule="exact"/>
                    <w:jc w:val="center"/>
                    <w:rPr>
                      <w:rFonts w:hint="default" w:eastAsia="宋体"/>
                      <w:color w:val="auto"/>
                      <w:szCs w:val="21"/>
                      <w:lang w:val="en-US" w:eastAsia="zh-CN"/>
                    </w:rPr>
                  </w:pPr>
                  <w:r>
                    <w:rPr>
                      <w:rFonts w:hint="eastAsia"/>
                      <w:color w:val="auto"/>
                      <w:szCs w:val="21"/>
                      <w:lang w:val="en-US" w:eastAsia="zh-CN"/>
                    </w:rPr>
                    <w:t>20</w:t>
                  </w:r>
                </w:p>
              </w:tc>
              <w:tc>
                <w:tcPr>
                  <w:tcW w:w="260" w:type="pct"/>
                  <w:vMerge w:val="continue"/>
                  <w:vAlign w:val="center"/>
                </w:tcPr>
                <w:p w14:paraId="76E215CC">
                  <w:pPr>
                    <w:tabs>
                      <w:tab w:val="left" w:pos="6840"/>
                    </w:tabs>
                    <w:spacing w:line="270" w:lineRule="exact"/>
                    <w:jc w:val="center"/>
                    <w:rPr>
                      <w:color w:val="auto"/>
                      <w:szCs w:val="21"/>
                    </w:rPr>
                  </w:pPr>
                </w:p>
              </w:tc>
            </w:tr>
            <w:tr w14:paraId="766EE3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6D18B36F">
                  <w:pPr>
                    <w:tabs>
                      <w:tab w:val="left" w:pos="6840"/>
                    </w:tabs>
                    <w:spacing w:line="270" w:lineRule="exact"/>
                    <w:jc w:val="center"/>
                    <w:rPr>
                      <w:color w:val="auto"/>
                      <w:szCs w:val="21"/>
                    </w:rPr>
                  </w:pPr>
                </w:p>
              </w:tc>
              <w:tc>
                <w:tcPr>
                  <w:tcW w:w="439" w:type="pct"/>
                  <w:vMerge w:val="continue"/>
                  <w:vAlign w:val="center"/>
                </w:tcPr>
                <w:p w14:paraId="168CB88C">
                  <w:pPr>
                    <w:tabs>
                      <w:tab w:val="left" w:pos="6840"/>
                    </w:tabs>
                    <w:spacing w:line="270" w:lineRule="exact"/>
                    <w:jc w:val="center"/>
                    <w:rPr>
                      <w:color w:val="auto"/>
                      <w:szCs w:val="21"/>
                    </w:rPr>
                  </w:pPr>
                </w:p>
              </w:tc>
              <w:tc>
                <w:tcPr>
                  <w:tcW w:w="751" w:type="pct"/>
                  <w:vMerge w:val="continue"/>
                  <w:vAlign w:val="center"/>
                </w:tcPr>
                <w:p w14:paraId="406B1FCF">
                  <w:pPr>
                    <w:tabs>
                      <w:tab w:val="left" w:pos="6840"/>
                    </w:tabs>
                    <w:spacing w:line="270" w:lineRule="exact"/>
                    <w:jc w:val="center"/>
                    <w:rPr>
                      <w:color w:val="auto"/>
                      <w:szCs w:val="21"/>
                    </w:rPr>
                  </w:pPr>
                </w:p>
              </w:tc>
              <w:tc>
                <w:tcPr>
                  <w:tcW w:w="749" w:type="pct"/>
                  <w:vMerge w:val="continue"/>
                  <w:vAlign w:val="center"/>
                </w:tcPr>
                <w:p w14:paraId="10900C58">
                  <w:pPr>
                    <w:tabs>
                      <w:tab w:val="left" w:pos="6840"/>
                    </w:tabs>
                    <w:spacing w:line="270" w:lineRule="exact"/>
                    <w:jc w:val="center"/>
                    <w:rPr>
                      <w:color w:val="auto"/>
                      <w:szCs w:val="21"/>
                    </w:rPr>
                  </w:pPr>
                </w:p>
              </w:tc>
              <w:tc>
                <w:tcPr>
                  <w:tcW w:w="404" w:type="pct"/>
                  <w:vMerge w:val="continue"/>
                  <w:vAlign w:val="center"/>
                </w:tcPr>
                <w:p w14:paraId="0C8C533D">
                  <w:pPr>
                    <w:tabs>
                      <w:tab w:val="left" w:pos="6840"/>
                    </w:tabs>
                    <w:spacing w:line="270" w:lineRule="exact"/>
                    <w:jc w:val="center"/>
                    <w:rPr>
                      <w:color w:val="auto"/>
                      <w:szCs w:val="21"/>
                    </w:rPr>
                  </w:pPr>
                </w:p>
              </w:tc>
              <w:tc>
                <w:tcPr>
                  <w:tcW w:w="602" w:type="pct"/>
                  <w:vMerge w:val="continue"/>
                  <w:vAlign w:val="center"/>
                </w:tcPr>
                <w:p w14:paraId="23AB16FD">
                  <w:pPr>
                    <w:tabs>
                      <w:tab w:val="left" w:pos="6840"/>
                    </w:tabs>
                    <w:spacing w:line="270" w:lineRule="exact"/>
                    <w:jc w:val="center"/>
                    <w:rPr>
                      <w:color w:val="auto"/>
                      <w:szCs w:val="21"/>
                    </w:rPr>
                  </w:pPr>
                </w:p>
              </w:tc>
              <w:tc>
                <w:tcPr>
                  <w:tcW w:w="278" w:type="pct"/>
                  <w:vMerge w:val="continue"/>
                  <w:vAlign w:val="center"/>
                </w:tcPr>
                <w:p w14:paraId="142D39BA">
                  <w:pPr>
                    <w:tabs>
                      <w:tab w:val="left" w:pos="6840"/>
                    </w:tabs>
                    <w:spacing w:line="270" w:lineRule="exact"/>
                    <w:jc w:val="center"/>
                    <w:rPr>
                      <w:color w:val="auto"/>
                      <w:szCs w:val="21"/>
                    </w:rPr>
                  </w:pPr>
                </w:p>
              </w:tc>
              <w:tc>
                <w:tcPr>
                  <w:tcW w:w="304" w:type="pct"/>
                  <w:vMerge w:val="continue"/>
                  <w:vAlign w:val="center"/>
                </w:tcPr>
                <w:p w14:paraId="5E2DE83E">
                  <w:pPr>
                    <w:tabs>
                      <w:tab w:val="left" w:pos="6840"/>
                    </w:tabs>
                    <w:spacing w:line="270" w:lineRule="exact"/>
                    <w:jc w:val="center"/>
                    <w:rPr>
                      <w:color w:val="auto"/>
                      <w:szCs w:val="21"/>
                    </w:rPr>
                  </w:pPr>
                </w:p>
              </w:tc>
              <w:tc>
                <w:tcPr>
                  <w:tcW w:w="417" w:type="pct"/>
                  <w:vAlign w:val="center"/>
                </w:tcPr>
                <w:p w14:paraId="418E85CE">
                  <w:pPr>
                    <w:tabs>
                      <w:tab w:val="left" w:pos="6840"/>
                    </w:tabs>
                    <w:spacing w:line="270" w:lineRule="exact"/>
                    <w:jc w:val="center"/>
                    <w:rPr>
                      <w:color w:val="auto"/>
                      <w:szCs w:val="21"/>
                    </w:rPr>
                  </w:pPr>
                  <w:r>
                    <w:rPr>
                      <w:color w:val="auto"/>
                      <w:szCs w:val="21"/>
                    </w:rPr>
                    <w:t>NH</w:t>
                  </w:r>
                  <w:r>
                    <w:rPr>
                      <w:color w:val="auto"/>
                      <w:szCs w:val="21"/>
                      <w:vertAlign w:val="subscript"/>
                    </w:rPr>
                    <w:t>3</w:t>
                  </w:r>
                  <w:r>
                    <w:rPr>
                      <w:color w:val="auto"/>
                      <w:szCs w:val="21"/>
                    </w:rPr>
                    <w:t>-N</w:t>
                  </w:r>
                </w:p>
              </w:tc>
              <w:tc>
                <w:tcPr>
                  <w:tcW w:w="631" w:type="pct"/>
                  <w:vAlign w:val="center"/>
                </w:tcPr>
                <w:p w14:paraId="68693CF2">
                  <w:pPr>
                    <w:tabs>
                      <w:tab w:val="left" w:pos="6840"/>
                    </w:tabs>
                    <w:spacing w:line="270" w:lineRule="exact"/>
                    <w:jc w:val="center"/>
                    <w:rPr>
                      <w:rFonts w:hint="eastAsia" w:eastAsia="宋体"/>
                      <w:color w:val="auto"/>
                      <w:szCs w:val="21"/>
                      <w:lang w:eastAsia="zh-CN"/>
                    </w:rPr>
                  </w:pPr>
                  <w:r>
                    <w:rPr>
                      <w:rFonts w:hint="eastAsia"/>
                      <w:color w:val="auto"/>
                      <w:szCs w:val="21"/>
                      <w:lang w:val="en-US" w:eastAsia="zh-CN"/>
                    </w:rPr>
                    <w:t>5</w:t>
                  </w:r>
                </w:p>
              </w:tc>
              <w:tc>
                <w:tcPr>
                  <w:tcW w:w="260" w:type="pct"/>
                  <w:vMerge w:val="continue"/>
                  <w:vAlign w:val="center"/>
                </w:tcPr>
                <w:p w14:paraId="39ACEE69">
                  <w:pPr>
                    <w:tabs>
                      <w:tab w:val="left" w:pos="6840"/>
                    </w:tabs>
                    <w:spacing w:line="270" w:lineRule="exact"/>
                    <w:jc w:val="center"/>
                    <w:rPr>
                      <w:color w:val="auto"/>
                      <w:szCs w:val="21"/>
                    </w:rPr>
                  </w:pPr>
                </w:p>
              </w:tc>
            </w:tr>
            <w:tr w14:paraId="6DF02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61" w:type="pct"/>
                  <w:vMerge w:val="continue"/>
                  <w:vAlign w:val="center"/>
                </w:tcPr>
                <w:p w14:paraId="233E4F40">
                  <w:pPr>
                    <w:tabs>
                      <w:tab w:val="left" w:pos="6840"/>
                    </w:tabs>
                    <w:spacing w:line="270" w:lineRule="exact"/>
                    <w:jc w:val="center"/>
                    <w:rPr>
                      <w:color w:val="auto"/>
                      <w:szCs w:val="21"/>
                    </w:rPr>
                  </w:pPr>
                </w:p>
              </w:tc>
              <w:tc>
                <w:tcPr>
                  <w:tcW w:w="439" w:type="pct"/>
                  <w:vMerge w:val="continue"/>
                  <w:vAlign w:val="center"/>
                </w:tcPr>
                <w:p w14:paraId="12D6A8EF">
                  <w:pPr>
                    <w:tabs>
                      <w:tab w:val="left" w:pos="6840"/>
                    </w:tabs>
                    <w:spacing w:line="270" w:lineRule="exact"/>
                    <w:jc w:val="center"/>
                    <w:rPr>
                      <w:color w:val="auto"/>
                      <w:szCs w:val="21"/>
                    </w:rPr>
                  </w:pPr>
                </w:p>
              </w:tc>
              <w:tc>
                <w:tcPr>
                  <w:tcW w:w="751" w:type="pct"/>
                  <w:vMerge w:val="continue"/>
                  <w:vAlign w:val="center"/>
                </w:tcPr>
                <w:p w14:paraId="74C3B003">
                  <w:pPr>
                    <w:tabs>
                      <w:tab w:val="left" w:pos="6840"/>
                    </w:tabs>
                    <w:spacing w:line="270" w:lineRule="exact"/>
                    <w:jc w:val="center"/>
                    <w:rPr>
                      <w:color w:val="auto"/>
                      <w:szCs w:val="21"/>
                    </w:rPr>
                  </w:pPr>
                </w:p>
              </w:tc>
              <w:tc>
                <w:tcPr>
                  <w:tcW w:w="749" w:type="pct"/>
                  <w:vMerge w:val="continue"/>
                  <w:vAlign w:val="center"/>
                </w:tcPr>
                <w:p w14:paraId="69864743">
                  <w:pPr>
                    <w:tabs>
                      <w:tab w:val="left" w:pos="6840"/>
                    </w:tabs>
                    <w:spacing w:line="270" w:lineRule="exact"/>
                    <w:jc w:val="center"/>
                    <w:rPr>
                      <w:color w:val="auto"/>
                      <w:szCs w:val="21"/>
                    </w:rPr>
                  </w:pPr>
                </w:p>
              </w:tc>
              <w:tc>
                <w:tcPr>
                  <w:tcW w:w="404" w:type="pct"/>
                  <w:vMerge w:val="continue"/>
                  <w:vAlign w:val="center"/>
                </w:tcPr>
                <w:p w14:paraId="273FD6CA">
                  <w:pPr>
                    <w:tabs>
                      <w:tab w:val="left" w:pos="6840"/>
                    </w:tabs>
                    <w:spacing w:line="270" w:lineRule="exact"/>
                    <w:jc w:val="center"/>
                    <w:rPr>
                      <w:color w:val="auto"/>
                      <w:szCs w:val="21"/>
                    </w:rPr>
                  </w:pPr>
                </w:p>
              </w:tc>
              <w:tc>
                <w:tcPr>
                  <w:tcW w:w="602" w:type="pct"/>
                  <w:vMerge w:val="continue"/>
                  <w:vAlign w:val="center"/>
                </w:tcPr>
                <w:p w14:paraId="03663BAD">
                  <w:pPr>
                    <w:tabs>
                      <w:tab w:val="left" w:pos="6840"/>
                    </w:tabs>
                    <w:spacing w:line="270" w:lineRule="exact"/>
                    <w:jc w:val="center"/>
                    <w:rPr>
                      <w:color w:val="auto"/>
                      <w:szCs w:val="21"/>
                    </w:rPr>
                  </w:pPr>
                </w:p>
              </w:tc>
              <w:tc>
                <w:tcPr>
                  <w:tcW w:w="278" w:type="pct"/>
                  <w:vMerge w:val="continue"/>
                  <w:vAlign w:val="center"/>
                </w:tcPr>
                <w:p w14:paraId="7D0706EE">
                  <w:pPr>
                    <w:tabs>
                      <w:tab w:val="left" w:pos="6840"/>
                    </w:tabs>
                    <w:spacing w:line="270" w:lineRule="exact"/>
                    <w:jc w:val="center"/>
                    <w:rPr>
                      <w:color w:val="auto"/>
                      <w:szCs w:val="21"/>
                    </w:rPr>
                  </w:pPr>
                </w:p>
              </w:tc>
              <w:tc>
                <w:tcPr>
                  <w:tcW w:w="304" w:type="pct"/>
                  <w:vMerge w:val="continue"/>
                  <w:vAlign w:val="center"/>
                </w:tcPr>
                <w:p w14:paraId="4B50DE30">
                  <w:pPr>
                    <w:tabs>
                      <w:tab w:val="left" w:pos="6840"/>
                    </w:tabs>
                    <w:spacing w:line="270" w:lineRule="exact"/>
                    <w:jc w:val="center"/>
                    <w:rPr>
                      <w:color w:val="auto"/>
                      <w:szCs w:val="21"/>
                    </w:rPr>
                  </w:pPr>
                </w:p>
              </w:tc>
              <w:tc>
                <w:tcPr>
                  <w:tcW w:w="417" w:type="pct"/>
                  <w:vAlign w:val="center"/>
                </w:tcPr>
                <w:p w14:paraId="0C67708A">
                  <w:pPr>
                    <w:tabs>
                      <w:tab w:val="left" w:pos="6840"/>
                    </w:tabs>
                    <w:spacing w:line="270" w:lineRule="exact"/>
                    <w:jc w:val="center"/>
                    <w:rPr>
                      <w:color w:val="auto"/>
                      <w:szCs w:val="21"/>
                    </w:rPr>
                  </w:pPr>
                  <w:r>
                    <w:rPr>
                      <w:color w:val="auto"/>
                      <w:szCs w:val="21"/>
                    </w:rPr>
                    <w:t>TP</w:t>
                  </w:r>
                </w:p>
              </w:tc>
              <w:tc>
                <w:tcPr>
                  <w:tcW w:w="631" w:type="pct"/>
                  <w:vAlign w:val="center"/>
                </w:tcPr>
                <w:p w14:paraId="123FF23D">
                  <w:pPr>
                    <w:tabs>
                      <w:tab w:val="left" w:pos="6840"/>
                    </w:tabs>
                    <w:spacing w:line="270" w:lineRule="exact"/>
                    <w:jc w:val="center"/>
                    <w:rPr>
                      <w:rFonts w:hint="eastAsia" w:eastAsia="宋体"/>
                      <w:color w:val="auto"/>
                      <w:szCs w:val="21"/>
                      <w:lang w:eastAsia="zh-CN"/>
                    </w:rPr>
                  </w:pPr>
                  <w:r>
                    <w:rPr>
                      <w:rFonts w:hint="eastAsia"/>
                      <w:color w:val="auto"/>
                      <w:szCs w:val="21"/>
                      <w:lang w:val="en-US" w:eastAsia="zh-CN"/>
                    </w:rPr>
                    <w:t>1</w:t>
                  </w:r>
                </w:p>
              </w:tc>
              <w:tc>
                <w:tcPr>
                  <w:tcW w:w="260" w:type="pct"/>
                  <w:vMerge w:val="continue"/>
                  <w:vAlign w:val="center"/>
                </w:tcPr>
                <w:p w14:paraId="74A3D2A4">
                  <w:pPr>
                    <w:tabs>
                      <w:tab w:val="left" w:pos="6840"/>
                    </w:tabs>
                    <w:spacing w:line="270" w:lineRule="exact"/>
                    <w:jc w:val="center"/>
                    <w:rPr>
                      <w:color w:val="auto"/>
                      <w:szCs w:val="21"/>
                    </w:rPr>
                  </w:pPr>
                </w:p>
              </w:tc>
            </w:tr>
            <w:tr w14:paraId="1C2403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1" w:type="pct"/>
                  <w:vMerge w:val="continue"/>
                  <w:vAlign w:val="center"/>
                </w:tcPr>
                <w:p w14:paraId="2A39C0C7">
                  <w:pPr>
                    <w:tabs>
                      <w:tab w:val="left" w:pos="6840"/>
                    </w:tabs>
                    <w:spacing w:line="270" w:lineRule="exact"/>
                    <w:jc w:val="center"/>
                    <w:rPr>
                      <w:color w:val="auto"/>
                      <w:szCs w:val="21"/>
                    </w:rPr>
                  </w:pPr>
                </w:p>
              </w:tc>
              <w:tc>
                <w:tcPr>
                  <w:tcW w:w="439" w:type="pct"/>
                  <w:vMerge w:val="continue"/>
                  <w:vAlign w:val="center"/>
                </w:tcPr>
                <w:p w14:paraId="1F3535A9">
                  <w:pPr>
                    <w:tabs>
                      <w:tab w:val="left" w:pos="6840"/>
                    </w:tabs>
                    <w:spacing w:line="270" w:lineRule="exact"/>
                    <w:jc w:val="center"/>
                    <w:rPr>
                      <w:color w:val="auto"/>
                      <w:szCs w:val="21"/>
                    </w:rPr>
                  </w:pPr>
                </w:p>
              </w:tc>
              <w:tc>
                <w:tcPr>
                  <w:tcW w:w="751" w:type="pct"/>
                  <w:vMerge w:val="continue"/>
                  <w:vAlign w:val="center"/>
                </w:tcPr>
                <w:p w14:paraId="73C89FFD">
                  <w:pPr>
                    <w:tabs>
                      <w:tab w:val="left" w:pos="6840"/>
                    </w:tabs>
                    <w:spacing w:line="270" w:lineRule="exact"/>
                    <w:jc w:val="center"/>
                    <w:rPr>
                      <w:color w:val="auto"/>
                      <w:szCs w:val="21"/>
                    </w:rPr>
                  </w:pPr>
                </w:p>
              </w:tc>
              <w:tc>
                <w:tcPr>
                  <w:tcW w:w="749" w:type="pct"/>
                  <w:vMerge w:val="continue"/>
                  <w:vAlign w:val="center"/>
                </w:tcPr>
                <w:p w14:paraId="72860E6E">
                  <w:pPr>
                    <w:tabs>
                      <w:tab w:val="left" w:pos="6840"/>
                    </w:tabs>
                    <w:spacing w:line="270" w:lineRule="exact"/>
                    <w:jc w:val="center"/>
                    <w:rPr>
                      <w:color w:val="auto"/>
                      <w:szCs w:val="21"/>
                    </w:rPr>
                  </w:pPr>
                </w:p>
              </w:tc>
              <w:tc>
                <w:tcPr>
                  <w:tcW w:w="404" w:type="pct"/>
                  <w:vMerge w:val="continue"/>
                  <w:vAlign w:val="center"/>
                </w:tcPr>
                <w:p w14:paraId="1AB1AEC1">
                  <w:pPr>
                    <w:tabs>
                      <w:tab w:val="left" w:pos="6840"/>
                    </w:tabs>
                    <w:spacing w:line="270" w:lineRule="exact"/>
                    <w:jc w:val="center"/>
                    <w:rPr>
                      <w:color w:val="auto"/>
                      <w:szCs w:val="21"/>
                    </w:rPr>
                  </w:pPr>
                </w:p>
              </w:tc>
              <w:tc>
                <w:tcPr>
                  <w:tcW w:w="602" w:type="pct"/>
                  <w:vMerge w:val="continue"/>
                  <w:vAlign w:val="center"/>
                </w:tcPr>
                <w:p w14:paraId="546EF92C">
                  <w:pPr>
                    <w:tabs>
                      <w:tab w:val="left" w:pos="6840"/>
                    </w:tabs>
                    <w:spacing w:line="270" w:lineRule="exact"/>
                    <w:jc w:val="center"/>
                    <w:rPr>
                      <w:color w:val="auto"/>
                      <w:szCs w:val="21"/>
                    </w:rPr>
                  </w:pPr>
                </w:p>
              </w:tc>
              <w:tc>
                <w:tcPr>
                  <w:tcW w:w="278" w:type="pct"/>
                  <w:vMerge w:val="continue"/>
                  <w:vAlign w:val="center"/>
                </w:tcPr>
                <w:p w14:paraId="753F708F">
                  <w:pPr>
                    <w:tabs>
                      <w:tab w:val="left" w:pos="6840"/>
                    </w:tabs>
                    <w:spacing w:line="270" w:lineRule="exact"/>
                    <w:jc w:val="center"/>
                    <w:rPr>
                      <w:color w:val="auto"/>
                      <w:szCs w:val="21"/>
                    </w:rPr>
                  </w:pPr>
                </w:p>
              </w:tc>
              <w:tc>
                <w:tcPr>
                  <w:tcW w:w="304" w:type="pct"/>
                  <w:vMerge w:val="continue"/>
                  <w:vAlign w:val="center"/>
                </w:tcPr>
                <w:p w14:paraId="2D03300D">
                  <w:pPr>
                    <w:tabs>
                      <w:tab w:val="left" w:pos="6840"/>
                    </w:tabs>
                    <w:spacing w:line="270" w:lineRule="exact"/>
                    <w:jc w:val="center"/>
                    <w:rPr>
                      <w:color w:val="auto"/>
                      <w:szCs w:val="21"/>
                    </w:rPr>
                  </w:pPr>
                </w:p>
              </w:tc>
              <w:tc>
                <w:tcPr>
                  <w:tcW w:w="417" w:type="pct"/>
                  <w:vAlign w:val="center"/>
                </w:tcPr>
                <w:p w14:paraId="6C2ABD0C">
                  <w:pPr>
                    <w:tabs>
                      <w:tab w:val="left" w:pos="6840"/>
                    </w:tabs>
                    <w:spacing w:line="270" w:lineRule="exact"/>
                    <w:jc w:val="center"/>
                    <w:rPr>
                      <w:color w:val="auto"/>
                      <w:szCs w:val="21"/>
                    </w:rPr>
                  </w:pPr>
                  <w:r>
                    <w:rPr>
                      <w:color w:val="auto"/>
                      <w:szCs w:val="21"/>
                    </w:rPr>
                    <w:t>TN</w:t>
                  </w:r>
                </w:p>
              </w:tc>
              <w:tc>
                <w:tcPr>
                  <w:tcW w:w="631" w:type="pct"/>
                  <w:vAlign w:val="center"/>
                </w:tcPr>
                <w:p w14:paraId="4D457C9F">
                  <w:pPr>
                    <w:tabs>
                      <w:tab w:val="left" w:pos="6840"/>
                    </w:tabs>
                    <w:spacing w:line="270" w:lineRule="exact"/>
                    <w:jc w:val="center"/>
                    <w:rPr>
                      <w:rFonts w:hint="default" w:eastAsia="宋体"/>
                      <w:color w:val="auto"/>
                      <w:szCs w:val="21"/>
                      <w:lang w:val="en-US" w:eastAsia="zh-CN"/>
                    </w:rPr>
                  </w:pPr>
                  <w:r>
                    <w:rPr>
                      <w:rFonts w:hint="eastAsia"/>
                      <w:color w:val="auto"/>
                      <w:szCs w:val="21"/>
                      <w:lang w:val="en-US" w:eastAsia="zh-CN"/>
                    </w:rPr>
                    <w:t>20</w:t>
                  </w:r>
                </w:p>
              </w:tc>
              <w:tc>
                <w:tcPr>
                  <w:tcW w:w="260" w:type="pct"/>
                  <w:vMerge w:val="continue"/>
                  <w:vAlign w:val="center"/>
                </w:tcPr>
                <w:p w14:paraId="66F49DB6">
                  <w:pPr>
                    <w:tabs>
                      <w:tab w:val="left" w:pos="6840"/>
                    </w:tabs>
                    <w:spacing w:line="270" w:lineRule="exact"/>
                    <w:jc w:val="center"/>
                    <w:rPr>
                      <w:color w:val="auto"/>
                      <w:szCs w:val="21"/>
                    </w:rPr>
                  </w:pPr>
                </w:p>
              </w:tc>
            </w:tr>
          </w:tbl>
          <w:p w14:paraId="21055137">
            <w:pPr>
              <w:spacing w:before="120" w:beforeLines="50"/>
              <w:ind w:firstLine="422" w:firstLineChars="200"/>
              <w:jc w:val="center"/>
              <w:rPr>
                <w:b/>
                <w:bCs/>
                <w:color w:val="auto"/>
                <w:kern w:val="0"/>
                <w:szCs w:val="21"/>
              </w:rPr>
            </w:pPr>
            <w:r>
              <w:rPr>
                <w:b/>
                <w:bCs/>
                <w:color w:val="auto"/>
                <w:kern w:val="0"/>
                <w:szCs w:val="21"/>
              </w:rPr>
              <w:t>表4-</w:t>
            </w:r>
            <w:r>
              <w:rPr>
                <w:rFonts w:hint="eastAsia"/>
                <w:b/>
                <w:bCs/>
                <w:color w:val="auto"/>
                <w:kern w:val="0"/>
                <w:szCs w:val="21"/>
                <w:lang w:val="en-US" w:eastAsia="zh-CN"/>
              </w:rPr>
              <w:t>9</w:t>
            </w:r>
            <w:r>
              <w:rPr>
                <w:b/>
                <w:bCs/>
                <w:color w:val="auto"/>
                <w:kern w:val="0"/>
                <w:szCs w:val="21"/>
              </w:rPr>
              <w:t>废水污染物排放执行标准表</w:t>
            </w:r>
          </w:p>
          <w:tbl>
            <w:tblPr>
              <w:tblStyle w:val="28"/>
              <w:tblW w:w="4998" w:type="pct"/>
              <w:tblInd w:w="5" w:type="dxa"/>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6"/>
              <w:gridCol w:w="842"/>
              <w:gridCol w:w="1251"/>
              <w:gridCol w:w="3373"/>
              <w:gridCol w:w="1382"/>
              <w:gridCol w:w="692"/>
            </w:tblGrid>
            <w:tr w14:paraId="5928AB7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13F7E96E">
                  <w:pPr>
                    <w:jc w:val="center"/>
                    <w:rPr>
                      <w:b/>
                      <w:bCs/>
                      <w:color w:val="auto"/>
                      <w:kern w:val="0"/>
                      <w:szCs w:val="21"/>
                    </w:rPr>
                  </w:pPr>
                  <w:r>
                    <w:rPr>
                      <w:b/>
                      <w:bCs/>
                      <w:color w:val="auto"/>
                      <w:kern w:val="0"/>
                      <w:szCs w:val="21"/>
                    </w:rPr>
                    <w:t>序号</w:t>
                  </w:r>
                </w:p>
              </w:tc>
              <w:tc>
                <w:tcPr>
                  <w:tcW w:w="513" w:type="pct"/>
                  <w:vMerge w:val="restart"/>
                  <w:tcBorders>
                    <w:tl2br w:val="nil"/>
                    <w:tr2bl w:val="nil"/>
                  </w:tcBorders>
                  <w:vAlign w:val="center"/>
                </w:tcPr>
                <w:p w14:paraId="332C8574">
                  <w:pPr>
                    <w:jc w:val="center"/>
                    <w:rPr>
                      <w:b/>
                      <w:bCs/>
                      <w:color w:val="auto"/>
                      <w:kern w:val="0"/>
                      <w:szCs w:val="21"/>
                    </w:rPr>
                  </w:pPr>
                  <w:r>
                    <w:rPr>
                      <w:b/>
                      <w:bCs/>
                      <w:color w:val="auto"/>
                      <w:kern w:val="0"/>
                      <w:szCs w:val="21"/>
                    </w:rPr>
                    <w:t>排放口编号</w:t>
                  </w:r>
                </w:p>
              </w:tc>
              <w:tc>
                <w:tcPr>
                  <w:tcW w:w="762" w:type="pct"/>
                  <w:vMerge w:val="restart"/>
                  <w:tcBorders>
                    <w:tl2br w:val="nil"/>
                    <w:tr2bl w:val="nil"/>
                  </w:tcBorders>
                  <w:vAlign w:val="center"/>
                </w:tcPr>
                <w:p w14:paraId="33375306">
                  <w:pPr>
                    <w:jc w:val="center"/>
                    <w:rPr>
                      <w:b/>
                      <w:bCs/>
                      <w:color w:val="auto"/>
                      <w:kern w:val="0"/>
                      <w:szCs w:val="21"/>
                    </w:rPr>
                  </w:pPr>
                </w:p>
                <w:p w14:paraId="27742705">
                  <w:pPr>
                    <w:jc w:val="center"/>
                    <w:rPr>
                      <w:b/>
                      <w:bCs/>
                      <w:color w:val="auto"/>
                      <w:kern w:val="0"/>
                      <w:szCs w:val="21"/>
                    </w:rPr>
                  </w:pPr>
                  <w:r>
                    <w:rPr>
                      <w:b/>
                      <w:bCs/>
                      <w:color w:val="auto"/>
                      <w:kern w:val="0"/>
                      <w:szCs w:val="21"/>
                    </w:rPr>
                    <w:t>污染物种类</w:t>
                  </w:r>
                </w:p>
              </w:tc>
              <w:tc>
                <w:tcPr>
                  <w:tcW w:w="3318" w:type="pct"/>
                  <w:gridSpan w:val="3"/>
                  <w:tcBorders>
                    <w:tl2br w:val="nil"/>
                    <w:tr2bl w:val="nil"/>
                  </w:tcBorders>
                  <w:vAlign w:val="center"/>
                </w:tcPr>
                <w:p w14:paraId="621295D9">
                  <w:pPr>
                    <w:jc w:val="center"/>
                    <w:rPr>
                      <w:b/>
                      <w:bCs/>
                      <w:color w:val="auto"/>
                      <w:kern w:val="0"/>
                      <w:szCs w:val="21"/>
                    </w:rPr>
                  </w:pPr>
                  <w:r>
                    <w:rPr>
                      <w:b/>
                      <w:bCs/>
                      <w:color w:val="auto"/>
                      <w:kern w:val="0"/>
                      <w:szCs w:val="21"/>
                    </w:rPr>
                    <w:t>国家或地方排放标准及其他按规定商议的排放协议</w:t>
                  </w:r>
                </w:p>
              </w:tc>
            </w:tr>
            <w:tr w14:paraId="4E62CE8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76B72263">
                  <w:pPr>
                    <w:jc w:val="center"/>
                    <w:rPr>
                      <w:b/>
                      <w:bCs/>
                      <w:color w:val="auto"/>
                      <w:kern w:val="0"/>
                      <w:szCs w:val="21"/>
                    </w:rPr>
                  </w:pPr>
                </w:p>
              </w:tc>
              <w:tc>
                <w:tcPr>
                  <w:tcW w:w="513" w:type="pct"/>
                  <w:vMerge w:val="continue"/>
                  <w:tcBorders>
                    <w:tl2br w:val="nil"/>
                    <w:tr2bl w:val="nil"/>
                  </w:tcBorders>
                  <w:vAlign w:val="center"/>
                </w:tcPr>
                <w:p w14:paraId="24737C28">
                  <w:pPr>
                    <w:jc w:val="center"/>
                    <w:rPr>
                      <w:b/>
                      <w:bCs/>
                      <w:color w:val="auto"/>
                      <w:kern w:val="0"/>
                      <w:szCs w:val="21"/>
                    </w:rPr>
                  </w:pPr>
                </w:p>
              </w:tc>
              <w:tc>
                <w:tcPr>
                  <w:tcW w:w="762" w:type="pct"/>
                  <w:vMerge w:val="continue"/>
                  <w:tcBorders>
                    <w:tl2br w:val="nil"/>
                    <w:tr2bl w:val="nil"/>
                  </w:tcBorders>
                  <w:vAlign w:val="center"/>
                </w:tcPr>
                <w:p w14:paraId="2A1E76AB">
                  <w:pPr>
                    <w:jc w:val="center"/>
                    <w:rPr>
                      <w:b/>
                      <w:bCs/>
                      <w:color w:val="auto"/>
                      <w:kern w:val="0"/>
                      <w:szCs w:val="21"/>
                    </w:rPr>
                  </w:pPr>
                </w:p>
              </w:tc>
              <w:tc>
                <w:tcPr>
                  <w:tcW w:w="2055" w:type="pct"/>
                  <w:tcBorders>
                    <w:tl2br w:val="nil"/>
                    <w:tr2bl w:val="nil"/>
                  </w:tcBorders>
                  <w:vAlign w:val="center"/>
                </w:tcPr>
                <w:p w14:paraId="4549922F">
                  <w:pPr>
                    <w:jc w:val="center"/>
                    <w:rPr>
                      <w:b/>
                      <w:bCs/>
                      <w:color w:val="auto"/>
                      <w:kern w:val="0"/>
                      <w:szCs w:val="21"/>
                    </w:rPr>
                  </w:pPr>
                  <w:r>
                    <w:rPr>
                      <w:b/>
                      <w:bCs/>
                      <w:color w:val="auto"/>
                      <w:kern w:val="0"/>
                      <w:szCs w:val="21"/>
                    </w:rPr>
                    <w:t>名称</w:t>
                  </w:r>
                </w:p>
              </w:tc>
              <w:tc>
                <w:tcPr>
                  <w:tcW w:w="1263" w:type="pct"/>
                  <w:gridSpan w:val="2"/>
                  <w:tcBorders>
                    <w:tl2br w:val="nil"/>
                    <w:tr2bl w:val="nil"/>
                  </w:tcBorders>
                  <w:vAlign w:val="center"/>
                </w:tcPr>
                <w:p w14:paraId="1E0958A1">
                  <w:pPr>
                    <w:jc w:val="center"/>
                    <w:rPr>
                      <w:b/>
                      <w:bCs/>
                      <w:color w:val="auto"/>
                      <w:kern w:val="0"/>
                      <w:szCs w:val="21"/>
                    </w:rPr>
                  </w:pPr>
                  <w:r>
                    <w:rPr>
                      <w:b/>
                      <w:bCs/>
                      <w:color w:val="auto"/>
                      <w:kern w:val="0"/>
                      <w:szCs w:val="21"/>
                    </w:rPr>
                    <w:t>浓度限值（mg/L）</w:t>
                  </w:r>
                </w:p>
              </w:tc>
            </w:tr>
            <w:tr w14:paraId="4A550D8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restart"/>
                  <w:tcBorders>
                    <w:tl2br w:val="nil"/>
                    <w:tr2bl w:val="nil"/>
                  </w:tcBorders>
                  <w:vAlign w:val="center"/>
                </w:tcPr>
                <w:p w14:paraId="0DC1B98D">
                  <w:pPr>
                    <w:jc w:val="center"/>
                    <w:rPr>
                      <w:color w:val="auto"/>
                      <w:kern w:val="0"/>
                      <w:szCs w:val="21"/>
                    </w:rPr>
                  </w:pPr>
                  <w:r>
                    <w:rPr>
                      <w:color w:val="auto"/>
                      <w:kern w:val="0"/>
                      <w:szCs w:val="21"/>
                    </w:rPr>
                    <w:t>1</w:t>
                  </w:r>
                </w:p>
              </w:tc>
              <w:tc>
                <w:tcPr>
                  <w:tcW w:w="513" w:type="pct"/>
                  <w:vMerge w:val="restart"/>
                  <w:tcBorders>
                    <w:tl2br w:val="nil"/>
                    <w:tr2bl w:val="nil"/>
                  </w:tcBorders>
                  <w:vAlign w:val="center"/>
                </w:tcPr>
                <w:p w14:paraId="4A13C205">
                  <w:pPr>
                    <w:jc w:val="center"/>
                    <w:rPr>
                      <w:color w:val="auto"/>
                      <w:kern w:val="0"/>
                      <w:szCs w:val="21"/>
                    </w:rPr>
                  </w:pPr>
                  <w:r>
                    <w:rPr>
                      <w:color w:val="auto"/>
                      <w:kern w:val="0"/>
                      <w:szCs w:val="21"/>
                    </w:rPr>
                    <w:t>DW</w:t>
                  </w:r>
                  <w:r>
                    <w:rPr>
                      <w:rFonts w:hint="eastAsia"/>
                      <w:color w:val="auto"/>
                      <w:kern w:val="0"/>
                      <w:szCs w:val="21"/>
                    </w:rPr>
                    <w:t>0</w:t>
                  </w:r>
                  <w:r>
                    <w:rPr>
                      <w:color w:val="auto"/>
                      <w:kern w:val="0"/>
                      <w:szCs w:val="21"/>
                    </w:rPr>
                    <w:t>01</w:t>
                  </w:r>
                </w:p>
              </w:tc>
              <w:tc>
                <w:tcPr>
                  <w:tcW w:w="762" w:type="pct"/>
                  <w:vMerge w:val="restart"/>
                  <w:tcBorders>
                    <w:tl2br w:val="nil"/>
                    <w:tr2bl w:val="nil"/>
                  </w:tcBorders>
                  <w:vAlign w:val="center"/>
                </w:tcPr>
                <w:p w14:paraId="7D85241B">
                  <w:pPr>
                    <w:jc w:val="center"/>
                    <w:rPr>
                      <w:color w:val="auto"/>
                      <w:kern w:val="0"/>
                      <w:szCs w:val="21"/>
                    </w:rPr>
                  </w:pPr>
                  <w:r>
                    <w:rPr>
                      <w:rFonts w:hint="eastAsia"/>
                      <w:color w:val="auto"/>
                      <w:kern w:val="0"/>
                      <w:szCs w:val="21"/>
                    </w:rPr>
                    <w:t>pH、</w:t>
                  </w:r>
                  <w:r>
                    <w:rPr>
                      <w:color w:val="auto"/>
                      <w:kern w:val="0"/>
                      <w:szCs w:val="21"/>
                    </w:rPr>
                    <w:t>COD、SS、NH</w:t>
                  </w:r>
                  <w:r>
                    <w:rPr>
                      <w:color w:val="auto"/>
                      <w:kern w:val="0"/>
                      <w:szCs w:val="21"/>
                      <w:vertAlign w:val="subscript"/>
                    </w:rPr>
                    <w:t>3</w:t>
                  </w:r>
                  <w:r>
                    <w:rPr>
                      <w:color w:val="auto"/>
                      <w:kern w:val="0"/>
                      <w:szCs w:val="21"/>
                    </w:rPr>
                    <w:t>-N、TP、TN</w:t>
                  </w:r>
                </w:p>
              </w:tc>
              <w:tc>
                <w:tcPr>
                  <w:tcW w:w="2055" w:type="pct"/>
                  <w:vMerge w:val="restart"/>
                  <w:tcBorders>
                    <w:tl2br w:val="nil"/>
                    <w:tr2bl w:val="nil"/>
                  </w:tcBorders>
                  <w:vAlign w:val="center"/>
                </w:tcPr>
                <w:p w14:paraId="65FA8E3D">
                  <w:pPr>
                    <w:jc w:val="center"/>
                    <w:rPr>
                      <w:color w:val="auto"/>
                      <w:kern w:val="0"/>
                      <w:szCs w:val="21"/>
                    </w:rPr>
                  </w:pPr>
                  <w:r>
                    <w:rPr>
                      <w:rFonts w:hint="default" w:ascii="Times New Roman" w:hAnsi="Times New Roman" w:eastAsia="宋体" w:cs="Times New Roman"/>
                      <w:color w:val="auto"/>
                      <w:szCs w:val="21"/>
                      <w:lang w:val="en-US" w:eastAsia="zh-CN"/>
                    </w:rPr>
                    <w:t>《污水排入城镇下水道水质标准》（GB/T31962-2015）表1中B等级</w:t>
                  </w:r>
                </w:p>
              </w:tc>
              <w:tc>
                <w:tcPr>
                  <w:tcW w:w="842" w:type="pct"/>
                  <w:tcBorders>
                    <w:tl2br w:val="nil"/>
                    <w:tr2bl w:val="nil"/>
                  </w:tcBorders>
                  <w:vAlign w:val="center"/>
                </w:tcPr>
                <w:p w14:paraId="3054F328">
                  <w:pPr>
                    <w:jc w:val="center"/>
                    <w:rPr>
                      <w:color w:val="auto"/>
                      <w:kern w:val="0"/>
                      <w:szCs w:val="21"/>
                    </w:rPr>
                  </w:pPr>
                  <w:r>
                    <w:rPr>
                      <w:rFonts w:hint="eastAsia"/>
                      <w:color w:val="auto"/>
                      <w:kern w:val="0"/>
                      <w:szCs w:val="21"/>
                    </w:rPr>
                    <w:t>pH</w:t>
                  </w:r>
                </w:p>
              </w:tc>
              <w:tc>
                <w:tcPr>
                  <w:tcW w:w="421" w:type="pct"/>
                  <w:tcBorders>
                    <w:tl2br w:val="nil"/>
                    <w:tr2bl w:val="nil"/>
                  </w:tcBorders>
                  <w:vAlign w:val="center"/>
                </w:tcPr>
                <w:p w14:paraId="6DB66437">
                  <w:pPr>
                    <w:jc w:val="center"/>
                    <w:rPr>
                      <w:color w:val="auto"/>
                      <w:kern w:val="0"/>
                      <w:szCs w:val="21"/>
                    </w:rPr>
                  </w:pPr>
                  <w:r>
                    <w:rPr>
                      <w:rFonts w:hint="eastAsia"/>
                      <w:color w:val="auto"/>
                      <w:kern w:val="0"/>
                      <w:szCs w:val="21"/>
                    </w:rPr>
                    <w:t>6~9</w:t>
                  </w:r>
                </w:p>
              </w:tc>
            </w:tr>
            <w:tr w14:paraId="740DE3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46467D7">
                  <w:pPr>
                    <w:jc w:val="center"/>
                    <w:rPr>
                      <w:color w:val="auto"/>
                      <w:kern w:val="0"/>
                      <w:szCs w:val="21"/>
                    </w:rPr>
                  </w:pPr>
                </w:p>
              </w:tc>
              <w:tc>
                <w:tcPr>
                  <w:tcW w:w="513" w:type="pct"/>
                  <w:vMerge w:val="continue"/>
                  <w:tcBorders>
                    <w:tl2br w:val="nil"/>
                    <w:tr2bl w:val="nil"/>
                  </w:tcBorders>
                  <w:vAlign w:val="center"/>
                </w:tcPr>
                <w:p w14:paraId="66AC435C">
                  <w:pPr>
                    <w:jc w:val="center"/>
                    <w:rPr>
                      <w:color w:val="auto"/>
                      <w:kern w:val="0"/>
                      <w:szCs w:val="21"/>
                    </w:rPr>
                  </w:pPr>
                </w:p>
              </w:tc>
              <w:tc>
                <w:tcPr>
                  <w:tcW w:w="762" w:type="pct"/>
                  <w:vMerge w:val="continue"/>
                  <w:tcBorders>
                    <w:tl2br w:val="nil"/>
                    <w:tr2bl w:val="nil"/>
                  </w:tcBorders>
                  <w:vAlign w:val="center"/>
                </w:tcPr>
                <w:p w14:paraId="5DAE6D7A">
                  <w:pPr>
                    <w:jc w:val="center"/>
                    <w:rPr>
                      <w:color w:val="auto"/>
                      <w:kern w:val="0"/>
                      <w:szCs w:val="21"/>
                    </w:rPr>
                  </w:pPr>
                </w:p>
              </w:tc>
              <w:tc>
                <w:tcPr>
                  <w:tcW w:w="2055" w:type="pct"/>
                  <w:vMerge w:val="continue"/>
                  <w:tcBorders>
                    <w:tl2br w:val="nil"/>
                    <w:tr2bl w:val="nil"/>
                  </w:tcBorders>
                  <w:vAlign w:val="center"/>
                </w:tcPr>
                <w:p w14:paraId="3A884947">
                  <w:pPr>
                    <w:jc w:val="center"/>
                    <w:rPr>
                      <w:color w:val="auto"/>
                      <w:kern w:val="0"/>
                      <w:szCs w:val="21"/>
                    </w:rPr>
                  </w:pPr>
                </w:p>
              </w:tc>
              <w:tc>
                <w:tcPr>
                  <w:tcW w:w="842" w:type="pct"/>
                  <w:tcBorders>
                    <w:tl2br w:val="nil"/>
                    <w:tr2bl w:val="nil"/>
                  </w:tcBorders>
                  <w:vAlign w:val="center"/>
                </w:tcPr>
                <w:p w14:paraId="2D642839">
                  <w:pPr>
                    <w:jc w:val="center"/>
                    <w:rPr>
                      <w:color w:val="auto"/>
                      <w:kern w:val="0"/>
                      <w:szCs w:val="21"/>
                    </w:rPr>
                  </w:pPr>
                  <w:r>
                    <w:rPr>
                      <w:color w:val="auto"/>
                      <w:kern w:val="0"/>
                      <w:szCs w:val="21"/>
                    </w:rPr>
                    <w:t>COD</w:t>
                  </w:r>
                </w:p>
              </w:tc>
              <w:tc>
                <w:tcPr>
                  <w:tcW w:w="696" w:type="dxa"/>
                  <w:tcBorders>
                    <w:tl2br w:val="nil"/>
                    <w:tr2bl w:val="nil"/>
                  </w:tcBorders>
                  <w:vAlign w:val="center"/>
                </w:tcPr>
                <w:p w14:paraId="47AA498B">
                  <w:pPr>
                    <w:keepNext w:val="0"/>
                    <w:keepLines w:val="0"/>
                    <w:widowControl/>
                    <w:suppressLineNumbers w:val="0"/>
                    <w:jc w:val="center"/>
                    <w:textAlignment w:val="center"/>
                    <w:rPr>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4CCD496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547AC126">
                  <w:pPr>
                    <w:jc w:val="center"/>
                    <w:rPr>
                      <w:color w:val="auto"/>
                      <w:kern w:val="0"/>
                      <w:szCs w:val="21"/>
                    </w:rPr>
                  </w:pPr>
                </w:p>
              </w:tc>
              <w:tc>
                <w:tcPr>
                  <w:tcW w:w="513" w:type="pct"/>
                  <w:vMerge w:val="continue"/>
                  <w:tcBorders>
                    <w:tl2br w:val="nil"/>
                    <w:tr2bl w:val="nil"/>
                  </w:tcBorders>
                  <w:vAlign w:val="center"/>
                </w:tcPr>
                <w:p w14:paraId="577B9B7B">
                  <w:pPr>
                    <w:jc w:val="center"/>
                    <w:rPr>
                      <w:color w:val="auto"/>
                      <w:kern w:val="0"/>
                      <w:szCs w:val="21"/>
                    </w:rPr>
                  </w:pPr>
                </w:p>
              </w:tc>
              <w:tc>
                <w:tcPr>
                  <w:tcW w:w="762" w:type="pct"/>
                  <w:vMerge w:val="continue"/>
                  <w:tcBorders>
                    <w:tl2br w:val="nil"/>
                    <w:tr2bl w:val="nil"/>
                  </w:tcBorders>
                  <w:vAlign w:val="center"/>
                </w:tcPr>
                <w:p w14:paraId="22996507">
                  <w:pPr>
                    <w:jc w:val="center"/>
                    <w:rPr>
                      <w:color w:val="auto"/>
                      <w:kern w:val="0"/>
                      <w:szCs w:val="21"/>
                    </w:rPr>
                  </w:pPr>
                </w:p>
              </w:tc>
              <w:tc>
                <w:tcPr>
                  <w:tcW w:w="2055" w:type="pct"/>
                  <w:vMerge w:val="continue"/>
                  <w:tcBorders>
                    <w:tl2br w:val="nil"/>
                    <w:tr2bl w:val="nil"/>
                  </w:tcBorders>
                  <w:vAlign w:val="center"/>
                </w:tcPr>
                <w:p w14:paraId="2A751055">
                  <w:pPr>
                    <w:jc w:val="center"/>
                    <w:rPr>
                      <w:color w:val="auto"/>
                      <w:kern w:val="0"/>
                      <w:szCs w:val="21"/>
                    </w:rPr>
                  </w:pPr>
                </w:p>
              </w:tc>
              <w:tc>
                <w:tcPr>
                  <w:tcW w:w="842" w:type="pct"/>
                  <w:tcBorders>
                    <w:tl2br w:val="nil"/>
                    <w:tr2bl w:val="nil"/>
                  </w:tcBorders>
                  <w:vAlign w:val="center"/>
                </w:tcPr>
                <w:p w14:paraId="12832A72">
                  <w:pPr>
                    <w:jc w:val="center"/>
                    <w:rPr>
                      <w:color w:val="auto"/>
                      <w:kern w:val="0"/>
                      <w:szCs w:val="21"/>
                    </w:rPr>
                  </w:pPr>
                  <w:r>
                    <w:rPr>
                      <w:color w:val="auto"/>
                      <w:kern w:val="0"/>
                      <w:szCs w:val="21"/>
                    </w:rPr>
                    <w:t>SS</w:t>
                  </w:r>
                </w:p>
              </w:tc>
              <w:tc>
                <w:tcPr>
                  <w:tcW w:w="696" w:type="dxa"/>
                  <w:tcBorders>
                    <w:tl2br w:val="nil"/>
                    <w:tr2bl w:val="nil"/>
                  </w:tcBorders>
                  <w:vAlign w:val="center"/>
                </w:tcPr>
                <w:p w14:paraId="5383B0C9">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400</w:t>
                  </w:r>
                </w:p>
              </w:tc>
            </w:tr>
            <w:tr w14:paraId="29183A9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4C64F722">
                  <w:pPr>
                    <w:jc w:val="center"/>
                    <w:rPr>
                      <w:color w:val="auto"/>
                      <w:kern w:val="0"/>
                      <w:szCs w:val="21"/>
                    </w:rPr>
                  </w:pPr>
                </w:p>
              </w:tc>
              <w:tc>
                <w:tcPr>
                  <w:tcW w:w="513" w:type="pct"/>
                  <w:vMerge w:val="continue"/>
                  <w:tcBorders>
                    <w:tl2br w:val="nil"/>
                    <w:tr2bl w:val="nil"/>
                  </w:tcBorders>
                  <w:vAlign w:val="center"/>
                </w:tcPr>
                <w:p w14:paraId="530C2B8F">
                  <w:pPr>
                    <w:jc w:val="center"/>
                    <w:rPr>
                      <w:color w:val="auto"/>
                      <w:kern w:val="0"/>
                      <w:szCs w:val="21"/>
                    </w:rPr>
                  </w:pPr>
                </w:p>
              </w:tc>
              <w:tc>
                <w:tcPr>
                  <w:tcW w:w="762" w:type="pct"/>
                  <w:vMerge w:val="continue"/>
                  <w:tcBorders>
                    <w:tl2br w:val="nil"/>
                    <w:tr2bl w:val="nil"/>
                  </w:tcBorders>
                  <w:vAlign w:val="center"/>
                </w:tcPr>
                <w:p w14:paraId="5AD3D6D0">
                  <w:pPr>
                    <w:jc w:val="center"/>
                    <w:rPr>
                      <w:color w:val="auto"/>
                      <w:kern w:val="0"/>
                      <w:szCs w:val="21"/>
                    </w:rPr>
                  </w:pPr>
                </w:p>
              </w:tc>
              <w:tc>
                <w:tcPr>
                  <w:tcW w:w="2055" w:type="pct"/>
                  <w:vMerge w:val="continue"/>
                  <w:tcBorders>
                    <w:tl2br w:val="nil"/>
                    <w:tr2bl w:val="nil"/>
                  </w:tcBorders>
                  <w:vAlign w:val="center"/>
                </w:tcPr>
                <w:p w14:paraId="2B8E7D68">
                  <w:pPr>
                    <w:jc w:val="center"/>
                    <w:rPr>
                      <w:color w:val="auto"/>
                      <w:kern w:val="0"/>
                      <w:szCs w:val="21"/>
                    </w:rPr>
                  </w:pPr>
                </w:p>
              </w:tc>
              <w:tc>
                <w:tcPr>
                  <w:tcW w:w="842" w:type="pct"/>
                  <w:tcBorders>
                    <w:tl2br w:val="nil"/>
                    <w:tr2bl w:val="nil"/>
                  </w:tcBorders>
                  <w:vAlign w:val="center"/>
                </w:tcPr>
                <w:p w14:paraId="054C6347">
                  <w:pPr>
                    <w:jc w:val="center"/>
                    <w:rPr>
                      <w:color w:val="auto"/>
                      <w:kern w:val="0"/>
                      <w:szCs w:val="21"/>
                    </w:rPr>
                  </w:pPr>
                  <w:r>
                    <w:rPr>
                      <w:color w:val="auto"/>
                      <w:kern w:val="0"/>
                      <w:szCs w:val="21"/>
                    </w:rPr>
                    <w:t>NH</w:t>
                  </w:r>
                  <w:r>
                    <w:rPr>
                      <w:color w:val="auto"/>
                      <w:kern w:val="0"/>
                      <w:szCs w:val="21"/>
                      <w:vertAlign w:val="subscript"/>
                    </w:rPr>
                    <w:t>3</w:t>
                  </w:r>
                  <w:r>
                    <w:rPr>
                      <w:color w:val="auto"/>
                      <w:kern w:val="0"/>
                      <w:szCs w:val="21"/>
                    </w:rPr>
                    <w:t>-N</w:t>
                  </w:r>
                </w:p>
              </w:tc>
              <w:tc>
                <w:tcPr>
                  <w:tcW w:w="696" w:type="dxa"/>
                  <w:tcBorders>
                    <w:tl2br w:val="nil"/>
                    <w:tr2bl w:val="nil"/>
                  </w:tcBorders>
                  <w:vAlign w:val="center"/>
                </w:tcPr>
                <w:p w14:paraId="438163DB">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45</w:t>
                  </w:r>
                </w:p>
              </w:tc>
            </w:tr>
            <w:tr w14:paraId="5E4A865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6" w:type="pct"/>
                  <w:vMerge w:val="continue"/>
                  <w:tcBorders>
                    <w:tl2br w:val="nil"/>
                    <w:tr2bl w:val="nil"/>
                  </w:tcBorders>
                  <w:vAlign w:val="center"/>
                </w:tcPr>
                <w:p w14:paraId="43EA21D2">
                  <w:pPr>
                    <w:jc w:val="center"/>
                    <w:rPr>
                      <w:color w:val="auto"/>
                      <w:kern w:val="0"/>
                      <w:szCs w:val="21"/>
                    </w:rPr>
                  </w:pPr>
                </w:p>
              </w:tc>
              <w:tc>
                <w:tcPr>
                  <w:tcW w:w="513" w:type="pct"/>
                  <w:vMerge w:val="continue"/>
                  <w:tcBorders>
                    <w:tl2br w:val="nil"/>
                    <w:tr2bl w:val="nil"/>
                  </w:tcBorders>
                  <w:vAlign w:val="center"/>
                </w:tcPr>
                <w:p w14:paraId="063648B1">
                  <w:pPr>
                    <w:jc w:val="center"/>
                    <w:rPr>
                      <w:color w:val="auto"/>
                      <w:kern w:val="0"/>
                      <w:szCs w:val="21"/>
                    </w:rPr>
                  </w:pPr>
                </w:p>
              </w:tc>
              <w:tc>
                <w:tcPr>
                  <w:tcW w:w="762" w:type="pct"/>
                  <w:vMerge w:val="continue"/>
                  <w:tcBorders>
                    <w:tl2br w:val="nil"/>
                    <w:tr2bl w:val="nil"/>
                  </w:tcBorders>
                  <w:vAlign w:val="center"/>
                </w:tcPr>
                <w:p w14:paraId="06DE39AE">
                  <w:pPr>
                    <w:jc w:val="center"/>
                    <w:rPr>
                      <w:color w:val="auto"/>
                      <w:kern w:val="0"/>
                      <w:szCs w:val="21"/>
                    </w:rPr>
                  </w:pPr>
                </w:p>
              </w:tc>
              <w:tc>
                <w:tcPr>
                  <w:tcW w:w="2055" w:type="pct"/>
                  <w:vMerge w:val="continue"/>
                  <w:tcBorders>
                    <w:tl2br w:val="nil"/>
                    <w:tr2bl w:val="nil"/>
                  </w:tcBorders>
                  <w:vAlign w:val="center"/>
                </w:tcPr>
                <w:p w14:paraId="04DEF754">
                  <w:pPr>
                    <w:jc w:val="center"/>
                    <w:rPr>
                      <w:color w:val="auto"/>
                      <w:kern w:val="0"/>
                      <w:szCs w:val="21"/>
                    </w:rPr>
                  </w:pPr>
                </w:p>
              </w:tc>
              <w:tc>
                <w:tcPr>
                  <w:tcW w:w="842" w:type="pct"/>
                  <w:tcBorders>
                    <w:tl2br w:val="nil"/>
                    <w:tr2bl w:val="nil"/>
                  </w:tcBorders>
                  <w:vAlign w:val="center"/>
                </w:tcPr>
                <w:p w14:paraId="7F2D3C9B">
                  <w:pPr>
                    <w:jc w:val="center"/>
                    <w:rPr>
                      <w:color w:val="auto"/>
                      <w:kern w:val="0"/>
                      <w:szCs w:val="21"/>
                    </w:rPr>
                  </w:pPr>
                  <w:r>
                    <w:rPr>
                      <w:color w:val="auto"/>
                      <w:kern w:val="0"/>
                      <w:szCs w:val="21"/>
                    </w:rPr>
                    <w:t>TN</w:t>
                  </w:r>
                </w:p>
              </w:tc>
              <w:tc>
                <w:tcPr>
                  <w:tcW w:w="696" w:type="dxa"/>
                  <w:tcBorders>
                    <w:tl2br w:val="nil"/>
                    <w:tr2bl w:val="nil"/>
                  </w:tcBorders>
                  <w:vAlign w:val="center"/>
                </w:tcPr>
                <w:p w14:paraId="20D909F9">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70</w:t>
                  </w:r>
                </w:p>
              </w:tc>
            </w:tr>
            <w:tr w14:paraId="4760775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6" w:type="pct"/>
                  <w:vMerge w:val="continue"/>
                  <w:tcBorders>
                    <w:tl2br w:val="nil"/>
                    <w:tr2bl w:val="nil"/>
                  </w:tcBorders>
                  <w:vAlign w:val="center"/>
                </w:tcPr>
                <w:p w14:paraId="2D4F1C15">
                  <w:pPr>
                    <w:jc w:val="center"/>
                    <w:rPr>
                      <w:color w:val="auto"/>
                      <w:kern w:val="0"/>
                      <w:szCs w:val="21"/>
                    </w:rPr>
                  </w:pPr>
                </w:p>
              </w:tc>
              <w:tc>
                <w:tcPr>
                  <w:tcW w:w="513" w:type="pct"/>
                  <w:vMerge w:val="continue"/>
                  <w:tcBorders>
                    <w:tl2br w:val="nil"/>
                    <w:tr2bl w:val="nil"/>
                  </w:tcBorders>
                  <w:vAlign w:val="center"/>
                </w:tcPr>
                <w:p w14:paraId="260BAD2A">
                  <w:pPr>
                    <w:jc w:val="center"/>
                    <w:rPr>
                      <w:color w:val="auto"/>
                      <w:kern w:val="0"/>
                      <w:szCs w:val="21"/>
                    </w:rPr>
                  </w:pPr>
                </w:p>
              </w:tc>
              <w:tc>
                <w:tcPr>
                  <w:tcW w:w="762" w:type="pct"/>
                  <w:vMerge w:val="continue"/>
                  <w:tcBorders>
                    <w:tl2br w:val="nil"/>
                    <w:tr2bl w:val="nil"/>
                  </w:tcBorders>
                  <w:vAlign w:val="center"/>
                </w:tcPr>
                <w:p w14:paraId="1EAA7370">
                  <w:pPr>
                    <w:jc w:val="center"/>
                    <w:rPr>
                      <w:color w:val="auto"/>
                      <w:kern w:val="0"/>
                      <w:szCs w:val="21"/>
                    </w:rPr>
                  </w:pPr>
                </w:p>
              </w:tc>
              <w:tc>
                <w:tcPr>
                  <w:tcW w:w="2055" w:type="pct"/>
                  <w:vMerge w:val="continue"/>
                  <w:tcBorders>
                    <w:tl2br w:val="nil"/>
                    <w:tr2bl w:val="nil"/>
                  </w:tcBorders>
                  <w:vAlign w:val="center"/>
                </w:tcPr>
                <w:p w14:paraId="32BDFAEA">
                  <w:pPr>
                    <w:jc w:val="center"/>
                    <w:rPr>
                      <w:color w:val="auto"/>
                      <w:kern w:val="0"/>
                      <w:szCs w:val="21"/>
                    </w:rPr>
                  </w:pPr>
                </w:p>
              </w:tc>
              <w:tc>
                <w:tcPr>
                  <w:tcW w:w="842" w:type="pct"/>
                  <w:tcBorders>
                    <w:tl2br w:val="nil"/>
                    <w:tr2bl w:val="nil"/>
                  </w:tcBorders>
                  <w:vAlign w:val="center"/>
                </w:tcPr>
                <w:p w14:paraId="3AA9C8FC">
                  <w:pPr>
                    <w:jc w:val="center"/>
                    <w:rPr>
                      <w:color w:val="auto"/>
                      <w:kern w:val="0"/>
                      <w:szCs w:val="21"/>
                    </w:rPr>
                  </w:pPr>
                  <w:r>
                    <w:rPr>
                      <w:color w:val="auto"/>
                      <w:kern w:val="0"/>
                      <w:szCs w:val="21"/>
                    </w:rPr>
                    <w:t>TP</w:t>
                  </w:r>
                </w:p>
              </w:tc>
              <w:tc>
                <w:tcPr>
                  <w:tcW w:w="696" w:type="dxa"/>
                  <w:tcBorders>
                    <w:tl2br w:val="nil"/>
                    <w:tr2bl w:val="nil"/>
                  </w:tcBorders>
                  <w:vAlign w:val="center"/>
                </w:tcPr>
                <w:p w14:paraId="49AF28F6">
                  <w:pPr>
                    <w:keepNext w:val="0"/>
                    <w:keepLines w:val="0"/>
                    <w:widowControl/>
                    <w:suppressLineNumbers w:val="0"/>
                    <w:jc w:val="center"/>
                    <w:textAlignment w:val="center"/>
                    <w:rPr>
                      <w:color w:val="auto"/>
                      <w:kern w:val="0"/>
                      <w:szCs w:val="21"/>
                    </w:rPr>
                  </w:pPr>
                  <w:r>
                    <w:rPr>
                      <w:rFonts w:hint="eastAsia" w:cs="Times New Roman"/>
                      <w:i w:val="0"/>
                      <w:iCs w:val="0"/>
                      <w:color w:val="auto"/>
                      <w:kern w:val="0"/>
                      <w:sz w:val="21"/>
                      <w:szCs w:val="21"/>
                      <w:u w:val="none"/>
                      <w:lang w:val="en-US" w:eastAsia="zh-CN" w:bidi="ar"/>
                    </w:rPr>
                    <w:t>8</w:t>
                  </w:r>
                </w:p>
              </w:tc>
            </w:tr>
          </w:tbl>
          <w:p w14:paraId="65FC3C8F">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b/>
                <w:bCs/>
                <w:color w:val="auto"/>
                <w:sz w:val="24"/>
              </w:rPr>
            </w:pPr>
            <w:r>
              <w:rPr>
                <w:rFonts w:hint="eastAsia"/>
                <w:b/>
                <w:bCs/>
                <w:color w:val="auto"/>
                <w:sz w:val="24"/>
                <w:lang w:val="en-US" w:eastAsia="zh-CN"/>
              </w:rPr>
              <w:t>6、</w:t>
            </w:r>
            <w:r>
              <w:rPr>
                <w:b/>
                <w:bCs/>
                <w:color w:val="auto"/>
                <w:sz w:val="24"/>
              </w:rPr>
              <w:t>监测要求</w:t>
            </w:r>
          </w:p>
          <w:p w14:paraId="568DC60B">
            <w:pPr>
              <w:pStyle w:val="6"/>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sz w:val="24"/>
                <w:highlight w:val="none"/>
                <w:lang w:val="en-US" w:eastAsia="zh-CN"/>
              </w:rPr>
              <w:t>根据</w:t>
            </w:r>
            <w:r>
              <w:rPr>
                <w:rFonts w:hint="default" w:ascii="Times New Roman" w:hAnsi="Times New Roman" w:eastAsia="宋体" w:cs="Times New Roman"/>
                <w:color w:val="auto"/>
                <w:sz w:val="24"/>
                <w:szCs w:val="28"/>
                <w:lang w:eastAsia="zh-CN"/>
              </w:rPr>
              <w:t>《排污许可证申请与核发技术规范</w:t>
            </w:r>
            <w:r>
              <w:rPr>
                <w:rFonts w:hint="eastAsia" w:ascii="Times New Roman" w:hAnsi="Times New Roman" w:eastAsia="宋体" w:cs="Times New Roman"/>
                <w:color w:val="auto"/>
                <w:sz w:val="24"/>
                <w:szCs w:val="28"/>
                <w:lang w:val="en-US" w:eastAsia="zh-CN"/>
              </w:rPr>
              <w:t xml:space="preserve"> </w:t>
            </w:r>
            <w:r>
              <w:rPr>
                <w:rFonts w:hint="eastAsia" w:ascii="Times New Roman" w:hAnsi="Times New Roman" w:eastAsia="宋体" w:cs="Times New Roman"/>
                <w:color w:val="auto"/>
                <w:sz w:val="24"/>
                <w:szCs w:val="28"/>
                <w:lang w:eastAsia="zh-CN"/>
              </w:rPr>
              <w:t>电子工业</w:t>
            </w:r>
            <w:r>
              <w:rPr>
                <w:rFonts w:hint="default"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eastAsia="zh-CN"/>
              </w:rPr>
              <w:t>HJ1031—2019</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bCs/>
                <w:color w:val="auto"/>
                <w:sz w:val="24"/>
                <w:highlight w:val="none"/>
                <w:lang w:val="en-US" w:eastAsia="zh-CN"/>
              </w:rPr>
              <w:t>要求，本项目无生产废水产生，生活污水</w:t>
            </w:r>
            <w:r>
              <w:rPr>
                <w:rFonts w:hint="eastAsia" w:ascii="Times New Roman" w:hAnsi="Times New Roman" w:cs="Times New Roman"/>
                <w:bCs/>
                <w:color w:val="auto"/>
                <w:sz w:val="24"/>
                <w:highlight w:val="none"/>
                <w:lang w:val="en-US" w:eastAsia="zh-CN"/>
              </w:rPr>
              <w:t>接管至金坛区指前镇新河村农村生活污水处理站</w:t>
            </w:r>
            <w:r>
              <w:rPr>
                <w:rFonts w:hint="default" w:ascii="Times New Roman" w:hAnsi="Times New Roman" w:eastAsia="宋体" w:cs="Times New Roman"/>
                <w:bCs/>
                <w:color w:val="auto"/>
                <w:sz w:val="24"/>
                <w:highlight w:val="none"/>
                <w:lang w:val="en-US" w:eastAsia="zh-CN"/>
              </w:rPr>
              <w:t>，属于间接排放，可不进行自行监测</w:t>
            </w:r>
            <w:r>
              <w:rPr>
                <w:rFonts w:hint="eastAsia" w:ascii="Times New Roman" w:hAnsi="Times New Roman" w:eastAsia="宋体" w:cs="Times New Roman"/>
                <w:bCs/>
                <w:color w:val="auto"/>
                <w:kern w:val="2"/>
                <w:sz w:val="24"/>
                <w:szCs w:val="24"/>
                <w:highlight w:val="none"/>
                <w:lang w:val="en-US" w:eastAsia="zh-CN" w:bidi="ar-SA"/>
              </w:rPr>
              <w:t>。</w:t>
            </w:r>
          </w:p>
          <w:p w14:paraId="3F8047B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7、</w:t>
            </w:r>
            <w:r>
              <w:rPr>
                <w:rFonts w:hint="eastAsia" w:ascii="Times New Roman" w:hAnsi="Times New Roman" w:eastAsia="宋体" w:cs="Times New Roman"/>
                <w:b/>
                <w:bCs w:val="0"/>
                <w:color w:val="auto"/>
                <w:sz w:val="24"/>
                <w:highlight w:val="none"/>
                <w:lang w:val="en-US" w:eastAsia="zh-CN"/>
              </w:rPr>
              <w:t>排污口规范化设置</w:t>
            </w:r>
          </w:p>
          <w:p w14:paraId="656E3BB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项目所在地地块内实施“雨污分流”，</w:t>
            </w:r>
            <w:r>
              <w:rPr>
                <w:rFonts w:hint="eastAsia" w:cs="Times New Roman"/>
                <w:bCs/>
                <w:color w:val="auto"/>
                <w:sz w:val="24"/>
                <w:highlight w:val="none"/>
                <w:lang w:val="en-US" w:eastAsia="zh-CN"/>
              </w:rPr>
              <w:t>需</w:t>
            </w:r>
            <w:r>
              <w:rPr>
                <w:rFonts w:hint="eastAsia" w:ascii="Times New Roman" w:hAnsi="Times New Roman" w:eastAsia="宋体" w:cs="Times New Roman"/>
                <w:bCs/>
                <w:color w:val="auto"/>
                <w:sz w:val="24"/>
                <w:highlight w:val="none"/>
                <w:lang w:val="en-US" w:eastAsia="zh-CN"/>
              </w:rPr>
              <w:t>设置规范化雨水排放口、污水接管口各1个，具备采样、监测条件，接管口附近应树立环保图形标志牌。</w:t>
            </w:r>
          </w:p>
          <w:p w14:paraId="570FCFF3">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8、</w:t>
            </w:r>
            <w:r>
              <w:rPr>
                <w:rFonts w:hint="default" w:ascii="Times New Roman" w:hAnsi="Times New Roman" w:eastAsia="宋体" w:cs="Times New Roman"/>
                <w:b/>
                <w:bCs w:val="0"/>
                <w:color w:val="auto"/>
                <w:sz w:val="24"/>
                <w:highlight w:val="none"/>
                <w:lang w:val="en-US" w:eastAsia="zh-CN"/>
              </w:rPr>
              <w:t>环境影响分析小结</w:t>
            </w:r>
          </w:p>
          <w:p w14:paraId="45BF55E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w:t>
            </w:r>
            <w:r>
              <w:rPr>
                <w:rFonts w:hint="eastAsia" w:cs="Times New Roman"/>
                <w:bCs/>
                <w:color w:val="auto"/>
                <w:sz w:val="24"/>
                <w:highlight w:val="none"/>
                <w:lang w:val="en-US" w:eastAsia="zh-CN"/>
              </w:rPr>
              <w:t>接管至金坛区指前镇新河村农村生活污水处理站</w:t>
            </w:r>
            <w:r>
              <w:rPr>
                <w:rFonts w:hint="default" w:ascii="Times New Roman" w:hAnsi="Times New Roman" w:eastAsia="宋体" w:cs="Times New Roman"/>
                <w:bCs/>
                <w:color w:val="auto"/>
                <w:sz w:val="24"/>
                <w:highlight w:val="none"/>
                <w:lang w:val="en-US" w:eastAsia="zh-CN"/>
              </w:rPr>
              <w:t>集中处理。故本项目废水排放对地表水环境影响很小，是可以接受的。</w:t>
            </w:r>
          </w:p>
          <w:p w14:paraId="772700D5">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三</w:t>
            </w:r>
            <w:r>
              <w:rPr>
                <w:rFonts w:hint="default" w:ascii="Times New Roman" w:hAnsi="Times New Roman" w:eastAsia="宋体" w:cs="Times New Roman"/>
                <w:b/>
                <w:bCs w:val="0"/>
                <w:color w:val="auto"/>
                <w:sz w:val="24"/>
                <w:highlight w:val="none"/>
                <w:lang w:val="en-US" w:eastAsia="zh-CN"/>
              </w:rPr>
              <w:t>、噪声</w:t>
            </w:r>
          </w:p>
          <w:p w14:paraId="42DD8506">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1、</w:t>
            </w:r>
            <w:r>
              <w:rPr>
                <w:rFonts w:hint="default" w:ascii="Times New Roman" w:hAnsi="Times New Roman" w:eastAsia="宋体" w:cs="Times New Roman"/>
                <w:b/>
                <w:bCs w:val="0"/>
                <w:color w:val="auto"/>
                <w:sz w:val="24"/>
                <w:highlight w:val="none"/>
                <w:lang w:val="en-US" w:eastAsia="zh-CN"/>
              </w:rPr>
              <w:t>噪声产生及排放情况</w:t>
            </w:r>
          </w:p>
          <w:p w14:paraId="1851AD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w:t>
            </w:r>
            <w:r>
              <w:rPr>
                <w:rFonts w:hint="eastAsia" w:ascii="Times New Roman" w:hAnsi="Times New Roman" w:eastAsia="宋体" w:cs="Times New Roman"/>
                <w:bCs/>
                <w:color w:val="auto"/>
                <w:sz w:val="24"/>
                <w:highlight w:val="none"/>
                <w:lang w:val="en-US" w:eastAsia="zh-CN"/>
              </w:rPr>
              <w:t>漆包线包膜机</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裁线机、精准匝数环绕机</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磁环绕线机、</w:t>
            </w:r>
            <w:r>
              <w:rPr>
                <w:rFonts w:hint="default" w:ascii="Times New Roman" w:hAnsi="Times New Roman" w:eastAsia="宋体" w:cs="Times New Roman"/>
                <w:bCs/>
                <w:color w:val="auto"/>
                <w:sz w:val="24"/>
                <w:highlight w:val="none"/>
                <w:lang w:val="en-US" w:eastAsia="zh-CN"/>
              </w:rPr>
              <w:t>空压机等设备，项目噪声源距离1米</w:t>
            </w:r>
            <w:r>
              <w:rPr>
                <w:rFonts w:hint="default" w:ascii="Times New Roman" w:hAnsi="Times New Roman" w:eastAsia="宋体" w:cs="Times New Roman"/>
                <w:bCs/>
                <w:color w:val="auto"/>
                <w:sz w:val="24"/>
                <w:szCs w:val="24"/>
                <w:highlight w:val="none"/>
                <w:lang w:val="en-US" w:eastAsia="zh-CN"/>
              </w:rPr>
              <w:t>处</w:t>
            </w:r>
            <w:r>
              <w:rPr>
                <w:rFonts w:hint="eastAsia"/>
                <w:color w:val="auto"/>
                <w:sz w:val="24"/>
                <w:szCs w:val="24"/>
                <w:lang w:val="en-US" w:eastAsia="zh-CN"/>
              </w:rPr>
              <w:t>声功率级</w:t>
            </w:r>
            <w:r>
              <w:rPr>
                <w:rFonts w:hint="default" w:ascii="Times New Roman" w:hAnsi="Times New Roman" w:eastAsia="宋体" w:cs="Times New Roman"/>
                <w:bCs/>
                <w:color w:val="auto"/>
                <w:sz w:val="24"/>
                <w:highlight w:val="none"/>
                <w:lang w:val="en-US" w:eastAsia="zh-CN"/>
              </w:rPr>
              <w:t>在7</w:t>
            </w:r>
            <w:r>
              <w:rPr>
                <w:rFonts w:hint="eastAsia" w:cs="Times New Roman"/>
                <w:bCs/>
                <w:color w:val="auto"/>
                <w:sz w:val="24"/>
                <w:highlight w:val="none"/>
                <w:lang w:val="en-US" w:eastAsia="zh-CN"/>
              </w:rPr>
              <w:t>0</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85</w:t>
            </w:r>
            <w:r>
              <w:rPr>
                <w:rFonts w:hint="default" w:ascii="Times New Roman" w:hAnsi="Times New Roman" w:eastAsia="宋体" w:cs="Times New Roman"/>
                <w:bCs/>
                <w:color w:val="auto"/>
                <w:sz w:val="24"/>
                <w:highlight w:val="none"/>
                <w:lang w:val="en-US" w:eastAsia="zh-CN"/>
              </w:rPr>
              <w:t>dB(A)之间。</w:t>
            </w:r>
          </w:p>
          <w:p w14:paraId="3A8B138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bCs/>
                <w:color w:val="auto"/>
                <w:sz w:val="24"/>
                <w:szCs w:val="22"/>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tc>
      </w:tr>
    </w:tbl>
    <w:p w14:paraId="2C4A59C5">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7" w:type="default"/>
          <w:pgSz w:w="11906" w:h="16838"/>
          <w:pgMar w:top="1701" w:right="1531" w:bottom="1701" w:left="1531" w:header="851" w:footer="1134" w:gutter="0"/>
          <w:pgBorders>
            <w:top w:val="none" w:sz="0" w:space="0"/>
            <w:left w:val="none" w:sz="0" w:space="0"/>
            <w:bottom w:val="none" w:sz="0" w:space="0"/>
            <w:right w:val="none" w:sz="0" w:space="0"/>
          </w:pgBorders>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0711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trPr>
        <w:tc>
          <w:tcPr>
            <w:tcW w:w="13652" w:type="dxa"/>
          </w:tcPr>
          <w:p w14:paraId="48CDB2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表4-1</w:t>
            </w:r>
            <w:r>
              <w:rPr>
                <w:rFonts w:hint="eastAsia" w:cs="Times New Roman"/>
                <w:b/>
                <w:bCs/>
                <w:color w:val="auto"/>
                <w:sz w:val="21"/>
                <w:szCs w:val="21"/>
                <w:lang w:val="en-US" w:eastAsia="zh-CN"/>
              </w:rPr>
              <w:t>0</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909"/>
              <w:gridCol w:w="685"/>
              <w:gridCol w:w="642"/>
              <w:gridCol w:w="1543"/>
              <w:gridCol w:w="1124"/>
              <w:gridCol w:w="586"/>
              <w:gridCol w:w="586"/>
              <w:gridCol w:w="642"/>
              <w:gridCol w:w="731"/>
              <w:gridCol w:w="726"/>
              <w:gridCol w:w="562"/>
              <w:gridCol w:w="1011"/>
              <w:gridCol w:w="1011"/>
              <w:gridCol w:w="1081"/>
            </w:tblGrid>
            <w:tr w14:paraId="0AC49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restart"/>
                  <w:noWrap w:val="0"/>
                  <w:vAlign w:val="center"/>
                </w:tcPr>
                <w:p w14:paraId="45D07EA6">
                  <w:pPr>
                    <w:adjustRightInd w:val="0"/>
                    <w:snapToGrid w:val="0"/>
                    <w:ind w:left="-105" w:leftChars="-50" w:right="-105" w:rightChars="-50"/>
                    <w:jc w:val="center"/>
                    <w:rPr>
                      <w:b/>
                      <w:color w:val="auto"/>
                    </w:rPr>
                  </w:pPr>
                  <w:r>
                    <w:rPr>
                      <w:rFonts w:hAnsi="宋体"/>
                      <w:b/>
                      <w:color w:val="auto"/>
                    </w:rPr>
                    <w:t>建筑物名称</w:t>
                  </w:r>
                </w:p>
              </w:tc>
              <w:tc>
                <w:tcPr>
                  <w:tcW w:w="710" w:type="pct"/>
                  <w:vMerge w:val="restart"/>
                  <w:noWrap w:val="0"/>
                  <w:vAlign w:val="center"/>
                </w:tcPr>
                <w:p w14:paraId="3FB73874">
                  <w:pPr>
                    <w:adjustRightInd w:val="0"/>
                    <w:snapToGrid w:val="0"/>
                    <w:ind w:left="-105" w:leftChars="-50" w:right="-105" w:rightChars="-50"/>
                    <w:jc w:val="center"/>
                    <w:rPr>
                      <w:b/>
                      <w:color w:val="auto"/>
                    </w:rPr>
                  </w:pPr>
                  <w:r>
                    <w:rPr>
                      <w:rFonts w:hAnsi="宋体"/>
                      <w:b/>
                      <w:color w:val="auto"/>
                    </w:rPr>
                    <w:t>声源名称</w:t>
                  </w:r>
                </w:p>
              </w:tc>
              <w:tc>
                <w:tcPr>
                  <w:tcW w:w="255" w:type="pct"/>
                  <w:vMerge w:val="restart"/>
                  <w:noWrap w:val="0"/>
                  <w:vAlign w:val="center"/>
                </w:tcPr>
                <w:p w14:paraId="73B17264">
                  <w:pPr>
                    <w:adjustRightInd w:val="0"/>
                    <w:snapToGrid w:val="0"/>
                    <w:ind w:left="-105" w:leftChars="-50" w:right="-105" w:rightChars="-50"/>
                    <w:jc w:val="center"/>
                    <w:rPr>
                      <w:rFonts w:hAnsi="宋体"/>
                      <w:b/>
                      <w:color w:val="auto"/>
                    </w:rPr>
                  </w:pPr>
                  <w:r>
                    <w:rPr>
                      <w:rFonts w:hAnsi="宋体"/>
                      <w:b/>
                      <w:color w:val="auto"/>
                    </w:rPr>
                    <w:t>型号</w:t>
                  </w:r>
                </w:p>
              </w:tc>
              <w:tc>
                <w:tcPr>
                  <w:tcW w:w="239" w:type="pct"/>
                  <w:vMerge w:val="restart"/>
                  <w:noWrap w:val="0"/>
                  <w:vAlign w:val="center"/>
                </w:tcPr>
                <w:p w14:paraId="60A58A9E">
                  <w:pPr>
                    <w:adjustRightInd w:val="0"/>
                    <w:snapToGrid w:val="0"/>
                    <w:ind w:left="-105" w:leftChars="-50" w:right="-105" w:rightChars="-50"/>
                    <w:jc w:val="center"/>
                    <w:rPr>
                      <w:b/>
                      <w:color w:val="auto"/>
                    </w:rPr>
                  </w:pPr>
                  <w:r>
                    <w:rPr>
                      <w:rFonts w:hint="default" w:ascii="Times New Roman" w:hAnsi="Times New Roman" w:cs="Times New Roman"/>
                      <w:b/>
                      <w:bCs/>
                      <w:color w:val="auto"/>
                      <w:lang w:val="en-US" w:eastAsia="zh-CN"/>
                    </w:rPr>
                    <w:t>数量</w:t>
                  </w:r>
                </w:p>
              </w:tc>
              <w:tc>
                <w:tcPr>
                  <w:tcW w:w="574" w:type="pct"/>
                  <w:noWrap w:val="0"/>
                  <w:vAlign w:val="center"/>
                </w:tcPr>
                <w:p w14:paraId="7C68DC38">
                  <w:pPr>
                    <w:adjustRightInd w:val="0"/>
                    <w:snapToGrid w:val="0"/>
                    <w:ind w:left="-105" w:leftChars="-50" w:right="-105" w:rightChars="-50"/>
                    <w:jc w:val="center"/>
                    <w:rPr>
                      <w:b/>
                      <w:color w:val="auto"/>
                    </w:rPr>
                  </w:pPr>
                  <w:r>
                    <w:rPr>
                      <w:rFonts w:hAnsi="宋体"/>
                      <w:b/>
                      <w:color w:val="auto"/>
                    </w:rPr>
                    <w:t>声源源强</w:t>
                  </w:r>
                </w:p>
              </w:tc>
              <w:tc>
                <w:tcPr>
                  <w:tcW w:w="418" w:type="pct"/>
                  <w:vMerge w:val="restart"/>
                  <w:noWrap w:val="0"/>
                  <w:vAlign w:val="center"/>
                </w:tcPr>
                <w:p w14:paraId="6D8FAADD">
                  <w:pPr>
                    <w:adjustRightInd w:val="0"/>
                    <w:snapToGrid w:val="0"/>
                    <w:ind w:left="-105" w:leftChars="-50" w:right="-105" w:rightChars="-50"/>
                    <w:jc w:val="center"/>
                    <w:rPr>
                      <w:b/>
                      <w:color w:val="auto"/>
                    </w:rPr>
                  </w:pPr>
                  <w:r>
                    <w:rPr>
                      <w:rFonts w:hAnsi="宋体"/>
                      <w:b/>
                      <w:color w:val="auto"/>
                    </w:rPr>
                    <w:t>声源控制措施</w:t>
                  </w:r>
                </w:p>
              </w:tc>
              <w:tc>
                <w:tcPr>
                  <w:tcW w:w="675" w:type="pct"/>
                  <w:gridSpan w:val="3"/>
                  <w:noWrap w:val="0"/>
                  <w:vAlign w:val="center"/>
                </w:tcPr>
                <w:p w14:paraId="4FD8F020">
                  <w:pPr>
                    <w:adjustRightInd w:val="0"/>
                    <w:snapToGrid w:val="0"/>
                    <w:ind w:left="-105" w:leftChars="-50" w:right="-105" w:rightChars="-50"/>
                    <w:jc w:val="center"/>
                    <w:rPr>
                      <w:b/>
                      <w:color w:val="auto"/>
                    </w:rPr>
                  </w:pPr>
                  <w:r>
                    <w:rPr>
                      <w:rFonts w:hAnsi="宋体"/>
                      <w:b/>
                      <w:color w:val="auto"/>
                    </w:rPr>
                    <w:t>空间相对位置</w:t>
                  </w:r>
                  <w:r>
                    <w:rPr>
                      <w:b/>
                      <w:color w:val="auto"/>
                    </w:rPr>
                    <w:t>/m</w:t>
                  </w:r>
                </w:p>
              </w:tc>
              <w:tc>
                <w:tcPr>
                  <w:tcW w:w="272" w:type="pct"/>
                  <w:vMerge w:val="restart"/>
                  <w:noWrap w:val="0"/>
                  <w:vAlign w:val="center"/>
                </w:tcPr>
                <w:p w14:paraId="05063CCA">
                  <w:pPr>
                    <w:adjustRightInd w:val="0"/>
                    <w:snapToGrid w:val="0"/>
                    <w:ind w:left="-105" w:leftChars="-50" w:right="-105" w:rightChars="-50"/>
                    <w:jc w:val="center"/>
                    <w:rPr>
                      <w:b/>
                      <w:color w:val="auto"/>
                    </w:rPr>
                  </w:pPr>
                  <w:r>
                    <w:rPr>
                      <w:rFonts w:hAnsi="宋体"/>
                      <w:b/>
                      <w:color w:val="auto"/>
                    </w:rPr>
                    <w:t>距室内边界</w:t>
                  </w:r>
                  <w:r>
                    <w:rPr>
                      <w:rFonts w:hint="eastAsia" w:hAnsi="宋体"/>
                      <w:b/>
                      <w:color w:val="auto"/>
                      <w:lang w:eastAsia="zh-CN"/>
                    </w:rPr>
                    <w:t>最近</w:t>
                  </w:r>
                  <w:r>
                    <w:rPr>
                      <w:rFonts w:hAnsi="宋体"/>
                      <w:b/>
                      <w:color w:val="auto"/>
                    </w:rPr>
                    <w:t>距离</w:t>
                  </w:r>
                  <w:r>
                    <w:rPr>
                      <w:b/>
                      <w:color w:val="auto"/>
                    </w:rPr>
                    <w:t>/m</w:t>
                  </w:r>
                </w:p>
              </w:tc>
              <w:tc>
                <w:tcPr>
                  <w:tcW w:w="270" w:type="pct"/>
                  <w:vMerge w:val="restart"/>
                  <w:noWrap w:val="0"/>
                  <w:vAlign w:val="center"/>
                </w:tcPr>
                <w:p w14:paraId="5860D4EC">
                  <w:pPr>
                    <w:adjustRightInd w:val="0"/>
                    <w:snapToGrid w:val="0"/>
                    <w:ind w:left="-105" w:leftChars="-50" w:right="-105" w:rightChars="-50"/>
                    <w:jc w:val="center"/>
                    <w:rPr>
                      <w:b/>
                      <w:color w:val="auto"/>
                    </w:rPr>
                  </w:pPr>
                  <w:r>
                    <w:rPr>
                      <w:rFonts w:hAnsi="宋体"/>
                      <w:b/>
                      <w:color w:val="auto"/>
                    </w:rPr>
                    <w:t>室内边界声级</w:t>
                  </w:r>
                </w:p>
              </w:tc>
              <w:tc>
                <w:tcPr>
                  <w:tcW w:w="209" w:type="pct"/>
                  <w:vMerge w:val="restart"/>
                  <w:noWrap w:val="0"/>
                  <w:vAlign w:val="center"/>
                </w:tcPr>
                <w:p w14:paraId="22353CF7">
                  <w:pPr>
                    <w:adjustRightInd w:val="0"/>
                    <w:snapToGrid w:val="0"/>
                    <w:ind w:left="-105" w:leftChars="-50" w:right="-105" w:rightChars="-50"/>
                    <w:jc w:val="center"/>
                    <w:rPr>
                      <w:b/>
                      <w:color w:val="auto"/>
                    </w:rPr>
                  </w:pPr>
                  <w:r>
                    <w:rPr>
                      <w:rFonts w:hAnsi="宋体"/>
                      <w:b/>
                      <w:color w:val="auto"/>
                    </w:rPr>
                    <w:t>运行时段</w:t>
                  </w:r>
                </w:p>
              </w:tc>
              <w:tc>
                <w:tcPr>
                  <w:tcW w:w="376" w:type="pct"/>
                  <w:vMerge w:val="restart"/>
                  <w:noWrap w:val="0"/>
                  <w:vAlign w:val="center"/>
                </w:tcPr>
                <w:p w14:paraId="625751F1">
                  <w:pPr>
                    <w:adjustRightInd w:val="0"/>
                    <w:snapToGrid w:val="0"/>
                    <w:ind w:left="-105" w:leftChars="-50" w:right="-105" w:rightChars="-50"/>
                    <w:jc w:val="center"/>
                    <w:rPr>
                      <w:b/>
                      <w:color w:val="auto"/>
                    </w:rPr>
                  </w:pPr>
                  <w:r>
                    <w:rPr>
                      <w:rFonts w:hAnsi="宋体"/>
                      <w:b/>
                      <w:color w:val="auto"/>
                    </w:rPr>
                    <w:t>建筑物插入损失</w:t>
                  </w:r>
                  <w:r>
                    <w:rPr>
                      <w:b/>
                      <w:color w:val="auto"/>
                    </w:rPr>
                    <w:t>/dB(A)</w:t>
                  </w:r>
                </w:p>
              </w:tc>
              <w:tc>
                <w:tcPr>
                  <w:tcW w:w="778" w:type="pct"/>
                  <w:gridSpan w:val="2"/>
                  <w:noWrap w:val="0"/>
                  <w:vAlign w:val="center"/>
                </w:tcPr>
                <w:p w14:paraId="07131D65">
                  <w:pPr>
                    <w:adjustRightInd w:val="0"/>
                    <w:snapToGrid w:val="0"/>
                    <w:ind w:left="-105" w:leftChars="-50" w:right="-105" w:rightChars="-50"/>
                    <w:jc w:val="center"/>
                    <w:rPr>
                      <w:b/>
                      <w:color w:val="auto"/>
                    </w:rPr>
                  </w:pPr>
                  <w:r>
                    <w:rPr>
                      <w:rFonts w:hAnsi="宋体"/>
                      <w:b/>
                      <w:color w:val="auto"/>
                    </w:rPr>
                    <w:t>建筑物外噪声</w:t>
                  </w:r>
                </w:p>
              </w:tc>
            </w:tr>
            <w:tr w14:paraId="0AA55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48A34C3">
                  <w:pPr>
                    <w:adjustRightInd w:val="0"/>
                    <w:snapToGrid w:val="0"/>
                    <w:ind w:left="-105" w:leftChars="-50" w:right="-105" w:rightChars="-50"/>
                    <w:jc w:val="center"/>
                    <w:rPr>
                      <w:b/>
                      <w:color w:val="auto"/>
                    </w:rPr>
                  </w:pPr>
                </w:p>
              </w:tc>
              <w:tc>
                <w:tcPr>
                  <w:tcW w:w="710" w:type="pct"/>
                  <w:vMerge w:val="continue"/>
                  <w:noWrap w:val="0"/>
                  <w:vAlign w:val="center"/>
                </w:tcPr>
                <w:p w14:paraId="736F756B">
                  <w:pPr>
                    <w:adjustRightInd w:val="0"/>
                    <w:snapToGrid w:val="0"/>
                    <w:ind w:left="-105" w:leftChars="-50" w:right="-105" w:rightChars="-50"/>
                    <w:jc w:val="center"/>
                    <w:rPr>
                      <w:b/>
                      <w:color w:val="auto"/>
                    </w:rPr>
                  </w:pPr>
                </w:p>
              </w:tc>
              <w:tc>
                <w:tcPr>
                  <w:tcW w:w="255" w:type="pct"/>
                  <w:vMerge w:val="continue"/>
                  <w:noWrap w:val="0"/>
                  <w:vAlign w:val="center"/>
                </w:tcPr>
                <w:p w14:paraId="19E9B2F2">
                  <w:pPr>
                    <w:adjustRightInd w:val="0"/>
                    <w:snapToGrid w:val="0"/>
                    <w:ind w:left="-105" w:leftChars="-50" w:right="-105" w:rightChars="-50"/>
                    <w:jc w:val="center"/>
                    <w:rPr>
                      <w:b/>
                      <w:color w:val="auto"/>
                    </w:rPr>
                  </w:pPr>
                </w:p>
              </w:tc>
              <w:tc>
                <w:tcPr>
                  <w:tcW w:w="239" w:type="pct"/>
                  <w:vMerge w:val="continue"/>
                  <w:noWrap w:val="0"/>
                  <w:vAlign w:val="center"/>
                </w:tcPr>
                <w:p w14:paraId="6B326A5B">
                  <w:pPr>
                    <w:adjustRightInd w:val="0"/>
                    <w:snapToGrid w:val="0"/>
                    <w:ind w:left="-105" w:leftChars="-50" w:right="-105" w:rightChars="-50"/>
                    <w:jc w:val="center"/>
                    <w:rPr>
                      <w:b/>
                      <w:color w:val="auto"/>
                    </w:rPr>
                  </w:pPr>
                </w:p>
              </w:tc>
              <w:tc>
                <w:tcPr>
                  <w:tcW w:w="574" w:type="pct"/>
                  <w:noWrap w:val="0"/>
                  <w:vAlign w:val="center"/>
                </w:tcPr>
                <w:p w14:paraId="510836C5">
                  <w:pPr>
                    <w:adjustRightInd w:val="0"/>
                    <w:snapToGrid w:val="0"/>
                    <w:ind w:left="-105" w:leftChars="-50" w:right="-105" w:rightChars="-50"/>
                    <w:jc w:val="center"/>
                    <w:rPr>
                      <w:b/>
                      <w:color w:val="auto"/>
                    </w:rPr>
                  </w:pPr>
                  <w:r>
                    <w:rPr>
                      <w:rFonts w:hAnsi="宋体"/>
                      <w:b/>
                      <w:color w:val="auto"/>
                    </w:rPr>
                    <w:t>声</w:t>
                  </w:r>
                  <w:r>
                    <w:rPr>
                      <w:rFonts w:hint="eastAsia" w:hAnsi="宋体"/>
                      <w:b/>
                      <w:color w:val="auto"/>
                      <w:lang w:eastAsia="zh-CN"/>
                    </w:rPr>
                    <w:t>功率</w:t>
                  </w:r>
                  <w:r>
                    <w:rPr>
                      <w:rFonts w:hAnsi="宋体"/>
                      <w:b/>
                      <w:color w:val="auto"/>
                    </w:rPr>
                    <w:t>级</w:t>
                  </w:r>
                  <w:r>
                    <w:rPr>
                      <w:b/>
                      <w:color w:val="auto"/>
                    </w:rPr>
                    <w:t>/dB(A)</w:t>
                  </w:r>
                </w:p>
              </w:tc>
              <w:tc>
                <w:tcPr>
                  <w:tcW w:w="418" w:type="pct"/>
                  <w:vMerge w:val="continue"/>
                  <w:noWrap w:val="0"/>
                  <w:vAlign w:val="center"/>
                </w:tcPr>
                <w:p w14:paraId="71481876">
                  <w:pPr>
                    <w:adjustRightInd w:val="0"/>
                    <w:snapToGrid w:val="0"/>
                    <w:ind w:left="-105" w:leftChars="-50" w:right="-105" w:rightChars="-50"/>
                    <w:jc w:val="center"/>
                    <w:rPr>
                      <w:b/>
                      <w:color w:val="auto"/>
                    </w:rPr>
                  </w:pPr>
                </w:p>
              </w:tc>
              <w:tc>
                <w:tcPr>
                  <w:tcW w:w="218" w:type="pct"/>
                  <w:noWrap w:val="0"/>
                  <w:vAlign w:val="center"/>
                </w:tcPr>
                <w:p w14:paraId="62E7BAF9">
                  <w:pPr>
                    <w:adjustRightInd w:val="0"/>
                    <w:snapToGrid w:val="0"/>
                    <w:ind w:left="-105" w:leftChars="-50" w:right="-105" w:rightChars="-50"/>
                    <w:jc w:val="center"/>
                    <w:rPr>
                      <w:b/>
                      <w:color w:val="auto"/>
                    </w:rPr>
                  </w:pPr>
                  <w:r>
                    <w:rPr>
                      <w:b/>
                      <w:color w:val="auto"/>
                    </w:rPr>
                    <w:t>X</w:t>
                  </w:r>
                </w:p>
              </w:tc>
              <w:tc>
                <w:tcPr>
                  <w:tcW w:w="218" w:type="pct"/>
                  <w:noWrap w:val="0"/>
                  <w:vAlign w:val="center"/>
                </w:tcPr>
                <w:p w14:paraId="5BBEC22C">
                  <w:pPr>
                    <w:adjustRightInd w:val="0"/>
                    <w:snapToGrid w:val="0"/>
                    <w:ind w:left="-105" w:leftChars="-50" w:right="-105" w:rightChars="-50"/>
                    <w:jc w:val="center"/>
                    <w:rPr>
                      <w:b/>
                      <w:color w:val="auto"/>
                    </w:rPr>
                  </w:pPr>
                  <w:r>
                    <w:rPr>
                      <w:b/>
                      <w:color w:val="auto"/>
                    </w:rPr>
                    <w:t>Y</w:t>
                  </w:r>
                </w:p>
              </w:tc>
              <w:tc>
                <w:tcPr>
                  <w:tcW w:w="239" w:type="pct"/>
                  <w:noWrap w:val="0"/>
                  <w:vAlign w:val="center"/>
                </w:tcPr>
                <w:p w14:paraId="16F127A4">
                  <w:pPr>
                    <w:adjustRightInd w:val="0"/>
                    <w:snapToGrid w:val="0"/>
                    <w:ind w:left="-105" w:leftChars="-50" w:right="-105" w:rightChars="-50"/>
                    <w:jc w:val="center"/>
                    <w:rPr>
                      <w:b/>
                      <w:color w:val="auto"/>
                    </w:rPr>
                  </w:pPr>
                  <w:r>
                    <w:rPr>
                      <w:b/>
                      <w:color w:val="auto"/>
                    </w:rPr>
                    <w:t>Z</w:t>
                  </w:r>
                </w:p>
              </w:tc>
              <w:tc>
                <w:tcPr>
                  <w:tcW w:w="272" w:type="pct"/>
                  <w:vMerge w:val="continue"/>
                  <w:noWrap w:val="0"/>
                  <w:vAlign w:val="center"/>
                </w:tcPr>
                <w:p w14:paraId="157CBDDC">
                  <w:pPr>
                    <w:adjustRightInd w:val="0"/>
                    <w:snapToGrid w:val="0"/>
                    <w:ind w:left="-105" w:leftChars="-50" w:right="-105" w:rightChars="-50"/>
                    <w:jc w:val="center"/>
                    <w:rPr>
                      <w:b/>
                      <w:color w:val="auto"/>
                    </w:rPr>
                  </w:pPr>
                </w:p>
              </w:tc>
              <w:tc>
                <w:tcPr>
                  <w:tcW w:w="270" w:type="pct"/>
                  <w:vMerge w:val="continue"/>
                  <w:noWrap w:val="0"/>
                  <w:vAlign w:val="center"/>
                </w:tcPr>
                <w:p w14:paraId="350E5C91">
                  <w:pPr>
                    <w:adjustRightInd w:val="0"/>
                    <w:snapToGrid w:val="0"/>
                    <w:ind w:left="-105" w:leftChars="-50" w:right="-105" w:rightChars="-50"/>
                    <w:jc w:val="center"/>
                    <w:rPr>
                      <w:b/>
                      <w:color w:val="auto"/>
                    </w:rPr>
                  </w:pPr>
                </w:p>
              </w:tc>
              <w:tc>
                <w:tcPr>
                  <w:tcW w:w="209" w:type="pct"/>
                  <w:vMerge w:val="continue"/>
                  <w:noWrap w:val="0"/>
                  <w:vAlign w:val="center"/>
                </w:tcPr>
                <w:p w14:paraId="72CCCD6B">
                  <w:pPr>
                    <w:adjustRightInd w:val="0"/>
                    <w:snapToGrid w:val="0"/>
                    <w:ind w:left="-105" w:leftChars="-50" w:right="-105" w:rightChars="-50"/>
                    <w:jc w:val="center"/>
                    <w:rPr>
                      <w:b/>
                      <w:color w:val="auto"/>
                    </w:rPr>
                  </w:pPr>
                </w:p>
              </w:tc>
              <w:tc>
                <w:tcPr>
                  <w:tcW w:w="376" w:type="pct"/>
                  <w:vMerge w:val="continue"/>
                  <w:noWrap w:val="0"/>
                  <w:vAlign w:val="center"/>
                </w:tcPr>
                <w:p w14:paraId="13BA154E">
                  <w:pPr>
                    <w:adjustRightInd w:val="0"/>
                    <w:snapToGrid w:val="0"/>
                    <w:ind w:left="-105" w:leftChars="-50" w:right="-105" w:rightChars="-50"/>
                    <w:jc w:val="center"/>
                    <w:rPr>
                      <w:b/>
                      <w:color w:val="auto"/>
                    </w:rPr>
                  </w:pPr>
                </w:p>
              </w:tc>
              <w:tc>
                <w:tcPr>
                  <w:tcW w:w="376" w:type="pct"/>
                  <w:noWrap w:val="0"/>
                  <w:vAlign w:val="center"/>
                </w:tcPr>
                <w:p w14:paraId="6098E981">
                  <w:pPr>
                    <w:adjustRightInd w:val="0"/>
                    <w:snapToGrid w:val="0"/>
                    <w:ind w:left="-105" w:leftChars="-50" w:right="-105" w:rightChars="-50"/>
                    <w:jc w:val="center"/>
                    <w:rPr>
                      <w:b/>
                      <w:color w:val="auto"/>
                    </w:rPr>
                  </w:pPr>
                  <w:r>
                    <w:rPr>
                      <w:rFonts w:hAnsi="宋体"/>
                      <w:b/>
                      <w:color w:val="auto"/>
                    </w:rPr>
                    <w:t>声压级</w:t>
                  </w:r>
                  <w:r>
                    <w:rPr>
                      <w:b/>
                      <w:color w:val="auto"/>
                    </w:rPr>
                    <w:t>/dB(A)</w:t>
                  </w:r>
                </w:p>
              </w:tc>
              <w:tc>
                <w:tcPr>
                  <w:tcW w:w="402" w:type="pct"/>
                  <w:noWrap w:val="0"/>
                  <w:vAlign w:val="center"/>
                </w:tcPr>
                <w:p w14:paraId="6BBD0963">
                  <w:pPr>
                    <w:adjustRightInd w:val="0"/>
                    <w:snapToGrid w:val="0"/>
                    <w:ind w:left="-105" w:leftChars="-50" w:right="-105" w:rightChars="-50"/>
                    <w:jc w:val="center"/>
                    <w:rPr>
                      <w:b/>
                      <w:color w:val="auto"/>
                    </w:rPr>
                  </w:pPr>
                  <w:r>
                    <w:rPr>
                      <w:rFonts w:hAnsi="宋体"/>
                      <w:b/>
                      <w:color w:val="auto"/>
                    </w:rPr>
                    <w:t>建筑物外距离</w:t>
                  </w:r>
                </w:p>
              </w:tc>
            </w:tr>
            <w:tr w14:paraId="28CE18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restart"/>
                  <w:noWrap w:val="0"/>
                  <w:vAlign w:val="center"/>
                </w:tcPr>
                <w:p w14:paraId="519D738A">
                  <w:pPr>
                    <w:adjustRightInd w:val="0"/>
                    <w:snapToGrid w:val="0"/>
                    <w:ind w:left="-105" w:leftChars="-50" w:right="-105" w:rightChars="-50"/>
                    <w:jc w:val="center"/>
                    <w:rPr>
                      <w:rFonts w:hint="eastAsia" w:hAnsi="宋体"/>
                      <w:color w:val="auto"/>
                      <w:lang w:eastAsia="zh-CN"/>
                    </w:rPr>
                  </w:pPr>
                  <w:r>
                    <w:rPr>
                      <w:rFonts w:hint="eastAsia" w:hAnsi="宋体"/>
                      <w:color w:val="auto"/>
                      <w:lang w:eastAsia="zh-CN"/>
                    </w:rPr>
                    <w:t>车间</w:t>
                  </w:r>
                </w:p>
              </w:tc>
              <w:tc>
                <w:tcPr>
                  <w:tcW w:w="710" w:type="pct"/>
                  <w:noWrap w:val="0"/>
                  <w:vAlign w:val="center"/>
                </w:tcPr>
                <w:p w14:paraId="1BE835D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bCs/>
                      <w:color w:val="auto"/>
                      <w:sz w:val="21"/>
                      <w:szCs w:val="21"/>
                      <w:lang w:val="en-US" w:eastAsia="zh-CN"/>
                    </w:rPr>
                    <w:t>漆包线包膜机</w:t>
                  </w:r>
                </w:p>
              </w:tc>
              <w:tc>
                <w:tcPr>
                  <w:tcW w:w="255" w:type="pct"/>
                  <w:noWrap w:val="0"/>
                  <w:vAlign w:val="center"/>
                </w:tcPr>
                <w:p w14:paraId="558A638A">
                  <w:pPr>
                    <w:widowControl/>
                    <w:adjustRightInd w:val="0"/>
                    <w:snapToGrid w:val="0"/>
                    <w:ind w:left="-105" w:leftChars="-50" w:right="-105" w:rightChars="-50"/>
                    <w:jc w:val="center"/>
                    <w:textAlignment w:val="center"/>
                    <w:rPr>
                      <w:rFonts w:hint="eastAsia" w:eastAsia="宋体"/>
                      <w:color w:val="auto"/>
                      <w:szCs w:val="21"/>
                      <w:lang w:eastAsia="zh-CN"/>
                    </w:rPr>
                  </w:pPr>
                  <w:r>
                    <w:rPr>
                      <w:rFonts w:hint="eastAsia"/>
                      <w:color w:val="auto"/>
                      <w:szCs w:val="21"/>
                    </w:rPr>
                    <w:t>/</w:t>
                  </w:r>
                </w:p>
              </w:tc>
              <w:tc>
                <w:tcPr>
                  <w:tcW w:w="239" w:type="pct"/>
                  <w:noWrap w:val="0"/>
                  <w:vAlign w:val="center"/>
                </w:tcPr>
                <w:p w14:paraId="06427E6D">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32B015BE">
                  <w:pPr>
                    <w:jc w:val="center"/>
                    <w:rPr>
                      <w:rFonts w:hint="default"/>
                      <w:color w:val="auto"/>
                      <w:szCs w:val="21"/>
                      <w:lang w:val="en-US" w:eastAsia="zh-CN"/>
                    </w:rPr>
                  </w:pPr>
                  <w:r>
                    <w:rPr>
                      <w:rFonts w:hint="eastAsia"/>
                      <w:color w:val="auto"/>
                      <w:szCs w:val="21"/>
                      <w:lang w:val="en-US" w:eastAsia="zh-CN"/>
                    </w:rPr>
                    <w:t>70</w:t>
                  </w:r>
                </w:p>
              </w:tc>
              <w:tc>
                <w:tcPr>
                  <w:tcW w:w="418" w:type="pct"/>
                  <w:vMerge w:val="restart"/>
                  <w:noWrap w:val="0"/>
                  <w:vAlign w:val="center"/>
                </w:tcPr>
                <w:p w14:paraId="4FC6A535">
                  <w:pPr>
                    <w:adjustRightInd w:val="0"/>
                    <w:snapToGrid w:val="0"/>
                    <w:ind w:left="-105" w:leftChars="-50" w:right="-105" w:rightChars="-50"/>
                    <w:jc w:val="center"/>
                    <w:rPr>
                      <w:rFonts w:hAnsi="宋体"/>
                      <w:bCs/>
                      <w:color w:val="auto"/>
                      <w:szCs w:val="20"/>
                    </w:rPr>
                  </w:pPr>
                  <w:r>
                    <w:rPr>
                      <w:rFonts w:hAnsi="宋体"/>
                      <w:bCs/>
                      <w:color w:val="auto"/>
                      <w:szCs w:val="20"/>
                    </w:rPr>
                    <w:t>减振、厂房隔音</w:t>
                  </w:r>
                </w:p>
              </w:tc>
              <w:tc>
                <w:tcPr>
                  <w:tcW w:w="218" w:type="pct"/>
                  <w:noWrap w:val="0"/>
                  <w:vAlign w:val="center"/>
                </w:tcPr>
                <w:p w14:paraId="5E1D8998">
                  <w:pPr>
                    <w:adjustRightInd w:val="0"/>
                    <w:snapToGrid w:val="0"/>
                    <w:ind w:left="-105" w:leftChars="-50" w:right="-105" w:rightChars="-50"/>
                    <w:jc w:val="center"/>
                    <w:rPr>
                      <w:rFonts w:hint="default"/>
                      <w:color w:val="auto"/>
                      <w:lang w:val="en-US" w:eastAsia="zh-CN"/>
                    </w:rPr>
                  </w:pPr>
                  <w:r>
                    <w:rPr>
                      <w:rFonts w:hint="eastAsia"/>
                      <w:color w:val="auto"/>
                      <w:lang w:val="en-US" w:eastAsia="zh-CN"/>
                    </w:rPr>
                    <w:t>41</w:t>
                  </w:r>
                </w:p>
              </w:tc>
              <w:tc>
                <w:tcPr>
                  <w:tcW w:w="218" w:type="pct"/>
                  <w:noWrap w:val="0"/>
                  <w:vAlign w:val="center"/>
                </w:tcPr>
                <w:p w14:paraId="713845BA">
                  <w:pPr>
                    <w:adjustRightInd w:val="0"/>
                    <w:snapToGrid w:val="0"/>
                    <w:ind w:left="-105" w:leftChars="-50" w:right="-105" w:rightChars="-50"/>
                    <w:jc w:val="center"/>
                    <w:rPr>
                      <w:rFonts w:hint="default"/>
                      <w:color w:val="auto"/>
                      <w:lang w:val="en-US" w:eastAsia="zh-CN"/>
                    </w:rPr>
                  </w:pPr>
                  <w:r>
                    <w:rPr>
                      <w:rFonts w:hint="eastAsia"/>
                      <w:color w:val="auto"/>
                      <w:lang w:val="en-US" w:eastAsia="zh-CN"/>
                    </w:rPr>
                    <w:t>66</w:t>
                  </w:r>
                </w:p>
              </w:tc>
              <w:tc>
                <w:tcPr>
                  <w:tcW w:w="239" w:type="pct"/>
                  <w:noWrap w:val="0"/>
                  <w:vAlign w:val="center"/>
                </w:tcPr>
                <w:p w14:paraId="18A010E2">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6DA9646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198B2E42">
                  <w:pPr>
                    <w:adjustRightInd w:val="0"/>
                    <w:snapToGrid w:val="0"/>
                    <w:ind w:left="-105" w:leftChars="-50" w:right="-105" w:rightChars="-50"/>
                    <w:jc w:val="center"/>
                    <w:rPr>
                      <w:rFonts w:hint="default"/>
                      <w:color w:val="auto"/>
                      <w:lang w:val="en-US" w:eastAsia="zh-CN"/>
                    </w:rPr>
                  </w:pPr>
                  <w:r>
                    <w:rPr>
                      <w:rFonts w:hint="eastAsia"/>
                      <w:color w:val="auto"/>
                      <w:lang w:val="en-US" w:eastAsia="zh-CN"/>
                    </w:rPr>
                    <w:t>64.0</w:t>
                  </w:r>
                </w:p>
              </w:tc>
              <w:tc>
                <w:tcPr>
                  <w:tcW w:w="209" w:type="pct"/>
                  <w:noWrap w:val="0"/>
                  <w:vAlign w:val="center"/>
                </w:tcPr>
                <w:p w14:paraId="05A6BEB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376" w:type="pct"/>
                  <w:noWrap w:val="0"/>
                  <w:vAlign w:val="center"/>
                </w:tcPr>
                <w:p w14:paraId="28487440">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8B7380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5400623B">
                  <w:pPr>
                    <w:adjustRightInd w:val="0"/>
                    <w:snapToGrid w:val="0"/>
                    <w:ind w:left="-105" w:leftChars="-50" w:right="-105" w:rightChars="-50"/>
                    <w:jc w:val="center"/>
                    <w:rPr>
                      <w:color w:val="auto"/>
                    </w:rPr>
                  </w:pPr>
                  <w:r>
                    <w:rPr>
                      <w:color w:val="auto"/>
                    </w:rPr>
                    <w:t>1m</w:t>
                  </w:r>
                </w:p>
              </w:tc>
            </w:tr>
            <w:tr w14:paraId="26D53A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05DE533">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0D6A7F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bCs/>
                      <w:color w:val="auto"/>
                      <w:sz w:val="21"/>
                      <w:szCs w:val="21"/>
                      <w:lang w:val="en-US" w:eastAsia="zh-CN"/>
                    </w:rPr>
                    <w:t>漆包线包膜机</w:t>
                  </w:r>
                </w:p>
              </w:tc>
              <w:tc>
                <w:tcPr>
                  <w:tcW w:w="255" w:type="pct"/>
                  <w:noWrap w:val="0"/>
                  <w:vAlign w:val="center"/>
                </w:tcPr>
                <w:p w14:paraId="2FD89896">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6151157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2A8C70E">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4D20C94C">
                  <w:pPr>
                    <w:adjustRightInd w:val="0"/>
                    <w:snapToGrid w:val="0"/>
                    <w:ind w:left="-105" w:leftChars="-50" w:right="-105" w:rightChars="-50"/>
                    <w:jc w:val="center"/>
                    <w:rPr>
                      <w:rFonts w:hAnsi="宋体"/>
                      <w:bCs/>
                      <w:color w:val="auto"/>
                      <w:szCs w:val="20"/>
                    </w:rPr>
                  </w:pPr>
                </w:p>
              </w:tc>
              <w:tc>
                <w:tcPr>
                  <w:tcW w:w="218" w:type="pct"/>
                  <w:noWrap w:val="0"/>
                  <w:vAlign w:val="center"/>
                </w:tcPr>
                <w:p w14:paraId="0D21C72F">
                  <w:pPr>
                    <w:adjustRightInd w:val="0"/>
                    <w:snapToGrid w:val="0"/>
                    <w:ind w:left="-105" w:leftChars="-50" w:right="-105" w:rightChars="-50"/>
                    <w:jc w:val="center"/>
                    <w:rPr>
                      <w:rFonts w:hint="default"/>
                      <w:color w:val="auto"/>
                      <w:lang w:val="en-US" w:eastAsia="zh-CN"/>
                    </w:rPr>
                  </w:pPr>
                  <w:r>
                    <w:rPr>
                      <w:rFonts w:hint="eastAsia"/>
                      <w:color w:val="auto"/>
                      <w:lang w:val="en-US" w:eastAsia="zh-CN"/>
                    </w:rPr>
                    <w:t>39</w:t>
                  </w:r>
                </w:p>
              </w:tc>
              <w:tc>
                <w:tcPr>
                  <w:tcW w:w="218" w:type="pct"/>
                  <w:noWrap w:val="0"/>
                  <w:vAlign w:val="center"/>
                </w:tcPr>
                <w:p w14:paraId="763C54D3">
                  <w:pPr>
                    <w:adjustRightInd w:val="0"/>
                    <w:snapToGrid w:val="0"/>
                    <w:ind w:left="-105" w:leftChars="-50" w:right="-105" w:rightChars="-50"/>
                    <w:jc w:val="center"/>
                    <w:rPr>
                      <w:rFonts w:hint="default"/>
                      <w:color w:val="auto"/>
                      <w:lang w:val="en-US" w:eastAsia="zh-CN"/>
                    </w:rPr>
                  </w:pPr>
                  <w:r>
                    <w:rPr>
                      <w:rFonts w:hint="eastAsia"/>
                      <w:color w:val="auto"/>
                      <w:lang w:val="en-US" w:eastAsia="zh-CN"/>
                    </w:rPr>
                    <w:t>62</w:t>
                  </w:r>
                </w:p>
              </w:tc>
              <w:tc>
                <w:tcPr>
                  <w:tcW w:w="239" w:type="pct"/>
                  <w:noWrap w:val="0"/>
                  <w:vAlign w:val="center"/>
                </w:tcPr>
                <w:p w14:paraId="46F935A9">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36843D13">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7EE81B76">
                  <w:pPr>
                    <w:adjustRightInd w:val="0"/>
                    <w:snapToGrid w:val="0"/>
                    <w:ind w:left="-105" w:leftChars="-50" w:right="-105" w:rightChars="-50"/>
                    <w:jc w:val="center"/>
                    <w:rPr>
                      <w:rFonts w:hint="default"/>
                      <w:color w:val="auto"/>
                      <w:lang w:val="en-US" w:eastAsia="zh-CN"/>
                    </w:rPr>
                  </w:pPr>
                  <w:r>
                    <w:rPr>
                      <w:rFonts w:hint="eastAsia"/>
                      <w:color w:val="auto"/>
                      <w:lang w:val="en-US" w:eastAsia="zh-CN"/>
                    </w:rPr>
                    <w:t>64.0</w:t>
                  </w:r>
                </w:p>
              </w:tc>
              <w:tc>
                <w:tcPr>
                  <w:tcW w:w="562" w:type="dxa"/>
                  <w:noWrap w:val="0"/>
                  <w:vAlign w:val="center"/>
                </w:tcPr>
                <w:p w14:paraId="7EE05F70">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37D0BEC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6F0ABB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3F8A7055">
                  <w:pPr>
                    <w:adjustRightInd w:val="0"/>
                    <w:snapToGrid w:val="0"/>
                    <w:ind w:left="-105" w:leftChars="-50" w:right="-105" w:rightChars="-50"/>
                    <w:jc w:val="center"/>
                    <w:rPr>
                      <w:color w:val="auto"/>
                    </w:rPr>
                  </w:pPr>
                  <w:r>
                    <w:rPr>
                      <w:color w:val="auto"/>
                    </w:rPr>
                    <w:t>1m</w:t>
                  </w:r>
                </w:p>
              </w:tc>
            </w:tr>
            <w:tr w14:paraId="0E32E5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BCAB464">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0BE8EC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bCs/>
                      <w:color w:val="auto"/>
                      <w:sz w:val="21"/>
                      <w:szCs w:val="21"/>
                      <w:lang w:val="en-US" w:eastAsia="zh-CN"/>
                    </w:rPr>
                    <w:t>漆包线包膜机</w:t>
                  </w:r>
                </w:p>
              </w:tc>
              <w:tc>
                <w:tcPr>
                  <w:tcW w:w="255" w:type="pct"/>
                  <w:noWrap w:val="0"/>
                  <w:vAlign w:val="center"/>
                </w:tcPr>
                <w:p w14:paraId="74736B6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957D82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4B89086">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0DE6205F">
                  <w:pPr>
                    <w:adjustRightInd w:val="0"/>
                    <w:snapToGrid w:val="0"/>
                    <w:ind w:left="-105" w:leftChars="-50" w:right="-105" w:rightChars="-50"/>
                    <w:jc w:val="center"/>
                    <w:rPr>
                      <w:rFonts w:hAnsi="宋体"/>
                      <w:bCs/>
                      <w:color w:val="auto"/>
                      <w:szCs w:val="20"/>
                    </w:rPr>
                  </w:pPr>
                </w:p>
              </w:tc>
              <w:tc>
                <w:tcPr>
                  <w:tcW w:w="218" w:type="pct"/>
                  <w:noWrap w:val="0"/>
                  <w:vAlign w:val="center"/>
                </w:tcPr>
                <w:p w14:paraId="3089A457">
                  <w:pPr>
                    <w:adjustRightInd w:val="0"/>
                    <w:snapToGrid w:val="0"/>
                    <w:ind w:left="-105" w:leftChars="-50" w:right="-105" w:rightChars="-50"/>
                    <w:jc w:val="center"/>
                    <w:rPr>
                      <w:rFonts w:hint="default"/>
                      <w:color w:val="auto"/>
                      <w:lang w:val="en-US" w:eastAsia="zh-CN"/>
                    </w:rPr>
                  </w:pPr>
                  <w:r>
                    <w:rPr>
                      <w:rFonts w:hint="eastAsia"/>
                      <w:color w:val="auto"/>
                      <w:lang w:val="en-US" w:eastAsia="zh-CN"/>
                    </w:rPr>
                    <w:t>38</w:t>
                  </w:r>
                </w:p>
              </w:tc>
              <w:tc>
                <w:tcPr>
                  <w:tcW w:w="218" w:type="pct"/>
                  <w:noWrap w:val="0"/>
                  <w:vAlign w:val="center"/>
                </w:tcPr>
                <w:p w14:paraId="14C55229">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7B625956">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25E9C7AA">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2A38DC19">
                  <w:pPr>
                    <w:adjustRightInd w:val="0"/>
                    <w:snapToGrid w:val="0"/>
                    <w:ind w:left="-105" w:leftChars="-50" w:right="-105" w:rightChars="-50"/>
                    <w:jc w:val="center"/>
                    <w:rPr>
                      <w:rFonts w:hint="default"/>
                      <w:color w:val="auto"/>
                      <w:lang w:val="en-US" w:eastAsia="zh-CN"/>
                    </w:rPr>
                  </w:pPr>
                  <w:r>
                    <w:rPr>
                      <w:rFonts w:hint="eastAsia"/>
                      <w:color w:val="auto"/>
                      <w:lang w:val="en-US" w:eastAsia="zh-CN"/>
                    </w:rPr>
                    <w:t>64.0</w:t>
                  </w:r>
                </w:p>
              </w:tc>
              <w:tc>
                <w:tcPr>
                  <w:tcW w:w="562" w:type="dxa"/>
                  <w:noWrap w:val="0"/>
                  <w:vAlign w:val="center"/>
                </w:tcPr>
                <w:p w14:paraId="1C092380">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5FBB998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6A6F41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5100E251">
                  <w:pPr>
                    <w:adjustRightInd w:val="0"/>
                    <w:snapToGrid w:val="0"/>
                    <w:ind w:left="-105" w:leftChars="-50" w:right="-105" w:rightChars="-50"/>
                    <w:jc w:val="center"/>
                    <w:rPr>
                      <w:color w:val="auto"/>
                    </w:rPr>
                  </w:pPr>
                  <w:r>
                    <w:rPr>
                      <w:color w:val="auto"/>
                    </w:rPr>
                    <w:t>1m</w:t>
                  </w:r>
                </w:p>
              </w:tc>
            </w:tr>
            <w:tr w14:paraId="2EF5E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91BAEA3">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5C18C31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bCs/>
                      <w:color w:val="auto"/>
                      <w:sz w:val="21"/>
                      <w:szCs w:val="21"/>
                      <w:lang w:val="en-US" w:eastAsia="zh-CN"/>
                    </w:rPr>
                    <w:t>裁线机</w:t>
                  </w:r>
                </w:p>
              </w:tc>
              <w:tc>
                <w:tcPr>
                  <w:tcW w:w="255" w:type="pct"/>
                  <w:noWrap w:val="0"/>
                  <w:vAlign w:val="center"/>
                </w:tcPr>
                <w:p w14:paraId="13D136E6">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4610241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C207250">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612D3EA">
                  <w:pPr>
                    <w:adjustRightInd w:val="0"/>
                    <w:snapToGrid w:val="0"/>
                    <w:ind w:left="-105" w:leftChars="-50" w:right="-105" w:rightChars="-50"/>
                    <w:jc w:val="center"/>
                    <w:rPr>
                      <w:rFonts w:hAnsi="宋体"/>
                      <w:bCs/>
                      <w:color w:val="auto"/>
                      <w:szCs w:val="20"/>
                    </w:rPr>
                  </w:pPr>
                </w:p>
              </w:tc>
              <w:tc>
                <w:tcPr>
                  <w:tcW w:w="218" w:type="pct"/>
                  <w:noWrap w:val="0"/>
                  <w:vAlign w:val="center"/>
                </w:tcPr>
                <w:p w14:paraId="6E2BE740">
                  <w:pPr>
                    <w:adjustRightInd w:val="0"/>
                    <w:snapToGrid w:val="0"/>
                    <w:ind w:left="-105" w:leftChars="-50" w:right="-105" w:rightChars="-50"/>
                    <w:jc w:val="center"/>
                    <w:rPr>
                      <w:rFonts w:hint="default"/>
                      <w:color w:val="auto"/>
                      <w:lang w:val="en-US" w:eastAsia="zh-CN"/>
                    </w:rPr>
                  </w:pPr>
                  <w:r>
                    <w:rPr>
                      <w:rFonts w:hint="eastAsia"/>
                      <w:color w:val="auto"/>
                      <w:lang w:val="en-US" w:eastAsia="zh-CN"/>
                    </w:rPr>
                    <w:t>44</w:t>
                  </w:r>
                </w:p>
              </w:tc>
              <w:tc>
                <w:tcPr>
                  <w:tcW w:w="218" w:type="pct"/>
                  <w:noWrap w:val="0"/>
                  <w:vAlign w:val="center"/>
                </w:tcPr>
                <w:p w14:paraId="52FFC381">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39" w:type="pct"/>
                  <w:noWrap w:val="0"/>
                  <w:vAlign w:val="center"/>
                </w:tcPr>
                <w:p w14:paraId="7FBD96D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0EF11AC">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1B339EC8">
                  <w:pPr>
                    <w:adjustRightInd w:val="0"/>
                    <w:snapToGrid w:val="0"/>
                    <w:ind w:left="-105" w:leftChars="-50" w:right="-105" w:rightChars="-50"/>
                    <w:jc w:val="center"/>
                    <w:rPr>
                      <w:rFonts w:hint="default"/>
                      <w:color w:val="auto"/>
                      <w:lang w:val="en-US" w:eastAsia="zh-CN"/>
                    </w:rPr>
                  </w:pPr>
                  <w:r>
                    <w:rPr>
                      <w:rFonts w:hint="eastAsia"/>
                      <w:color w:val="auto"/>
                      <w:lang w:val="en-US" w:eastAsia="zh-CN"/>
                    </w:rPr>
                    <w:t>69.0</w:t>
                  </w:r>
                </w:p>
              </w:tc>
              <w:tc>
                <w:tcPr>
                  <w:tcW w:w="562" w:type="dxa"/>
                  <w:noWrap w:val="0"/>
                  <w:vAlign w:val="center"/>
                </w:tcPr>
                <w:p w14:paraId="3BF75779">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5E73F8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6BC8C4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02" w:type="pct"/>
                  <w:noWrap w:val="0"/>
                  <w:vAlign w:val="center"/>
                </w:tcPr>
                <w:p w14:paraId="691E28A8">
                  <w:pPr>
                    <w:adjustRightInd w:val="0"/>
                    <w:snapToGrid w:val="0"/>
                    <w:ind w:left="-105" w:leftChars="-50" w:right="-105" w:rightChars="-50"/>
                    <w:jc w:val="center"/>
                    <w:rPr>
                      <w:color w:val="auto"/>
                    </w:rPr>
                  </w:pPr>
                  <w:r>
                    <w:rPr>
                      <w:color w:val="auto"/>
                    </w:rPr>
                    <w:t>1m</w:t>
                  </w:r>
                </w:p>
              </w:tc>
            </w:tr>
            <w:tr w14:paraId="3E4D66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F0261E8">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2AA2EC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bCs/>
                      <w:color w:val="auto"/>
                      <w:sz w:val="21"/>
                      <w:szCs w:val="21"/>
                      <w:lang w:val="en-US" w:eastAsia="zh-CN"/>
                    </w:rPr>
                    <w:t>裁线机</w:t>
                  </w:r>
                </w:p>
              </w:tc>
              <w:tc>
                <w:tcPr>
                  <w:tcW w:w="255" w:type="pct"/>
                  <w:noWrap w:val="0"/>
                  <w:vAlign w:val="center"/>
                </w:tcPr>
                <w:p w14:paraId="507D080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596E7740">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31EEFF94">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7D4F5537">
                  <w:pPr>
                    <w:adjustRightInd w:val="0"/>
                    <w:snapToGrid w:val="0"/>
                    <w:ind w:left="-105" w:leftChars="-50" w:right="-105" w:rightChars="-50"/>
                    <w:jc w:val="center"/>
                    <w:rPr>
                      <w:rFonts w:hAnsi="宋体"/>
                      <w:bCs/>
                      <w:color w:val="auto"/>
                      <w:szCs w:val="20"/>
                    </w:rPr>
                  </w:pPr>
                </w:p>
              </w:tc>
              <w:tc>
                <w:tcPr>
                  <w:tcW w:w="218" w:type="pct"/>
                  <w:noWrap w:val="0"/>
                  <w:vAlign w:val="center"/>
                </w:tcPr>
                <w:p w14:paraId="04DCA3F4">
                  <w:pPr>
                    <w:adjustRightInd w:val="0"/>
                    <w:snapToGrid w:val="0"/>
                    <w:ind w:left="-105" w:leftChars="-50" w:right="-105" w:rightChars="-50"/>
                    <w:jc w:val="center"/>
                    <w:rPr>
                      <w:rFonts w:hint="default"/>
                      <w:color w:val="auto"/>
                      <w:lang w:val="en-US" w:eastAsia="zh-CN"/>
                    </w:rPr>
                  </w:pPr>
                  <w:r>
                    <w:rPr>
                      <w:rFonts w:hint="eastAsia"/>
                      <w:color w:val="auto"/>
                      <w:lang w:val="en-US" w:eastAsia="zh-CN"/>
                    </w:rPr>
                    <w:t>43</w:t>
                  </w:r>
                </w:p>
              </w:tc>
              <w:tc>
                <w:tcPr>
                  <w:tcW w:w="218" w:type="pct"/>
                  <w:noWrap w:val="0"/>
                  <w:vAlign w:val="center"/>
                </w:tcPr>
                <w:p w14:paraId="0AEBF5A5">
                  <w:pPr>
                    <w:adjustRightInd w:val="0"/>
                    <w:snapToGrid w:val="0"/>
                    <w:ind w:left="-105" w:leftChars="-50" w:right="-105" w:rightChars="-50"/>
                    <w:jc w:val="center"/>
                    <w:rPr>
                      <w:rFonts w:hint="default"/>
                      <w:color w:val="auto"/>
                      <w:lang w:val="en-US" w:eastAsia="zh-CN"/>
                    </w:rPr>
                  </w:pPr>
                  <w:r>
                    <w:rPr>
                      <w:rFonts w:hint="eastAsia"/>
                      <w:color w:val="auto"/>
                      <w:lang w:val="en-US" w:eastAsia="zh-CN"/>
                    </w:rPr>
                    <w:t>62</w:t>
                  </w:r>
                </w:p>
              </w:tc>
              <w:tc>
                <w:tcPr>
                  <w:tcW w:w="239" w:type="pct"/>
                  <w:noWrap w:val="0"/>
                  <w:vAlign w:val="center"/>
                </w:tcPr>
                <w:p w14:paraId="7936B7E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46F151DC">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2D2E37A1">
                  <w:pPr>
                    <w:adjustRightInd w:val="0"/>
                    <w:snapToGrid w:val="0"/>
                    <w:ind w:left="-105" w:leftChars="-50" w:right="-105" w:rightChars="-50"/>
                    <w:jc w:val="center"/>
                    <w:rPr>
                      <w:rFonts w:hint="default"/>
                      <w:color w:val="auto"/>
                      <w:lang w:val="en-US" w:eastAsia="zh-CN"/>
                    </w:rPr>
                  </w:pPr>
                  <w:r>
                    <w:rPr>
                      <w:rFonts w:hint="eastAsia"/>
                      <w:color w:val="auto"/>
                      <w:lang w:val="en-US" w:eastAsia="zh-CN"/>
                    </w:rPr>
                    <w:t>63.0</w:t>
                  </w:r>
                </w:p>
              </w:tc>
              <w:tc>
                <w:tcPr>
                  <w:tcW w:w="562" w:type="dxa"/>
                  <w:noWrap w:val="0"/>
                  <w:vAlign w:val="center"/>
                </w:tcPr>
                <w:p w14:paraId="5C40F3A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043195D8">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3BAE3D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02" w:type="pct"/>
                  <w:noWrap w:val="0"/>
                  <w:vAlign w:val="center"/>
                </w:tcPr>
                <w:p w14:paraId="44FFE5BD">
                  <w:pPr>
                    <w:adjustRightInd w:val="0"/>
                    <w:snapToGrid w:val="0"/>
                    <w:ind w:left="-105" w:leftChars="-50" w:right="-105" w:rightChars="-50"/>
                    <w:jc w:val="center"/>
                    <w:rPr>
                      <w:color w:val="auto"/>
                    </w:rPr>
                  </w:pPr>
                  <w:r>
                    <w:rPr>
                      <w:color w:val="auto"/>
                    </w:rPr>
                    <w:t>1m</w:t>
                  </w:r>
                </w:p>
              </w:tc>
            </w:tr>
            <w:tr w14:paraId="518FF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0E471BB">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051CC56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bCs/>
                      <w:color w:val="auto"/>
                      <w:sz w:val="21"/>
                      <w:szCs w:val="21"/>
                      <w:lang w:val="en-US" w:eastAsia="zh-CN"/>
                    </w:rPr>
                    <w:t>裁线机</w:t>
                  </w:r>
                </w:p>
              </w:tc>
              <w:tc>
                <w:tcPr>
                  <w:tcW w:w="255" w:type="pct"/>
                  <w:noWrap w:val="0"/>
                  <w:vAlign w:val="center"/>
                </w:tcPr>
                <w:p w14:paraId="44657598">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2AA85929">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6AB0D327">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1FE88755">
                  <w:pPr>
                    <w:adjustRightInd w:val="0"/>
                    <w:snapToGrid w:val="0"/>
                    <w:ind w:left="-105" w:leftChars="-50" w:right="-105" w:rightChars="-50"/>
                    <w:jc w:val="center"/>
                    <w:rPr>
                      <w:rFonts w:hAnsi="宋体"/>
                      <w:bCs/>
                      <w:color w:val="auto"/>
                      <w:szCs w:val="20"/>
                    </w:rPr>
                  </w:pPr>
                </w:p>
              </w:tc>
              <w:tc>
                <w:tcPr>
                  <w:tcW w:w="218" w:type="pct"/>
                  <w:noWrap w:val="0"/>
                  <w:vAlign w:val="center"/>
                </w:tcPr>
                <w:p w14:paraId="246EE124">
                  <w:pPr>
                    <w:adjustRightInd w:val="0"/>
                    <w:snapToGrid w:val="0"/>
                    <w:ind w:left="-105" w:leftChars="-50" w:right="-105" w:rightChars="-50"/>
                    <w:jc w:val="center"/>
                    <w:rPr>
                      <w:rFonts w:hint="default"/>
                      <w:color w:val="auto"/>
                      <w:lang w:val="en-US" w:eastAsia="zh-CN"/>
                    </w:rPr>
                  </w:pPr>
                  <w:r>
                    <w:rPr>
                      <w:rFonts w:hint="eastAsia"/>
                      <w:color w:val="auto"/>
                      <w:lang w:val="en-US" w:eastAsia="zh-CN"/>
                    </w:rPr>
                    <w:t>42</w:t>
                  </w:r>
                </w:p>
              </w:tc>
              <w:tc>
                <w:tcPr>
                  <w:tcW w:w="218" w:type="pct"/>
                  <w:noWrap w:val="0"/>
                  <w:vAlign w:val="center"/>
                </w:tcPr>
                <w:p w14:paraId="43853FA3">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2FEFD10B">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5B8065CC">
                  <w:pPr>
                    <w:adjustRightInd w:val="0"/>
                    <w:snapToGrid w:val="0"/>
                    <w:ind w:left="-105" w:leftChars="-50" w:right="-105" w:rightChars="-50"/>
                    <w:jc w:val="center"/>
                    <w:rPr>
                      <w:rFonts w:hint="default"/>
                      <w:color w:val="auto"/>
                      <w:lang w:val="en-US" w:eastAsia="zh-CN"/>
                    </w:rPr>
                  </w:pPr>
                  <w:r>
                    <w:rPr>
                      <w:rFonts w:hint="eastAsia"/>
                      <w:color w:val="auto"/>
                      <w:lang w:val="en-US" w:eastAsia="zh-CN"/>
                    </w:rPr>
                    <w:t>6</w:t>
                  </w:r>
                </w:p>
              </w:tc>
              <w:tc>
                <w:tcPr>
                  <w:tcW w:w="270" w:type="pct"/>
                  <w:noWrap w:val="0"/>
                  <w:vAlign w:val="center"/>
                </w:tcPr>
                <w:p w14:paraId="2710C713">
                  <w:pPr>
                    <w:adjustRightInd w:val="0"/>
                    <w:snapToGrid w:val="0"/>
                    <w:ind w:left="-105" w:leftChars="-50" w:right="-105" w:rightChars="-50"/>
                    <w:jc w:val="center"/>
                    <w:rPr>
                      <w:rFonts w:hint="default"/>
                      <w:color w:val="auto"/>
                      <w:lang w:val="en-US" w:eastAsia="zh-CN"/>
                    </w:rPr>
                  </w:pPr>
                  <w:r>
                    <w:rPr>
                      <w:rFonts w:hint="eastAsia"/>
                      <w:color w:val="auto"/>
                      <w:lang w:val="en-US" w:eastAsia="zh-CN"/>
                    </w:rPr>
                    <w:t>59.4</w:t>
                  </w:r>
                </w:p>
              </w:tc>
              <w:tc>
                <w:tcPr>
                  <w:tcW w:w="562" w:type="dxa"/>
                  <w:noWrap w:val="0"/>
                  <w:vAlign w:val="center"/>
                </w:tcPr>
                <w:p w14:paraId="430E962E">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12B8040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520326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402" w:type="pct"/>
                  <w:noWrap w:val="0"/>
                  <w:vAlign w:val="center"/>
                </w:tcPr>
                <w:p w14:paraId="140852DD">
                  <w:pPr>
                    <w:adjustRightInd w:val="0"/>
                    <w:snapToGrid w:val="0"/>
                    <w:ind w:left="-105" w:leftChars="-50" w:right="-105" w:rightChars="-50"/>
                    <w:jc w:val="center"/>
                    <w:rPr>
                      <w:color w:val="auto"/>
                    </w:rPr>
                  </w:pPr>
                  <w:r>
                    <w:rPr>
                      <w:color w:val="auto"/>
                    </w:rPr>
                    <w:t>1m</w:t>
                  </w:r>
                </w:p>
              </w:tc>
            </w:tr>
            <w:tr w14:paraId="165969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94D5402">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243AA28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cs="Times New Roman"/>
                      <w:bCs/>
                      <w:color w:val="auto"/>
                      <w:sz w:val="21"/>
                      <w:szCs w:val="21"/>
                      <w:lang w:val="en-US" w:eastAsia="zh-CN"/>
                    </w:rPr>
                    <w:t>裁线机</w:t>
                  </w:r>
                </w:p>
              </w:tc>
              <w:tc>
                <w:tcPr>
                  <w:tcW w:w="685" w:type="dxa"/>
                  <w:noWrap w:val="0"/>
                  <w:vAlign w:val="center"/>
                </w:tcPr>
                <w:p w14:paraId="2D1A5638">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A5AA96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BA8036D">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8E00A76">
                  <w:pPr>
                    <w:adjustRightInd w:val="0"/>
                    <w:snapToGrid w:val="0"/>
                    <w:ind w:left="-105" w:leftChars="-50" w:right="-105" w:rightChars="-50"/>
                    <w:jc w:val="center"/>
                    <w:rPr>
                      <w:rFonts w:hAnsi="宋体"/>
                      <w:bCs/>
                      <w:color w:val="auto"/>
                      <w:szCs w:val="20"/>
                    </w:rPr>
                  </w:pPr>
                </w:p>
              </w:tc>
              <w:tc>
                <w:tcPr>
                  <w:tcW w:w="218" w:type="pct"/>
                  <w:noWrap w:val="0"/>
                  <w:vAlign w:val="center"/>
                </w:tcPr>
                <w:p w14:paraId="24EEDD6D">
                  <w:pPr>
                    <w:adjustRightInd w:val="0"/>
                    <w:snapToGrid w:val="0"/>
                    <w:ind w:left="-105" w:leftChars="-50" w:right="-105" w:rightChars="-50"/>
                    <w:jc w:val="center"/>
                    <w:rPr>
                      <w:rFonts w:hint="default"/>
                      <w:color w:val="auto"/>
                      <w:lang w:val="en-US" w:eastAsia="zh-CN"/>
                    </w:rPr>
                  </w:pPr>
                  <w:r>
                    <w:rPr>
                      <w:rFonts w:hint="eastAsia"/>
                      <w:color w:val="auto"/>
                      <w:lang w:val="en-US" w:eastAsia="zh-CN"/>
                    </w:rPr>
                    <w:t>41</w:t>
                  </w:r>
                </w:p>
              </w:tc>
              <w:tc>
                <w:tcPr>
                  <w:tcW w:w="218" w:type="pct"/>
                  <w:noWrap w:val="0"/>
                  <w:vAlign w:val="center"/>
                </w:tcPr>
                <w:p w14:paraId="318C2F82">
                  <w:pPr>
                    <w:adjustRightInd w:val="0"/>
                    <w:snapToGrid w:val="0"/>
                    <w:ind w:left="-105" w:leftChars="-50" w:right="-105" w:rightChars="-50"/>
                    <w:jc w:val="center"/>
                    <w:rPr>
                      <w:rFonts w:hint="default"/>
                      <w:color w:val="auto"/>
                      <w:lang w:val="en-US" w:eastAsia="zh-CN"/>
                    </w:rPr>
                  </w:pPr>
                  <w:r>
                    <w:rPr>
                      <w:rFonts w:hint="eastAsia"/>
                      <w:color w:val="auto"/>
                      <w:lang w:val="en-US" w:eastAsia="zh-CN"/>
                    </w:rPr>
                    <w:t>58</w:t>
                  </w:r>
                </w:p>
              </w:tc>
              <w:tc>
                <w:tcPr>
                  <w:tcW w:w="239" w:type="pct"/>
                  <w:noWrap w:val="0"/>
                  <w:vAlign w:val="center"/>
                </w:tcPr>
                <w:p w14:paraId="1C586B42">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75D902B3">
                  <w:pPr>
                    <w:adjustRightInd w:val="0"/>
                    <w:snapToGrid w:val="0"/>
                    <w:ind w:left="-105" w:leftChars="-50" w:right="-105" w:rightChars="-50"/>
                    <w:jc w:val="center"/>
                    <w:rPr>
                      <w:rFonts w:hint="default"/>
                      <w:color w:val="auto"/>
                      <w:lang w:val="en-US" w:eastAsia="zh-CN"/>
                    </w:rPr>
                  </w:pPr>
                  <w:r>
                    <w:rPr>
                      <w:rFonts w:hint="eastAsia"/>
                      <w:color w:val="auto"/>
                      <w:lang w:val="en-US" w:eastAsia="zh-CN"/>
                    </w:rPr>
                    <w:t>6</w:t>
                  </w:r>
                </w:p>
              </w:tc>
              <w:tc>
                <w:tcPr>
                  <w:tcW w:w="270" w:type="pct"/>
                  <w:noWrap w:val="0"/>
                  <w:vAlign w:val="center"/>
                </w:tcPr>
                <w:p w14:paraId="0F414122">
                  <w:pPr>
                    <w:adjustRightInd w:val="0"/>
                    <w:snapToGrid w:val="0"/>
                    <w:ind w:left="-105" w:leftChars="-50" w:right="-105" w:rightChars="-50"/>
                    <w:jc w:val="center"/>
                    <w:rPr>
                      <w:rFonts w:hint="eastAsia"/>
                      <w:color w:val="auto"/>
                      <w:lang w:val="en-US" w:eastAsia="zh-CN"/>
                    </w:rPr>
                  </w:pPr>
                  <w:r>
                    <w:rPr>
                      <w:rFonts w:hint="eastAsia"/>
                      <w:color w:val="auto"/>
                      <w:lang w:val="en-US" w:eastAsia="zh-CN"/>
                    </w:rPr>
                    <w:t>59.4</w:t>
                  </w:r>
                </w:p>
              </w:tc>
              <w:tc>
                <w:tcPr>
                  <w:tcW w:w="562" w:type="dxa"/>
                  <w:noWrap w:val="0"/>
                  <w:vAlign w:val="center"/>
                </w:tcPr>
                <w:p w14:paraId="3064FED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67573989">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4F873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402" w:type="pct"/>
                  <w:noWrap w:val="0"/>
                  <w:vAlign w:val="center"/>
                </w:tcPr>
                <w:p w14:paraId="459B64E9">
                  <w:pPr>
                    <w:adjustRightInd w:val="0"/>
                    <w:snapToGrid w:val="0"/>
                    <w:ind w:left="-105" w:leftChars="-50" w:right="-105" w:rightChars="-50"/>
                    <w:jc w:val="center"/>
                    <w:rPr>
                      <w:color w:val="auto"/>
                    </w:rPr>
                  </w:pPr>
                  <w:r>
                    <w:rPr>
                      <w:color w:val="auto"/>
                    </w:rPr>
                    <w:t>1m</w:t>
                  </w:r>
                </w:p>
              </w:tc>
            </w:tr>
            <w:tr w14:paraId="7D1D4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EF85CC9">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67E8252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eastAsia="zh-CN"/>
                    </w:rPr>
                    <w:t>精准匝数环绕机</w:t>
                  </w:r>
                </w:p>
              </w:tc>
              <w:tc>
                <w:tcPr>
                  <w:tcW w:w="255" w:type="pct"/>
                  <w:noWrap w:val="0"/>
                  <w:vAlign w:val="center"/>
                </w:tcPr>
                <w:p w14:paraId="500677C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D41DCD9">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1479811">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3A8C852">
                  <w:pPr>
                    <w:adjustRightInd w:val="0"/>
                    <w:snapToGrid w:val="0"/>
                    <w:ind w:left="-105" w:leftChars="-50" w:right="-105" w:rightChars="-50"/>
                    <w:jc w:val="center"/>
                    <w:rPr>
                      <w:rFonts w:hAnsi="宋体"/>
                      <w:bCs/>
                      <w:color w:val="auto"/>
                      <w:szCs w:val="20"/>
                    </w:rPr>
                  </w:pPr>
                </w:p>
              </w:tc>
              <w:tc>
                <w:tcPr>
                  <w:tcW w:w="218" w:type="pct"/>
                  <w:noWrap w:val="0"/>
                  <w:vAlign w:val="center"/>
                </w:tcPr>
                <w:p w14:paraId="326F8EF2">
                  <w:pPr>
                    <w:adjustRightInd w:val="0"/>
                    <w:snapToGrid w:val="0"/>
                    <w:ind w:left="-105" w:leftChars="-50" w:right="-105" w:rightChars="-50"/>
                    <w:jc w:val="center"/>
                    <w:rPr>
                      <w:rFonts w:hint="default"/>
                      <w:color w:val="auto"/>
                      <w:lang w:val="en-US" w:eastAsia="zh-CN"/>
                    </w:rPr>
                  </w:pPr>
                  <w:r>
                    <w:rPr>
                      <w:rFonts w:hint="eastAsia"/>
                      <w:color w:val="auto"/>
                      <w:lang w:val="en-US" w:eastAsia="zh-CN"/>
                    </w:rPr>
                    <w:t>47</w:t>
                  </w:r>
                </w:p>
              </w:tc>
              <w:tc>
                <w:tcPr>
                  <w:tcW w:w="218" w:type="pct"/>
                  <w:noWrap w:val="0"/>
                  <w:vAlign w:val="center"/>
                </w:tcPr>
                <w:p w14:paraId="5C04A75C">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39" w:type="pct"/>
                  <w:noWrap w:val="0"/>
                  <w:vAlign w:val="center"/>
                </w:tcPr>
                <w:p w14:paraId="7194BA7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8E5D054">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647B9622">
                  <w:pPr>
                    <w:adjustRightInd w:val="0"/>
                    <w:snapToGrid w:val="0"/>
                    <w:ind w:left="-105" w:leftChars="-50" w:right="-105" w:rightChars="-50"/>
                    <w:jc w:val="center"/>
                    <w:rPr>
                      <w:rFonts w:hint="default"/>
                      <w:color w:val="auto"/>
                      <w:lang w:val="en-US" w:eastAsia="zh-CN"/>
                    </w:rPr>
                  </w:pPr>
                  <w:r>
                    <w:rPr>
                      <w:rFonts w:hint="eastAsia"/>
                      <w:color w:val="auto"/>
                      <w:lang w:val="en-US" w:eastAsia="zh-CN"/>
                    </w:rPr>
                    <w:t>69.0</w:t>
                  </w:r>
                </w:p>
              </w:tc>
              <w:tc>
                <w:tcPr>
                  <w:tcW w:w="562" w:type="dxa"/>
                  <w:noWrap w:val="0"/>
                  <w:vAlign w:val="center"/>
                </w:tcPr>
                <w:p w14:paraId="436EC867">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622AFE2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89F096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02" w:type="pct"/>
                  <w:noWrap w:val="0"/>
                  <w:vAlign w:val="center"/>
                </w:tcPr>
                <w:p w14:paraId="78B1AA5B">
                  <w:pPr>
                    <w:adjustRightInd w:val="0"/>
                    <w:snapToGrid w:val="0"/>
                    <w:ind w:left="-105" w:leftChars="-50" w:right="-105" w:rightChars="-50"/>
                    <w:jc w:val="center"/>
                    <w:rPr>
                      <w:color w:val="auto"/>
                    </w:rPr>
                  </w:pPr>
                  <w:r>
                    <w:rPr>
                      <w:color w:val="auto"/>
                    </w:rPr>
                    <w:t>1m</w:t>
                  </w:r>
                </w:p>
              </w:tc>
            </w:tr>
            <w:tr w14:paraId="16919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9E832C6">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0FA1B8C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eastAsia="zh-CN"/>
                    </w:rPr>
                    <w:t>精准匝数环绕机</w:t>
                  </w:r>
                </w:p>
              </w:tc>
              <w:tc>
                <w:tcPr>
                  <w:tcW w:w="255" w:type="pct"/>
                  <w:noWrap w:val="0"/>
                  <w:vAlign w:val="center"/>
                </w:tcPr>
                <w:p w14:paraId="6949918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4D46C3B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85E144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7329FD8">
                  <w:pPr>
                    <w:adjustRightInd w:val="0"/>
                    <w:snapToGrid w:val="0"/>
                    <w:ind w:left="-105" w:leftChars="-50" w:right="-105" w:rightChars="-50"/>
                    <w:jc w:val="center"/>
                    <w:rPr>
                      <w:rFonts w:hAnsi="宋体"/>
                      <w:bCs/>
                      <w:color w:val="auto"/>
                      <w:szCs w:val="20"/>
                    </w:rPr>
                  </w:pPr>
                </w:p>
              </w:tc>
              <w:tc>
                <w:tcPr>
                  <w:tcW w:w="218" w:type="pct"/>
                  <w:noWrap w:val="0"/>
                  <w:vAlign w:val="center"/>
                </w:tcPr>
                <w:p w14:paraId="76C71A1E">
                  <w:pPr>
                    <w:adjustRightInd w:val="0"/>
                    <w:snapToGrid w:val="0"/>
                    <w:ind w:left="-105" w:leftChars="-50" w:right="-105" w:rightChars="-50"/>
                    <w:jc w:val="center"/>
                    <w:rPr>
                      <w:rFonts w:hint="default"/>
                      <w:color w:val="auto"/>
                      <w:lang w:val="en-US" w:eastAsia="zh-CN"/>
                    </w:rPr>
                  </w:pPr>
                  <w:r>
                    <w:rPr>
                      <w:rFonts w:hint="eastAsia"/>
                      <w:color w:val="auto"/>
                      <w:lang w:val="en-US" w:eastAsia="zh-CN"/>
                    </w:rPr>
                    <w:t>47</w:t>
                  </w:r>
                </w:p>
              </w:tc>
              <w:tc>
                <w:tcPr>
                  <w:tcW w:w="218" w:type="pct"/>
                  <w:noWrap w:val="0"/>
                  <w:vAlign w:val="center"/>
                </w:tcPr>
                <w:p w14:paraId="179A9E7A">
                  <w:pPr>
                    <w:adjustRightInd w:val="0"/>
                    <w:snapToGrid w:val="0"/>
                    <w:ind w:left="-105" w:leftChars="-50" w:right="-105" w:rightChars="-50"/>
                    <w:jc w:val="center"/>
                    <w:rPr>
                      <w:rFonts w:hint="default"/>
                      <w:color w:val="auto"/>
                      <w:lang w:val="en-US" w:eastAsia="zh-CN"/>
                    </w:rPr>
                  </w:pPr>
                  <w:r>
                    <w:rPr>
                      <w:rFonts w:hint="eastAsia"/>
                      <w:color w:val="auto"/>
                      <w:lang w:val="en-US" w:eastAsia="zh-CN"/>
                    </w:rPr>
                    <w:t>63</w:t>
                  </w:r>
                </w:p>
              </w:tc>
              <w:tc>
                <w:tcPr>
                  <w:tcW w:w="239" w:type="pct"/>
                  <w:noWrap w:val="0"/>
                  <w:vAlign w:val="center"/>
                </w:tcPr>
                <w:p w14:paraId="1BA61CA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5726940">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59A85746">
                  <w:pPr>
                    <w:adjustRightInd w:val="0"/>
                    <w:snapToGrid w:val="0"/>
                    <w:ind w:left="-105" w:leftChars="-50" w:right="-105" w:rightChars="-50"/>
                    <w:jc w:val="center"/>
                    <w:rPr>
                      <w:rFonts w:hint="default"/>
                      <w:color w:val="auto"/>
                      <w:lang w:val="en-US" w:eastAsia="zh-CN"/>
                    </w:rPr>
                  </w:pPr>
                  <w:r>
                    <w:rPr>
                      <w:rFonts w:hint="eastAsia"/>
                      <w:color w:val="auto"/>
                      <w:lang w:val="en-US" w:eastAsia="zh-CN"/>
                    </w:rPr>
                    <w:t>65.5</w:t>
                  </w:r>
                </w:p>
              </w:tc>
              <w:tc>
                <w:tcPr>
                  <w:tcW w:w="562" w:type="dxa"/>
                  <w:noWrap w:val="0"/>
                  <w:vAlign w:val="center"/>
                </w:tcPr>
                <w:p w14:paraId="5CCFE5E4">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676FF3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EFBEC9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402" w:type="pct"/>
                  <w:noWrap w:val="0"/>
                  <w:vAlign w:val="center"/>
                </w:tcPr>
                <w:p w14:paraId="578D35DC">
                  <w:pPr>
                    <w:adjustRightInd w:val="0"/>
                    <w:snapToGrid w:val="0"/>
                    <w:ind w:left="-105" w:leftChars="-50" w:right="-105" w:rightChars="-50"/>
                    <w:jc w:val="center"/>
                    <w:rPr>
                      <w:color w:val="auto"/>
                    </w:rPr>
                  </w:pPr>
                  <w:r>
                    <w:rPr>
                      <w:color w:val="auto"/>
                    </w:rPr>
                    <w:t>1m</w:t>
                  </w:r>
                </w:p>
              </w:tc>
            </w:tr>
            <w:tr w14:paraId="0D98F3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6A1D25E7">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7DC5F489">
                  <w:pPr>
                    <w:jc w:val="center"/>
                    <w:rPr>
                      <w:rFonts w:hint="eastAsia" w:eastAsia="宋体"/>
                      <w:color w:val="auto"/>
                      <w:lang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eastAsia="zh-CN"/>
                    </w:rPr>
                    <w:t>精准匝数环绕机</w:t>
                  </w:r>
                </w:p>
              </w:tc>
              <w:tc>
                <w:tcPr>
                  <w:tcW w:w="255" w:type="pct"/>
                  <w:noWrap w:val="0"/>
                  <w:vAlign w:val="center"/>
                </w:tcPr>
                <w:p w14:paraId="7A2B188F">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DB2294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BD219B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6735A2A">
                  <w:pPr>
                    <w:adjustRightInd w:val="0"/>
                    <w:snapToGrid w:val="0"/>
                    <w:ind w:left="-105" w:leftChars="-50" w:right="-105" w:rightChars="-50"/>
                    <w:jc w:val="center"/>
                    <w:rPr>
                      <w:rFonts w:hAnsi="宋体"/>
                      <w:bCs/>
                      <w:color w:val="auto"/>
                      <w:szCs w:val="20"/>
                    </w:rPr>
                  </w:pPr>
                </w:p>
              </w:tc>
              <w:tc>
                <w:tcPr>
                  <w:tcW w:w="218" w:type="pct"/>
                  <w:noWrap w:val="0"/>
                  <w:vAlign w:val="center"/>
                </w:tcPr>
                <w:p w14:paraId="19686B84">
                  <w:pPr>
                    <w:adjustRightInd w:val="0"/>
                    <w:snapToGrid w:val="0"/>
                    <w:ind w:left="-105" w:leftChars="-50" w:right="-105" w:rightChars="-50"/>
                    <w:jc w:val="center"/>
                    <w:rPr>
                      <w:rFonts w:hint="default"/>
                      <w:color w:val="auto"/>
                      <w:lang w:val="en-US" w:eastAsia="zh-CN"/>
                    </w:rPr>
                  </w:pPr>
                  <w:r>
                    <w:rPr>
                      <w:rFonts w:hint="eastAsia"/>
                      <w:color w:val="auto"/>
                      <w:lang w:val="en-US" w:eastAsia="zh-CN"/>
                    </w:rPr>
                    <w:t>46</w:t>
                  </w:r>
                </w:p>
              </w:tc>
              <w:tc>
                <w:tcPr>
                  <w:tcW w:w="218" w:type="pct"/>
                  <w:noWrap w:val="0"/>
                  <w:vAlign w:val="center"/>
                </w:tcPr>
                <w:p w14:paraId="508800DA">
                  <w:pPr>
                    <w:adjustRightInd w:val="0"/>
                    <w:snapToGrid w:val="0"/>
                    <w:ind w:left="-105" w:leftChars="-50" w:right="-105" w:rightChars="-50"/>
                    <w:jc w:val="center"/>
                    <w:rPr>
                      <w:rFonts w:hint="default"/>
                      <w:color w:val="auto"/>
                      <w:lang w:val="en-US" w:eastAsia="zh-CN"/>
                    </w:rPr>
                  </w:pPr>
                  <w:r>
                    <w:rPr>
                      <w:rFonts w:hint="eastAsia"/>
                      <w:color w:val="auto"/>
                      <w:lang w:val="en-US" w:eastAsia="zh-CN"/>
                    </w:rPr>
                    <w:t>62</w:t>
                  </w:r>
                </w:p>
              </w:tc>
              <w:tc>
                <w:tcPr>
                  <w:tcW w:w="239" w:type="pct"/>
                  <w:noWrap w:val="0"/>
                  <w:vAlign w:val="center"/>
                </w:tcPr>
                <w:p w14:paraId="5636B201">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56E0A1A">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0412D4B8">
                  <w:pPr>
                    <w:adjustRightInd w:val="0"/>
                    <w:snapToGrid w:val="0"/>
                    <w:ind w:left="-105" w:leftChars="-50" w:right="-105" w:rightChars="-50"/>
                    <w:jc w:val="center"/>
                    <w:rPr>
                      <w:rFonts w:hint="default"/>
                      <w:color w:val="auto"/>
                      <w:lang w:val="en-US" w:eastAsia="zh-CN"/>
                    </w:rPr>
                  </w:pPr>
                  <w:r>
                    <w:rPr>
                      <w:rFonts w:hint="eastAsia"/>
                      <w:color w:val="auto"/>
                      <w:lang w:val="en-US" w:eastAsia="zh-CN"/>
                    </w:rPr>
                    <w:t>63.0</w:t>
                  </w:r>
                </w:p>
              </w:tc>
              <w:tc>
                <w:tcPr>
                  <w:tcW w:w="562" w:type="dxa"/>
                  <w:noWrap w:val="0"/>
                  <w:vAlign w:val="center"/>
                </w:tcPr>
                <w:p w14:paraId="215A6EF7">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11DD91D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245821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02" w:type="pct"/>
                  <w:noWrap w:val="0"/>
                  <w:vAlign w:val="center"/>
                </w:tcPr>
                <w:p w14:paraId="08940FC7">
                  <w:pPr>
                    <w:adjustRightInd w:val="0"/>
                    <w:snapToGrid w:val="0"/>
                    <w:ind w:left="-105" w:leftChars="-50" w:right="-105" w:rightChars="-50"/>
                    <w:jc w:val="center"/>
                    <w:rPr>
                      <w:color w:val="auto"/>
                    </w:rPr>
                  </w:pPr>
                  <w:r>
                    <w:rPr>
                      <w:color w:val="auto"/>
                    </w:rPr>
                    <w:t>1m</w:t>
                  </w:r>
                </w:p>
              </w:tc>
            </w:tr>
            <w:tr w14:paraId="0268AA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C5591BB">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1F5126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cs="Times New Roman"/>
                      <w:color w:val="auto"/>
                      <w:sz w:val="21"/>
                      <w:szCs w:val="21"/>
                      <w:lang w:eastAsia="zh-CN"/>
                    </w:rPr>
                    <w:t>精准匝数环绕机</w:t>
                  </w:r>
                </w:p>
              </w:tc>
              <w:tc>
                <w:tcPr>
                  <w:tcW w:w="255" w:type="pct"/>
                  <w:noWrap w:val="0"/>
                  <w:vAlign w:val="center"/>
                </w:tcPr>
                <w:p w14:paraId="3D72B3B1">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96C5C1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E348A22">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1C0140C8">
                  <w:pPr>
                    <w:adjustRightInd w:val="0"/>
                    <w:snapToGrid w:val="0"/>
                    <w:ind w:left="-105" w:leftChars="-50" w:right="-105" w:rightChars="-50"/>
                    <w:jc w:val="center"/>
                    <w:rPr>
                      <w:rFonts w:hAnsi="宋体"/>
                      <w:bCs/>
                      <w:color w:val="auto"/>
                      <w:szCs w:val="20"/>
                    </w:rPr>
                  </w:pPr>
                </w:p>
              </w:tc>
              <w:tc>
                <w:tcPr>
                  <w:tcW w:w="218" w:type="pct"/>
                  <w:noWrap w:val="0"/>
                  <w:vAlign w:val="center"/>
                </w:tcPr>
                <w:p w14:paraId="10C812EB">
                  <w:pPr>
                    <w:adjustRightInd w:val="0"/>
                    <w:snapToGrid w:val="0"/>
                    <w:ind w:left="-105" w:leftChars="-50" w:right="-105" w:rightChars="-50"/>
                    <w:jc w:val="center"/>
                    <w:rPr>
                      <w:rFonts w:hint="default"/>
                      <w:color w:val="auto"/>
                      <w:lang w:val="en-US" w:eastAsia="zh-CN"/>
                    </w:rPr>
                  </w:pPr>
                  <w:r>
                    <w:rPr>
                      <w:rFonts w:hint="eastAsia"/>
                      <w:color w:val="auto"/>
                      <w:lang w:val="en-US" w:eastAsia="zh-CN"/>
                    </w:rPr>
                    <w:t>46</w:t>
                  </w:r>
                </w:p>
              </w:tc>
              <w:tc>
                <w:tcPr>
                  <w:tcW w:w="218" w:type="pct"/>
                  <w:noWrap w:val="0"/>
                  <w:vAlign w:val="center"/>
                </w:tcPr>
                <w:p w14:paraId="483CE70C">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570595C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4CEDC784">
                  <w:pPr>
                    <w:adjustRightInd w:val="0"/>
                    <w:snapToGrid w:val="0"/>
                    <w:ind w:left="-105" w:leftChars="-50" w:right="-105" w:rightChars="-50"/>
                    <w:jc w:val="center"/>
                    <w:rPr>
                      <w:rFonts w:hint="default"/>
                      <w:color w:val="auto"/>
                      <w:lang w:val="en-US" w:eastAsia="zh-CN"/>
                    </w:rPr>
                  </w:pPr>
                  <w:r>
                    <w:rPr>
                      <w:rFonts w:hint="eastAsia"/>
                      <w:color w:val="auto"/>
                      <w:lang w:val="en-US" w:eastAsia="zh-CN"/>
                    </w:rPr>
                    <w:t>6</w:t>
                  </w:r>
                </w:p>
              </w:tc>
              <w:tc>
                <w:tcPr>
                  <w:tcW w:w="270" w:type="pct"/>
                  <w:noWrap w:val="0"/>
                  <w:vAlign w:val="center"/>
                </w:tcPr>
                <w:p w14:paraId="0A1F6ECD">
                  <w:pPr>
                    <w:adjustRightInd w:val="0"/>
                    <w:snapToGrid w:val="0"/>
                    <w:ind w:left="-105" w:leftChars="-50" w:right="-105" w:rightChars="-50"/>
                    <w:jc w:val="center"/>
                    <w:rPr>
                      <w:rFonts w:hint="eastAsia"/>
                      <w:color w:val="auto"/>
                      <w:lang w:val="en-US" w:eastAsia="zh-CN"/>
                    </w:rPr>
                  </w:pPr>
                  <w:r>
                    <w:rPr>
                      <w:rFonts w:hint="eastAsia"/>
                      <w:color w:val="auto"/>
                      <w:lang w:val="en-US" w:eastAsia="zh-CN"/>
                    </w:rPr>
                    <w:t>59.4</w:t>
                  </w:r>
                </w:p>
              </w:tc>
              <w:tc>
                <w:tcPr>
                  <w:tcW w:w="562" w:type="dxa"/>
                  <w:noWrap w:val="0"/>
                  <w:vAlign w:val="center"/>
                </w:tcPr>
                <w:p w14:paraId="6220CD0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0E10779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FB1C16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402" w:type="pct"/>
                  <w:noWrap w:val="0"/>
                  <w:vAlign w:val="center"/>
                </w:tcPr>
                <w:p w14:paraId="596E99C2">
                  <w:pPr>
                    <w:adjustRightInd w:val="0"/>
                    <w:snapToGrid w:val="0"/>
                    <w:ind w:left="-105" w:leftChars="-50" w:right="-105" w:rightChars="-50"/>
                    <w:jc w:val="center"/>
                    <w:rPr>
                      <w:color w:val="auto"/>
                    </w:rPr>
                  </w:pPr>
                  <w:r>
                    <w:rPr>
                      <w:color w:val="auto"/>
                    </w:rPr>
                    <w:t>1m</w:t>
                  </w:r>
                </w:p>
              </w:tc>
            </w:tr>
            <w:tr w14:paraId="5EFB8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EA1BD97">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833AF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eastAsia="zh-CN"/>
                    </w:rPr>
                    <w:t>精准匝数环绕机</w:t>
                  </w:r>
                </w:p>
              </w:tc>
              <w:tc>
                <w:tcPr>
                  <w:tcW w:w="255" w:type="pct"/>
                  <w:noWrap w:val="0"/>
                  <w:vAlign w:val="center"/>
                </w:tcPr>
                <w:p w14:paraId="72C51F2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6249E25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2C72ECC5">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859EB5E">
                  <w:pPr>
                    <w:adjustRightInd w:val="0"/>
                    <w:snapToGrid w:val="0"/>
                    <w:ind w:left="-105" w:leftChars="-50" w:right="-105" w:rightChars="-50"/>
                    <w:jc w:val="center"/>
                    <w:rPr>
                      <w:rFonts w:hAnsi="宋体"/>
                      <w:bCs/>
                      <w:color w:val="auto"/>
                      <w:szCs w:val="20"/>
                    </w:rPr>
                  </w:pPr>
                </w:p>
              </w:tc>
              <w:tc>
                <w:tcPr>
                  <w:tcW w:w="218" w:type="pct"/>
                  <w:noWrap w:val="0"/>
                  <w:vAlign w:val="center"/>
                </w:tcPr>
                <w:p w14:paraId="0A282A4D">
                  <w:pPr>
                    <w:adjustRightInd w:val="0"/>
                    <w:snapToGrid w:val="0"/>
                    <w:ind w:left="-105" w:leftChars="-50" w:right="-105" w:rightChars="-50"/>
                    <w:jc w:val="center"/>
                    <w:rPr>
                      <w:rFonts w:hint="default"/>
                      <w:color w:val="auto"/>
                      <w:lang w:val="en-US" w:eastAsia="zh-CN"/>
                    </w:rPr>
                  </w:pPr>
                  <w:r>
                    <w:rPr>
                      <w:rFonts w:hint="eastAsia"/>
                      <w:color w:val="auto"/>
                      <w:lang w:val="en-US" w:eastAsia="zh-CN"/>
                    </w:rPr>
                    <w:t>45</w:t>
                  </w:r>
                </w:p>
              </w:tc>
              <w:tc>
                <w:tcPr>
                  <w:tcW w:w="218" w:type="pct"/>
                  <w:noWrap w:val="0"/>
                  <w:vAlign w:val="center"/>
                </w:tcPr>
                <w:p w14:paraId="7C277B2C">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592E4D3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028A046">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70" w:type="pct"/>
                  <w:noWrap w:val="0"/>
                  <w:vAlign w:val="center"/>
                </w:tcPr>
                <w:p w14:paraId="201683E8">
                  <w:pPr>
                    <w:adjustRightInd w:val="0"/>
                    <w:snapToGrid w:val="0"/>
                    <w:ind w:left="-105" w:leftChars="-50" w:right="-105" w:rightChars="-50"/>
                    <w:jc w:val="center"/>
                    <w:rPr>
                      <w:rFonts w:hint="default"/>
                      <w:color w:val="auto"/>
                      <w:lang w:val="en-US" w:eastAsia="zh-CN"/>
                    </w:rPr>
                  </w:pPr>
                  <w:r>
                    <w:rPr>
                      <w:rFonts w:hint="eastAsia"/>
                      <w:color w:val="auto"/>
                      <w:lang w:val="en-US" w:eastAsia="zh-CN"/>
                    </w:rPr>
                    <w:t>58.1</w:t>
                  </w:r>
                </w:p>
              </w:tc>
              <w:tc>
                <w:tcPr>
                  <w:tcW w:w="562" w:type="dxa"/>
                  <w:noWrap w:val="0"/>
                  <w:vAlign w:val="center"/>
                </w:tcPr>
                <w:p w14:paraId="37F4265B">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9E3E42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4AB3BA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38.1</w:t>
                  </w:r>
                </w:p>
              </w:tc>
              <w:tc>
                <w:tcPr>
                  <w:tcW w:w="402" w:type="pct"/>
                  <w:noWrap w:val="0"/>
                  <w:vAlign w:val="center"/>
                </w:tcPr>
                <w:p w14:paraId="419B1059">
                  <w:pPr>
                    <w:adjustRightInd w:val="0"/>
                    <w:snapToGrid w:val="0"/>
                    <w:ind w:left="-105" w:leftChars="-50" w:right="-105" w:rightChars="-50"/>
                    <w:jc w:val="center"/>
                    <w:rPr>
                      <w:color w:val="auto"/>
                    </w:rPr>
                  </w:pPr>
                  <w:r>
                    <w:rPr>
                      <w:color w:val="auto"/>
                    </w:rPr>
                    <w:t>1m</w:t>
                  </w:r>
                </w:p>
              </w:tc>
            </w:tr>
            <w:tr w14:paraId="753B2D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848D07E">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AD97FA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eastAsia="zh-CN"/>
                    </w:rPr>
                    <w:t>精准匝数环绕机</w:t>
                  </w:r>
                </w:p>
              </w:tc>
              <w:tc>
                <w:tcPr>
                  <w:tcW w:w="255" w:type="pct"/>
                  <w:noWrap w:val="0"/>
                  <w:vAlign w:val="center"/>
                </w:tcPr>
                <w:p w14:paraId="2171E38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7859CA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2240733">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22C6CB9">
                  <w:pPr>
                    <w:adjustRightInd w:val="0"/>
                    <w:snapToGrid w:val="0"/>
                    <w:ind w:left="-105" w:leftChars="-50" w:right="-105" w:rightChars="-50"/>
                    <w:jc w:val="center"/>
                    <w:rPr>
                      <w:rFonts w:hAnsi="宋体"/>
                      <w:bCs/>
                      <w:color w:val="auto"/>
                      <w:szCs w:val="20"/>
                    </w:rPr>
                  </w:pPr>
                </w:p>
              </w:tc>
              <w:tc>
                <w:tcPr>
                  <w:tcW w:w="218" w:type="pct"/>
                  <w:noWrap w:val="0"/>
                  <w:vAlign w:val="center"/>
                </w:tcPr>
                <w:p w14:paraId="3BBD2A58">
                  <w:pPr>
                    <w:adjustRightInd w:val="0"/>
                    <w:snapToGrid w:val="0"/>
                    <w:ind w:left="-105" w:leftChars="-50" w:right="-105" w:rightChars="-50"/>
                    <w:jc w:val="center"/>
                    <w:rPr>
                      <w:rFonts w:hint="default"/>
                      <w:color w:val="auto"/>
                      <w:lang w:val="en-US" w:eastAsia="zh-CN"/>
                    </w:rPr>
                  </w:pPr>
                  <w:r>
                    <w:rPr>
                      <w:rFonts w:hint="eastAsia"/>
                      <w:color w:val="auto"/>
                      <w:lang w:val="en-US" w:eastAsia="zh-CN"/>
                    </w:rPr>
                    <w:t>44</w:t>
                  </w:r>
                </w:p>
              </w:tc>
              <w:tc>
                <w:tcPr>
                  <w:tcW w:w="218" w:type="pct"/>
                  <w:noWrap w:val="0"/>
                  <w:vAlign w:val="center"/>
                </w:tcPr>
                <w:p w14:paraId="4867AFD7">
                  <w:pPr>
                    <w:adjustRightInd w:val="0"/>
                    <w:snapToGrid w:val="0"/>
                    <w:ind w:left="-105" w:leftChars="-50" w:right="-105" w:rightChars="-50"/>
                    <w:jc w:val="center"/>
                    <w:rPr>
                      <w:rFonts w:hint="default"/>
                      <w:color w:val="auto"/>
                      <w:lang w:val="en-US" w:eastAsia="zh-CN"/>
                    </w:rPr>
                  </w:pPr>
                  <w:r>
                    <w:rPr>
                      <w:rFonts w:hint="eastAsia"/>
                      <w:color w:val="auto"/>
                      <w:lang w:val="en-US" w:eastAsia="zh-CN"/>
                    </w:rPr>
                    <w:t>58</w:t>
                  </w:r>
                </w:p>
              </w:tc>
              <w:tc>
                <w:tcPr>
                  <w:tcW w:w="239" w:type="pct"/>
                  <w:noWrap w:val="0"/>
                  <w:vAlign w:val="center"/>
                </w:tcPr>
                <w:p w14:paraId="27AF876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13E507FC">
                  <w:pPr>
                    <w:adjustRightInd w:val="0"/>
                    <w:snapToGrid w:val="0"/>
                    <w:ind w:left="-105" w:leftChars="-50" w:right="-105" w:rightChars="-50"/>
                    <w:jc w:val="center"/>
                    <w:rPr>
                      <w:rFonts w:hint="default"/>
                      <w:color w:val="auto"/>
                      <w:lang w:val="en-US" w:eastAsia="zh-CN"/>
                    </w:rPr>
                  </w:pPr>
                  <w:r>
                    <w:rPr>
                      <w:rFonts w:hint="eastAsia"/>
                      <w:color w:val="auto"/>
                      <w:lang w:val="en-US" w:eastAsia="zh-CN"/>
                    </w:rPr>
                    <w:t>6</w:t>
                  </w:r>
                </w:p>
              </w:tc>
              <w:tc>
                <w:tcPr>
                  <w:tcW w:w="270" w:type="pct"/>
                  <w:noWrap w:val="0"/>
                  <w:vAlign w:val="center"/>
                </w:tcPr>
                <w:p w14:paraId="1FA6F545">
                  <w:pPr>
                    <w:adjustRightInd w:val="0"/>
                    <w:snapToGrid w:val="0"/>
                    <w:ind w:left="-105" w:leftChars="-50" w:right="-105" w:rightChars="-50"/>
                    <w:jc w:val="center"/>
                    <w:rPr>
                      <w:rFonts w:hint="eastAsia"/>
                      <w:color w:val="auto"/>
                      <w:lang w:val="en-US" w:eastAsia="zh-CN"/>
                    </w:rPr>
                  </w:pPr>
                  <w:r>
                    <w:rPr>
                      <w:rFonts w:hint="eastAsia"/>
                      <w:color w:val="auto"/>
                      <w:lang w:val="en-US" w:eastAsia="zh-CN"/>
                    </w:rPr>
                    <w:t>59.4</w:t>
                  </w:r>
                </w:p>
              </w:tc>
              <w:tc>
                <w:tcPr>
                  <w:tcW w:w="562" w:type="dxa"/>
                  <w:noWrap w:val="0"/>
                  <w:vAlign w:val="center"/>
                </w:tcPr>
                <w:p w14:paraId="07C6965E">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4C743C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F17A5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402" w:type="pct"/>
                  <w:noWrap w:val="0"/>
                  <w:vAlign w:val="center"/>
                </w:tcPr>
                <w:p w14:paraId="2BFC7173">
                  <w:pPr>
                    <w:adjustRightInd w:val="0"/>
                    <w:snapToGrid w:val="0"/>
                    <w:ind w:left="-105" w:leftChars="-50" w:right="-105" w:rightChars="-50"/>
                    <w:jc w:val="center"/>
                    <w:rPr>
                      <w:color w:val="auto"/>
                    </w:rPr>
                  </w:pPr>
                  <w:r>
                    <w:rPr>
                      <w:color w:val="auto"/>
                    </w:rPr>
                    <w:t>1m</w:t>
                  </w:r>
                </w:p>
              </w:tc>
            </w:tr>
            <w:tr w14:paraId="633EAC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13F472B1">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6E14040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r>
                    <w:rPr>
                      <w:rFonts w:hint="eastAsia" w:cs="Times New Roman"/>
                      <w:color w:val="auto"/>
                      <w:sz w:val="21"/>
                      <w:szCs w:val="21"/>
                      <w:lang w:eastAsia="zh-CN"/>
                    </w:rPr>
                    <w:t>精准匝数环绕机</w:t>
                  </w:r>
                </w:p>
              </w:tc>
              <w:tc>
                <w:tcPr>
                  <w:tcW w:w="255" w:type="pct"/>
                  <w:noWrap w:val="0"/>
                  <w:vAlign w:val="center"/>
                </w:tcPr>
                <w:p w14:paraId="381D057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F952F7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1B47821">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499A504">
                  <w:pPr>
                    <w:adjustRightInd w:val="0"/>
                    <w:snapToGrid w:val="0"/>
                    <w:ind w:left="-105" w:leftChars="-50" w:right="-105" w:rightChars="-50"/>
                    <w:jc w:val="center"/>
                    <w:rPr>
                      <w:rFonts w:hAnsi="宋体"/>
                      <w:bCs/>
                      <w:color w:val="auto"/>
                      <w:szCs w:val="20"/>
                    </w:rPr>
                  </w:pPr>
                </w:p>
              </w:tc>
              <w:tc>
                <w:tcPr>
                  <w:tcW w:w="218" w:type="pct"/>
                  <w:noWrap w:val="0"/>
                  <w:vAlign w:val="center"/>
                </w:tcPr>
                <w:p w14:paraId="76262DA9">
                  <w:pPr>
                    <w:adjustRightInd w:val="0"/>
                    <w:snapToGrid w:val="0"/>
                    <w:ind w:left="-105" w:leftChars="-50" w:right="-105" w:rightChars="-50"/>
                    <w:jc w:val="center"/>
                    <w:rPr>
                      <w:rFonts w:hint="default"/>
                      <w:color w:val="auto"/>
                      <w:lang w:val="en-US" w:eastAsia="zh-CN"/>
                    </w:rPr>
                  </w:pPr>
                  <w:r>
                    <w:rPr>
                      <w:rFonts w:hint="eastAsia"/>
                      <w:color w:val="auto"/>
                      <w:lang w:val="en-US" w:eastAsia="zh-CN"/>
                    </w:rPr>
                    <w:t>44</w:t>
                  </w:r>
                </w:p>
              </w:tc>
              <w:tc>
                <w:tcPr>
                  <w:tcW w:w="218" w:type="pct"/>
                  <w:noWrap w:val="0"/>
                  <w:vAlign w:val="center"/>
                </w:tcPr>
                <w:p w14:paraId="23816969">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39" w:type="pct"/>
                  <w:noWrap w:val="0"/>
                  <w:vAlign w:val="center"/>
                </w:tcPr>
                <w:p w14:paraId="7F861C8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6E28F035">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60D2BC3B">
                  <w:pPr>
                    <w:adjustRightInd w:val="0"/>
                    <w:snapToGrid w:val="0"/>
                    <w:ind w:left="-105" w:leftChars="-50" w:right="-105" w:rightChars="-50"/>
                    <w:jc w:val="center"/>
                    <w:rPr>
                      <w:rFonts w:hint="eastAsia"/>
                      <w:color w:val="auto"/>
                      <w:lang w:val="en-US" w:eastAsia="zh-CN"/>
                    </w:rPr>
                  </w:pPr>
                  <w:r>
                    <w:rPr>
                      <w:rFonts w:hint="eastAsia"/>
                      <w:color w:val="auto"/>
                      <w:lang w:val="en-US" w:eastAsia="zh-CN"/>
                    </w:rPr>
                    <w:t>63.0</w:t>
                  </w:r>
                </w:p>
              </w:tc>
              <w:tc>
                <w:tcPr>
                  <w:tcW w:w="562" w:type="dxa"/>
                  <w:noWrap w:val="0"/>
                  <w:vAlign w:val="center"/>
                </w:tcPr>
                <w:p w14:paraId="5F188D09">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65CC5914">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AA30A2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02" w:type="pct"/>
                  <w:noWrap w:val="0"/>
                  <w:vAlign w:val="center"/>
                </w:tcPr>
                <w:p w14:paraId="35204440">
                  <w:pPr>
                    <w:adjustRightInd w:val="0"/>
                    <w:snapToGrid w:val="0"/>
                    <w:ind w:left="-105" w:leftChars="-50" w:right="-105" w:rightChars="-50"/>
                    <w:jc w:val="center"/>
                    <w:rPr>
                      <w:color w:val="auto"/>
                    </w:rPr>
                  </w:pPr>
                  <w:r>
                    <w:rPr>
                      <w:color w:val="auto"/>
                    </w:rPr>
                    <w:t>1m</w:t>
                  </w:r>
                </w:p>
              </w:tc>
            </w:tr>
            <w:tr w14:paraId="7221F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7DD33876">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0E5333D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cs="Times New Roman"/>
                      <w:color w:val="auto"/>
                      <w:sz w:val="21"/>
                      <w:szCs w:val="21"/>
                      <w:lang w:eastAsia="zh-CN"/>
                    </w:rPr>
                    <w:t>精准匝数环绕机</w:t>
                  </w:r>
                </w:p>
              </w:tc>
              <w:tc>
                <w:tcPr>
                  <w:tcW w:w="255" w:type="pct"/>
                  <w:noWrap w:val="0"/>
                  <w:vAlign w:val="center"/>
                </w:tcPr>
                <w:p w14:paraId="21EDD30A">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7C80D60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81223AC">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6D98F3FA">
                  <w:pPr>
                    <w:adjustRightInd w:val="0"/>
                    <w:snapToGrid w:val="0"/>
                    <w:ind w:left="-105" w:leftChars="-50" w:right="-105" w:rightChars="-50"/>
                    <w:jc w:val="center"/>
                    <w:rPr>
                      <w:rFonts w:hAnsi="宋体"/>
                      <w:bCs/>
                      <w:color w:val="auto"/>
                      <w:szCs w:val="20"/>
                    </w:rPr>
                  </w:pPr>
                </w:p>
              </w:tc>
              <w:tc>
                <w:tcPr>
                  <w:tcW w:w="218" w:type="pct"/>
                  <w:noWrap w:val="0"/>
                  <w:vAlign w:val="center"/>
                </w:tcPr>
                <w:p w14:paraId="2ED51292">
                  <w:pPr>
                    <w:adjustRightInd w:val="0"/>
                    <w:snapToGrid w:val="0"/>
                    <w:ind w:left="-105" w:leftChars="-50" w:right="-105" w:rightChars="-50"/>
                    <w:jc w:val="center"/>
                    <w:rPr>
                      <w:rFonts w:hint="default"/>
                      <w:color w:val="auto"/>
                      <w:lang w:val="en-US" w:eastAsia="zh-CN"/>
                    </w:rPr>
                  </w:pPr>
                  <w:r>
                    <w:rPr>
                      <w:rFonts w:hint="eastAsia"/>
                      <w:color w:val="auto"/>
                      <w:lang w:val="en-US" w:eastAsia="zh-CN"/>
                    </w:rPr>
                    <w:t>43</w:t>
                  </w:r>
                </w:p>
              </w:tc>
              <w:tc>
                <w:tcPr>
                  <w:tcW w:w="218" w:type="pct"/>
                  <w:noWrap w:val="0"/>
                  <w:vAlign w:val="center"/>
                </w:tcPr>
                <w:p w14:paraId="45914642">
                  <w:pPr>
                    <w:adjustRightInd w:val="0"/>
                    <w:snapToGrid w:val="0"/>
                    <w:ind w:left="-105" w:leftChars="-50" w:right="-105" w:rightChars="-50"/>
                    <w:jc w:val="center"/>
                    <w:rPr>
                      <w:rFonts w:hint="default"/>
                      <w:color w:val="auto"/>
                      <w:lang w:val="en-US" w:eastAsia="zh-CN"/>
                    </w:rPr>
                  </w:pPr>
                  <w:r>
                    <w:rPr>
                      <w:rFonts w:hint="eastAsia"/>
                      <w:color w:val="auto"/>
                      <w:lang w:val="en-US" w:eastAsia="zh-CN"/>
                    </w:rPr>
                    <w:t>56</w:t>
                  </w:r>
                </w:p>
              </w:tc>
              <w:tc>
                <w:tcPr>
                  <w:tcW w:w="239" w:type="pct"/>
                  <w:noWrap w:val="0"/>
                  <w:vAlign w:val="center"/>
                </w:tcPr>
                <w:p w14:paraId="7962E452">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50F1FEA5">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03808DEE">
                  <w:pPr>
                    <w:adjustRightInd w:val="0"/>
                    <w:snapToGrid w:val="0"/>
                    <w:ind w:left="-105" w:leftChars="-50" w:right="-105" w:rightChars="-50"/>
                    <w:jc w:val="center"/>
                    <w:rPr>
                      <w:rFonts w:hint="eastAsia"/>
                      <w:color w:val="auto"/>
                      <w:lang w:val="en-US" w:eastAsia="zh-CN"/>
                    </w:rPr>
                  </w:pPr>
                  <w:r>
                    <w:rPr>
                      <w:rFonts w:hint="eastAsia"/>
                      <w:color w:val="auto"/>
                      <w:lang w:val="en-US" w:eastAsia="zh-CN"/>
                    </w:rPr>
                    <w:t>65.5</w:t>
                  </w:r>
                </w:p>
              </w:tc>
              <w:tc>
                <w:tcPr>
                  <w:tcW w:w="562" w:type="dxa"/>
                  <w:noWrap w:val="0"/>
                  <w:vAlign w:val="center"/>
                </w:tcPr>
                <w:p w14:paraId="533FE6BE">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3673CE2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9EB62C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402" w:type="pct"/>
                  <w:noWrap w:val="0"/>
                  <w:vAlign w:val="center"/>
                </w:tcPr>
                <w:p w14:paraId="6AD9E2C0">
                  <w:pPr>
                    <w:adjustRightInd w:val="0"/>
                    <w:snapToGrid w:val="0"/>
                    <w:ind w:left="-105" w:leftChars="-50" w:right="-105" w:rightChars="-50"/>
                    <w:jc w:val="center"/>
                    <w:rPr>
                      <w:color w:val="auto"/>
                    </w:rPr>
                  </w:pPr>
                  <w:r>
                    <w:rPr>
                      <w:color w:val="auto"/>
                    </w:rPr>
                    <w:t>1m</w:t>
                  </w:r>
                </w:p>
              </w:tc>
            </w:tr>
            <w:tr w14:paraId="68EF1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DAD8ADC">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733884E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bCs/>
                      <w:color w:val="auto"/>
                      <w:sz w:val="21"/>
                      <w:szCs w:val="21"/>
                      <w:lang w:val="en-US" w:eastAsia="zh-CN"/>
                    </w:rPr>
                    <w:t>磁环绕线机</w:t>
                  </w:r>
                </w:p>
              </w:tc>
              <w:tc>
                <w:tcPr>
                  <w:tcW w:w="255" w:type="pct"/>
                  <w:noWrap w:val="0"/>
                  <w:vAlign w:val="center"/>
                </w:tcPr>
                <w:p w14:paraId="2AB4A22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1F3E6D7">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4625398C">
                  <w:pPr>
                    <w:jc w:val="center"/>
                    <w:rPr>
                      <w:rFonts w:hint="default"/>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502269C8">
                  <w:pPr>
                    <w:adjustRightInd w:val="0"/>
                    <w:snapToGrid w:val="0"/>
                    <w:ind w:left="-105" w:leftChars="-50" w:right="-105" w:rightChars="-50"/>
                    <w:jc w:val="center"/>
                    <w:rPr>
                      <w:rFonts w:hAnsi="宋体"/>
                      <w:bCs/>
                      <w:color w:val="auto"/>
                      <w:szCs w:val="20"/>
                    </w:rPr>
                  </w:pPr>
                </w:p>
              </w:tc>
              <w:tc>
                <w:tcPr>
                  <w:tcW w:w="218" w:type="pct"/>
                  <w:noWrap w:val="0"/>
                  <w:vAlign w:val="center"/>
                </w:tcPr>
                <w:p w14:paraId="67B3FC7A">
                  <w:pPr>
                    <w:adjustRightInd w:val="0"/>
                    <w:snapToGrid w:val="0"/>
                    <w:ind w:left="-105" w:leftChars="-50" w:right="-105" w:rightChars="-50"/>
                    <w:jc w:val="center"/>
                    <w:rPr>
                      <w:rFonts w:hint="default"/>
                      <w:color w:val="auto"/>
                      <w:lang w:val="en-US" w:eastAsia="zh-CN"/>
                    </w:rPr>
                  </w:pPr>
                  <w:r>
                    <w:rPr>
                      <w:rFonts w:hint="eastAsia"/>
                      <w:color w:val="auto"/>
                      <w:lang w:val="en-US" w:eastAsia="zh-CN"/>
                    </w:rPr>
                    <w:t>49</w:t>
                  </w:r>
                </w:p>
              </w:tc>
              <w:tc>
                <w:tcPr>
                  <w:tcW w:w="218" w:type="pct"/>
                  <w:noWrap w:val="0"/>
                  <w:vAlign w:val="center"/>
                </w:tcPr>
                <w:p w14:paraId="65AC66E9">
                  <w:pPr>
                    <w:adjustRightInd w:val="0"/>
                    <w:snapToGrid w:val="0"/>
                    <w:ind w:left="-105" w:leftChars="-50" w:right="-105" w:rightChars="-50"/>
                    <w:jc w:val="center"/>
                    <w:rPr>
                      <w:rFonts w:hint="default"/>
                      <w:color w:val="auto"/>
                      <w:lang w:val="en-US" w:eastAsia="zh-CN"/>
                    </w:rPr>
                  </w:pPr>
                  <w:r>
                    <w:rPr>
                      <w:rFonts w:hint="eastAsia"/>
                      <w:color w:val="auto"/>
                      <w:lang w:val="en-US" w:eastAsia="zh-CN"/>
                    </w:rPr>
                    <w:t>63</w:t>
                  </w:r>
                </w:p>
              </w:tc>
              <w:tc>
                <w:tcPr>
                  <w:tcW w:w="239" w:type="pct"/>
                  <w:noWrap w:val="0"/>
                  <w:vAlign w:val="center"/>
                </w:tcPr>
                <w:p w14:paraId="79C7C1AD">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7BE4A50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399175A8">
                  <w:pPr>
                    <w:adjustRightInd w:val="0"/>
                    <w:snapToGrid w:val="0"/>
                    <w:ind w:left="-105" w:leftChars="-50" w:right="-105" w:rightChars="-50"/>
                    <w:jc w:val="center"/>
                    <w:rPr>
                      <w:rFonts w:hint="default"/>
                      <w:color w:val="auto"/>
                      <w:lang w:val="en-US" w:eastAsia="zh-CN"/>
                    </w:rPr>
                  </w:pPr>
                  <w:r>
                    <w:rPr>
                      <w:rFonts w:hint="eastAsia"/>
                      <w:color w:val="auto"/>
                      <w:lang w:val="en-US" w:eastAsia="zh-CN"/>
                    </w:rPr>
                    <w:t>69.0</w:t>
                  </w:r>
                </w:p>
              </w:tc>
              <w:tc>
                <w:tcPr>
                  <w:tcW w:w="562" w:type="dxa"/>
                  <w:noWrap w:val="0"/>
                  <w:vAlign w:val="center"/>
                </w:tcPr>
                <w:p w14:paraId="70BAFFEE">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410ABE5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5E9CAF4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02" w:type="pct"/>
                  <w:noWrap w:val="0"/>
                  <w:vAlign w:val="center"/>
                </w:tcPr>
                <w:p w14:paraId="0DA761B0">
                  <w:pPr>
                    <w:adjustRightInd w:val="0"/>
                    <w:snapToGrid w:val="0"/>
                    <w:ind w:left="-105" w:leftChars="-50" w:right="-105" w:rightChars="-50"/>
                    <w:jc w:val="center"/>
                    <w:rPr>
                      <w:color w:val="auto"/>
                    </w:rPr>
                  </w:pPr>
                  <w:r>
                    <w:rPr>
                      <w:color w:val="auto"/>
                    </w:rPr>
                    <w:t>1m</w:t>
                  </w:r>
                </w:p>
              </w:tc>
            </w:tr>
            <w:tr w14:paraId="78E66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351A045">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33EBB7E8">
                  <w:pPr>
                    <w:jc w:val="center"/>
                    <w:rPr>
                      <w:rFonts w:hint="eastAsia"/>
                      <w:color w:val="auto"/>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bCs/>
                      <w:color w:val="auto"/>
                      <w:sz w:val="21"/>
                      <w:szCs w:val="21"/>
                      <w:lang w:val="en-US" w:eastAsia="zh-CN"/>
                    </w:rPr>
                    <w:t>磁环绕线机</w:t>
                  </w:r>
                </w:p>
              </w:tc>
              <w:tc>
                <w:tcPr>
                  <w:tcW w:w="255" w:type="pct"/>
                  <w:noWrap w:val="0"/>
                  <w:vAlign w:val="center"/>
                </w:tcPr>
                <w:p w14:paraId="5D9A63D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0F6EA6CE">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5A9C0F8">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26F7CB8">
                  <w:pPr>
                    <w:adjustRightInd w:val="0"/>
                    <w:snapToGrid w:val="0"/>
                    <w:ind w:left="-105" w:leftChars="-50" w:right="-105" w:rightChars="-50"/>
                    <w:jc w:val="center"/>
                    <w:rPr>
                      <w:rFonts w:hAnsi="宋体"/>
                      <w:bCs/>
                      <w:color w:val="auto"/>
                      <w:szCs w:val="20"/>
                    </w:rPr>
                  </w:pPr>
                </w:p>
              </w:tc>
              <w:tc>
                <w:tcPr>
                  <w:tcW w:w="218" w:type="pct"/>
                  <w:noWrap w:val="0"/>
                  <w:vAlign w:val="center"/>
                </w:tcPr>
                <w:p w14:paraId="572C3CAB">
                  <w:pPr>
                    <w:adjustRightInd w:val="0"/>
                    <w:snapToGrid w:val="0"/>
                    <w:ind w:left="-105" w:leftChars="-50" w:right="-105" w:rightChars="-50"/>
                    <w:jc w:val="center"/>
                    <w:rPr>
                      <w:rFonts w:hint="default"/>
                      <w:color w:val="auto"/>
                      <w:lang w:val="en-US" w:eastAsia="zh-CN"/>
                    </w:rPr>
                  </w:pPr>
                  <w:r>
                    <w:rPr>
                      <w:rFonts w:hint="eastAsia"/>
                      <w:color w:val="auto"/>
                      <w:lang w:val="en-US" w:eastAsia="zh-CN"/>
                    </w:rPr>
                    <w:t>48</w:t>
                  </w:r>
                </w:p>
              </w:tc>
              <w:tc>
                <w:tcPr>
                  <w:tcW w:w="218" w:type="pct"/>
                  <w:noWrap w:val="0"/>
                  <w:vAlign w:val="center"/>
                </w:tcPr>
                <w:p w14:paraId="05B3A980">
                  <w:pPr>
                    <w:adjustRightInd w:val="0"/>
                    <w:snapToGrid w:val="0"/>
                    <w:ind w:left="-105" w:leftChars="-50" w:right="-105" w:rightChars="-50"/>
                    <w:jc w:val="center"/>
                    <w:rPr>
                      <w:rFonts w:hint="default"/>
                      <w:color w:val="auto"/>
                      <w:lang w:val="en-US" w:eastAsia="zh-CN"/>
                    </w:rPr>
                  </w:pPr>
                  <w:r>
                    <w:rPr>
                      <w:rFonts w:hint="eastAsia"/>
                      <w:color w:val="auto"/>
                      <w:lang w:val="en-US" w:eastAsia="zh-CN"/>
                    </w:rPr>
                    <w:t>61</w:t>
                  </w:r>
                </w:p>
              </w:tc>
              <w:tc>
                <w:tcPr>
                  <w:tcW w:w="239" w:type="pct"/>
                  <w:noWrap w:val="0"/>
                  <w:vAlign w:val="center"/>
                </w:tcPr>
                <w:p w14:paraId="2FCFE97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25A6CD68">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4D5E1DEF">
                  <w:pPr>
                    <w:adjustRightInd w:val="0"/>
                    <w:snapToGrid w:val="0"/>
                    <w:ind w:left="-105" w:leftChars="-50" w:right="-105" w:rightChars="-50"/>
                    <w:jc w:val="center"/>
                    <w:rPr>
                      <w:rFonts w:hint="default"/>
                      <w:color w:val="auto"/>
                      <w:lang w:val="en-US" w:eastAsia="zh-CN"/>
                    </w:rPr>
                  </w:pPr>
                  <w:r>
                    <w:rPr>
                      <w:rFonts w:hint="eastAsia"/>
                      <w:color w:val="auto"/>
                      <w:lang w:val="en-US" w:eastAsia="zh-CN"/>
                    </w:rPr>
                    <w:t>65.5</w:t>
                  </w:r>
                </w:p>
              </w:tc>
              <w:tc>
                <w:tcPr>
                  <w:tcW w:w="562" w:type="dxa"/>
                  <w:noWrap w:val="0"/>
                  <w:vAlign w:val="center"/>
                </w:tcPr>
                <w:p w14:paraId="02814BCE">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50278FB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9C51EE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402" w:type="pct"/>
                  <w:noWrap w:val="0"/>
                  <w:vAlign w:val="center"/>
                </w:tcPr>
                <w:p w14:paraId="61419D1C">
                  <w:pPr>
                    <w:adjustRightInd w:val="0"/>
                    <w:snapToGrid w:val="0"/>
                    <w:ind w:left="-105" w:leftChars="-50" w:right="-105" w:rightChars="-50"/>
                    <w:jc w:val="center"/>
                    <w:rPr>
                      <w:color w:val="auto"/>
                    </w:rPr>
                  </w:pPr>
                  <w:r>
                    <w:rPr>
                      <w:color w:val="auto"/>
                    </w:rPr>
                    <w:t>1m</w:t>
                  </w:r>
                </w:p>
              </w:tc>
            </w:tr>
            <w:tr w14:paraId="04749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EE1B3FF">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35CE82E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eastAsia="zh-CN"/>
                    </w:rPr>
                    <w:t>静音端子机</w:t>
                  </w:r>
                </w:p>
              </w:tc>
              <w:tc>
                <w:tcPr>
                  <w:tcW w:w="255" w:type="pct"/>
                  <w:noWrap w:val="0"/>
                  <w:vAlign w:val="center"/>
                </w:tcPr>
                <w:p w14:paraId="7F5C1AC4">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0C31EEDE">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1751BE6">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5A32C90D">
                  <w:pPr>
                    <w:adjustRightInd w:val="0"/>
                    <w:snapToGrid w:val="0"/>
                    <w:ind w:left="-105" w:leftChars="-50" w:right="-105" w:rightChars="-50"/>
                    <w:jc w:val="center"/>
                    <w:rPr>
                      <w:rFonts w:hAnsi="宋体"/>
                      <w:bCs/>
                      <w:color w:val="auto"/>
                      <w:szCs w:val="20"/>
                    </w:rPr>
                  </w:pPr>
                </w:p>
              </w:tc>
              <w:tc>
                <w:tcPr>
                  <w:tcW w:w="218" w:type="pct"/>
                  <w:noWrap w:val="0"/>
                  <w:vAlign w:val="center"/>
                </w:tcPr>
                <w:p w14:paraId="11CE70DF">
                  <w:pPr>
                    <w:adjustRightInd w:val="0"/>
                    <w:snapToGrid w:val="0"/>
                    <w:ind w:left="-105" w:leftChars="-50" w:right="-105" w:rightChars="-50"/>
                    <w:jc w:val="center"/>
                    <w:rPr>
                      <w:rFonts w:hint="default"/>
                      <w:color w:val="auto"/>
                      <w:lang w:val="en-US" w:eastAsia="zh-CN"/>
                    </w:rPr>
                  </w:pPr>
                  <w:r>
                    <w:rPr>
                      <w:rFonts w:hint="eastAsia"/>
                      <w:color w:val="auto"/>
                      <w:lang w:val="en-US" w:eastAsia="zh-CN"/>
                    </w:rPr>
                    <w:t>51</w:t>
                  </w:r>
                </w:p>
              </w:tc>
              <w:tc>
                <w:tcPr>
                  <w:tcW w:w="218" w:type="pct"/>
                  <w:noWrap w:val="0"/>
                  <w:vAlign w:val="center"/>
                </w:tcPr>
                <w:p w14:paraId="321AB386">
                  <w:pPr>
                    <w:adjustRightInd w:val="0"/>
                    <w:snapToGrid w:val="0"/>
                    <w:ind w:left="-105" w:leftChars="-50" w:right="-105" w:rightChars="-50"/>
                    <w:jc w:val="center"/>
                    <w:rPr>
                      <w:rFonts w:hint="default"/>
                      <w:color w:val="auto"/>
                      <w:lang w:val="en-US" w:eastAsia="zh-CN"/>
                    </w:rPr>
                  </w:pPr>
                  <w:r>
                    <w:rPr>
                      <w:rFonts w:hint="eastAsia"/>
                      <w:color w:val="auto"/>
                      <w:lang w:val="en-US" w:eastAsia="zh-CN"/>
                    </w:rPr>
                    <w:t>62</w:t>
                  </w:r>
                </w:p>
              </w:tc>
              <w:tc>
                <w:tcPr>
                  <w:tcW w:w="239" w:type="pct"/>
                  <w:noWrap w:val="0"/>
                  <w:vAlign w:val="center"/>
                </w:tcPr>
                <w:p w14:paraId="0B23B5D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731" w:type="dxa"/>
                  <w:noWrap w:val="0"/>
                  <w:vAlign w:val="center"/>
                </w:tcPr>
                <w:p w14:paraId="726A7EE1">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19186718">
                  <w:pPr>
                    <w:adjustRightInd w:val="0"/>
                    <w:snapToGrid w:val="0"/>
                    <w:ind w:left="-105" w:leftChars="-50" w:right="-105" w:rightChars="-50"/>
                    <w:jc w:val="center"/>
                    <w:rPr>
                      <w:rFonts w:hint="default"/>
                      <w:color w:val="auto"/>
                      <w:lang w:val="en-US" w:eastAsia="zh-CN"/>
                    </w:rPr>
                  </w:pPr>
                  <w:r>
                    <w:rPr>
                      <w:rFonts w:hint="eastAsia"/>
                      <w:color w:val="auto"/>
                      <w:lang w:val="en-US" w:eastAsia="zh-CN"/>
                    </w:rPr>
                    <w:t>64.0</w:t>
                  </w:r>
                </w:p>
              </w:tc>
              <w:tc>
                <w:tcPr>
                  <w:tcW w:w="562" w:type="dxa"/>
                  <w:noWrap w:val="0"/>
                  <w:vAlign w:val="center"/>
                </w:tcPr>
                <w:p w14:paraId="1C9AD720">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0C7C7817">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72FC7D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60C135D7">
                  <w:pPr>
                    <w:adjustRightInd w:val="0"/>
                    <w:snapToGrid w:val="0"/>
                    <w:ind w:left="-105" w:leftChars="-50" w:right="-105" w:rightChars="-50"/>
                    <w:jc w:val="center"/>
                    <w:rPr>
                      <w:color w:val="auto"/>
                    </w:rPr>
                  </w:pPr>
                  <w:r>
                    <w:rPr>
                      <w:color w:val="auto"/>
                    </w:rPr>
                    <w:t>1m</w:t>
                  </w:r>
                </w:p>
              </w:tc>
            </w:tr>
            <w:tr w14:paraId="77BC1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CA46D42">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6C9C3DC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eastAsia="zh-CN"/>
                    </w:rPr>
                    <w:t>静音端子机</w:t>
                  </w:r>
                </w:p>
              </w:tc>
              <w:tc>
                <w:tcPr>
                  <w:tcW w:w="255" w:type="pct"/>
                  <w:noWrap w:val="0"/>
                  <w:vAlign w:val="center"/>
                </w:tcPr>
                <w:p w14:paraId="767C8BA7">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783147E7">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2DAF232D">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2D2DD012">
                  <w:pPr>
                    <w:adjustRightInd w:val="0"/>
                    <w:snapToGrid w:val="0"/>
                    <w:ind w:left="-105" w:leftChars="-50" w:right="-105" w:rightChars="-50"/>
                    <w:jc w:val="center"/>
                    <w:rPr>
                      <w:rFonts w:hAnsi="宋体"/>
                      <w:bCs/>
                      <w:color w:val="auto"/>
                      <w:szCs w:val="20"/>
                    </w:rPr>
                  </w:pPr>
                </w:p>
              </w:tc>
              <w:tc>
                <w:tcPr>
                  <w:tcW w:w="218" w:type="pct"/>
                  <w:noWrap w:val="0"/>
                  <w:vAlign w:val="center"/>
                </w:tcPr>
                <w:p w14:paraId="2C794C8E">
                  <w:pPr>
                    <w:adjustRightInd w:val="0"/>
                    <w:snapToGrid w:val="0"/>
                    <w:ind w:left="-105" w:leftChars="-50" w:right="-105" w:rightChars="-50"/>
                    <w:jc w:val="center"/>
                    <w:rPr>
                      <w:rFonts w:hint="default"/>
                      <w:color w:val="auto"/>
                      <w:lang w:val="en-US" w:eastAsia="zh-CN"/>
                    </w:rPr>
                  </w:pPr>
                  <w:r>
                    <w:rPr>
                      <w:rFonts w:hint="eastAsia"/>
                      <w:color w:val="auto"/>
                      <w:lang w:val="en-US" w:eastAsia="zh-CN"/>
                    </w:rPr>
                    <w:t>51</w:t>
                  </w:r>
                </w:p>
              </w:tc>
              <w:tc>
                <w:tcPr>
                  <w:tcW w:w="218" w:type="pct"/>
                  <w:noWrap w:val="0"/>
                  <w:vAlign w:val="center"/>
                </w:tcPr>
                <w:p w14:paraId="1BBA40AA">
                  <w:pPr>
                    <w:adjustRightInd w:val="0"/>
                    <w:snapToGrid w:val="0"/>
                    <w:ind w:left="-105" w:leftChars="-50" w:right="-105" w:rightChars="-50"/>
                    <w:jc w:val="center"/>
                    <w:rPr>
                      <w:rFonts w:hint="default"/>
                      <w:color w:val="auto"/>
                      <w:lang w:val="en-US" w:eastAsia="zh-CN"/>
                    </w:rPr>
                  </w:pPr>
                  <w:r>
                    <w:rPr>
                      <w:rFonts w:hint="eastAsia"/>
                      <w:color w:val="auto"/>
                      <w:lang w:val="en-US" w:eastAsia="zh-CN"/>
                    </w:rPr>
                    <w:t>61</w:t>
                  </w:r>
                </w:p>
              </w:tc>
              <w:tc>
                <w:tcPr>
                  <w:tcW w:w="239" w:type="pct"/>
                  <w:noWrap w:val="0"/>
                  <w:vAlign w:val="center"/>
                </w:tcPr>
                <w:p w14:paraId="10C8D1F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99F7884">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32DF01CC">
                  <w:pPr>
                    <w:adjustRightInd w:val="0"/>
                    <w:snapToGrid w:val="0"/>
                    <w:ind w:left="-105" w:leftChars="-50" w:right="-105" w:rightChars="-50"/>
                    <w:jc w:val="center"/>
                    <w:rPr>
                      <w:rFonts w:hint="default"/>
                      <w:color w:val="auto"/>
                      <w:lang w:val="en-US" w:eastAsia="zh-CN"/>
                    </w:rPr>
                  </w:pPr>
                  <w:r>
                    <w:rPr>
                      <w:rFonts w:hint="eastAsia"/>
                      <w:color w:val="auto"/>
                      <w:lang w:val="en-US" w:eastAsia="zh-CN"/>
                    </w:rPr>
                    <w:t>60.5</w:t>
                  </w:r>
                </w:p>
              </w:tc>
              <w:tc>
                <w:tcPr>
                  <w:tcW w:w="562" w:type="dxa"/>
                  <w:noWrap w:val="0"/>
                  <w:vAlign w:val="center"/>
                </w:tcPr>
                <w:p w14:paraId="3A04F306">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33090D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B9033A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402" w:type="pct"/>
                  <w:noWrap w:val="0"/>
                  <w:vAlign w:val="center"/>
                </w:tcPr>
                <w:p w14:paraId="19277C27">
                  <w:pPr>
                    <w:adjustRightInd w:val="0"/>
                    <w:snapToGrid w:val="0"/>
                    <w:ind w:left="-105" w:leftChars="-50" w:right="-105" w:rightChars="-50"/>
                    <w:jc w:val="center"/>
                    <w:rPr>
                      <w:color w:val="auto"/>
                    </w:rPr>
                  </w:pPr>
                  <w:r>
                    <w:rPr>
                      <w:color w:val="auto"/>
                    </w:rPr>
                    <w:t>1m</w:t>
                  </w:r>
                </w:p>
              </w:tc>
            </w:tr>
            <w:tr w14:paraId="39CB89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1FC2FC8">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0A1450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eastAsia="zh-CN"/>
                    </w:rPr>
                    <w:t>静音端子机</w:t>
                  </w:r>
                </w:p>
              </w:tc>
              <w:tc>
                <w:tcPr>
                  <w:tcW w:w="255" w:type="pct"/>
                  <w:noWrap w:val="0"/>
                  <w:vAlign w:val="center"/>
                </w:tcPr>
                <w:p w14:paraId="7A2A7037">
                  <w:pPr>
                    <w:widowControl/>
                    <w:adjustRightInd w:val="0"/>
                    <w:snapToGrid w:val="0"/>
                    <w:ind w:left="-105" w:leftChars="-50" w:right="-105" w:rightChars="-50"/>
                    <w:jc w:val="center"/>
                    <w:textAlignment w:val="center"/>
                    <w:rPr>
                      <w:rFonts w:hint="eastAsia"/>
                      <w:color w:val="auto"/>
                    </w:rPr>
                  </w:pPr>
                  <w:r>
                    <w:rPr>
                      <w:rFonts w:hint="eastAsia"/>
                      <w:color w:val="auto"/>
                      <w:szCs w:val="21"/>
                    </w:rPr>
                    <w:t>/</w:t>
                  </w:r>
                </w:p>
              </w:tc>
              <w:tc>
                <w:tcPr>
                  <w:tcW w:w="239" w:type="pct"/>
                  <w:noWrap w:val="0"/>
                  <w:vAlign w:val="center"/>
                </w:tcPr>
                <w:p w14:paraId="4119ED3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CF6AD71">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7AAD946F">
                  <w:pPr>
                    <w:adjustRightInd w:val="0"/>
                    <w:snapToGrid w:val="0"/>
                    <w:ind w:left="-105" w:leftChars="-50" w:right="-105" w:rightChars="-50"/>
                    <w:jc w:val="center"/>
                    <w:rPr>
                      <w:rFonts w:hAnsi="宋体"/>
                      <w:bCs/>
                      <w:color w:val="auto"/>
                      <w:szCs w:val="20"/>
                    </w:rPr>
                  </w:pPr>
                </w:p>
              </w:tc>
              <w:tc>
                <w:tcPr>
                  <w:tcW w:w="218" w:type="pct"/>
                  <w:noWrap w:val="0"/>
                  <w:vAlign w:val="center"/>
                </w:tcPr>
                <w:p w14:paraId="2FAA155A">
                  <w:pPr>
                    <w:adjustRightInd w:val="0"/>
                    <w:snapToGrid w:val="0"/>
                    <w:ind w:left="-105" w:leftChars="-50" w:right="-105" w:rightChars="-50"/>
                    <w:jc w:val="center"/>
                    <w:rPr>
                      <w:rFonts w:hint="default"/>
                      <w:color w:val="auto"/>
                      <w:lang w:val="en-US" w:eastAsia="zh-CN"/>
                    </w:rPr>
                  </w:pPr>
                  <w:r>
                    <w:rPr>
                      <w:rFonts w:hint="eastAsia"/>
                      <w:color w:val="auto"/>
                      <w:lang w:val="en-US" w:eastAsia="zh-CN"/>
                    </w:rPr>
                    <w:t>50</w:t>
                  </w:r>
                </w:p>
              </w:tc>
              <w:tc>
                <w:tcPr>
                  <w:tcW w:w="218" w:type="pct"/>
                  <w:noWrap w:val="0"/>
                  <w:vAlign w:val="center"/>
                </w:tcPr>
                <w:p w14:paraId="3A4B7DCC">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69725D3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F23ECA2">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7F1D2CBB">
                  <w:pPr>
                    <w:adjustRightInd w:val="0"/>
                    <w:snapToGrid w:val="0"/>
                    <w:ind w:left="-105" w:leftChars="-50" w:right="-105" w:rightChars="-50"/>
                    <w:jc w:val="center"/>
                    <w:rPr>
                      <w:rFonts w:hint="default"/>
                      <w:color w:val="auto"/>
                      <w:lang w:val="en-US" w:eastAsia="zh-CN"/>
                    </w:rPr>
                  </w:pPr>
                  <w:r>
                    <w:rPr>
                      <w:rFonts w:hint="eastAsia"/>
                      <w:color w:val="auto"/>
                      <w:lang w:val="en-US" w:eastAsia="zh-CN"/>
                    </w:rPr>
                    <w:t>58.0</w:t>
                  </w:r>
                </w:p>
              </w:tc>
              <w:tc>
                <w:tcPr>
                  <w:tcW w:w="562" w:type="dxa"/>
                  <w:noWrap w:val="0"/>
                  <w:vAlign w:val="center"/>
                </w:tcPr>
                <w:p w14:paraId="620BED9F">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6929931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09C5C9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402" w:type="pct"/>
                  <w:noWrap w:val="0"/>
                  <w:vAlign w:val="center"/>
                </w:tcPr>
                <w:p w14:paraId="1D70CDAD">
                  <w:pPr>
                    <w:adjustRightInd w:val="0"/>
                    <w:snapToGrid w:val="0"/>
                    <w:ind w:left="-105" w:leftChars="-50" w:right="-105" w:rightChars="-50"/>
                    <w:jc w:val="center"/>
                    <w:rPr>
                      <w:color w:val="auto"/>
                    </w:rPr>
                  </w:pPr>
                  <w:r>
                    <w:rPr>
                      <w:color w:val="auto"/>
                    </w:rPr>
                    <w:t>1m</w:t>
                  </w:r>
                </w:p>
              </w:tc>
            </w:tr>
            <w:tr w14:paraId="70FCFE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87F6A29">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20B15D1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eastAsia" w:cs="Times New Roman"/>
                      <w:color w:val="auto"/>
                      <w:sz w:val="21"/>
                      <w:szCs w:val="21"/>
                      <w:lang w:eastAsia="zh-CN"/>
                    </w:rPr>
                    <w:t>静音端子机</w:t>
                  </w:r>
                </w:p>
              </w:tc>
              <w:tc>
                <w:tcPr>
                  <w:tcW w:w="685" w:type="dxa"/>
                  <w:noWrap w:val="0"/>
                  <w:vAlign w:val="center"/>
                </w:tcPr>
                <w:p w14:paraId="0B5F1702">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8A584F2">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5EB6BDF">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61CBA116">
                  <w:pPr>
                    <w:adjustRightInd w:val="0"/>
                    <w:snapToGrid w:val="0"/>
                    <w:ind w:left="-105" w:leftChars="-50" w:right="-105" w:rightChars="-50"/>
                    <w:jc w:val="center"/>
                    <w:rPr>
                      <w:rFonts w:hAnsi="宋体"/>
                      <w:bCs/>
                      <w:color w:val="auto"/>
                      <w:szCs w:val="20"/>
                    </w:rPr>
                  </w:pPr>
                </w:p>
              </w:tc>
              <w:tc>
                <w:tcPr>
                  <w:tcW w:w="218" w:type="pct"/>
                  <w:noWrap w:val="0"/>
                  <w:vAlign w:val="center"/>
                </w:tcPr>
                <w:p w14:paraId="07FF12CE">
                  <w:pPr>
                    <w:adjustRightInd w:val="0"/>
                    <w:snapToGrid w:val="0"/>
                    <w:ind w:left="-105" w:leftChars="-50" w:right="-105" w:rightChars="-50"/>
                    <w:jc w:val="center"/>
                    <w:rPr>
                      <w:rFonts w:hint="default"/>
                      <w:color w:val="auto"/>
                      <w:lang w:val="en-US" w:eastAsia="zh-CN"/>
                    </w:rPr>
                  </w:pPr>
                  <w:r>
                    <w:rPr>
                      <w:rFonts w:hint="eastAsia"/>
                      <w:color w:val="auto"/>
                      <w:lang w:val="en-US" w:eastAsia="zh-CN"/>
                    </w:rPr>
                    <w:t>50</w:t>
                  </w:r>
                </w:p>
              </w:tc>
              <w:tc>
                <w:tcPr>
                  <w:tcW w:w="218" w:type="pct"/>
                  <w:noWrap w:val="0"/>
                  <w:vAlign w:val="center"/>
                </w:tcPr>
                <w:p w14:paraId="751BAEAD">
                  <w:pPr>
                    <w:adjustRightInd w:val="0"/>
                    <w:snapToGrid w:val="0"/>
                    <w:ind w:left="-105" w:leftChars="-50" w:right="-105" w:rightChars="-50"/>
                    <w:jc w:val="center"/>
                    <w:rPr>
                      <w:rFonts w:hint="default"/>
                      <w:color w:val="auto"/>
                      <w:lang w:val="en-US" w:eastAsia="zh-CN"/>
                    </w:rPr>
                  </w:pPr>
                  <w:r>
                    <w:rPr>
                      <w:rFonts w:hint="eastAsia"/>
                      <w:color w:val="auto"/>
                      <w:lang w:val="en-US" w:eastAsia="zh-CN"/>
                    </w:rPr>
                    <w:t>58</w:t>
                  </w:r>
                </w:p>
              </w:tc>
              <w:tc>
                <w:tcPr>
                  <w:tcW w:w="239" w:type="pct"/>
                  <w:noWrap w:val="0"/>
                  <w:vAlign w:val="center"/>
                </w:tcPr>
                <w:p w14:paraId="6987394A">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14B3377">
                  <w:pPr>
                    <w:adjustRightInd w:val="0"/>
                    <w:snapToGrid w:val="0"/>
                    <w:ind w:left="-105" w:leftChars="-50" w:right="-105" w:rightChars="-50"/>
                    <w:jc w:val="center"/>
                    <w:rPr>
                      <w:rFonts w:hint="eastAsia"/>
                      <w:color w:val="auto"/>
                      <w:lang w:val="en-US" w:eastAsia="zh-CN"/>
                    </w:rPr>
                  </w:pPr>
                  <w:r>
                    <w:rPr>
                      <w:rFonts w:hint="eastAsia"/>
                      <w:color w:val="auto"/>
                      <w:lang w:val="en-US" w:eastAsia="zh-CN"/>
                    </w:rPr>
                    <w:t>6</w:t>
                  </w:r>
                </w:p>
              </w:tc>
              <w:tc>
                <w:tcPr>
                  <w:tcW w:w="270" w:type="pct"/>
                  <w:noWrap w:val="0"/>
                  <w:vAlign w:val="center"/>
                </w:tcPr>
                <w:p w14:paraId="7CCC05AE">
                  <w:pPr>
                    <w:adjustRightInd w:val="0"/>
                    <w:snapToGrid w:val="0"/>
                    <w:ind w:left="-105" w:leftChars="-50" w:right="-105" w:rightChars="-50"/>
                    <w:jc w:val="center"/>
                    <w:rPr>
                      <w:rFonts w:hint="default"/>
                      <w:color w:val="auto"/>
                      <w:lang w:val="en-US" w:eastAsia="zh-CN"/>
                    </w:rPr>
                  </w:pPr>
                  <w:r>
                    <w:rPr>
                      <w:rFonts w:hint="eastAsia"/>
                      <w:color w:val="auto"/>
                      <w:lang w:val="en-US" w:eastAsia="zh-CN"/>
                    </w:rPr>
                    <w:t>54.4</w:t>
                  </w:r>
                </w:p>
              </w:tc>
              <w:tc>
                <w:tcPr>
                  <w:tcW w:w="562" w:type="dxa"/>
                  <w:noWrap w:val="0"/>
                  <w:vAlign w:val="center"/>
                </w:tcPr>
                <w:p w14:paraId="4798A136">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4E0EA662">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165710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402" w:type="pct"/>
                  <w:noWrap w:val="0"/>
                  <w:vAlign w:val="center"/>
                </w:tcPr>
                <w:p w14:paraId="2A75611F">
                  <w:pPr>
                    <w:adjustRightInd w:val="0"/>
                    <w:snapToGrid w:val="0"/>
                    <w:ind w:left="-105" w:leftChars="-50" w:right="-105" w:rightChars="-50"/>
                    <w:jc w:val="center"/>
                    <w:rPr>
                      <w:color w:val="auto"/>
                    </w:rPr>
                  </w:pPr>
                  <w:r>
                    <w:rPr>
                      <w:color w:val="auto"/>
                    </w:rPr>
                    <w:t>1m</w:t>
                  </w:r>
                </w:p>
              </w:tc>
            </w:tr>
            <w:tr w14:paraId="5FE1CA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6DE3A13F">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7E4EAAD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eastAsia="zh-CN"/>
                    </w:rPr>
                    <w:t>静音端子机</w:t>
                  </w:r>
                </w:p>
              </w:tc>
              <w:tc>
                <w:tcPr>
                  <w:tcW w:w="685" w:type="dxa"/>
                  <w:noWrap w:val="0"/>
                  <w:vAlign w:val="center"/>
                </w:tcPr>
                <w:p w14:paraId="78709DC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24ECE13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5230058">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4FBADA75">
                  <w:pPr>
                    <w:adjustRightInd w:val="0"/>
                    <w:snapToGrid w:val="0"/>
                    <w:ind w:left="-105" w:leftChars="-50" w:right="-105" w:rightChars="-50"/>
                    <w:jc w:val="center"/>
                    <w:rPr>
                      <w:rFonts w:hAnsi="宋体"/>
                      <w:bCs/>
                      <w:color w:val="auto"/>
                      <w:szCs w:val="20"/>
                    </w:rPr>
                  </w:pPr>
                </w:p>
              </w:tc>
              <w:tc>
                <w:tcPr>
                  <w:tcW w:w="218" w:type="pct"/>
                  <w:noWrap w:val="0"/>
                  <w:vAlign w:val="center"/>
                </w:tcPr>
                <w:p w14:paraId="57FE8FF5">
                  <w:pPr>
                    <w:adjustRightInd w:val="0"/>
                    <w:snapToGrid w:val="0"/>
                    <w:ind w:left="-105" w:leftChars="-50" w:right="-105" w:rightChars="-50"/>
                    <w:jc w:val="center"/>
                    <w:rPr>
                      <w:rFonts w:hint="default"/>
                      <w:color w:val="auto"/>
                      <w:lang w:val="en-US" w:eastAsia="zh-CN"/>
                    </w:rPr>
                  </w:pPr>
                  <w:r>
                    <w:rPr>
                      <w:rFonts w:hint="eastAsia"/>
                      <w:color w:val="auto"/>
                      <w:lang w:val="en-US" w:eastAsia="zh-CN"/>
                    </w:rPr>
                    <w:t>49</w:t>
                  </w:r>
                </w:p>
              </w:tc>
              <w:tc>
                <w:tcPr>
                  <w:tcW w:w="218" w:type="pct"/>
                  <w:noWrap w:val="0"/>
                  <w:vAlign w:val="center"/>
                </w:tcPr>
                <w:p w14:paraId="493B0A7F">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39" w:type="pct"/>
                  <w:noWrap w:val="0"/>
                  <w:vAlign w:val="center"/>
                </w:tcPr>
                <w:p w14:paraId="0FA7486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F02D751">
                  <w:pPr>
                    <w:adjustRightInd w:val="0"/>
                    <w:snapToGrid w:val="0"/>
                    <w:ind w:left="-105" w:leftChars="-50" w:right="-105" w:rightChars="-50"/>
                    <w:jc w:val="center"/>
                    <w:rPr>
                      <w:rFonts w:hint="eastAsia"/>
                      <w:color w:val="auto"/>
                      <w:lang w:val="en-US" w:eastAsia="zh-CN"/>
                    </w:rPr>
                  </w:pPr>
                  <w:r>
                    <w:rPr>
                      <w:rFonts w:hint="eastAsia"/>
                      <w:color w:val="auto"/>
                      <w:lang w:val="en-US" w:eastAsia="zh-CN"/>
                    </w:rPr>
                    <w:t>7</w:t>
                  </w:r>
                </w:p>
              </w:tc>
              <w:tc>
                <w:tcPr>
                  <w:tcW w:w="270" w:type="pct"/>
                  <w:noWrap w:val="0"/>
                  <w:vAlign w:val="center"/>
                </w:tcPr>
                <w:p w14:paraId="77106BD0">
                  <w:pPr>
                    <w:adjustRightInd w:val="0"/>
                    <w:snapToGrid w:val="0"/>
                    <w:ind w:left="-105" w:leftChars="-50" w:right="-105" w:rightChars="-50"/>
                    <w:jc w:val="center"/>
                    <w:rPr>
                      <w:rFonts w:hint="default"/>
                      <w:color w:val="auto"/>
                      <w:lang w:val="en-US" w:eastAsia="zh-CN"/>
                    </w:rPr>
                  </w:pPr>
                  <w:r>
                    <w:rPr>
                      <w:rFonts w:hint="eastAsia"/>
                      <w:color w:val="auto"/>
                      <w:lang w:val="en-US" w:eastAsia="zh-CN"/>
                    </w:rPr>
                    <w:t>53.1</w:t>
                  </w:r>
                </w:p>
              </w:tc>
              <w:tc>
                <w:tcPr>
                  <w:tcW w:w="562" w:type="dxa"/>
                  <w:noWrap w:val="0"/>
                  <w:vAlign w:val="center"/>
                </w:tcPr>
                <w:p w14:paraId="12AA7989">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2378543F">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7C8DF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402" w:type="pct"/>
                  <w:noWrap w:val="0"/>
                  <w:vAlign w:val="center"/>
                </w:tcPr>
                <w:p w14:paraId="2E5CCD38">
                  <w:pPr>
                    <w:adjustRightInd w:val="0"/>
                    <w:snapToGrid w:val="0"/>
                    <w:ind w:left="-105" w:leftChars="-50" w:right="-105" w:rightChars="-50"/>
                    <w:jc w:val="center"/>
                    <w:rPr>
                      <w:color w:val="auto"/>
                    </w:rPr>
                  </w:pPr>
                  <w:r>
                    <w:rPr>
                      <w:color w:val="auto"/>
                    </w:rPr>
                    <w:t>1m</w:t>
                  </w:r>
                </w:p>
              </w:tc>
            </w:tr>
            <w:tr w14:paraId="449E23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3836692C">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3FAF13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eastAsia="zh-CN"/>
                    </w:rPr>
                    <w:t>静音端子机</w:t>
                  </w:r>
                </w:p>
              </w:tc>
              <w:tc>
                <w:tcPr>
                  <w:tcW w:w="685" w:type="dxa"/>
                  <w:noWrap w:val="0"/>
                  <w:vAlign w:val="center"/>
                </w:tcPr>
                <w:p w14:paraId="788A407E">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5E2B3CF3">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4AAC21C0">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235B17D5">
                  <w:pPr>
                    <w:adjustRightInd w:val="0"/>
                    <w:snapToGrid w:val="0"/>
                    <w:ind w:left="-105" w:leftChars="-50" w:right="-105" w:rightChars="-50"/>
                    <w:jc w:val="center"/>
                    <w:rPr>
                      <w:rFonts w:hAnsi="宋体"/>
                      <w:bCs/>
                      <w:color w:val="auto"/>
                      <w:szCs w:val="20"/>
                    </w:rPr>
                  </w:pPr>
                </w:p>
              </w:tc>
              <w:tc>
                <w:tcPr>
                  <w:tcW w:w="218" w:type="pct"/>
                  <w:noWrap w:val="0"/>
                  <w:vAlign w:val="center"/>
                </w:tcPr>
                <w:p w14:paraId="4D1FAA2D">
                  <w:pPr>
                    <w:adjustRightInd w:val="0"/>
                    <w:snapToGrid w:val="0"/>
                    <w:ind w:left="-105" w:leftChars="-50" w:right="-105" w:rightChars="-50"/>
                    <w:jc w:val="center"/>
                    <w:rPr>
                      <w:rFonts w:hint="default"/>
                      <w:color w:val="auto"/>
                      <w:lang w:val="en-US" w:eastAsia="zh-CN"/>
                    </w:rPr>
                  </w:pPr>
                  <w:r>
                    <w:rPr>
                      <w:rFonts w:hint="eastAsia"/>
                      <w:color w:val="auto"/>
                      <w:lang w:val="en-US" w:eastAsia="zh-CN"/>
                    </w:rPr>
                    <w:t>49</w:t>
                  </w:r>
                </w:p>
              </w:tc>
              <w:tc>
                <w:tcPr>
                  <w:tcW w:w="218" w:type="pct"/>
                  <w:noWrap w:val="0"/>
                  <w:vAlign w:val="center"/>
                </w:tcPr>
                <w:p w14:paraId="7951C652">
                  <w:pPr>
                    <w:adjustRightInd w:val="0"/>
                    <w:snapToGrid w:val="0"/>
                    <w:ind w:left="-105" w:leftChars="-50" w:right="-105" w:rightChars="-50"/>
                    <w:jc w:val="center"/>
                    <w:rPr>
                      <w:rFonts w:hint="default"/>
                      <w:color w:val="auto"/>
                      <w:lang w:val="en-US" w:eastAsia="zh-CN"/>
                    </w:rPr>
                  </w:pPr>
                  <w:r>
                    <w:rPr>
                      <w:rFonts w:hint="eastAsia"/>
                      <w:color w:val="auto"/>
                      <w:lang w:val="en-US" w:eastAsia="zh-CN"/>
                    </w:rPr>
                    <w:t>56</w:t>
                  </w:r>
                </w:p>
              </w:tc>
              <w:tc>
                <w:tcPr>
                  <w:tcW w:w="239" w:type="pct"/>
                  <w:noWrap w:val="0"/>
                  <w:vAlign w:val="center"/>
                </w:tcPr>
                <w:p w14:paraId="370ABA9B">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068D79FC">
                  <w:pPr>
                    <w:adjustRightInd w:val="0"/>
                    <w:snapToGrid w:val="0"/>
                    <w:ind w:left="-105" w:leftChars="-50" w:right="-105" w:rightChars="-50"/>
                    <w:jc w:val="center"/>
                    <w:rPr>
                      <w:rFonts w:hint="eastAsia"/>
                      <w:color w:val="auto"/>
                      <w:lang w:val="en-US" w:eastAsia="zh-CN"/>
                    </w:rPr>
                  </w:pPr>
                  <w:r>
                    <w:rPr>
                      <w:rFonts w:hint="eastAsia"/>
                      <w:color w:val="auto"/>
                      <w:lang w:val="en-US" w:eastAsia="zh-CN"/>
                    </w:rPr>
                    <w:t>6</w:t>
                  </w:r>
                </w:p>
              </w:tc>
              <w:tc>
                <w:tcPr>
                  <w:tcW w:w="270" w:type="pct"/>
                  <w:noWrap w:val="0"/>
                  <w:vAlign w:val="center"/>
                </w:tcPr>
                <w:p w14:paraId="24175658">
                  <w:pPr>
                    <w:adjustRightInd w:val="0"/>
                    <w:snapToGrid w:val="0"/>
                    <w:ind w:left="-105" w:leftChars="-50" w:right="-105" w:rightChars="-50"/>
                    <w:jc w:val="center"/>
                    <w:rPr>
                      <w:rFonts w:hint="default"/>
                      <w:color w:val="auto"/>
                      <w:lang w:val="en-US" w:eastAsia="zh-CN"/>
                    </w:rPr>
                  </w:pPr>
                  <w:r>
                    <w:rPr>
                      <w:rFonts w:hint="eastAsia"/>
                      <w:color w:val="auto"/>
                      <w:lang w:val="en-US" w:eastAsia="zh-CN"/>
                    </w:rPr>
                    <w:t>54.4</w:t>
                  </w:r>
                </w:p>
              </w:tc>
              <w:tc>
                <w:tcPr>
                  <w:tcW w:w="562" w:type="dxa"/>
                  <w:noWrap w:val="0"/>
                  <w:vAlign w:val="center"/>
                </w:tcPr>
                <w:p w14:paraId="407E5595">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03B4398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12EEB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34.4</w:t>
                  </w:r>
                </w:p>
              </w:tc>
              <w:tc>
                <w:tcPr>
                  <w:tcW w:w="402" w:type="pct"/>
                  <w:noWrap w:val="0"/>
                  <w:vAlign w:val="center"/>
                </w:tcPr>
                <w:p w14:paraId="311D2081">
                  <w:pPr>
                    <w:adjustRightInd w:val="0"/>
                    <w:snapToGrid w:val="0"/>
                    <w:ind w:left="-105" w:leftChars="-50" w:right="-105" w:rightChars="-50"/>
                    <w:jc w:val="center"/>
                    <w:rPr>
                      <w:color w:val="auto"/>
                    </w:rPr>
                  </w:pPr>
                  <w:r>
                    <w:rPr>
                      <w:color w:val="auto"/>
                    </w:rPr>
                    <w:t>1m</w:t>
                  </w:r>
                </w:p>
              </w:tc>
            </w:tr>
            <w:tr w14:paraId="7EBD4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B160720">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3C74844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r>
                    <w:rPr>
                      <w:rFonts w:hint="eastAsia" w:cs="Times New Roman"/>
                      <w:color w:val="auto"/>
                      <w:sz w:val="21"/>
                      <w:szCs w:val="21"/>
                      <w:lang w:eastAsia="zh-CN"/>
                    </w:rPr>
                    <w:t>静音端子机</w:t>
                  </w:r>
                </w:p>
              </w:tc>
              <w:tc>
                <w:tcPr>
                  <w:tcW w:w="685" w:type="dxa"/>
                  <w:noWrap w:val="0"/>
                  <w:vAlign w:val="center"/>
                </w:tcPr>
                <w:p w14:paraId="6A386CC8">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1CAF298A">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19EC034">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33CC1E90">
                  <w:pPr>
                    <w:adjustRightInd w:val="0"/>
                    <w:snapToGrid w:val="0"/>
                    <w:ind w:left="-105" w:leftChars="-50" w:right="-105" w:rightChars="-50"/>
                    <w:jc w:val="center"/>
                    <w:rPr>
                      <w:rFonts w:hAnsi="宋体"/>
                      <w:bCs/>
                      <w:color w:val="auto"/>
                      <w:szCs w:val="20"/>
                    </w:rPr>
                  </w:pPr>
                </w:p>
              </w:tc>
              <w:tc>
                <w:tcPr>
                  <w:tcW w:w="218" w:type="pct"/>
                  <w:noWrap w:val="0"/>
                  <w:vAlign w:val="center"/>
                </w:tcPr>
                <w:p w14:paraId="50A0B4A2">
                  <w:pPr>
                    <w:adjustRightInd w:val="0"/>
                    <w:snapToGrid w:val="0"/>
                    <w:ind w:left="-105" w:leftChars="-50" w:right="-105" w:rightChars="-50"/>
                    <w:jc w:val="center"/>
                    <w:rPr>
                      <w:rFonts w:hint="default"/>
                      <w:color w:val="auto"/>
                      <w:lang w:val="en-US" w:eastAsia="zh-CN"/>
                    </w:rPr>
                  </w:pPr>
                  <w:r>
                    <w:rPr>
                      <w:rFonts w:hint="eastAsia"/>
                      <w:color w:val="auto"/>
                      <w:lang w:val="en-US" w:eastAsia="zh-CN"/>
                    </w:rPr>
                    <w:t>48</w:t>
                  </w:r>
                </w:p>
              </w:tc>
              <w:tc>
                <w:tcPr>
                  <w:tcW w:w="218" w:type="pct"/>
                  <w:noWrap w:val="0"/>
                  <w:vAlign w:val="center"/>
                </w:tcPr>
                <w:p w14:paraId="2856E0AF">
                  <w:pPr>
                    <w:adjustRightInd w:val="0"/>
                    <w:snapToGrid w:val="0"/>
                    <w:ind w:left="-105" w:leftChars="-50" w:right="-105" w:rightChars="-50"/>
                    <w:jc w:val="center"/>
                    <w:rPr>
                      <w:rFonts w:hint="default"/>
                      <w:color w:val="auto"/>
                      <w:lang w:val="en-US" w:eastAsia="zh-CN"/>
                    </w:rPr>
                  </w:pPr>
                  <w:r>
                    <w:rPr>
                      <w:rFonts w:hint="eastAsia"/>
                      <w:color w:val="auto"/>
                      <w:lang w:val="en-US" w:eastAsia="zh-CN"/>
                    </w:rPr>
                    <w:t>54</w:t>
                  </w:r>
                </w:p>
              </w:tc>
              <w:tc>
                <w:tcPr>
                  <w:tcW w:w="239" w:type="pct"/>
                  <w:noWrap w:val="0"/>
                  <w:vAlign w:val="center"/>
                </w:tcPr>
                <w:p w14:paraId="5F39D47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526AABFB">
                  <w:pPr>
                    <w:adjustRightInd w:val="0"/>
                    <w:snapToGrid w:val="0"/>
                    <w:ind w:left="-105" w:leftChars="-50" w:right="-105" w:rightChars="-50"/>
                    <w:jc w:val="center"/>
                    <w:rPr>
                      <w:rFonts w:hint="eastAsia"/>
                      <w:color w:val="auto"/>
                      <w:lang w:val="en-US" w:eastAsia="zh-CN"/>
                    </w:rPr>
                  </w:pPr>
                  <w:r>
                    <w:rPr>
                      <w:rFonts w:hint="eastAsia"/>
                      <w:color w:val="auto"/>
                      <w:lang w:val="en-US" w:eastAsia="zh-CN"/>
                    </w:rPr>
                    <w:t>4</w:t>
                  </w:r>
                </w:p>
              </w:tc>
              <w:tc>
                <w:tcPr>
                  <w:tcW w:w="270" w:type="pct"/>
                  <w:noWrap w:val="0"/>
                  <w:vAlign w:val="center"/>
                </w:tcPr>
                <w:p w14:paraId="337BAE45">
                  <w:pPr>
                    <w:adjustRightInd w:val="0"/>
                    <w:snapToGrid w:val="0"/>
                    <w:ind w:left="-105" w:leftChars="-50" w:right="-105" w:rightChars="-50"/>
                    <w:jc w:val="center"/>
                    <w:rPr>
                      <w:rFonts w:hint="default"/>
                      <w:color w:val="auto"/>
                      <w:lang w:val="en-US" w:eastAsia="zh-CN"/>
                    </w:rPr>
                  </w:pPr>
                  <w:r>
                    <w:rPr>
                      <w:rFonts w:hint="eastAsia"/>
                      <w:color w:val="auto"/>
                      <w:lang w:val="en-US" w:eastAsia="zh-CN"/>
                    </w:rPr>
                    <w:t>58.0</w:t>
                  </w:r>
                </w:p>
              </w:tc>
              <w:tc>
                <w:tcPr>
                  <w:tcW w:w="562" w:type="dxa"/>
                  <w:noWrap w:val="0"/>
                  <w:vAlign w:val="center"/>
                </w:tcPr>
                <w:p w14:paraId="44D03FD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42D78213">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DE7E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402" w:type="pct"/>
                  <w:noWrap w:val="0"/>
                  <w:vAlign w:val="center"/>
                </w:tcPr>
                <w:p w14:paraId="22250D3C">
                  <w:pPr>
                    <w:adjustRightInd w:val="0"/>
                    <w:snapToGrid w:val="0"/>
                    <w:ind w:left="-105" w:leftChars="-50" w:right="-105" w:rightChars="-50"/>
                    <w:jc w:val="center"/>
                    <w:rPr>
                      <w:color w:val="auto"/>
                    </w:rPr>
                  </w:pPr>
                  <w:r>
                    <w:rPr>
                      <w:color w:val="auto"/>
                    </w:rPr>
                    <w:t>1m</w:t>
                  </w:r>
                </w:p>
              </w:tc>
            </w:tr>
            <w:tr w14:paraId="0EDCE7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68BF0EE1">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975D1E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eastAsia" w:cs="Times New Roman"/>
                      <w:color w:val="auto"/>
                      <w:sz w:val="21"/>
                      <w:szCs w:val="21"/>
                      <w:lang w:eastAsia="zh-CN"/>
                    </w:rPr>
                    <w:t>静音端子机</w:t>
                  </w:r>
                </w:p>
              </w:tc>
              <w:tc>
                <w:tcPr>
                  <w:tcW w:w="685" w:type="dxa"/>
                  <w:noWrap w:val="0"/>
                  <w:vAlign w:val="center"/>
                </w:tcPr>
                <w:p w14:paraId="222688DD">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7CB659FC">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586D29D">
                  <w:pPr>
                    <w:jc w:val="center"/>
                    <w:rPr>
                      <w:rFonts w:hint="eastAsia"/>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6BE5AAF9">
                  <w:pPr>
                    <w:adjustRightInd w:val="0"/>
                    <w:snapToGrid w:val="0"/>
                    <w:ind w:left="-105" w:leftChars="-50" w:right="-105" w:rightChars="-50"/>
                    <w:jc w:val="center"/>
                    <w:rPr>
                      <w:rFonts w:hAnsi="宋体"/>
                      <w:bCs/>
                      <w:color w:val="auto"/>
                      <w:szCs w:val="20"/>
                    </w:rPr>
                  </w:pPr>
                </w:p>
              </w:tc>
              <w:tc>
                <w:tcPr>
                  <w:tcW w:w="218" w:type="pct"/>
                  <w:noWrap w:val="0"/>
                  <w:vAlign w:val="center"/>
                </w:tcPr>
                <w:p w14:paraId="572E690C">
                  <w:pPr>
                    <w:adjustRightInd w:val="0"/>
                    <w:snapToGrid w:val="0"/>
                    <w:ind w:left="-105" w:leftChars="-50" w:right="-105" w:rightChars="-50"/>
                    <w:jc w:val="center"/>
                    <w:rPr>
                      <w:rFonts w:hint="default"/>
                      <w:color w:val="auto"/>
                      <w:lang w:val="en-US" w:eastAsia="zh-CN"/>
                    </w:rPr>
                  </w:pPr>
                  <w:r>
                    <w:rPr>
                      <w:rFonts w:hint="eastAsia"/>
                      <w:color w:val="auto"/>
                      <w:lang w:val="en-US" w:eastAsia="zh-CN"/>
                    </w:rPr>
                    <w:t>47</w:t>
                  </w:r>
                </w:p>
              </w:tc>
              <w:tc>
                <w:tcPr>
                  <w:tcW w:w="218" w:type="pct"/>
                  <w:noWrap w:val="0"/>
                  <w:vAlign w:val="center"/>
                </w:tcPr>
                <w:p w14:paraId="2AEA08BB">
                  <w:pPr>
                    <w:adjustRightInd w:val="0"/>
                    <w:snapToGrid w:val="0"/>
                    <w:ind w:left="-105" w:leftChars="-50" w:right="-105" w:rightChars="-50"/>
                    <w:jc w:val="center"/>
                    <w:rPr>
                      <w:rFonts w:hint="default"/>
                      <w:color w:val="auto"/>
                      <w:lang w:val="en-US" w:eastAsia="zh-CN"/>
                    </w:rPr>
                  </w:pPr>
                  <w:r>
                    <w:rPr>
                      <w:rFonts w:hint="eastAsia"/>
                      <w:color w:val="auto"/>
                      <w:lang w:val="en-US" w:eastAsia="zh-CN"/>
                    </w:rPr>
                    <w:t>53</w:t>
                  </w:r>
                </w:p>
              </w:tc>
              <w:tc>
                <w:tcPr>
                  <w:tcW w:w="239" w:type="pct"/>
                  <w:noWrap w:val="0"/>
                  <w:vAlign w:val="center"/>
                </w:tcPr>
                <w:p w14:paraId="63EE033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731" w:type="dxa"/>
                  <w:noWrap w:val="0"/>
                  <w:vAlign w:val="center"/>
                </w:tcPr>
                <w:p w14:paraId="7CA9B607">
                  <w:pPr>
                    <w:adjustRightInd w:val="0"/>
                    <w:snapToGrid w:val="0"/>
                    <w:ind w:left="-105" w:leftChars="-50" w:right="-105" w:rightChars="-50"/>
                    <w:jc w:val="center"/>
                    <w:rPr>
                      <w:rFonts w:hint="eastAsia"/>
                      <w:color w:val="auto"/>
                      <w:lang w:val="en-US" w:eastAsia="zh-CN"/>
                    </w:rPr>
                  </w:pPr>
                  <w:r>
                    <w:rPr>
                      <w:rFonts w:hint="eastAsia"/>
                      <w:color w:val="auto"/>
                      <w:lang w:val="en-US" w:eastAsia="zh-CN"/>
                    </w:rPr>
                    <w:t>3</w:t>
                  </w:r>
                </w:p>
              </w:tc>
              <w:tc>
                <w:tcPr>
                  <w:tcW w:w="270" w:type="pct"/>
                  <w:noWrap w:val="0"/>
                  <w:vAlign w:val="center"/>
                </w:tcPr>
                <w:p w14:paraId="01B8DAAC">
                  <w:pPr>
                    <w:adjustRightInd w:val="0"/>
                    <w:snapToGrid w:val="0"/>
                    <w:ind w:left="-105" w:leftChars="-50" w:right="-105" w:rightChars="-50"/>
                    <w:jc w:val="center"/>
                    <w:rPr>
                      <w:rFonts w:hint="eastAsia"/>
                      <w:color w:val="auto"/>
                      <w:lang w:val="en-US" w:eastAsia="zh-CN"/>
                    </w:rPr>
                  </w:pPr>
                  <w:r>
                    <w:rPr>
                      <w:rFonts w:hint="eastAsia"/>
                      <w:color w:val="auto"/>
                      <w:lang w:val="en-US" w:eastAsia="zh-CN"/>
                    </w:rPr>
                    <w:t>60.5</w:t>
                  </w:r>
                </w:p>
              </w:tc>
              <w:tc>
                <w:tcPr>
                  <w:tcW w:w="562" w:type="dxa"/>
                  <w:noWrap w:val="0"/>
                  <w:vAlign w:val="center"/>
                </w:tcPr>
                <w:p w14:paraId="27EECC26">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1B63F70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732E0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402" w:type="pct"/>
                  <w:noWrap w:val="0"/>
                  <w:vAlign w:val="center"/>
                </w:tcPr>
                <w:p w14:paraId="75F54A88">
                  <w:pPr>
                    <w:adjustRightInd w:val="0"/>
                    <w:snapToGrid w:val="0"/>
                    <w:ind w:left="-105" w:leftChars="-50" w:right="-105" w:rightChars="-50"/>
                    <w:jc w:val="center"/>
                    <w:rPr>
                      <w:color w:val="auto"/>
                    </w:rPr>
                  </w:pPr>
                  <w:r>
                    <w:rPr>
                      <w:color w:val="auto"/>
                    </w:rPr>
                    <w:t>1m</w:t>
                  </w:r>
                </w:p>
              </w:tc>
            </w:tr>
            <w:tr w14:paraId="3335C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46768276">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4751B37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锡炉</w:t>
                  </w:r>
                </w:p>
              </w:tc>
              <w:tc>
                <w:tcPr>
                  <w:tcW w:w="685" w:type="dxa"/>
                  <w:noWrap w:val="0"/>
                  <w:vAlign w:val="center"/>
                </w:tcPr>
                <w:p w14:paraId="667DAB72">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4072F71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Cs w:val="21"/>
                      <w:lang w:val="en-US" w:eastAsia="zh-CN"/>
                    </w:rPr>
                  </w:pPr>
                  <w:r>
                    <w:rPr>
                      <w:rFonts w:hint="eastAsia" w:cs="Times New Roman"/>
                      <w:bCs/>
                      <w:color w:val="auto"/>
                      <w:sz w:val="21"/>
                      <w:szCs w:val="21"/>
                      <w:lang w:val="en-US" w:eastAsia="zh-CN"/>
                    </w:rPr>
                    <w:t>1</w:t>
                  </w:r>
                </w:p>
              </w:tc>
              <w:tc>
                <w:tcPr>
                  <w:tcW w:w="574" w:type="pct"/>
                  <w:noWrap w:val="0"/>
                  <w:vAlign w:val="center"/>
                </w:tcPr>
                <w:p w14:paraId="7E22EB2F">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4FE23D96">
                  <w:pPr>
                    <w:adjustRightInd w:val="0"/>
                    <w:snapToGrid w:val="0"/>
                    <w:ind w:left="-105" w:leftChars="-50" w:right="-105" w:rightChars="-50"/>
                    <w:jc w:val="center"/>
                    <w:rPr>
                      <w:rFonts w:hAnsi="宋体"/>
                      <w:bCs/>
                      <w:color w:val="auto"/>
                      <w:szCs w:val="20"/>
                    </w:rPr>
                  </w:pPr>
                </w:p>
              </w:tc>
              <w:tc>
                <w:tcPr>
                  <w:tcW w:w="218" w:type="pct"/>
                  <w:noWrap w:val="0"/>
                  <w:vAlign w:val="center"/>
                </w:tcPr>
                <w:p w14:paraId="78FA7EA6">
                  <w:pPr>
                    <w:adjustRightInd w:val="0"/>
                    <w:snapToGrid w:val="0"/>
                    <w:ind w:left="-105" w:leftChars="-50" w:right="-105" w:rightChars="-50"/>
                    <w:jc w:val="center"/>
                    <w:rPr>
                      <w:rFonts w:hint="default"/>
                      <w:color w:val="auto"/>
                      <w:lang w:val="en-US" w:eastAsia="zh-CN"/>
                    </w:rPr>
                  </w:pPr>
                  <w:r>
                    <w:rPr>
                      <w:rFonts w:hint="eastAsia"/>
                      <w:color w:val="auto"/>
                      <w:lang w:val="en-US" w:eastAsia="zh-CN"/>
                    </w:rPr>
                    <w:t>53</w:t>
                  </w:r>
                </w:p>
              </w:tc>
              <w:tc>
                <w:tcPr>
                  <w:tcW w:w="218" w:type="pct"/>
                  <w:noWrap w:val="0"/>
                  <w:vAlign w:val="center"/>
                </w:tcPr>
                <w:p w14:paraId="52271EF2">
                  <w:pPr>
                    <w:adjustRightInd w:val="0"/>
                    <w:snapToGrid w:val="0"/>
                    <w:ind w:left="-105" w:leftChars="-50" w:right="-105" w:rightChars="-50"/>
                    <w:jc w:val="center"/>
                    <w:rPr>
                      <w:rFonts w:hint="default"/>
                      <w:color w:val="auto"/>
                      <w:lang w:val="en-US" w:eastAsia="zh-CN"/>
                    </w:rPr>
                  </w:pPr>
                  <w:r>
                    <w:rPr>
                      <w:rFonts w:hint="eastAsia"/>
                      <w:color w:val="auto"/>
                      <w:lang w:val="en-US" w:eastAsia="zh-CN"/>
                    </w:rPr>
                    <w:t>61</w:t>
                  </w:r>
                </w:p>
              </w:tc>
              <w:tc>
                <w:tcPr>
                  <w:tcW w:w="239" w:type="pct"/>
                  <w:noWrap w:val="0"/>
                  <w:vAlign w:val="center"/>
                </w:tcPr>
                <w:p w14:paraId="2D7F0BE9">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555746EF">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7B552732">
                  <w:pPr>
                    <w:adjustRightInd w:val="0"/>
                    <w:snapToGrid w:val="0"/>
                    <w:ind w:left="-105" w:leftChars="-50" w:right="-105" w:rightChars="-50"/>
                    <w:jc w:val="center"/>
                    <w:rPr>
                      <w:rFonts w:hint="default"/>
                      <w:color w:val="auto"/>
                      <w:lang w:val="en-US" w:eastAsia="zh-CN"/>
                    </w:rPr>
                  </w:pPr>
                  <w:r>
                    <w:rPr>
                      <w:rFonts w:hint="eastAsia"/>
                      <w:color w:val="auto"/>
                      <w:lang w:val="en-US" w:eastAsia="zh-CN"/>
                    </w:rPr>
                    <w:t>64.0</w:t>
                  </w:r>
                </w:p>
              </w:tc>
              <w:tc>
                <w:tcPr>
                  <w:tcW w:w="562" w:type="dxa"/>
                  <w:noWrap w:val="0"/>
                  <w:vAlign w:val="center"/>
                </w:tcPr>
                <w:p w14:paraId="3708E96E">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2E78A19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07E9840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095E44A0">
                  <w:pPr>
                    <w:adjustRightInd w:val="0"/>
                    <w:snapToGrid w:val="0"/>
                    <w:ind w:left="-105" w:leftChars="-50" w:right="-105" w:rightChars="-50"/>
                    <w:jc w:val="center"/>
                    <w:rPr>
                      <w:color w:val="auto"/>
                    </w:rPr>
                  </w:pPr>
                  <w:r>
                    <w:rPr>
                      <w:color w:val="auto"/>
                    </w:rPr>
                    <w:t>1m</w:t>
                  </w:r>
                </w:p>
              </w:tc>
            </w:tr>
            <w:tr w14:paraId="544B9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19BFE1C">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6BE908E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锡炉</w:t>
                  </w:r>
                </w:p>
              </w:tc>
              <w:tc>
                <w:tcPr>
                  <w:tcW w:w="685" w:type="dxa"/>
                  <w:noWrap w:val="0"/>
                  <w:vAlign w:val="center"/>
                </w:tcPr>
                <w:p w14:paraId="3AC32F94">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10206A5B">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13BAA88">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6EE943B2">
                  <w:pPr>
                    <w:adjustRightInd w:val="0"/>
                    <w:snapToGrid w:val="0"/>
                    <w:ind w:left="-105" w:leftChars="-50" w:right="-105" w:rightChars="-50"/>
                    <w:jc w:val="center"/>
                    <w:rPr>
                      <w:rFonts w:hAnsi="宋体"/>
                      <w:bCs/>
                      <w:color w:val="auto"/>
                      <w:szCs w:val="20"/>
                    </w:rPr>
                  </w:pPr>
                </w:p>
              </w:tc>
              <w:tc>
                <w:tcPr>
                  <w:tcW w:w="218" w:type="pct"/>
                  <w:noWrap w:val="0"/>
                  <w:vAlign w:val="center"/>
                </w:tcPr>
                <w:p w14:paraId="1A64F863">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18" w:type="pct"/>
                  <w:noWrap w:val="0"/>
                  <w:vAlign w:val="center"/>
                </w:tcPr>
                <w:p w14:paraId="04C92FDD">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3B82CEDE">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0517A006">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35550B1C">
                  <w:pPr>
                    <w:adjustRightInd w:val="0"/>
                    <w:snapToGrid w:val="0"/>
                    <w:ind w:left="-105" w:leftChars="-50" w:right="-105" w:rightChars="-50"/>
                    <w:jc w:val="center"/>
                    <w:rPr>
                      <w:rFonts w:hint="default"/>
                      <w:color w:val="auto"/>
                      <w:lang w:val="en-US" w:eastAsia="zh-CN"/>
                    </w:rPr>
                  </w:pPr>
                  <w:r>
                    <w:rPr>
                      <w:rFonts w:hint="eastAsia"/>
                      <w:color w:val="auto"/>
                      <w:lang w:val="en-US" w:eastAsia="zh-CN"/>
                    </w:rPr>
                    <w:t>64.0</w:t>
                  </w:r>
                </w:p>
              </w:tc>
              <w:tc>
                <w:tcPr>
                  <w:tcW w:w="562" w:type="dxa"/>
                  <w:noWrap w:val="0"/>
                  <w:vAlign w:val="center"/>
                </w:tcPr>
                <w:p w14:paraId="0BF72C4A">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4E9AB76B">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35F9E59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0CE0F0E1">
                  <w:pPr>
                    <w:adjustRightInd w:val="0"/>
                    <w:snapToGrid w:val="0"/>
                    <w:ind w:left="-105" w:leftChars="-50" w:right="-105" w:rightChars="-50"/>
                    <w:jc w:val="center"/>
                    <w:rPr>
                      <w:color w:val="auto"/>
                    </w:rPr>
                  </w:pPr>
                  <w:r>
                    <w:rPr>
                      <w:color w:val="auto"/>
                    </w:rPr>
                    <w:t>1m</w:t>
                  </w:r>
                </w:p>
              </w:tc>
            </w:tr>
            <w:tr w14:paraId="322A7D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366E71A">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2EE89D1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微电脑切带机</w:t>
                  </w:r>
                </w:p>
              </w:tc>
              <w:tc>
                <w:tcPr>
                  <w:tcW w:w="685" w:type="dxa"/>
                  <w:noWrap w:val="0"/>
                  <w:vAlign w:val="center"/>
                </w:tcPr>
                <w:p w14:paraId="34D6E3D6">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4BD184A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12C748A0">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295DA286">
                  <w:pPr>
                    <w:adjustRightInd w:val="0"/>
                    <w:snapToGrid w:val="0"/>
                    <w:ind w:left="-105" w:leftChars="-50" w:right="-105" w:rightChars="-50"/>
                    <w:jc w:val="center"/>
                    <w:rPr>
                      <w:rFonts w:hAnsi="宋体"/>
                      <w:bCs/>
                      <w:color w:val="auto"/>
                      <w:szCs w:val="20"/>
                    </w:rPr>
                  </w:pPr>
                </w:p>
              </w:tc>
              <w:tc>
                <w:tcPr>
                  <w:tcW w:w="218" w:type="pct"/>
                  <w:noWrap w:val="0"/>
                  <w:vAlign w:val="center"/>
                </w:tcPr>
                <w:p w14:paraId="06947600">
                  <w:pPr>
                    <w:adjustRightInd w:val="0"/>
                    <w:snapToGrid w:val="0"/>
                    <w:ind w:left="-105" w:leftChars="-50" w:right="-105" w:rightChars="-50"/>
                    <w:jc w:val="center"/>
                    <w:rPr>
                      <w:rFonts w:hint="default"/>
                      <w:color w:val="auto"/>
                      <w:lang w:val="en-US" w:eastAsia="zh-CN"/>
                    </w:rPr>
                  </w:pPr>
                  <w:r>
                    <w:rPr>
                      <w:rFonts w:hint="eastAsia"/>
                      <w:color w:val="auto"/>
                      <w:lang w:val="en-US" w:eastAsia="zh-CN"/>
                    </w:rPr>
                    <w:t>56</w:t>
                  </w:r>
                </w:p>
              </w:tc>
              <w:tc>
                <w:tcPr>
                  <w:tcW w:w="218" w:type="pct"/>
                  <w:noWrap w:val="0"/>
                  <w:vAlign w:val="center"/>
                </w:tcPr>
                <w:p w14:paraId="0E81A868">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39" w:type="pct"/>
                  <w:noWrap w:val="0"/>
                  <w:vAlign w:val="center"/>
                </w:tcPr>
                <w:p w14:paraId="1B011E7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34B98D0E">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11982FD8">
                  <w:pPr>
                    <w:adjustRightInd w:val="0"/>
                    <w:snapToGrid w:val="0"/>
                    <w:ind w:left="-105" w:leftChars="-50" w:right="-105" w:rightChars="-50"/>
                    <w:jc w:val="center"/>
                    <w:rPr>
                      <w:rFonts w:hint="eastAsia"/>
                      <w:color w:val="auto"/>
                      <w:lang w:val="en-US" w:eastAsia="zh-CN"/>
                    </w:rPr>
                  </w:pPr>
                  <w:r>
                    <w:rPr>
                      <w:rFonts w:hint="eastAsia"/>
                      <w:color w:val="auto"/>
                      <w:lang w:val="en-US" w:eastAsia="zh-CN"/>
                    </w:rPr>
                    <w:t>69.0</w:t>
                  </w:r>
                </w:p>
              </w:tc>
              <w:tc>
                <w:tcPr>
                  <w:tcW w:w="562" w:type="dxa"/>
                  <w:noWrap w:val="0"/>
                  <w:vAlign w:val="center"/>
                </w:tcPr>
                <w:p w14:paraId="67F82BDD">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EFBC511">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EF38D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402" w:type="pct"/>
                  <w:noWrap w:val="0"/>
                  <w:vAlign w:val="center"/>
                </w:tcPr>
                <w:p w14:paraId="297A7B4D">
                  <w:pPr>
                    <w:adjustRightInd w:val="0"/>
                    <w:snapToGrid w:val="0"/>
                    <w:ind w:left="-105" w:leftChars="-50" w:right="-105" w:rightChars="-50"/>
                    <w:jc w:val="center"/>
                    <w:rPr>
                      <w:color w:val="auto"/>
                    </w:rPr>
                  </w:pPr>
                  <w:r>
                    <w:rPr>
                      <w:color w:val="auto"/>
                    </w:rPr>
                    <w:t>1m</w:t>
                  </w:r>
                </w:p>
              </w:tc>
            </w:tr>
            <w:tr w14:paraId="704A2D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C64C0F8">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1BBB0651">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微电脑切带机</w:t>
                  </w:r>
                </w:p>
              </w:tc>
              <w:tc>
                <w:tcPr>
                  <w:tcW w:w="685" w:type="dxa"/>
                  <w:noWrap w:val="0"/>
                  <w:vAlign w:val="center"/>
                </w:tcPr>
                <w:p w14:paraId="4FC6C9B5">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471A7AC1">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35A38A27">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067DEBD0">
                  <w:pPr>
                    <w:adjustRightInd w:val="0"/>
                    <w:snapToGrid w:val="0"/>
                    <w:ind w:left="-105" w:leftChars="-50" w:right="-105" w:rightChars="-50"/>
                    <w:jc w:val="center"/>
                    <w:rPr>
                      <w:rFonts w:hAnsi="宋体"/>
                      <w:bCs/>
                      <w:color w:val="auto"/>
                      <w:szCs w:val="20"/>
                    </w:rPr>
                  </w:pPr>
                </w:p>
              </w:tc>
              <w:tc>
                <w:tcPr>
                  <w:tcW w:w="218" w:type="pct"/>
                  <w:noWrap w:val="0"/>
                  <w:vAlign w:val="center"/>
                </w:tcPr>
                <w:p w14:paraId="61A28C29">
                  <w:pPr>
                    <w:adjustRightInd w:val="0"/>
                    <w:snapToGrid w:val="0"/>
                    <w:ind w:left="-105" w:leftChars="-50" w:right="-105" w:rightChars="-50"/>
                    <w:jc w:val="center"/>
                    <w:rPr>
                      <w:rFonts w:hint="default"/>
                      <w:color w:val="auto"/>
                      <w:lang w:val="en-US" w:eastAsia="zh-CN"/>
                    </w:rPr>
                  </w:pPr>
                  <w:r>
                    <w:rPr>
                      <w:rFonts w:hint="eastAsia"/>
                      <w:color w:val="auto"/>
                      <w:lang w:val="en-US" w:eastAsia="zh-CN"/>
                    </w:rPr>
                    <w:t>56</w:t>
                  </w:r>
                </w:p>
              </w:tc>
              <w:tc>
                <w:tcPr>
                  <w:tcW w:w="218" w:type="pct"/>
                  <w:noWrap w:val="0"/>
                  <w:vAlign w:val="center"/>
                </w:tcPr>
                <w:p w14:paraId="5425A1F3">
                  <w:pPr>
                    <w:adjustRightInd w:val="0"/>
                    <w:snapToGrid w:val="0"/>
                    <w:ind w:left="-105" w:leftChars="-50" w:right="-105" w:rightChars="-50"/>
                    <w:jc w:val="center"/>
                    <w:rPr>
                      <w:rFonts w:hint="default"/>
                      <w:color w:val="auto"/>
                      <w:lang w:val="en-US" w:eastAsia="zh-CN"/>
                    </w:rPr>
                  </w:pPr>
                  <w:r>
                    <w:rPr>
                      <w:rFonts w:hint="eastAsia"/>
                      <w:color w:val="auto"/>
                      <w:lang w:val="en-US" w:eastAsia="zh-CN"/>
                    </w:rPr>
                    <w:t>59</w:t>
                  </w:r>
                </w:p>
              </w:tc>
              <w:tc>
                <w:tcPr>
                  <w:tcW w:w="239" w:type="pct"/>
                  <w:noWrap w:val="0"/>
                  <w:vAlign w:val="center"/>
                </w:tcPr>
                <w:p w14:paraId="3B261FE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2034C8D7">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44D0E513">
                  <w:pPr>
                    <w:adjustRightInd w:val="0"/>
                    <w:snapToGrid w:val="0"/>
                    <w:ind w:left="-105" w:leftChars="-50" w:right="-105" w:rightChars="-50"/>
                    <w:jc w:val="center"/>
                    <w:rPr>
                      <w:rFonts w:hint="default"/>
                      <w:color w:val="auto"/>
                      <w:lang w:val="en-US" w:eastAsia="zh-CN"/>
                    </w:rPr>
                  </w:pPr>
                  <w:r>
                    <w:rPr>
                      <w:rFonts w:hint="eastAsia"/>
                      <w:color w:val="auto"/>
                      <w:lang w:val="en-US" w:eastAsia="zh-CN"/>
                    </w:rPr>
                    <w:t>65.5</w:t>
                  </w:r>
                </w:p>
              </w:tc>
              <w:tc>
                <w:tcPr>
                  <w:tcW w:w="562" w:type="dxa"/>
                  <w:noWrap w:val="0"/>
                  <w:vAlign w:val="center"/>
                </w:tcPr>
                <w:p w14:paraId="4F262097">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0282D997">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2EB021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402" w:type="pct"/>
                  <w:noWrap w:val="0"/>
                  <w:vAlign w:val="center"/>
                </w:tcPr>
                <w:p w14:paraId="5E81404D">
                  <w:pPr>
                    <w:adjustRightInd w:val="0"/>
                    <w:snapToGrid w:val="0"/>
                    <w:ind w:left="-105" w:leftChars="-50" w:right="-105" w:rightChars="-50"/>
                    <w:jc w:val="center"/>
                    <w:rPr>
                      <w:color w:val="auto"/>
                    </w:rPr>
                  </w:pPr>
                  <w:r>
                    <w:rPr>
                      <w:color w:val="auto"/>
                    </w:rPr>
                    <w:t>1m</w:t>
                  </w:r>
                </w:p>
              </w:tc>
            </w:tr>
            <w:tr w14:paraId="4877E2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2A0BA90B">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73AD2B6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bCs/>
                      <w:color w:val="auto"/>
                      <w:sz w:val="21"/>
                      <w:szCs w:val="21"/>
                      <w:lang w:val="en-US" w:eastAsia="zh-CN"/>
                    </w:rPr>
                    <w:t>微电脑切带机</w:t>
                  </w:r>
                </w:p>
              </w:tc>
              <w:tc>
                <w:tcPr>
                  <w:tcW w:w="685" w:type="dxa"/>
                  <w:noWrap w:val="0"/>
                  <w:vAlign w:val="center"/>
                </w:tcPr>
                <w:p w14:paraId="5CEBBA10">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5D4A3C95">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5CAFAB4C">
                  <w:pPr>
                    <w:jc w:val="center"/>
                    <w:rPr>
                      <w:rFonts w:hint="eastAsia"/>
                      <w:color w:val="auto"/>
                      <w:szCs w:val="21"/>
                      <w:lang w:val="en-US" w:eastAsia="zh-CN"/>
                    </w:rPr>
                  </w:pPr>
                  <w:r>
                    <w:rPr>
                      <w:rFonts w:hint="eastAsia"/>
                      <w:color w:val="auto"/>
                      <w:szCs w:val="21"/>
                      <w:lang w:val="en-US" w:eastAsia="zh-CN"/>
                    </w:rPr>
                    <w:t>75</w:t>
                  </w:r>
                </w:p>
              </w:tc>
              <w:tc>
                <w:tcPr>
                  <w:tcW w:w="418" w:type="pct"/>
                  <w:vMerge w:val="continue"/>
                  <w:noWrap w:val="0"/>
                  <w:vAlign w:val="center"/>
                </w:tcPr>
                <w:p w14:paraId="43ADBC3C">
                  <w:pPr>
                    <w:adjustRightInd w:val="0"/>
                    <w:snapToGrid w:val="0"/>
                    <w:ind w:left="-105" w:leftChars="-50" w:right="-105" w:rightChars="-50"/>
                    <w:jc w:val="center"/>
                    <w:rPr>
                      <w:rFonts w:hAnsi="宋体"/>
                      <w:bCs/>
                      <w:color w:val="auto"/>
                      <w:szCs w:val="20"/>
                    </w:rPr>
                  </w:pPr>
                </w:p>
              </w:tc>
              <w:tc>
                <w:tcPr>
                  <w:tcW w:w="218" w:type="pct"/>
                  <w:noWrap w:val="0"/>
                  <w:vAlign w:val="center"/>
                </w:tcPr>
                <w:p w14:paraId="15D18268">
                  <w:pPr>
                    <w:adjustRightInd w:val="0"/>
                    <w:snapToGrid w:val="0"/>
                    <w:ind w:left="-105" w:leftChars="-50" w:right="-105" w:rightChars="-50"/>
                    <w:jc w:val="center"/>
                    <w:rPr>
                      <w:rFonts w:hint="default"/>
                      <w:color w:val="auto"/>
                      <w:lang w:val="en-US" w:eastAsia="zh-CN"/>
                    </w:rPr>
                  </w:pPr>
                  <w:r>
                    <w:rPr>
                      <w:rFonts w:hint="eastAsia"/>
                      <w:color w:val="auto"/>
                      <w:lang w:val="en-US" w:eastAsia="zh-CN"/>
                    </w:rPr>
                    <w:t>56</w:t>
                  </w:r>
                </w:p>
              </w:tc>
              <w:tc>
                <w:tcPr>
                  <w:tcW w:w="218" w:type="pct"/>
                  <w:noWrap w:val="0"/>
                  <w:vAlign w:val="center"/>
                </w:tcPr>
                <w:p w14:paraId="6203AF31">
                  <w:pPr>
                    <w:adjustRightInd w:val="0"/>
                    <w:snapToGrid w:val="0"/>
                    <w:ind w:left="-105" w:leftChars="-50" w:right="-105" w:rightChars="-50"/>
                    <w:jc w:val="center"/>
                    <w:rPr>
                      <w:rFonts w:hint="default"/>
                      <w:color w:val="auto"/>
                      <w:lang w:val="en-US" w:eastAsia="zh-CN"/>
                    </w:rPr>
                  </w:pPr>
                  <w:r>
                    <w:rPr>
                      <w:rFonts w:hint="eastAsia"/>
                      <w:color w:val="auto"/>
                      <w:lang w:val="en-US" w:eastAsia="zh-CN"/>
                    </w:rPr>
                    <w:t>57</w:t>
                  </w:r>
                </w:p>
              </w:tc>
              <w:tc>
                <w:tcPr>
                  <w:tcW w:w="239" w:type="pct"/>
                  <w:noWrap w:val="0"/>
                  <w:vAlign w:val="center"/>
                </w:tcPr>
                <w:p w14:paraId="55C247B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41826510">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70" w:type="pct"/>
                  <w:noWrap w:val="0"/>
                  <w:vAlign w:val="center"/>
                </w:tcPr>
                <w:p w14:paraId="09BDEC62">
                  <w:pPr>
                    <w:adjustRightInd w:val="0"/>
                    <w:snapToGrid w:val="0"/>
                    <w:ind w:left="-105" w:leftChars="-50" w:right="-105" w:rightChars="-50"/>
                    <w:jc w:val="center"/>
                    <w:rPr>
                      <w:rFonts w:hint="eastAsia"/>
                      <w:color w:val="auto"/>
                      <w:lang w:val="en-US" w:eastAsia="zh-CN"/>
                    </w:rPr>
                  </w:pPr>
                  <w:r>
                    <w:rPr>
                      <w:rFonts w:hint="eastAsia"/>
                      <w:color w:val="auto"/>
                      <w:lang w:val="en-US" w:eastAsia="zh-CN"/>
                    </w:rPr>
                    <w:t>63.0</w:t>
                  </w:r>
                </w:p>
              </w:tc>
              <w:tc>
                <w:tcPr>
                  <w:tcW w:w="562" w:type="dxa"/>
                  <w:noWrap w:val="0"/>
                  <w:vAlign w:val="center"/>
                </w:tcPr>
                <w:p w14:paraId="7BE27A24">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211C1EAC">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69547B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02" w:type="pct"/>
                  <w:noWrap w:val="0"/>
                  <w:vAlign w:val="center"/>
                </w:tcPr>
                <w:p w14:paraId="713983C7">
                  <w:pPr>
                    <w:adjustRightInd w:val="0"/>
                    <w:snapToGrid w:val="0"/>
                    <w:ind w:left="-105" w:leftChars="-50" w:right="-105" w:rightChars="-50"/>
                    <w:jc w:val="center"/>
                    <w:rPr>
                      <w:color w:val="auto"/>
                    </w:rPr>
                  </w:pPr>
                  <w:r>
                    <w:rPr>
                      <w:color w:val="auto"/>
                    </w:rPr>
                    <w:t>1m</w:t>
                  </w:r>
                </w:p>
              </w:tc>
            </w:tr>
            <w:tr w14:paraId="05F958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06BFE5C2">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4867C9E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bCs/>
                      <w:color w:val="auto"/>
                      <w:sz w:val="21"/>
                      <w:szCs w:val="21"/>
                      <w:lang w:val="en-US" w:eastAsia="zh-CN"/>
                    </w:rPr>
                    <w:t>热收缩包装机</w:t>
                  </w:r>
                </w:p>
              </w:tc>
              <w:tc>
                <w:tcPr>
                  <w:tcW w:w="685" w:type="dxa"/>
                  <w:noWrap w:val="0"/>
                  <w:vAlign w:val="center"/>
                </w:tcPr>
                <w:p w14:paraId="0FC3058C">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4047CF34">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789DECE7">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32A956CD">
                  <w:pPr>
                    <w:adjustRightInd w:val="0"/>
                    <w:snapToGrid w:val="0"/>
                    <w:ind w:left="-105" w:leftChars="-50" w:right="-105" w:rightChars="-50"/>
                    <w:jc w:val="center"/>
                    <w:rPr>
                      <w:rFonts w:hAnsi="宋体"/>
                      <w:bCs/>
                      <w:color w:val="auto"/>
                      <w:szCs w:val="20"/>
                    </w:rPr>
                  </w:pPr>
                </w:p>
              </w:tc>
              <w:tc>
                <w:tcPr>
                  <w:tcW w:w="218" w:type="pct"/>
                  <w:noWrap w:val="0"/>
                  <w:vAlign w:val="center"/>
                </w:tcPr>
                <w:p w14:paraId="007454CA">
                  <w:pPr>
                    <w:adjustRightInd w:val="0"/>
                    <w:snapToGrid w:val="0"/>
                    <w:ind w:left="-105" w:leftChars="-50" w:right="-105" w:rightChars="-50"/>
                    <w:jc w:val="center"/>
                    <w:rPr>
                      <w:rFonts w:hint="default"/>
                      <w:color w:val="auto"/>
                      <w:lang w:val="en-US" w:eastAsia="zh-CN"/>
                    </w:rPr>
                  </w:pPr>
                  <w:r>
                    <w:rPr>
                      <w:rFonts w:hint="eastAsia"/>
                      <w:color w:val="auto"/>
                      <w:lang w:val="en-US" w:eastAsia="zh-CN"/>
                    </w:rPr>
                    <w:t>59</w:t>
                  </w:r>
                </w:p>
              </w:tc>
              <w:tc>
                <w:tcPr>
                  <w:tcW w:w="218" w:type="pct"/>
                  <w:noWrap w:val="0"/>
                  <w:vAlign w:val="center"/>
                </w:tcPr>
                <w:p w14:paraId="15490985">
                  <w:pPr>
                    <w:adjustRightInd w:val="0"/>
                    <w:snapToGrid w:val="0"/>
                    <w:ind w:left="-105" w:leftChars="-50" w:right="-105" w:rightChars="-50"/>
                    <w:jc w:val="center"/>
                    <w:rPr>
                      <w:rFonts w:hint="default"/>
                      <w:color w:val="auto"/>
                      <w:lang w:val="en-US" w:eastAsia="zh-CN"/>
                    </w:rPr>
                  </w:pPr>
                  <w:r>
                    <w:rPr>
                      <w:rFonts w:hint="eastAsia"/>
                      <w:color w:val="auto"/>
                      <w:lang w:val="en-US" w:eastAsia="zh-CN"/>
                    </w:rPr>
                    <w:t>59</w:t>
                  </w:r>
                </w:p>
              </w:tc>
              <w:tc>
                <w:tcPr>
                  <w:tcW w:w="239" w:type="pct"/>
                  <w:noWrap w:val="0"/>
                  <w:vAlign w:val="center"/>
                </w:tcPr>
                <w:p w14:paraId="3E195E3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030607DA">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70" w:type="pct"/>
                  <w:noWrap w:val="0"/>
                  <w:vAlign w:val="center"/>
                </w:tcPr>
                <w:p w14:paraId="023FA062">
                  <w:pPr>
                    <w:adjustRightInd w:val="0"/>
                    <w:snapToGrid w:val="0"/>
                    <w:ind w:left="-105" w:leftChars="-50" w:right="-105" w:rightChars="-50"/>
                    <w:jc w:val="center"/>
                    <w:rPr>
                      <w:rFonts w:hint="eastAsia"/>
                      <w:color w:val="auto"/>
                      <w:lang w:val="en-US" w:eastAsia="zh-CN"/>
                    </w:rPr>
                  </w:pPr>
                  <w:r>
                    <w:rPr>
                      <w:rFonts w:hint="eastAsia"/>
                      <w:color w:val="auto"/>
                      <w:lang w:val="en-US" w:eastAsia="zh-CN"/>
                    </w:rPr>
                    <w:t>64.0</w:t>
                  </w:r>
                </w:p>
              </w:tc>
              <w:tc>
                <w:tcPr>
                  <w:tcW w:w="562" w:type="dxa"/>
                  <w:noWrap w:val="0"/>
                  <w:vAlign w:val="center"/>
                </w:tcPr>
                <w:p w14:paraId="7E298039">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3CF121A6">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FEF1F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402" w:type="pct"/>
                  <w:noWrap w:val="0"/>
                  <w:vAlign w:val="center"/>
                </w:tcPr>
                <w:p w14:paraId="060F939B">
                  <w:pPr>
                    <w:adjustRightInd w:val="0"/>
                    <w:snapToGrid w:val="0"/>
                    <w:ind w:left="-105" w:leftChars="-50" w:right="-105" w:rightChars="-50"/>
                    <w:jc w:val="center"/>
                    <w:rPr>
                      <w:color w:val="auto"/>
                    </w:rPr>
                  </w:pPr>
                  <w:r>
                    <w:rPr>
                      <w:color w:val="auto"/>
                    </w:rPr>
                    <w:t>1m</w:t>
                  </w:r>
                </w:p>
              </w:tc>
            </w:tr>
            <w:tr w14:paraId="23333C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53CD34E3">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4F3EDAE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bCs/>
                      <w:color w:val="auto"/>
                      <w:sz w:val="21"/>
                      <w:szCs w:val="21"/>
                      <w:lang w:val="en-US" w:eastAsia="zh-CN"/>
                    </w:rPr>
                    <w:t>热收缩包装机</w:t>
                  </w:r>
                </w:p>
              </w:tc>
              <w:tc>
                <w:tcPr>
                  <w:tcW w:w="685" w:type="dxa"/>
                  <w:noWrap w:val="0"/>
                  <w:vAlign w:val="center"/>
                </w:tcPr>
                <w:p w14:paraId="6B4B7CAF">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642" w:type="dxa"/>
                  <w:noWrap w:val="0"/>
                  <w:vAlign w:val="center"/>
                </w:tcPr>
                <w:p w14:paraId="6E6742DF">
                  <w:pPr>
                    <w:keepNext w:val="0"/>
                    <w:keepLines w:val="0"/>
                    <w:pageBreakBefore w:val="0"/>
                    <w:widowControl/>
                    <w:suppressLineNumbers w:val="0"/>
                    <w:wordWrap/>
                    <w:overflowPunct/>
                    <w:topLinePunct w:val="0"/>
                    <w:bidi w:val="0"/>
                    <w:spacing w:line="240" w:lineRule="auto"/>
                    <w:ind w:right="0" w:rightChars="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w:t>
                  </w:r>
                </w:p>
              </w:tc>
              <w:tc>
                <w:tcPr>
                  <w:tcW w:w="574" w:type="pct"/>
                  <w:noWrap w:val="0"/>
                  <w:vAlign w:val="center"/>
                </w:tcPr>
                <w:p w14:paraId="06B47910">
                  <w:pPr>
                    <w:jc w:val="center"/>
                    <w:rPr>
                      <w:rFonts w:hint="default"/>
                      <w:color w:val="auto"/>
                      <w:szCs w:val="21"/>
                      <w:lang w:val="en-US" w:eastAsia="zh-CN"/>
                    </w:rPr>
                  </w:pPr>
                  <w:r>
                    <w:rPr>
                      <w:rFonts w:hint="eastAsia"/>
                      <w:color w:val="auto"/>
                      <w:szCs w:val="21"/>
                      <w:lang w:val="en-US" w:eastAsia="zh-CN"/>
                    </w:rPr>
                    <w:t>70</w:t>
                  </w:r>
                </w:p>
              </w:tc>
              <w:tc>
                <w:tcPr>
                  <w:tcW w:w="418" w:type="pct"/>
                  <w:vMerge w:val="continue"/>
                  <w:noWrap w:val="0"/>
                  <w:vAlign w:val="center"/>
                </w:tcPr>
                <w:p w14:paraId="793924E8">
                  <w:pPr>
                    <w:adjustRightInd w:val="0"/>
                    <w:snapToGrid w:val="0"/>
                    <w:ind w:left="-105" w:leftChars="-50" w:right="-105" w:rightChars="-50"/>
                    <w:jc w:val="center"/>
                    <w:rPr>
                      <w:rFonts w:hAnsi="宋体"/>
                      <w:bCs/>
                      <w:color w:val="auto"/>
                      <w:szCs w:val="20"/>
                    </w:rPr>
                  </w:pPr>
                </w:p>
              </w:tc>
              <w:tc>
                <w:tcPr>
                  <w:tcW w:w="218" w:type="pct"/>
                  <w:noWrap w:val="0"/>
                  <w:vAlign w:val="center"/>
                </w:tcPr>
                <w:p w14:paraId="0225314B">
                  <w:pPr>
                    <w:adjustRightInd w:val="0"/>
                    <w:snapToGrid w:val="0"/>
                    <w:ind w:left="-105" w:leftChars="-50" w:right="-105" w:rightChars="-50"/>
                    <w:jc w:val="center"/>
                    <w:rPr>
                      <w:rFonts w:hint="default"/>
                      <w:color w:val="auto"/>
                      <w:lang w:val="en-US" w:eastAsia="zh-CN"/>
                    </w:rPr>
                  </w:pPr>
                  <w:r>
                    <w:rPr>
                      <w:rFonts w:hint="eastAsia"/>
                      <w:color w:val="auto"/>
                      <w:lang w:val="en-US" w:eastAsia="zh-CN"/>
                    </w:rPr>
                    <w:t>58</w:t>
                  </w:r>
                </w:p>
              </w:tc>
              <w:tc>
                <w:tcPr>
                  <w:tcW w:w="218" w:type="pct"/>
                  <w:noWrap w:val="0"/>
                  <w:vAlign w:val="center"/>
                </w:tcPr>
                <w:p w14:paraId="2B9A0862">
                  <w:pPr>
                    <w:adjustRightInd w:val="0"/>
                    <w:snapToGrid w:val="0"/>
                    <w:ind w:left="-105" w:leftChars="-50" w:right="-105" w:rightChars="-50"/>
                    <w:jc w:val="center"/>
                    <w:rPr>
                      <w:rFonts w:hint="default"/>
                      <w:color w:val="auto"/>
                      <w:lang w:val="en-US" w:eastAsia="zh-CN"/>
                    </w:rPr>
                  </w:pPr>
                  <w:r>
                    <w:rPr>
                      <w:rFonts w:hint="eastAsia"/>
                      <w:color w:val="auto"/>
                      <w:lang w:val="en-US" w:eastAsia="zh-CN"/>
                    </w:rPr>
                    <w:t>58</w:t>
                  </w:r>
                </w:p>
              </w:tc>
              <w:tc>
                <w:tcPr>
                  <w:tcW w:w="239" w:type="pct"/>
                  <w:noWrap w:val="0"/>
                  <w:vAlign w:val="center"/>
                </w:tcPr>
                <w:p w14:paraId="2A055F3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72" w:type="pct"/>
                  <w:noWrap w:val="0"/>
                  <w:vAlign w:val="center"/>
                </w:tcPr>
                <w:p w14:paraId="1A0FF228">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21A63D1C">
                  <w:pPr>
                    <w:adjustRightInd w:val="0"/>
                    <w:snapToGrid w:val="0"/>
                    <w:ind w:left="-105" w:leftChars="-50" w:right="-105" w:rightChars="-50"/>
                    <w:jc w:val="center"/>
                    <w:rPr>
                      <w:rFonts w:hint="eastAsia"/>
                      <w:color w:val="auto"/>
                      <w:lang w:val="en-US" w:eastAsia="zh-CN"/>
                    </w:rPr>
                  </w:pPr>
                  <w:r>
                    <w:rPr>
                      <w:rFonts w:hint="eastAsia"/>
                      <w:color w:val="auto"/>
                      <w:lang w:val="en-US" w:eastAsia="zh-CN"/>
                    </w:rPr>
                    <w:t>60.5</w:t>
                  </w:r>
                </w:p>
              </w:tc>
              <w:tc>
                <w:tcPr>
                  <w:tcW w:w="562" w:type="dxa"/>
                  <w:noWrap w:val="0"/>
                  <w:vAlign w:val="center"/>
                </w:tcPr>
                <w:p w14:paraId="0E02A8DD">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550BDCCE">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496951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40.5</w:t>
                  </w:r>
                </w:p>
              </w:tc>
              <w:tc>
                <w:tcPr>
                  <w:tcW w:w="402" w:type="pct"/>
                  <w:noWrap w:val="0"/>
                  <w:vAlign w:val="center"/>
                </w:tcPr>
                <w:p w14:paraId="04BFAFAC">
                  <w:pPr>
                    <w:adjustRightInd w:val="0"/>
                    <w:snapToGrid w:val="0"/>
                    <w:ind w:left="-105" w:leftChars="-50" w:right="-105" w:rightChars="-50"/>
                    <w:jc w:val="center"/>
                    <w:rPr>
                      <w:color w:val="auto"/>
                    </w:rPr>
                  </w:pPr>
                  <w:r>
                    <w:rPr>
                      <w:color w:val="auto"/>
                    </w:rPr>
                    <w:t>1m</w:t>
                  </w:r>
                </w:p>
              </w:tc>
            </w:tr>
            <w:tr w14:paraId="3D05F9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 w:type="pct"/>
                  <w:vMerge w:val="continue"/>
                  <w:noWrap w:val="0"/>
                  <w:vAlign w:val="center"/>
                </w:tcPr>
                <w:p w14:paraId="66DDCC1D">
                  <w:pPr>
                    <w:adjustRightInd w:val="0"/>
                    <w:snapToGrid w:val="0"/>
                    <w:ind w:left="-105" w:leftChars="-50" w:right="-105" w:rightChars="-50"/>
                    <w:jc w:val="center"/>
                    <w:rPr>
                      <w:rFonts w:hint="eastAsia" w:hAnsi="宋体"/>
                      <w:color w:val="auto"/>
                      <w:lang w:eastAsia="zh-CN"/>
                    </w:rPr>
                  </w:pPr>
                </w:p>
              </w:tc>
              <w:tc>
                <w:tcPr>
                  <w:tcW w:w="710" w:type="pct"/>
                  <w:noWrap w:val="0"/>
                  <w:vAlign w:val="center"/>
                </w:tcPr>
                <w:p w14:paraId="591E2D71">
                  <w:pPr>
                    <w:keepNext w:val="0"/>
                    <w:keepLines w:val="0"/>
                    <w:pageBreakBefore w:val="0"/>
                    <w:wordWrap/>
                    <w:overflowPunct/>
                    <w:topLinePunct w:val="0"/>
                    <w:bidi w:val="0"/>
                    <w:adjustRightInd w:val="0"/>
                    <w:snapToGrid w:val="0"/>
                    <w:spacing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空压机</w:t>
                  </w:r>
                </w:p>
              </w:tc>
              <w:tc>
                <w:tcPr>
                  <w:tcW w:w="255" w:type="pct"/>
                  <w:noWrap w:val="0"/>
                  <w:vAlign w:val="center"/>
                </w:tcPr>
                <w:p w14:paraId="46CBCA73">
                  <w:pPr>
                    <w:widowControl/>
                    <w:adjustRightInd w:val="0"/>
                    <w:snapToGrid w:val="0"/>
                    <w:ind w:left="-105" w:leftChars="-50" w:right="-105" w:rightChars="-50"/>
                    <w:jc w:val="center"/>
                    <w:textAlignment w:val="center"/>
                    <w:rPr>
                      <w:rFonts w:hint="eastAsia"/>
                      <w:color w:val="auto"/>
                      <w:szCs w:val="21"/>
                    </w:rPr>
                  </w:pPr>
                  <w:r>
                    <w:rPr>
                      <w:rFonts w:hint="eastAsia"/>
                      <w:color w:val="auto"/>
                      <w:szCs w:val="21"/>
                    </w:rPr>
                    <w:t>/</w:t>
                  </w:r>
                </w:p>
              </w:tc>
              <w:tc>
                <w:tcPr>
                  <w:tcW w:w="239" w:type="pct"/>
                  <w:noWrap w:val="0"/>
                  <w:vAlign w:val="center"/>
                </w:tcPr>
                <w:p w14:paraId="3945D553">
                  <w:pPr>
                    <w:keepNext w:val="0"/>
                    <w:keepLines w:val="0"/>
                    <w:pageBreakBefore w:val="0"/>
                    <w:wordWrap/>
                    <w:overflowPunct/>
                    <w:topLinePunct w:val="0"/>
                    <w:bidi w:val="0"/>
                    <w:spacing w:line="240" w:lineRule="auto"/>
                    <w:ind w:right="0" w:rightChars="0"/>
                    <w:jc w:val="center"/>
                    <w:rPr>
                      <w:rFonts w:hint="eastAsia" w:ascii="宋体" w:hAnsi="宋体" w:eastAsia="宋体" w:cs="宋体"/>
                      <w:color w:val="auto"/>
                      <w:spacing w:val="-17"/>
                      <w:sz w:val="24"/>
                      <w:szCs w:val="24"/>
                      <w:vertAlign w:val="baseline"/>
                      <w:lang w:val="en-US" w:eastAsia="zh-CN"/>
                    </w:rPr>
                  </w:pPr>
                  <w:r>
                    <w:rPr>
                      <w:rFonts w:hint="eastAsia" w:cs="Times New Roman"/>
                      <w:bCs/>
                      <w:color w:val="auto"/>
                      <w:sz w:val="21"/>
                      <w:szCs w:val="21"/>
                      <w:lang w:val="en-US" w:eastAsia="zh-CN"/>
                    </w:rPr>
                    <w:t>1</w:t>
                  </w:r>
                </w:p>
              </w:tc>
              <w:tc>
                <w:tcPr>
                  <w:tcW w:w="574" w:type="pct"/>
                  <w:noWrap w:val="0"/>
                  <w:vAlign w:val="center"/>
                </w:tcPr>
                <w:p w14:paraId="412F4383">
                  <w:pPr>
                    <w:jc w:val="center"/>
                    <w:rPr>
                      <w:rFonts w:hint="default"/>
                      <w:color w:val="auto"/>
                      <w:szCs w:val="21"/>
                      <w:lang w:val="en-US" w:eastAsia="zh-CN"/>
                    </w:rPr>
                  </w:pPr>
                  <w:r>
                    <w:rPr>
                      <w:rFonts w:hint="eastAsia"/>
                      <w:color w:val="auto"/>
                      <w:szCs w:val="21"/>
                      <w:lang w:val="en-US" w:eastAsia="zh-CN"/>
                    </w:rPr>
                    <w:t>85</w:t>
                  </w:r>
                </w:p>
              </w:tc>
              <w:tc>
                <w:tcPr>
                  <w:tcW w:w="418" w:type="pct"/>
                  <w:vMerge w:val="continue"/>
                  <w:noWrap w:val="0"/>
                  <w:vAlign w:val="center"/>
                </w:tcPr>
                <w:p w14:paraId="2A930BC8">
                  <w:pPr>
                    <w:adjustRightInd w:val="0"/>
                    <w:snapToGrid w:val="0"/>
                    <w:ind w:left="-105" w:leftChars="-50" w:right="-105" w:rightChars="-50"/>
                    <w:jc w:val="center"/>
                    <w:rPr>
                      <w:rFonts w:hAnsi="宋体"/>
                      <w:bCs/>
                      <w:color w:val="auto"/>
                      <w:szCs w:val="20"/>
                    </w:rPr>
                  </w:pPr>
                </w:p>
              </w:tc>
              <w:tc>
                <w:tcPr>
                  <w:tcW w:w="218" w:type="pct"/>
                  <w:noWrap w:val="0"/>
                  <w:vAlign w:val="center"/>
                </w:tcPr>
                <w:p w14:paraId="14CB7CDC">
                  <w:pPr>
                    <w:adjustRightInd w:val="0"/>
                    <w:snapToGrid w:val="0"/>
                    <w:ind w:left="-105" w:leftChars="-50" w:right="-105" w:rightChars="-50"/>
                    <w:jc w:val="center"/>
                    <w:rPr>
                      <w:rFonts w:hint="default"/>
                      <w:color w:val="auto"/>
                      <w:lang w:val="en-US" w:eastAsia="zh-CN"/>
                    </w:rPr>
                  </w:pPr>
                  <w:r>
                    <w:rPr>
                      <w:rFonts w:hint="eastAsia"/>
                      <w:color w:val="auto"/>
                      <w:lang w:val="en-US" w:eastAsia="zh-CN"/>
                    </w:rPr>
                    <w:t>50</w:t>
                  </w:r>
                </w:p>
              </w:tc>
              <w:tc>
                <w:tcPr>
                  <w:tcW w:w="218" w:type="pct"/>
                  <w:noWrap w:val="0"/>
                  <w:vAlign w:val="center"/>
                </w:tcPr>
                <w:p w14:paraId="62401338">
                  <w:pPr>
                    <w:adjustRightInd w:val="0"/>
                    <w:snapToGrid w:val="0"/>
                    <w:ind w:left="-105" w:leftChars="-50" w:right="-105" w:rightChars="-50"/>
                    <w:jc w:val="center"/>
                    <w:rPr>
                      <w:rFonts w:hint="default"/>
                      <w:color w:val="auto"/>
                      <w:lang w:val="en-US" w:eastAsia="zh-CN"/>
                    </w:rPr>
                  </w:pPr>
                  <w:r>
                    <w:rPr>
                      <w:rFonts w:hint="eastAsia"/>
                      <w:color w:val="auto"/>
                      <w:lang w:val="en-US" w:eastAsia="zh-CN"/>
                    </w:rPr>
                    <w:t>2</w:t>
                  </w:r>
                </w:p>
              </w:tc>
              <w:tc>
                <w:tcPr>
                  <w:tcW w:w="239" w:type="pct"/>
                  <w:noWrap w:val="0"/>
                  <w:vAlign w:val="center"/>
                </w:tcPr>
                <w:p w14:paraId="6D729197">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72" w:type="pct"/>
                  <w:noWrap w:val="0"/>
                  <w:vAlign w:val="center"/>
                </w:tcPr>
                <w:p w14:paraId="0B2F736F">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70" w:type="pct"/>
                  <w:noWrap w:val="0"/>
                  <w:vAlign w:val="center"/>
                </w:tcPr>
                <w:p w14:paraId="3F101D79">
                  <w:pPr>
                    <w:adjustRightInd w:val="0"/>
                    <w:snapToGrid w:val="0"/>
                    <w:ind w:left="-105" w:leftChars="-50" w:right="-105" w:rightChars="-50"/>
                    <w:jc w:val="center"/>
                    <w:rPr>
                      <w:rFonts w:hint="default"/>
                      <w:color w:val="auto"/>
                      <w:lang w:val="en-US" w:eastAsia="zh-CN"/>
                    </w:rPr>
                  </w:pPr>
                  <w:r>
                    <w:rPr>
                      <w:rFonts w:hint="eastAsia"/>
                      <w:color w:val="auto"/>
                      <w:lang w:val="en-US" w:eastAsia="zh-CN"/>
                    </w:rPr>
                    <w:t>75.5</w:t>
                  </w:r>
                </w:p>
              </w:tc>
              <w:tc>
                <w:tcPr>
                  <w:tcW w:w="562" w:type="dxa"/>
                  <w:noWrap w:val="0"/>
                  <w:vAlign w:val="center"/>
                </w:tcPr>
                <w:p w14:paraId="619DE511">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r>
                    <w:rPr>
                      <w:color w:val="auto"/>
                    </w:rPr>
                    <w:t>h</w:t>
                  </w:r>
                </w:p>
              </w:tc>
              <w:tc>
                <w:tcPr>
                  <w:tcW w:w="1011" w:type="dxa"/>
                  <w:noWrap w:val="0"/>
                  <w:vAlign w:val="center"/>
                </w:tcPr>
                <w:p w14:paraId="7C1AC7C5">
                  <w:pPr>
                    <w:adjustRightInd w:val="0"/>
                    <w:snapToGrid w:val="0"/>
                    <w:ind w:left="-105" w:leftChars="-50" w:right="-105" w:rightChars="-50"/>
                    <w:jc w:val="center"/>
                    <w:rPr>
                      <w:rFonts w:hint="eastAsia"/>
                      <w:color w:val="auto"/>
                      <w:lang w:val="en-US" w:eastAsia="zh-CN"/>
                    </w:rPr>
                  </w:pPr>
                  <w:r>
                    <w:rPr>
                      <w:rFonts w:hint="eastAsia"/>
                      <w:color w:val="auto"/>
                      <w:lang w:val="en-US" w:eastAsia="zh-CN"/>
                    </w:rPr>
                    <w:t>20</w:t>
                  </w:r>
                </w:p>
              </w:tc>
              <w:tc>
                <w:tcPr>
                  <w:tcW w:w="1011" w:type="dxa"/>
                  <w:noWrap w:val="0"/>
                  <w:vAlign w:val="center"/>
                </w:tcPr>
                <w:p w14:paraId="71AC573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55.5</w:t>
                  </w:r>
                </w:p>
              </w:tc>
              <w:tc>
                <w:tcPr>
                  <w:tcW w:w="402" w:type="pct"/>
                  <w:noWrap w:val="0"/>
                  <w:vAlign w:val="center"/>
                </w:tcPr>
                <w:p w14:paraId="3B06CACC">
                  <w:pPr>
                    <w:adjustRightInd w:val="0"/>
                    <w:snapToGrid w:val="0"/>
                    <w:ind w:left="-105" w:leftChars="-50" w:right="-105" w:rightChars="-50"/>
                    <w:jc w:val="center"/>
                    <w:rPr>
                      <w:color w:val="auto"/>
                    </w:rPr>
                  </w:pPr>
                  <w:r>
                    <w:rPr>
                      <w:color w:val="auto"/>
                    </w:rPr>
                    <w:t>1m</w:t>
                  </w:r>
                </w:p>
              </w:tc>
            </w:tr>
          </w:tbl>
          <w:p w14:paraId="32A0D2F0">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1</w:t>
            </w:r>
            <w:r>
              <w:rPr>
                <w:rFonts w:hint="eastAsia" w:cs="Times New Roman"/>
                <w:b/>
                <w:bCs/>
                <w:color w:val="auto"/>
                <w:sz w:val="21"/>
                <w:szCs w:val="21"/>
                <w:lang w:eastAsia="zh-CN"/>
              </w:rPr>
              <w:t>本项目</w:t>
            </w:r>
            <w:r>
              <w:rPr>
                <w:rFonts w:hint="default" w:ascii="Times New Roman" w:hAnsi="Times New Roman" w:eastAsia="宋体" w:cs="Times New Roman"/>
                <w:b/>
                <w:bCs/>
                <w:color w:val="auto"/>
                <w:sz w:val="21"/>
                <w:szCs w:val="21"/>
                <w:lang w:val="en-US" w:eastAsia="zh-CN"/>
              </w:rPr>
              <w:t>主要噪声污染源一览表（室外声源）</w:t>
            </w:r>
          </w:p>
          <w:tbl>
            <w:tblPr>
              <w:tblStyle w:val="28"/>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16"/>
              <w:gridCol w:w="989"/>
              <w:gridCol w:w="1263"/>
              <w:gridCol w:w="1263"/>
              <w:gridCol w:w="1271"/>
              <w:gridCol w:w="2070"/>
              <w:gridCol w:w="2137"/>
              <w:gridCol w:w="2094"/>
            </w:tblGrid>
            <w:tr w14:paraId="642F59E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1CE6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355384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lang w:val="en-US" w:eastAsia="zh-CN"/>
                    </w:rPr>
                    <w:t>声源名称</w:t>
                  </w:r>
                </w:p>
              </w:tc>
              <w:tc>
                <w:tcPr>
                  <w:tcW w:w="368" w:type="pct"/>
                  <w:vMerge w:val="restart"/>
                  <w:tcBorders>
                    <w:tl2br w:val="nil"/>
                    <w:tr2bl w:val="nil"/>
                  </w:tcBorders>
                  <w:vAlign w:val="center"/>
                </w:tcPr>
                <w:p w14:paraId="4CFABF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数量</w:t>
                  </w:r>
                </w:p>
              </w:tc>
              <w:tc>
                <w:tcPr>
                  <w:tcW w:w="1413" w:type="pct"/>
                  <w:gridSpan w:val="3"/>
                  <w:tcBorders>
                    <w:tl2br w:val="nil"/>
                    <w:tr2bl w:val="nil"/>
                  </w:tcBorders>
                  <w:vAlign w:val="center"/>
                </w:tcPr>
                <w:p w14:paraId="3699D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770" w:type="pct"/>
                  <w:vMerge w:val="restart"/>
                  <w:tcBorders>
                    <w:tl2br w:val="nil"/>
                    <w:tr2bl w:val="nil"/>
                  </w:tcBorders>
                  <w:vAlign w:val="center"/>
                </w:tcPr>
                <w:p w14:paraId="2EE1BB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单台声功率级dB(A)</w:t>
                  </w:r>
                </w:p>
              </w:tc>
              <w:tc>
                <w:tcPr>
                  <w:tcW w:w="795" w:type="pct"/>
                  <w:vMerge w:val="restart"/>
                  <w:tcBorders>
                    <w:tl2br w:val="nil"/>
                    <w:tr2bl w:val="nil"/>
                  </w:tcBorders>
                  <w:vAlign w:val="center"/>
                </w:tcPr>
                <w:p w14:paraId="2C79C0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声源控制</w:t>
                  </w:r>
                </w:p>
                <w:p w14:paraId="72719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措施</w:t>
                  </w:r>
                </w:p>
              </w:tc>
              <w:tc>
                <w:tcPr>
                  <w:tcW w:w="779" w:type="pct"/>
                  <w:vMerge w:val="restart"/>
                  <w:tcBorders>
                    <w:tl2br w:val="nil"/>
                    <w:tr2bl w:val="nil"/>
                  </w:tcBorders>
                  <w:vAlign w:val="center"/>
                </w:tcPr>
                <w:p w14:paraId="079F1F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运行时段</w:t>
                  </w:r>
                </w:p>
              </w:tc>
            </w:tr>
            <w:tr w14:paraId="46A7D74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59385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64" w:type="pct"/>
                  <w:vMerge w:val="continue"/>
                  <w:tcBorders>
                    <w:tl2br w:val="nil"/>
                    <w:tr2bl w:val="nil"/>
                  </w:tcBorders>
                  <w:vAlign w:val="center"/>
                </w:tcPr>
                <w:p w14:paraId="0FA73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68" w:type="pct"/>
                  <w:vMerge w:val="continue"/>
                  <w:tcBorders>
                    <w:tl2br w:val="nil"/>
                    <w:tr2bl w:val="nil"/>
                  </w:tcBorders>
                  <w:vAlign w:val="center"/>
                </w:tcPr>
                <w:p w14:paraId="5011F5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470" w:type="pct"/>
                  <w:tcBorders>
                    <w:tl2br w:val="nil"/>
                    <w:tr2bl w:val="nil"/>
                  </w:tcBorders>
                  <w:vAlign w:val="center"/>
                </w:tcPr>
                <w:p w14:paraId="384C0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X</w:t>
                  </w:r>
                </w:p>
              </w:tc>
              <w:tc>
                <w:tcPr>
                  <w:tcW w:w="470" w:type="pct"/>
                  <w:tcBorders>
                    <w:tl2br w:val="nil"/>
                    <w:tr2bl w:val="nil"/>
                  </w:tcBorders>
                  <w:vAlign w:val="center"/>
                </w:tcPr>
                <w:p w14:paraId="067388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Y</w:t>
                  </w:r>
                </w:p>
              </w:tc>
              <w:tc>
                <w:tcPr>
                  <w:tcW w:w="472" w:type="pct"/>
                  <w:tcBorders>
                    <w:tl2br w:val="nil"/>
                    <w:tr2bl w:val="nil"/>
                  </w:tcBorders>
                  <w:vAlign w:val="center"/>
                </w:tcPr>
                <w:p w14:paraId="08BB3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Z</w:t>
                  </w:r>
                </w:p>
              </w:tc>
              <w:tc>
                <w:tcPr>
                  <w:tcW w:w="770" w:type="pct"/>
                  <w:vMerge w:val="continue"/>
                  <w:tcBorders>
                    <w:tl2br w:val="nil"/>
                    <w:tr2bl w:val="nil"/>
                  </w:tcBorders>
                  <w:vAlign w:val="center"/>
                </w:tcPr>
                <w:p w14:paraId="3CC19A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95" w:type="pct"/>
                  <w:vMerge w:val="continue"/>
                  <w:tcBorders>
                    <w:tl2br w:val="nil"/>
                    <w:tr2bl w:val="nil"/>
                  </w:tcBorders>
                  <w:vAlign w:val="center"/>
                </w:tcPr>
                <w:p w14:paraId="5B84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c>
                <w:tcPr>
                  <w:tcW w:w="779" w:type="pct"/>
                  <w:vMerge w:val="continue"/>
                  <w:tcBorders>
                    <w:tl2br w:val="nil"/>
                    <w:tr2bl w:val="nil"/>
                  </w:tcBorders>
                  <w:vAlign w:val="center"/>
                </w:tcPr>
                <w:p w14:paraId="6032F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lang w:val="en-US" w:eastAsia="zh-CN"/>
                    </w:rPr>
                  </w:pPr>
                </w:p>
              </w:tc>
            </w:tr>
            <w:tr w14:paraId="3FC4A26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1A8D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2BD754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Cs w:val="21"/>
                      <w:lang w:val="en-US" w:eastAsia="zh-CN"/>
                    </w:rPr>
                    <w:t>风机</w:t>
                  </w:r>
                </w:p>
              </w:tc>
              <w:tc>
                <w:tcPr>
                  <w:tcW w:w="368" w:type="pct"/>
                  <w:tcBorders>
                    <w:tl2br w:val="nil"/>
                    <w:tr2bl w:val="nil"/>
                  </w:tcBorders>
                  <w:vAlign w:val="center"/>
                </w:tcPr>
                <w:p w14:paraId="215B61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Cs w:val="21"/>
                      <w:lang w:val="en-US" w:eastAsia="zh-CN"/>
                    </w:rPr>
                    <w:t>1</w:t>
                  </w:r>
                </w:p>
              </w:tc>
              <w:tc>
                <w:tcPr>
                  <w:tcW w:w="470" w:type="pct"/>
                  <w:tcBorders>
                    <w:tl2br w:val="nil"/>
                    <w:tr2bl w:val="nil"/>
                  </w:tcBorders>
                  <w:vAlign w:val="center"/>
                </w:tcPr>
                <w:p w14:paraId="5C633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470" w:type="pct"/>
                  <w:tcBorders>
                    <w:tl2br w:val="nil"/>
                    <w:tr2bl w:val="nil"/>
                  </w:tcBorders>
                  <w:vAlign w:val="center"/>
                </w:tcPr>
                <w:p w14:paraId="3C7E7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62</w:t>
                  </w:r>
                </w:p>
              </w:tc>
              <w:tc>
                <w:tcPr>
                  <w:tcW w:w="472" w:type="pct"/>
                  <w:tcBorders>
                    <w:tl2br w:val="nil"/>
                    <w:tr2bl w:val="nil"/>
                  </w:tcBorders>
                  <w:vAlign w:val="center"/>
                </w:tcPr>
                <w:p w14:paraId="284DBB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770" w:type="pct"/>
                  <w:tcBorders>
                    <w:tl2br w:val="nil"/>
                    <w:tr2bl w:val="nil"/>
                  </w:tcBorders>
                  <w:vAlign w:val="center"/>
                </w:tcPr>
                <w:p w14:paraId="27AA3D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szCs w:val="21"/>
                      <w:lang w:val="en-US" w:eastAsia="zh-CN"/>
                    </w:rPr>
                    <w:t>80</w:t>
                  </w:r>
                </w:p>
              </w:tc>
              <w:tc>
                <w:tcPr>
                  <w:tcW w:w="795" w:type="pct"/>
                  <w:tcBorders>
                    <w:tl2br w:val="nil"/>
                    <w:tr2bl w:val="nil"/>
                  </w:tcBorders>
                  <w:vAlign w:val="center"/>
                </w:tcPr>
                <w:p w14:paraId="06320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Ansi="宋体"/>
                      <w:bCs/>
                      <w:color w:val="auto"/>
                      <w:szCs w:val="20"/>
                    </w:rPr>
                    <w:t>减振、隔音</w:t>
                  </w:r>
                </w:p>
              </w:tc>
              <w:tc>
                <w:tcPr>
                  <w:tcW w:w="779" w:type="pct"/>
                  <w:tcBorders>
                    <w:tl2br w:val="nil"/>
                    <w:tr2bl w:val="nil"/>
                  </w:tcBorders>
                  <w:vAlign w:val="center"/>
                </w:tcPr>
                <w:p w14:paraId="5BE6ED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工作时</w:t>
                  </w:r>
                </w:p>
              </w:tc>
            </w:tr>
          </w:tbl>
          <w:p w14:paraId="35E30AE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w:t>
            </w: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0</w:t>
            </w:r>
            <w:r>
              <w:rPr>
                <w:rFonts w:hint="default" w:ascii="Times New Roman" w:hAnsi="Times New Roman" w:cs="Times New Roman"/>
                <w:b/>
                <w:bCs/>
                <w:color w:val="auto"/>
                <w:sz w:val="21"/>
                <w:szCs w:val="21"/>
                <w:lang w:val="en-US" w:eastAsia="zh-CN"/>
              </w:rPr>
              <w:t>及表4-1</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中</w:t>
            </w:r>
            <w:r>
              <w:rPr>
                <w:rFonts w:hint="default" w:ascii="Times New Roman" w:hAnsi="Times New Roman" w:eastAsia="宋体" w:cs="Times New Roman"/>
                <w:b/>
                <w:bCs/>
                <w:color w:val="auto"/>
                <w:sz w:val="21"/>
                <w:szCs w:val="21"/>
                <w:lang w:val="en-US" w:eastAsia="zh-CN"/>
              </w:rPr>
              <w:t>空间相对坐标以</w:t>
            </w:r>
            <w:r>
              <w:rPr>
                <w:rFonts w:hint="eastAsia" w:cs="Times New Roman"/>
                <w:b/>
                <w:bCs/>
                <w:color w:val="auto"/>
                <w:sz w:val="21"/>
                <w:szCs w:val="21"/>
                <w:lang w:val="en-US" w:eastAsia="zh-CN"/>
              </w:rPr>
              <w:t>出租方厂区</w:t>
            </w:r>
            <w:r>
              <w:rPr>
                <w:rFonts w:hint="default" w:ascii="Times New Roman" w:hAnsi="Times New Roman" w:eastAsia="宋体" w:cs="Times New Roman"/>
                <w:b/>
                <w:bCs/>
                <w:color w:val="auto"/>
                <w:sz w:val="21"/>
                <w:szCs w:val="21"/>
                <w:lang w:val="en-US" w:eastAsia="zh-CN"/>
              </w:rPr>
              <w:t>西南角为原点（0，0，0）</w:t>
            </w:r>
            <w:r>
              <w:rPr>
                <w:rFonts w:hint="default" w:ascii="Times New Roman" w:hAnsi="Times New Roman" w:cs="Times New Roman"/>
                <w:b/>
                <w:bCs/>
                <w:color w:val="auto"/>
                <w:sz w:val="21"/>
                <w:szCs w:val="21"/>
                <w:lang w:val="en-US" w:eastAsia="zh-CN"/>
              </w:rPr>
              <w:t>，东西方向为X轴，南北方向为Y轴，垂直方向为Z轴</w:t>
            </w:r>
            <w:r>
              <w:rPr>
                <w:rFonts w:hint="default" w:ascii="Times New Roman" w:hAnsi="Times New Roman" w:eastAsia="宋体" w:cs="Times New Roman"/>
                <w:b/>
                <w:bCs/>
                <w:color w:val="auto"/>
                <w:sz w:val="21"/>
                <w:szCs w:val="21"/>
                <w:lang w:val="en-US" w:eastAsia="zh-CN"/>
              </w:rPr>
              <w:t>。</w:t>
            </w:r>
          </w:p>
          <w:p w14:paraId="378BE39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vertAlign w:val="baseline"/>
              </w:rPr>
            </w:pPr>
          </w:p>
        </w:tc>
      </w:tr>
    </w:tbl>
    <w:p w14:paraId="4481E39A">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8" w:type="default"/>
          <w:pgSz w:w="16838" w:h="11906" w:orient="landscape"/>
          <w:pgMar w:top="1474" w:right="1701" w:bottom="1531" w:left="1701" w:header="851" w:footer="1134" w:gutter="0"/>
          <w:pgBorders>
            <w:top w:val="none" w:sz="0" w:space="0"/>
            <w:left w:val="none" w:sz="0" w:space="0"/>
            <w:bottom w:val="none" w:sz="0" w:space="0"/>
            <w:right w:val="none" w:sz="0" w:space="0"/>
          </w:pgBorders>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B8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022F6A87">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2、</w:t>
            </w:r>
            <w:r>
              <w:rPr>
                <w:rFonts w:hint="default" w:ascii="Times New Roman" w:hAnsi="Times New Roman" w:cs="Times New Roman"/>
                <w:b/>
                <w:bCs/>
                <w:color w:val="auto"/>
                <w:sz w:val="24"/>
                <w:lang w:val="en-US" w:eastAsia="zh-CN"/>
              </w:rPr>
              <w:t>排放</w:t>
            </w:r>
            <w:r>
              <w:rPr>
                <w:rFonts w:hint="default" w:ascii="Times New Roman" w:hAnsi="Times New Roman" w:cs="Times New Roman"/>
                <w:b/>
                <w:bCs/>
                <w:color w:val="auto"/>
                <w:sz w:val="24"/>
              </w:rPr>
              <w:t>达标情况分析</w:t>
            </w:r>
          </w:p>
          <w:p w14:paraId="6BD09598">
            <w:pPr>
              <w:adjustRightInd w:val="0"/>
              <w:snapToGrid w:val="0"/>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cs="Times New Roman"/>
                <w:color w:val="auto"/>
                <w:sz w:val="24"/>
                <w:lang w:val="en-US" w:eastAsia="zh-CN"/>
              </w:rPr>
              <w:t>一</w:t>
            </w:r>
            <w:r>
              <w:rPr>
                <w:rFonts w:hint="default" w:ascii="Times New Roman" w:hAnsi="Times New Roman" w:eastAsia="宋体" w:cs="Times New Roman"/>
                <w:color w:val="auto"/>
                <w:sz w:val="24"/>
                <w:lang w:val="en-US" w:eastAsia="zh-CN"/>
              </w:rPr>
              <w:t>班制</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故本次评价对东、南、西、北厂界进行昼间噪声的影响预测。</w:t>
            </w:r>
            <w:r>
              <w:rPr>
                <w:rFonts w:hint="default" w:ascii="Times New Roman" w:hAnsi="Times New Roman" w:cs="Times New Roman"/>
                <w:color w:val="auto"/>
                <w:sz w:val="24"/>
              </w:rPr>
              <w:t>根据企业提供的噪声设</w:t>
            </w:r>
            <w:r>
              <w:rPr>
                <w:rFonts w:hint="default" w:ascii="Times New Roman" w:hAnsi="Times New Roman" w:eastAsia="宋体" w:cs="Times New Roman"/>
                <w:color w:val="auto"/>
                <w:sz w:val="24"/>
              </w:rPr>
              <w:t>备分布情况，</w:t>
            </w:r>
            <w:r>
              <w:rPr>
                <w:rFonts w:hint="default" w:ascii="Times New Roman" w:hAnsi="Times New Roman" w:eastAsia="宋体" w:cs="Times New Roman"/>
                <w:color w:val="auto"/>
                <w:sz w:val="24"/>
                <w:lang w:val="en-US" w:eastAsia="zh-CN"/>
              </w:rPr>
              <w:t>噪声源对厂界噪声的影响预测结果见下表。</w:t>
            </w:r>
          </w:p>
          <w:p w14:paraId="13454FD7">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 xml:space="preserve">2 </w:t>
            </w:r>
            <w:r>
              <w:rPr>
                <w:rFonts w:hint="default" w:ascii="Times New Roman" w:hAnsi="Times New Roman" w:cs="Times New Roman"/>
                <w:b/>
                <w:bCs/>
                <w:color w:val="auto"/>
                <w:sz w:val="21"/>
                <w:szCs w:val="21"/>
                <w:lang w:val="en-US" w:eastAsia="zh-CN"/>
              </w:rPr>
              <w:t>本项目各厂界</w:t>
            </w:r>
            <w:r>
              <w:rPr>
                <w:rFonts w:hint="eastAsia" w:cs="Times New Roman"/>
                <w:b/>
                <w:bCs/>
                <w:color w:val="auto"/>
                <w:sz w:val="21"/>
                <w:szCs w:val="21"/>
                <w:lang w:val="en-US" w:eastAsia="zh-CN"/>
              </w:rPr>
              <w:t>昼间</w:t>
            </w:r>
            <w:r>
              <w:rPr>
                <w:rFonts w:hint="default" w:ascii="Times New Roman" w:hAnsi="Times New Roman" w:cs="Times New Roman"/>
                <w:b/>
                <w:bCs/>
                <w:color w:val="auto"/>
                <w:sz w:val="21"/>
                <w:szCs w:val="21"/>
                <w:lang w:val="en-US" w:eastAsia="zh-CN"/>
              </w:rPr>
              <w:t>噪声预测结果dB(A)</w:t>
            </w:r>
          </w:p>
          <w:tbl>
            <w:tblPr>
              <w:tblStyle w:val="2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01"/>
              <w:gridCol w:w="3161"/>
              <w:gridCol w:w="7"/>
              <w:gridCol w:w="3173"/>
            </w:tblGrid>
            <w:tr w14:paraId="0B4956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4" w:type="pct"/>
                  <w:vMerge w:val="restart"/>
                  <w:tcMar>
                    <w:left w:w="0" w:type="dxa"/>
                    <w:right w:w="0" w:type="dxa"/>
                  </w:tcMar>
                  <w:vAlign w:val="center"/>
                </w:tcPr>
                <w:p w14:paraId="36768B73">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目标</w:t>
                  </w:r>
                </w:p>
              </w:tc>
              <w:tc>
                <w:tcPr>
                  <w:tcW w:w="1791" w:type="pct"/>
                  <w:gridSpan w:val="2"/>
                  <w:tcMar>
                    <w:left w:w="0" w:type="dxa"/>
                    <w:right w:w="0" w:type="dxa"/>
                  </w:tcMar>
                  <w:vAlign w:val="center"/>
                </w:tcPr>
                <w:p w14:paraId="2F880C3A">
                  <w:pPr>
                    <w:jc w:val="center"/>
                    <w:rPr>
                      <w:rFonts w:hint="eastAsia" w:cs="Times New Roman"/>
                      <w:b/>
                      <w:color w:val="auto"/>
                      <w:szCs w:val="21"/>
                      <w:lang w:val="en-US" w:eastAsia="zh-CN"/>
                    </w:rPr>
                  </w:pPr>
                  <w:r>
                    <w:rPr>
                      <w:rFonts w:hint="eastAsia" w:cs="Times New Roman"/>
                      <w:b/>
                      <w:color w:val="auto"/>
                      <w:szCs w:val="21"/>
                      <w:lang w:val="en-US" w:eastAsia="zh-CN"/>
                    </w:rPr>
                    <w:t>噪声</w:t>
                  </w:r>
                  <w:r>
                    <w:rPr>
                      <w:rFonts w:hint="default" w:ascii="Times New Roman" w:hAnsi="Times New Roman" w:cs="Times New Roman"/>
                      <w:b/>
                      <w:color w:val="auto"/>
                      <w:szCs w:val="21"/>
                    </w:rPr>
                    <w:t>贡献值</w:t>
                  </w:r>
                </w:p>
              </w:tc>
              <w:tc>
                <w:tcPr>
                  <w:tcW w:w="1794" w:type="pct"/>
                  <w:tcMar>
                    <w:left w:w="0" w:type="dxa"/>
                    <w:right w:w="0" w:type="dxa"/>
                  </w:tcMar>
                  <w:vAlign w:val="center"/>
                </w:tcPr>
                <w:p w14:paraId="3494017F">
                  <w:pPr>
                    <w:jc w:val="center"/>
                    <w:rPr>
                      <w:rFonts w:hint="eastAsia" w:cs="Times New Roman"/>
                      <w:b/>
                      <w:color w:val="auto"/>
                      <w:szCs w:val="21"/>
                      <w:lang w:val="en-US" w:eastAsia="zh-CN"/>
                    </w:rPr>
                  </w:pPr>
                  <w:r>
                    <w:rPr>
                      <w:rFonts w:hint="default" w:ascii="Times New Roman" w:hAnsi="Times New Roman" w:cs="Times New Roman"/>
                      <w:b/>
                      <w:color w:val="auto"/>
                      <w:szCs w:val="21"/>
                    </w:rPr>
                    <w:t>标准</w:t>
                  </w:r>
                </w:p>
              </w:tc>
            </w:tr>
            <w:tr w14:paraId="23D86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4" w:type="pct"/>
                  <w:vMerge w:val="continue"/>
                  <w:tcMar>
                    <w:left w:w="0" w:type="dxa"/>
                    <w:right w:w="0" w:type="dxa"/>
                  </w:tcMar>
                  <w:vAlign w:val="center"/>
                </w:tcPr>
                <w:p w14:paraId="1BAC0CC0">
                  <w:pPr>
                    <w:jc w:val="center"/>
                    <w:rPr>
                      <w:rFonts w:hint="default" w:ascii="Times New Roman" w:hAnsi="Times New Roman" w:cs="Times New Roman"/>
                      <w:b/>
                      <w:color w:val="auto"/>
                      <w:szCs w:val="21"/>
                    </w:rPr>
                  </w:pPr>
                </w:p>
              </w:tc>
              <w:tc>
                <w:tcPr>
                  <w:tcW w:w="1787" w:type="pct"/>
                  <w:tcMar>
                    <w:left w:w="0" w:type="dxa"/>
                    <w:right w:w="0" w:type="dxa"/>
                  </w:tcMar>
                  <w:vAlign w:val="center"/>
                </w:tcPr>
                <w:p w14:paraId="7873A609">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1798" w:type="pct"/>
                  <w:gridSpan w:val="2"/>
                  <w:tcMar>
                    <w:left w:w="0" w:type="dxa"/>
                    <w:right w:w="0" w:type="dxa"/>
                  </w:tcMar>
                  <w:vAlign w:val="center"/>
                </w:tcPr>
                <w:p w14:paraId="4AE9DB3F">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r>
            <w:tr w14:paraId="51040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4" w:type="pct"/>
                  <w:tcMar>
                    <w:left w:w="0" w:type="dxa"/>
                    <w:right w:w="0" w:type="dxa"/>
                  </w:tcMar>
                  <w:vAlign w:val="center"/>
                </w:tcPr>
                <w:p w14:paraId="60F794B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东厂界</w:t>
                  </w:r>
                </w:p>
              </w:tc>
              <w:tc>
                <w:tcPr>
                  <w:tcW w:w="1787" w:type="pct"/>
                  <w:tcMar>
                    <w:left w:w="0" w:type="dxa"/>
                    <w:right w:w="0" w:type="dxa"/>
                  </w:tcMar>
                  <w:vAlign w:val="center"/>
                </w:tcPr>
                <w:p w14:paraId="004B1E8D">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53.4</w:t>
                  </w:r>
                </w:p>
              </w:tc>
              <w:tc>
                <w:tcPr>
                  <w:tcW w:w="1798" w:type="pct"/>
                  <w:gridSpan w:val="2"/>
                  <w:tcMar>
                    <w:left w:w="0" w:type="dxa"/>
                    <w:right w:w="0" w:type="dxa"/>
                  </w:tcMar>
                  <w:vAlign w:val="center"/>
                </w:tcPr>
                <w:p w14:paraId="44CE6FE9">
                  <w:pPr>
                    <w:pStyle w:val="18"/>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60</w:t>
                  </w:r>
                </w:p>
              </w:tc>
            </w:tr>
            <w:tr w14:paraId="2304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4" w:type="pct"/>
                  <w:tcMar>
                    <w:left w:w="0" w:type="dxa"/>
                    <w:right w:w="0" w:type="dxa"/>
                  </w:tcMar>
                  <w:vAlign w:val="center"/>
                </w:tcPr>
                <w:p w14:paraId="1C9E71E5">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南厂界</w:t>
                  </w:r>
                </w:p>
              </w:tc>
              <w:tc>
                <w:tcPr>
                  <w:tcW w:w="1787" w:type="pct"/>
                  <w:tcMar>
                    <w:left w:w="0" w:type="dxa"/>
                    <w:right w:w="0" w:type="dxa"/>
                  </w:tcMar>
                  <w:vAlign w:val="center"/>
                </w:tcPr>
                <w:p w14:paraId="07D22258">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39.7</w:t>
                  </w:r>
                </w:p>
              </w:tc>
              <w:tc>
                <w:tcPr>
                  <w:tcW w:w="1798" w:type="pct"/>
                  <w:gridSpan w:val="2"/>
                  <w:tcMar>
                    <w:left w:w="0" w:type="dxa"/>
                    <w:right w:w="0" w:type="dxa"/>
                  </w:tcMar>
                  <w:vAlign w:val="center"/>
                </w:tcPr>
                <w:p w14:paraId="59EF1B9F">
                  <w:pPr>
                    <w:pStyle w:val="18"/>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60</w:t>
                  </w:r>
                </w:p>
              </w:tc>
            </w:tr>
            <w:tr w14:paraId="07ED0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4" w:type="pct"/>
                  <w:tcMar>
                    <w:left w:w="0" w:type="dxa"/>
                    <w:right w:w="0" w:type="dxa"/>
                  </w:tcMar>
                  <w:vAlign w:val="center"/>
                </w:tcPr>
                <w:p w14:paraId="34E18B0B">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西厂界</w:t>
                  </w:r>
                </w:p>
              </w:tc>
              <w:tc>
                <w:tcPr>
                  <w:tcW w:w="1787" w:type="pct"/>
                  <w:tcMar>
                    <w:left w:w="0" w:type="dxa"/>
                    <w:right w:w="0" w:type="dxa"/>
                  </w:tcMar>
                  <w:vAlign w:val="center"/>
                </w:tcPr>
                <w:p w14:paraId="640D4B53">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49.6</w:t>
                  </w:r>
                </w:p>
              </w:tc>
              <w:tc>
                <w:tcPr>
                  <w:tcW w:w="1798" w:type="pct"/>
                  <w:gridSpan w:val="2"/>
                  <w:tcMar>
                    <w:left w:w="0" w:type="dxa"/>
                    <w:right w:w="0" w:type="dxa"/>
                  </w:tcMar>
                  <w:vAlign w:val="center"/>
                </w:tcPr>
                <w:p w14:paraId="77299D9F">
                  <w:pPr>
                    <w:pStyle w:val="18"/>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60</w:t>
                  </w:r>
                </w:p>
              </w:tc>
            </w:tr>
            <w:tr w14:paraId="0F145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14" w:type="pct"/>
                  <w:tcMar>
                    <w:left w:w="0" w:type="dxa"/>
                    <w:right w:w="0" w:type="dxa"/>
                  </w:tcMar>
                  <w:vAlign w:val="center"/>
                </w:tcPr>
                <w:p w14:paraId="18C384B8">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北厂界</w:t>
                  </w:r>
                </w:p>
              </w:tc>
              <w:tc>
                <w:tcPr>
                  <w:tcW w:w="1787" w:type="pct"/>
                  <w:tcMar>
                    <w:left w:w="0" w:type="dxa"/>
                    <w:right w:w="0" w:type="dxa"/>
                  </w:tcMar>
                  <w:vAlign w:val="center"/>
                </w:tcPr>
                <w:p w14:paraId="6086E216">
                  <w:pPr>
                    <w:pStyle w:val="18"/>
                    <w:tabs>
                      <w:tab w:val="clear" w:pos="4153"/>
                      <w:tab w:val="clear" w:pos="8306"/>
                    </w:tabs>
                    <w:snapToGrid/>
                    <w:spacing w:line="300" w:lineRule="exact"/>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56.1</w:t>
                  </w:r>
                </w:p>
              </w:tc>
              <w:tc>
                <w:tcPr>
                  <w:tcW w:w="1798" w:type="pct"/>
                  <w:gridSpan w:val="2"/>
                  <w:tcMar>
                    <w:left w:w="0" w:type="dxa"/>
                    <w:right w:w="0" w:type="dxa"/>
                  </w:tcMar>
                  <w:vAlign w:val="center"/>
                </w:tcPr>
                <w:p w14:paraId="5415259D">
                  <w:pPr>
                    <w:pStyle w:val="18"/>
                    <w:tabs>
                      <w:tab w:val="clear" w:pos="4153"/>
                      <w:tab w:val="clear" w:pos="8306"/>
                    </w:tabs>
                    <w:snapToGrid/>
                    <w:spacing w:line="300" w:lineRule="exact"/>
                    <w:rPr>
                      <w:rFonts w:hint="default" w:cs="Times New Roman"/>
                      <w:bCs/>
                      <w:color w:val="auto"/>
                      <w:sz w:val="21"/>
                      <w:szCs w:val="21"/>
                      <w:lang w:val="en-US" w:eastAsia="zh-CN"/>
                    </w:rPr>
                  </w:pPr>
                  <w:r>
                    <w:rPr>
                      <w:rFonts w:hint="eastAsia" w:cs="Times New Roman"/>
                      <w:bCs/>
                      <w:color w:val="auto"/>
                      <w:sz w:val="21"/>
                      <w:szCs w:val="21"/>
                      <w:lang w:val="en-US" w:eastAsia="zh-CN"/>
                    </w:rPr>
                    <w:t>60</w:t>
                  </w:r>
                </w:p>
              </w:tc>
            </w:tr>
          </w:tbl>
          <w:p w14:paraId="1FDC74D5">
            <w:pPr>
              <w:adjustRightInd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由上表可知，本项目经过减振、隔音等降噪措施后，东、南、西、北各厂界昼</w:t>
            </w:r>
            <w:r>
              <w:rPr>
                <w:rFonts w:hint="eastAsia" w:cs="Times New Roman"/>
                <w:bCs/>
                <w:color w:val="auto"/>
                <w:sz w:val="24"/>
                <w:lang w:val="en-US" w:eastAsia="zh-CN"/>
              </w:rPr>
              <w:t>间</w:t>
            </w:r>
            <w:r>
              <w:rPr>
                <w:rFonts w:hint="default" w:ascii="Times New Roman" w:hAnsi="Times New Roman" w:eastAsia="宋体" w:cs="Times New Roman"/>
                <w:bCs/>
                <w:color w:val="auto"/>
                <w:sz w:val="24"/>
                <w:lang w:val="en-US" w:eastAsia="zh-CN"/>
              </w:rPr>
              <w:t>噪声贡献值均符合《工业企业环境噪声排放标准》（GB12348-2008）</w:t>
            </w:r>
            <w:r>
              <w:rPr>
                <w:rFonts w:hint="eastAsia" w:cs="Times New Roman"/>
                <w:bCs/>
                <w:color w:val="auto"/>
                <w:sz w:val="24"/>
                <w:lang w:val="en-US" w:eastAsia="zh-CN"/>
              </w:rPr>
              <w:t>2</w:t>
            </w:r>
            <w:r>
              <w:rPr>
                <w:rFonts w:hint="default" w:ascii="Times New Roman" w:hAnsi="Times New Roman" w:eastAsia="宋体" w:cs="Times New Roman"/>
                <w:bCs/>
                <w:color w:val="auto"/>
                <w:sz w:val="24"/>
                <w:lang w:val="en-US" w:eastAsia="zh-CN"/>
              </w:rPr>
              <w:t>类标准。</w:t>
            </w:r>
          </w:p>
          <w:p w14:paraId="71BE1A1F">
            <w:pPr>
              <w:adjustRightInd w:val="0"/>
              <w:snapToGrid w:val="0"/>
              <w:spacing w:line="500" w:lineRule="exact"/>
              <w:ind w:firstLine="482" w:firstLineChars="200"/>
              <w:rPr>
                <w:rFonts w:hint="default" w:ascii="Times New Roman" w:hAnsi="Times New Roman" w:eastAsia="宋体" w:cs="Times New Roman"/>
                <w:b/>
                <w:bCs/>
                <w:color w:val="auto"/>
                <w:sz w:val="24"/>
                <w:lang w:eastAsia="zh-CN"/>
              </w:rPr>
            </w:pPr>
            <w:r>
              <w:rPr>
                <w:rFonts w:hint="eastAsia" w:cs="Times New Roman"/>
                <w:b/>
                <w:bCs/>
                <w:color w:val="auto"/>
                <w:sz w:val="24"/>
                <w:lang w:val="en-US" w:eastAsia="zh-CN"/>
              </w:rPr>
              <w:t>3、</w:t>
            </w:r>
            <w:r>
              <w:rPr>
                <w:rFonts w:hint="default" w:ascii="Times New Roman" w:hAnsi="Times New Roman" w:cs="Times New Roman"/>
                <w:b/>
                <w:bCs/>
                <w:color w:val="auto"/>
                <w:sz w:val="24"/>
              </w:rPr>
              <w:t>监测</w:t>
            </w:r>
            <w:r>
              <w:rPr>
                <w:rFonts w:hint="default" w:ascii="Times New Roman" w:hAnsi="Times New Roman" w:cs="Times New Roman"/>
                <w:b/>
                <w:bCs/>
                <w:color w:val="auto"/>
                <w:sz w:val="24"/>
                <w:lang w:val="en-US" w:eastAsia="zh-CN"/>
              </w:rPr>
              <w:t>要求</w:t>
            </w:r>
          </w:p>
          <w:p w14:paraId="6C8A5756">
            <w:pPr>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根据</w:t>
            </w:r>
            <w:r>
              <w:rPr>
                <w:rFonts w:hint="default" w:ascii="Times New Roman" w:hAnsi="Times New Roman" w:eastAsia="宋体" w:cs="Times New Roman"/>
                <w:color w:val="auto"/>
                <w:sz w:val="24"/>
                <w:szCs w:val="28"/>
                <w:lang w:eastAsia="zh-CN"/>
              </w:rPr>
              <w:t>《排污许可证申请与核发技术规范</w:t>
            </w:r>
            <w:r>
              <w:rPr>
                <w:rFonts w:hint="eastAsia" w:ascii="Times New Roman" w:hAnsi="Times New Roman" w:eastAsia="宋体" w:cs="Times New Roman"/>
                <w:color w:val="auto"/>
                <w:sz w:val="24"/>
                <w:szCs w:val="28"/>
                <w:lang w:val="en-US" w:eastAsia="zh-CN"/>
              </w:rPr>
              <w:t xml:space="preserve"> </w:t>
            </w:r>
            <w:r>
              <w:rPr>
                <w:rFonts w:hint="eastAsia" w:ascii="Times New Roman" w:hAnsi="Times New Roman" w:eastAsia="宋体" w:cs="Times New Roman"/>
                <w:color w:val="auto"/>
                <w:sz w:val="24"/>
                <w:szCs w:val="28"/>
                <w:lang w:eastAsia="zh-CN"/>
              </w:rPr>
              <w:t>电子工业</w:t>
            </w:r>
            <w:r>
              <w:rPr>
                <w:rFonts w:hint="default" w:ascii="Times New Roman" w:hAnsi="Times New Roman" w:eastAsia="宋体" w:cs="Times New Roman"/>
                <w:color w:val="auto"/>
                <w:sz w:val="24"/>
                <w:szCs w:val="28"/>
                <w:lang w:eastAsia="zh-CN"/>
              </w:rPr>
              <w:t>》（</w:t>
            </w:r>
            <w:r>
              <w:rPr>
                <w:rFonts w:hint="eastAsia" w:ascii="Times New Roman" w:hAnsi="Times New Roman" w:eastAsia="宋体" w:cs="Times New Roman"/>
                <w:color w:val="auto"/>
                <w:sz w:val="24"/>
                <w:szCs w:val="28"/>
                <w:lang w:eastAsia="zh-CN"/>
              </w:rPr>
              <w:t>HJ1031—2019</w:t>
            </w:r>
            <w:r>
              <w:rPr>
                <w:rFonts w:hint="default" w:ascii="Times New Roman" w:hAnsi="Times New Roman" w:eastAsia="宋体" w:cs="Times New Roman"/>
                <w:color w:val="auto"/>
                <w:sz w:val="24"/>
                <w:szCs w:val="28"/>
                <w:lang w:eastAsia="zh-CN"/>
              </w:rPr>
              <w:t>）</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《排污单位自行监测技术指南 总则》（HJ 819-2017）等要求，</w:t>
            </w:r>
            <w:r>
              <w:rPr>
                <w:rFonts w:hint="eastAsia" w:ascii="Times New Roman" w:hAnsi="Times New Roman" w:eastAsia="宋体" w:cs="Times New Roman"/>
                <w:bCs/>
                <w:color w:val="auto"/>
                <w:sz w:val="24"/>
                <w:lang w:val="en-US" w:eastAsia="zh-CN"/>
              </w:rPr>
              <w:t>企业需</w:t>
            </w:r>
            <w:r>
              <w:rPr>
                <w:rFonts w:hint="default" w:ascii="Times New Roman" w:hAnsi="Times New Roman" w:eastAsia="宋体" w:cs="Times New Roman"/>
                <w:bCs/>
                <w:color w:val="auto"/>
                <w:sz w:val="24"/>
                <w:lang w:val="en-US" w:eastAsia="zh-CN"/>
              </w:rPr>
              <w:t>定期委托有资质环境监测机构对厂界噪声进行监测，具体见下表</w:t>
            </w:r>
            <w:r>
              <w:rPr>
                <w:rFonts w:hint="eastAsia" w:ascii="Times New Roman" w:hAnsi="Times New Roman" w:eastAsia="宋体" w:cs="Times New Roman"/>
                <w:bCs/>
                <w:color w:val="auto"/>
                <w:sz w:val="24"/>
                <w:lang w:val="en-US" w:eastAsia="zh-CN"/>
              </w:rPr>
              <w:t>。</w:t>
            </w:r>
          </w:p>
          <w:p w14:paraId="27A7DD5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表4-1</w:t>
            </w:r>
            <w:r>
              <w:rPr>
                <w:rFonts w:hint="eastAsia" w:cs="Times New Roman"/>
                <w:b/>
                <w:bCs/>
                <w:color w:val="auto"/>
                <w:sz w:val="21"/>
                <w:szCs w:val="21"/>
                <w:lang w:val="en-US" w:eastAsia="zh-CN"/>
              </w:rPr>
              <w:t xml:space="preserve">3 </w:t>
            </w:r>
            <w:r>
              <w:rPr>
                <w:rFonts w:hint="default" w:ascii="Times New Roman" w:hAnsi="Times New Roman" w:cs="Times New Roman"/>
                <w:b/>
                <w:bCs/>
                <w:color w:val="auto"/>
                <w:sz w:val="21"/>
                <w:szCs w:val="21"/>
                <w:lang w:val="en-US" w:eastAsia="zh-CN"/>
              </w:rPr>
              <w:t>噪声监测因子及频次表</w:t>
            </w:r>
          </w:p>
          <w:tbl>
            <w:tblPr>
              <w:tblStyle w:val="28"/>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7"/>
              <w:gridCol w:w="2032"/>
              <w:gridCol w:w="2771"/>
              <w:gridCol w:w="2869"/>
            </w:tblGrid>
            <w:tr w14:paraId="1B8BD7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D4B6E25">
                  <w:pPr>
                    <w:snapToGrid w:val="0"/>
                    <w:spacing w:line="280" w:lineRule="exact"/>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val="en-US" w:eastAsia="zh-CN"/>
                    </w:rPr>
                    <w:t>类别</w:t>
                  </w:r>
                </w:p>
              </w:tc>
              <w:tc>
                <w:tcPr>
                  <w:tcW w:w="1149" w:type="pct"/>
                  <w:tcBorders>
                    <w:tl2br w:val="nil"/>
                    <w:tr2bl w:val="nil"/>
                  </w:tcBorders>
                  <w:vAlign w:val="center"/>
                </w:tcPr>
                <w:p w14:paraId="34CCC22D">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567" w:type="pct"/>
                  <w:tcBorders>
                    <w:tl2br w:val="nil"/>
                    <w:tr2bl w:val="nil"/>
                  </w:tcBorders>
                  <w:vAlign w:val="center"/>
                </w:tcPr>
                <w:p w14:paraId="72E176CF">
                  <w:pPr>
                    <w:snapToGrid w:val="0"/>
                    <w:spacing w:line="28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监测</w:t>
                  </w:r>
                  <w:r>
                    <w:rPr>
                      <w:rFonts w:hint="default" w:ascii="Times New Roman" w:hAnsi="Times New Roman" w:cs="Times New Roman"/>
                      <w:b/>
                      <w:color w:val="auto"/>
                      <w:szCs w:val="21"/>
                      <w:lang w:val="en-US" w:eastAsia="zh-CN"/>
                    </w:rPr>
                    <w:t>项目</w:t>
                  </w:r>
                </w:p>
              </w:tc>
              <w:tc>
                <w:tcPr>
                  <w:tcW w:w="1622" w:type="pct"/>
                  <w:tcBorders>
                    <w:tl2br w:val="nil"/>
                    <w:tr2bl w:val="nil"/>
                  </w:tcBorders>
                  <w:vAlign w:val="center"/>
                </w:tcPr>
                <w:p w14:paraId="7A5CA877">
                  <w:pPr>
                    <w:snapToGrid w:val="0"/>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14:paraId="61DF0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0" w:type="pct"/>
                  <w:tcBorders>
                    <w:tl2br w:val="nil"/>
                    <w:tr2bl w:val="nil"/>
                  </w:tcBorders>
                  <w:vAlign w:val="center"/>
                </w:tcPr>
                <w:p w14:paraId="5A7570BD">
                  <w:pPr>
                    <w:snapToGrid w:val="0"/>
                    <w:spacing w:line="28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噪声</w:t>
                  </w:r>
                </w:p>
              </w:tc>
              <w:tc>
                <w:tcPr>
                  <w:tcW w:w="1149" w:type="pct"/>
                  <w:tcBorders>
                    <w:tl2br w:val="nil"/>
                    <w:tr2bl w:val="nil"/>
                  </w:tcBorders>
                  <w:vAlign w:val="center"/>
                </w:tcPr>
                <w:p w14:paraId="1422EF74">
                  <w:pPr>
                    <w:snapToGrid w:val="0"/>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四周</w:t>
                  </w: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val="en-US" w:eastAsia="zh-CN"/>
                    </w:rPr>
                    <w:t>外1米处</w:t>
                  </w:r>
                </w:p>
              </w:tc>
              <w:tc>
                <w:tcPr>
                  <w:tcW w:w="1567" w:type="pct"/>
                  <w:tcBorders>
                    <w:tl2br w:val="nil"/>
                    <w:tr2bl w:val="nil"/>
                  </w:tcBorders>
                  <w:vAlign w:val="center"/>
                </w:tcPr>
                <w:p w14:paraId="5C79E041">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昼</w:t>
                  </w:r>
                  <w:r>
                    <w:rPr>
                      <w:rFonts w:hint="eastAsia" w:cs="Times New Roman"/>
                      <w:bCs/>
                      <w:color w:val="auto"/>
                      <w:szCs w:val="21"/>
                      <w:lang w:val="en-US" w:eastAsia="zh-CN"/>
                    </w:rPr>
                    <w:t>间</w:t>
                  </w:r>
                  <w:r>
                    <w:rPr>
                      <w:rFonts w:hint="default" w:ascii="Times New Roman" w:hAnsi="Times New Roman" w:cs="Times New Roman"/>
                      <w:bCs/>
                      <w:color w:val="auto"/>
                      <w:szCs w:val="21"/>
                    </w:rPr>
                    <w:t>等效连续A声级</w:t>
                  </w:r>
                </w:p>
              </w:tc>
              <w:tc>
                <w:tcPr>
                  <w:tcW w:w="1622" w:type="pct"/>
                  <w:tcBorders>
                    <w:tl2br w:val="nil"/>
                    <w:tr2bl w:val="nil"/>
                  </w:tcBorders>
                  <w:vAlign w:val="center"/>
                </w:tcPr>
                <w:p w14:paraId="56287A82">
                  <w:pPr>
                    <w:snapToGrid w:val="0"/>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每季度监测1次</w:t>
                  </w:r>
                </w:p>
              </w:tc>
            </w:tr>
          </w:tbl>
          <w:p w14:paraId="78D381D5">
            <w:pPr>
              <w:adjustRightInd w:val="0"/>
              <w:snapToGrid w:val="0"/>
              <w:spacing w:line="500" w:lineRule="exact"/>
              <w:rPr>
                <w:rFonts w:hint="default" w:ascii="Times New Roman" w:hAnsi="Times New Roman" w:cs="Times New Roman"/>
                <w:b/>
                <w:color w:val="auto"/>
                <w:sz w:val="24"/>
              </w:rPr>
            </w:pPr>
            <w:r>
              <w:rPr>
                <w:rFonts w:hint="eastAsia" w:cs="Times New Roman"/>
                <w:b/>
                <w:color w:val="auto"/>
                <w:sz w:val="24"/>
                <w:lang w:eastAsia="zh-CN"/>
              </w:rPr>
              <w:t>四</w:t>
            </w:r>
            <w:r>
              <w:rPr>
                <w:rFonts w:hint="default" w:ascii="Times New Roman" w:hAnsi="Times New Roman" w:cs="Times New Roman"/>
                <w:b/>
                <w:color w:val="auto"/>
                <w:sz w:val="24"/>
              </w:rPr>
              <w:t>、固体废物</w:t>
            </w:r>
          </w:p>
          <w:p w14:paraId="3EA6D888">
            <w:pPr>
              <w:adjustRightInd w:val="0"/>
              <w:snapToGrid w:val="0"/>
              <w:spacing w:line="500" w:lineRule="exact"/>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固体废物产生情况</w:t>
            </w:r>
          </w:p>
          <w:p w14:paraId="01066F4D">
            <w:pPr>
              <w:pStyle w:val="6"/>
              <w:adjustRightInd w:val="0"/>
              <w:snapToGrid w:val="0"/>
              <w:spacing w:line="500" w:lineRule="exact"/>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color w:val="auto"/>
                <w:sz w:val="24"/>
                <w:szCs w:val="24"/>
              </w:rPr>
              <w:t>边角料</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S1</w:t>
            </w:r>
            <w:r>
              <w:rPr>
                <w:rFonts w:hint="eastAsia"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eastAsia="宋体" w:cs="Times New Roman"/>
                <w:color w:val="auto"/>
                <w:kern w:val="2"/>
                <w:sz w:val="24"/>
                <w:szCs w:val="24"/>
                <w:highlight w:val="none"/>
                <w:lang w:val="en-US" w:eastAsia="zh-CN" w:bidi="ar-SA"/>
              </w:rPr>
              <w:t>切线</w:t>
            </w:r>
            <w:r>
              <w:rPr>
                <w:rFonts w:hint="default" w:ascii="Times New Roman" w:hAnsi="Times New Roman" w:cs="Times New Roman"/>
                <w:color w:val="auto"/>
                <w:sz w:val="24"/>
                <w:szCs w:val="24"/>
                <w:highlight w:val="none"/>
                <w:lang w:val="en-US" w:eastAsia="zh-CN"/>
              </w:rPr>
              <w:t>过程中产生</w:t>
            </w:r>
            <w:r>
              <w:rPr>
                <w:rFonts w:hint="eastAsia" w:ascii="Times New Roman" w:hAnsi="Times New Roman" w:cs="Times New Roman"/>
                <w:color w:val="auto"/>
                <w:sz w:val="24"/>
                <w:szCs w:val="24"/>
                <w:highlight w:val="none"/>
                <w:lang w:val="en-US" w:eastAsia="zh-CN"/>
              </w:rPr>
              <w:t>少量</w:t>
            </w:r>
            <w:r>
              <w:rPr>
                <w:rFonts w:hint="default" w:ascii="Times New Roman" w:hAnsi="Times New Roman" w:cs="Times New Roman"/>
                <w:color w:val="auto"/>
                <w:sz w:val="24"/>
                <w:szCs w:val="24"/>
                <w:highlight w:val="none"/>
                <w:lang w:val="en-US" w:eastAsia="zh-CN"/>
              </w:rPr>
              <w:t>边角料，</w:t>
            </w:r>
            <w:r>
              <w:rPr>
                <w:rFonts w:hint="default" w:ascii="Times New Roman" w:hAnsi="Times New Roman" w:cs="Times New Roman"/>
                <w:color w:val="auto"/>
                <w:sz w:val="24"/>
                <w:szCs w:val="24"/>
              </w:rPr>
              <w:t>产生量约占原料量的</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项目</w:t>
            </w:r>
            <w:r>
              <w:rPr>
                <w:rFonts w:hint="eastAsia" w:ascii="宋体" w:hAnsi="宋体" w:cs="宋体"/>
                <w:i w:val="0"/>
                <w:iCs w:val="0"/>
                <w:color w:val="auto"/>
                <w:kern w:val="0"/>
                <w:sz w:val="24"/>
                <w:szCs w:val="24"/>
                <w:u w:val="none"/>
                <w:lang w:val="en-US" w:eastAsia="zh-CN" w:bidi="ar"/>
              </w:rPr>
              <w:t>铜</w:t>
            </w:r>
            <w:r>
              <w:rPr>
                <w:rFonts w:hint="eastAsia" w:ascii="宋体" w:hAnsi="宋体" w:eastAsia="宋体" w:cs="宋体"/>
                <w:i w:val="0"/>
                <w:iCs w:val="0"/>
                <w:color w:val="auto"/>
                <w:kern w:val="0"/>
                <w:sz w:val="24"/>
                <w:szCs w:val="24"/>
                <w:u w:val="none"/>
                <w:lang w:val="en-US" w:eastAsia="zh-CN" w:bidi="ar"/>
              </w:rPr>
              <w:t>线</w:t>
            </w:r>
            <w:r>
              <w:rPr>
                <w:rFonts w:hint="eastAsia" w:ascii="Times New Roman" w:hAnsi="Times New Roman" w:eastAsia="宋体" w:cs="Times New Roman"/>
                <w:color w:val="auto"/>
                <w:kern w:val="2"/>
                <w:sz w:val="24"/>
                <w:szCs w:val="24"/>
                <w:lang w:val="en-US" w:eastAsia="zh-CN" w:bidi="ar-SA"/>
              </w:rPr>
              <w:t>用量约</w:t>
            </w:r>
            <w:r>
              <w:rPr>
                <w:rFonts w:hint="eastAsia" w:ascii="Times New Roman" w:hAnsi="Times New Roman" w:cs="Times New Roman"/>
                <w:color w:val="auto"/>
                <w:kern w:val="2"/>
                <w:sz w:val="24"/>
                <w:szCs w:val="24"/>
                <w:lang w:val="en-US" w:eastAsia="zh-CN" w:bidi="ar-SA"/>
              </w:rPr>
              <w:t>180</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sz w:val="24"/>
                <w:szCs w:val="24"/>
              </w:rPr>
              <w:t>则边角料产生量为</w:t>
            </w:r>
            <w:r>
              <w:rPr>
                <w:rFonts w:hint="eastAsia"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rPr>
              <w:t>t/a。</w:t>
            </w:r>
          </w:p>
          <w:p w14:paraId="0737ACF7">
            <w:pPr>
              <w:pStyle w:val="6"/>
              <w:adjustRightInd w:val="0"/>
              <w:snapToGrid w:val="0"/>
              <w:spacing w:line="500" w:lineRule="exact"/>
              <w:ind w:firstLine="482" w:firstLineChars="200"/>
              <w:rPr>
                <w:rFonts w:hint="default"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废塑料桶</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S2</w:t>
            </w:r>
            <w:r>
              <w:rPr>
                <w:rFonts w:hint="eastAsia" w:ascii="Times New Roman" w:hAnsi="Times New Roman" w:cs="Times New Roman"/>
                <w:b/>
                <w:color w:val="auto"/>
                <w:sz w:val="24"/>
                <w:szCs w:val="24"/>
                <w:lang w:eastAsia="zh-CN"/>
              </w:rPr>
              <w:t>）</w:t>
            </w:r>
            <w:r>
              <w:rPr>
                <w:rFonts w:hint="eastAsia" w:ascii="Times New Roman" w:hAnsi="Times New Roman" w:cs="Times New Roman"/>
                <w:color w:val="auto"/>
                <w:kern w:val="2"/>
                <w:sz w:val="24"/>
                <w:szCs w:val="24"/>
                <w:highlight w:val="none"/>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浸助焊剂</w:t>
            </w:r>
            <w:r>
              <w:rPr>
                <w:rFonts w:hint="eastAsia" w:ascii="Times New Roman" w:hAnsi="Times New Roman" w:cs="Times New Roman"/>
                <w:color w:val="auto"/>
                <w:kern w:val="2"/>
                <w:sz w:val="24"/>
                <w:szCs w:val="24"/>
                <w:highlight w:val="none"/>
                <w:lang w:val="en-US" w:eastAsia="zh-CN" w:bidi="ar-SA"/>
              </w:rPr>
              <w:t>过程产生少量</w:t>
            </w:r>
            <w:r>
              <w:rPr>
                <w:rFonts w:hint="eastAsia" w:ascii="Times New Roman" w:hAnsi="Times New Roman" w:eastAsia="宋体" w:cs="Times New Roman"/>
                <w:color w:val="auto"/>
                <w:kern w:val="2"/>
                <w:sz w:val="24"/>
                <w:szCs w:val="24"/>
                <w:highlight w:val="none"/>
                <w:lang w:val="en-US" w:eastAsia="zh-CN" w:bidi="ar-SA"/>
              </w:rPr>
              <w:t>废塑料桶，根据建设方提供数据，塑料桶一年更换4次，产生废塑料桶4个（</w:t>
            </w:r>
            <w:r>
              <w:rPr>
                <w:rFonts w:hint="eastAsia" w:ascii="Times New Roman" w:hAnsi="Times New Roman" w:cs="Times New Roman"/>
                <w:b w:val="0"/>
                <w:bCs/>
                <w:color w:val="auto"/>
                <w:kern w:val="2"/>
                <w:sz w:val="24"/>
                <w:szCs w:val="24"/>
                <w:lang w:val="en-US" w:eastAsia="zh-CN" w:bidi="ar-SA"/>
              </w:rPr>
              <w:t>单个桶净重约2kg</w:t>
            </w:r>
            <w:r>
              <w:rPr>
                <w:rFonts w:hint="eastAsia" w:ascii="Times New Roman" w:hAnsi="Times New Roman" w:eastAsia="宋体" w:cs="Times New Roman"/>
                <w:color w:val="auto"/>
                <w:kern w:val="2"/>
                <w:sz w:val="24"/>
                <w:szCs w:val="24"/>
                <w:highlight w:val="none"/>
                <w:lang w:val="en-US" w:eastAsia="zh-CN" w:bidi="ar-SA"/>
              </w:rPr>
              <w:t>）；同时项目助焊剂使用过程产生少量废塑料桶，助焊剂</w:t>
            </w:r>
            <w:r>
              <w:rPr>
                <w:rFonts w:hint="eastAsia" w:ascii="Times New Roman" w:hAnsi="Times New Roman" w:cs="Times New Roman"/>
                <w:b w:val="0"/>
                <w:bCs/>
                <w:color w:val="auto"/>
                <w:kern w:val="2"/>
                <w:sz w:val="24"/>
                <w:szCs w:val="24"/>
                <w:lang w:val="en-US" w:eastAsia="zh-CN" w:bidi="ar-SA"/>
              </w:rPr>
              <w:t>包装规格为20</w:t>
            </w:r>
            <w:r>
              <w:rPr>
                <w:rFonts w:hint="default" w:ascii="Times New Roman" w:hAnsi="Times New Roman" w:cs="Times New Roman"/>
                <w:b w:val="0"/>
                <w:bCs/>
                <w:color w:val="auto"/>
                <w:kern w:val="2"/>
                <w:sz w:val="24"/>
                <w:szCs w:val="24"/>
                <w:lang w:val="en-US" w:eastAsia="zh-CN" w:bidi="ar-SA"/>
              </w:rPr>
              <w:t>kg/</w:t>
            </w:r>
            <w:r>
              <w:rPr>
                <w:rFonts w:hint="eastAsia" w:ascii="Times New Roman" w:hAnsi="Times New Roman" w:cs="Times New Roman"/>
                <w:b w:val="0"/>
                <w:bCs/>
                <w:color w:val="auto"/>
                <w:kern w:val="2"/>
                <w:sz w:val="24"/>
                <w:szCs w:val="24"/>
                <w:lang w:val="en-US" w:eastAsia="zh-CN" w:bidi="ar-SA"/>
              </w:rPr>
              <w:t>桶，</w:t>
            </w:r>
            <w:r>
              <w:rPr>
                <w:rFonts w:hint="eastAsia" w:ascii="Times New Roman" w:hAnsi="Times New Roman" w:eastAsia="宋体" w:cs="Times New Roman"/>
                <w:color w:val="auto"/>
                <w:kern w:val="2"/>
                <w:sz w:val="24"/>
                <w:szCs w:val="24"/>
                <w:highlight w:val="none"/>
                <w:lang w:val="en-US" w:eastAsia="zh-CN" w:bidi="ar-SA"/>
              </w:rPr>
              <w:t>助焊剂</w:t>
            </w:r>
            <w:r>
              <w:rPr>
                <w:rFonts w:hint="eastAsia" w:ascii="Times New Roman" w:hAnsi="Times New Roman" w:cs="Times New Roman"/>
                <w:b w:val="0"/>
                <w:bCs/>
                <w:color w:val="auto"/>
                <w:kern w:val="2"/>
                <w:sz w:val="24"/>
                <w:szCs w:val="24"/>
                <w:lang w:val="en-US" w:eastAsia="zh-CN" w:bidi="ar-SA"/>
              </w:rPr>
              <w:t>用量约0.1t/a，产生</w:t>
            </w:r>
            <w:r>
              <w:rPr>
                <w:rFonts w:hint="eastAsia" w:ascii="Times New Roman" w:hAnsi="Times New Roman" w:eastAsia="宋体" w:cs="Times New Roman"/>
                <w:color w:val="auto"/>
                <w:kern w:val="2"/>
                <w:sz w:val="24"/>
                <w:szCs w:val="24"/>
                <w:highlight w:val="none"/>
                <w:lang w:val="en-US" w:eastAsia="zh-CN" w:bidi="ar-SA"/>
              </w:rPr>
              <w:t>废塑料桶</w:t>
            </w:r>
            <w:r>
              <w:rPr>
                <w:rFonts w:hint="eastAsia" w:ascii="Times New Roman" w:hAnsi="Times New Roman" w:cs="Times New Roman"/>
                <w:b w:val="0"/>
                <w:bCs/>
                <w:color w:val="auto"/>
                <w:kern w:val="2"/>
                <w:sz w:val="24"/>
                <w:szCs w:val="24"/>
                <w:lang w:val="en-US" w:eastAsia="zh-CN" w:bidi="ar-SA"/>
              </w:rPr>
              <w:t>约5个</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b w:val="0"/>
                <w:bCs/>
                <w:color w:val="auto"/>
                <w:kern w:val="2"/>
                <w:sz w:val="24"/>
                <w:szCs w:val="24"/>
                <w:lang w:val="en-US" w:eastAsia="zh-CN" w:bidi="ar-SA"/>
              </w:rPr>
              <w:t>单个桶净重约2kg</w:t>
            </w:r>
            <w:r>
              <w:rPr>
                <w:rFonts w:hint="eastAsia" w:ascii="Times New Roman" w:hAnsi="Times New Roman" w:eastAsia="宋体" w:cs="Times New Roman"/>
                <w:color w:val="auto"/>
                <w:kern w:val="2"/>
                <w:sz w:val="24"/>
                <w:szCs w:val="24"/>
                <w:highlight w:val="none"/>
                <w:lang w:val="en-US" w:eastAsia="zh-CN" w:bidi="ar-SA"/>
              </w:rPr>
              <w:t>）。综上</w:t>
            </w:r>
            <w:r>
              <w:rPr>
                <w:rFonts w:hint="eastAsia" w:ascii="Times New Roman" w:hAnsi="Times New Roman" w:cs="Times New Roman"/>
                <w:b w:val="0"/>
                <w:bCs/>
                <w:color w:val="auto"/>
                <w:kern w:val="2"/>
                <w:sz w:val="24"/>
                <w:szCs w:val="24"/>
                <w:lang w:val="en-US" w:eastAsia="zh-CN" w:bidi="ar-SA"/>
              </w:rPr>
              <w:t>，项目</w:t>
            </w:r>
            <w:r>
              <w:rPr>
                <w:rFonts w:hint="eastAsia" w:ascii="Times New Roman" w:hAnsi="Times New Roman" w:eastAsia="宋体" w:cs="Times New Roman"/>
                <w:color w:val="auto"/>
                <w:kern w:val="2"/>
                <w:sz w:val="24"/>
                <w:szCs w:val="24"/>
                <w:highlight w:val="none"/>
                <w:lang w:val="en-US" w:eastAsia="zh-CN" w:bidi="ar-SA"/>
              </w:rPr>
              <w:t>废塑料桶</w:t>
            </w:r>
            <w:r>
              <w:rPr>
                <w:rFonts w:hint="eastAsia" w:ascii="Times New Roman" w:hAnsi="Times New Roman" w:cs="Times New Roman"/>
                <w:b w:val="0"/>
                <w:bCs/>
                <w:color w:val="auto"/>
                <w:kern w:val="2"/>
                <w:sz w:val="24"/>
                <w:szCs w:val="24"/>
                <w:lang w:val="en-US" w:eastAsia="zh-CN" w:bidi="ar-SA"/>
              </w:rPr>
              <w:t>产生量约0.018t/a</w:t>
            </w:r>
            <w:r>
              <w:rPr>
                <w:rFonts w:hint="default" w:ascii="Times New Roman" w:hAnsi="Times New Roman" w:cs="Times New Roman"/>
                <w:b w:val="0"/>
                <w:bCs/>
                <w:color w:val="auto"/>
                <w:kern w:val="2"/>
                <w:sz w:val="24"/>
                <w:szCs w:val="24"/>
                <w:lang w:val="en-US" w:eastAsia="zh-CN" w:bidi="ar-SA"/>
              </w:rPr>
              <w:t>。</w:t>
            </w:r>
          </w:p>
          <w:p w14:paraId="39D5E212">
            <w:pPr>
              <w:numPr>
                <w:ilvl w:val="0"/>
                <w:numId w:val="0"/>
              </w:numPr>
              <w:adjustRightInd w:val="0"/>
              <w:snapToGrid w:val="0"/>
              <w:spacing w:line="480" w:lineRule="exact"/>
              <w:ind w:firstLine="482"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锡渣</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S3</w:t>
            </w:r>
            <w:r>
              <w:rPr>
                <w:rFonts w:hint="eastAsia" w:ascii="Times New Roman" w:hAnsi="Times New Roman" w:cs="Times New Roman"/>
                <w:b/>
                <w:color w:val="auto"/>
                <w:sz w:val="24"/>
                <w:szCs w:val="24"/>
                <w:lang w:eastAsia="zh-CN"/>
              </w:rPr>
              <w:t>）</w:t>
            </w:r>
            <w:r>
              <w:rPr>
                <w:rFonts w:hint="eastAsia" w:ascii="Times New Roman" w:hAnsi="Times New Roman" w:eastAsia="宋体" w:cs="Times New Roman"/>
                <w:color w:val="auto"/>
                <w:kern w:val="2"/>
                <w:sz w:val="24"/>
                <w:szCs w:val="24"/>
                <w:highlight w:val="none"/>
                <w:lang w:val="en-US" w:eastAsia="zh-CN" w:bidi="ar-SA"/>
              </w:rPr>
              <w:t>：项目锡渣主要为浸锡过程产生。根据建设方提供数据，浸锡过程锡渣产生量约为锡锭使用量的0.1%，项目锡锭</w:t>
            </w:r>
            <w:r>
              <w:rPr>
                <w:rFonts w:hint="eastAsia" w:ascii="Times New Roman" w:hAnsi="Times New Roman" w:eastAsia="宋体" w:cs="Times New Roman"/>
                <w:color w:val="auto"/>
                <w:kern w:val="2"/>
                <w:sz w:val="24"/>
                <w:szCs w:val="24"/>
                <w:lang w:val="en-US" w:eastAsia="zh-CN" w:bidi="ar-SA"/>
              </w:rPr>
              <w:t>用量约</w:t>
            </w:r>
            <w:r>
              <w:rPr>
                <w:rFonts w:hint="eastAsia" w:ascii="Times New Roman" w:hAnsi="Times New Roman"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，则锡渣产生量为0.01t/a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14:paraId="34BF5ED7">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次品</w:t>
            </w:r>
            <w:r>
              <w:rPr>
                <w:rFonts w:hint="eastAsia" w:ascii="Times New Roman" w:hAnsi="Times New Roman" w:cs="Times New Roman"/>
                <w:b/>
                <w:color w:val="auto"/>
                <w:sz w:val="24"/>
                <w:szCs w:val="24"/>
                <w:lang w:eastAsia="zh-CN"/>
              </w:rPr>
              <w:t>（</w:t>
            </w:r>
            <w:r>
              <w:rPr>
                <w:rFonts w:hint="eastAsia" w:ascii="Times New Roman" w:hAnsi="Times New Roman" w:cs="Times New Roman"/>
                <w:b/>
                <w:color w:val="auto"/>
                <w:sz w:val="24"/>
                <w:szCs w:val="24"/>
                <w:lang w:val="en-US" w:eastAsia="zh-CN"/>
              </w:rPr>
              <w:t>S4</w:t>
            </w:r>
            <w:r>
              <w:rPr>
                <w:rFonts w:hint="eastAsia" w:ascii="Times New Roman" w:hAnsi="Times New Roman" w:cs="Times New Roman"/>
                <w:b/>
                <w:color w:val="auto"/>
                <w:sz w:val="24"/>
                <w:szCs w:val="24"/>
                <w:lang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lang w:val="en-US" w:eastAsia="zh-CN"/>
              </w:rPr>
              <w:t>测试</w:t>
            </w:r>
            <w:r>
              <w:rPr>
                <w:rFonts w:hint="eastAsia"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en-US" w:eastAsia="zh-CN"/>
              </w:rPr>
              <w:t>产生</w:t>
            </w:r>
            <w:r>
              <w:rPr>
                <w:rFonts w:hint="eastAsia" w:cs="Times New Roman"/>
                <w:color w:val="auto"/>
                <w:sz w:val="24"/>
                <w:szCs w:val="24"/>
                <w:highlight w:val="none"/>
                <w:lang w:val="en-US" w:eastAsia="zh-CN"/>
              </w:rPr>
              <w:t>少量次品</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rPr>
              <w:t>产生量约占原料量的</w:t>
            </w:r>
            <w:r>
              <w:rPr>
                <w:rFonts w:hint="eastAsia"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lang w:val="en-US" w:eastAsia="zh-CN"/>
              </w:rPr>
              <w:t>项目</w:t>
            </w:r>
            <w:r>
              <w:rPr>
                <w:rFonts w:hint="eastAsia" w:ascii="宋体" w:hAnsi="宋体" w:cs="宋体"/>
                <w:i w:val="0"/>
                <w:iCs w:val="0"/>
                <w:color w:val="auto"/>
                <w:kern w:val="0"/>
                <w:sz w:val="24"/>
                <w:szCs w:val="24"/>
                <w:u w:val="none"/>
                <w:lang w:val="en-US" w:eastAsia="zh-CN" w:bidi="ar"/>
              </w:rPr>
              <w:t>铜</w:t>
            </w:r>
            <w:r>
              <w:rPr>
                <w:rFonts w:hint="eastAsia" w:ascii="宋体" w:hAnsi="宋体" w:eastAsia="宋体" w:cs="宋体"/>
                <w:i w:val="0"/>
                <w:iCs w:val="0"/>
                <w:color w:val="auto"/>
                <w:kern w:val="0"/>
                <w:sz w:val="24"/>
                <w:szCs w:val="24"/>
                <w:u w:val="none"/>
                <w:lang w:val="en-US" w:eastAsia="zh-CN" w:bidi="ar"/>
              </w:rPr>
              <w:t>线</w:t>
            </w:r>
            <w:r>
              <w:rPr>
                <w:rFonts w:hint="eastAsia" w:ascii="Times New Roman" w:hAnsi="Times New Roman" w:cs="Times New Roman"/>
                <w:color w:val="auto"/>
                <w:kern w:val="2"/>
                <w:sz w:val="24"/>
                <w:szCs w:val="24"/>
                <w:lang w:val="en-US" w:eastAsia="zh-CN" w:bidi="ar-SA"/>
              </w:rPr>
              <w:t>、</w:t>
            </w:r>
            <w:r>
              <w:rPr>
                <w:rFonts w:hint="eastAsia" w:ascii="宋体" w:hAnsi="宋体" w:eastAsia="宋体" w:cs="宋体"/>
                <w:i w:val="0"/>
                <w:iCs w:val="0"/>
                <w:color w:val="auto"/>
                <w:kern w:val="0"/>
                <w:sz w:val="24"/>
                <w:szCs w:val="24"/>
                <w:u w:val="none"/>
                <w:lang w:val="en-US" w:eastAsia="zh-CN" w:bidi="ar"/>
              </w:rPr>
              <w:t>绝缘膜、</w:t>
            </w:r>
            <w:r>
              <w:rPr>
                <w:rFonts w:hint="default" w:ascii="Times New Roman" w:hAnsi="Times New Roman" w:eastAsia="宋体" w:cs="Times New Roman"/>
                <w:color w:val="auto"/>
                <w:sz w:val="24"/>
                <w:szCs w:val="24"/>
              </w:rPr>
              <w:t>锡</w:t>
            </w:r>
            <w:r>
              <w:rPr>
                <w:rFonts w:hint="default" w:ascii="Times New Roman" w:hAnsi="Times New Roman" w:eastAsia="宋体" w:cs="Times New Roman"/>
                <w:color w:val="auto"/>
                <w:sz w:val="24"/>
                <w:szCs w:val="24"/>
                <w:lang w:val="en-US" w:eastAsia="zh-CN"/>
              </w:rPr>
              <w:t>条</w:t>
            </w:r>
            <w:r>
              <w:rPr>
                <w:rFonts w:hint="eastAsia" w:ascii="Times New Roman" w:hAnsi="Times New Roman" w:cs="Times New Roman"/>
                <w:color w:val="auto"/>
                <w:kern w:val="2"/>
                <w:sz w:val="24"/>
                <w:szCs w:val="24"/>
                <w:lang w:val="en-US" w:eastAsia="zh-CN" w:bidi="ar-SA"/>
              </w:rPr>
              <w:t>等原料</w:t>
            </w:r>
            <w:r>
              <w:rPr>
                <w:rFonts w:hint="eastAsia" w:ascii="Times New Roman" w:hAnsi="Times New Roman" w:eastAsia="宋体" w:cs="Times New Roman"/>
                <w:color w:val="auto"/>
                <w:kern w:val="2"/>
                <w:sz w:val="24"/>
                <w:szCs w:val="24"/>
                <w:lang w:val="en-US" w:eastAsia="zh-CN" w:bidi="ar-SA"/>
              </w:rPr>
              <w:t>用量</w:t>
            </w:r>
            <w:r>
              <w:rPr>
                <w:rFonts w:hint="eastAsia" w:ascii="Times New Roman" w:hAnsi="Times New Roman" w:cs="Times New Roman"/>
                <w:color w:val="auto"/>
                <w:kern w:val="2"/>
                <w:sz w:val="24"/>
                <w:szCs w:val="24"/>
                <w:lang w:val="en-US" w:eastAsia="zh-CN" w:bidi="ar-SA"/>
              </w:rPr>
              <w:t>合计</w:t>
            </w:r>
            <w:r>
              <w:rPr>
                <w:rFonts w:hint="eastAsia" w:ascii="Times New Roman" w:hAnsi="Times New Roman" w:eastAsia="宋体" w:cs="Times New Roman"/>
                <w:color w:val="auto"/>
                <w:kern w:val="2"/>
                <w:sz w:val="24"/>
                <w:szCs w:val="24"/>
                <w:lang w:val="en-US" w:eastAsia="zh-CN" w:bidi="ar-SA"/>
              </w:rPr>
              <w:t>约</w:t>
            </w:r>
            <w:r>
              <w:rPr>
                <w:rFonts w:hint="eastAsia" w:cs="Times New Roman"/>
                <w:color w:val="auto"/>
                <w:kern w:val="2"/>
                <w:sz w:val="24"/>
                <w:szCs w:val="24"/>
                <w:lang w:val="en-US" w:eastAsia="zh-CN" w:bidi="ar-SA"/>
              </w:rPr>
              <w:t>194.7</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color w:val="auto"/>
                <w:kern w:val="0"/>
                <w:sz w:val="24"/>
                <w:szCs w:val="24"/>
                <w:highlight w:val="none"/>
                <w:lang w:val="en-US" w:eastAsia="zh-CN"/>
              </w:rPr>
              <w:t>，则</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次品</w:t>
            </w:r>
            <w:r>
              <w:rPr>
                <w:rFonts w:hint="eastAsia" w:ascii="Times New Roman" w:hAnsi="Times New Roman" w:cs="Times New Roman"/>
                <w:color w:val="auto"/>
                <w:sz w:val="24"/>
                <w:szCs w:val="24"/>
                <w:highlight w:val="none"/>
                <w:lang w:val="en-US" w:eastAsia="zh-CN"/>
              </w:rPr>
              <w:t>产生量</w:t>
            </w:r>
            <w:r>
              <w:rPr>
                <w:rFonts w:hint="default" w:ascii="Times New Roman" w:hAnsi="Times New Roman" w:eastAsia="宋体" w:cs="Times New Roman"/>
                <w:color w:val="auto"/>
                <w:sz w:val="24"/>
                <w:szCs w:val="24"/>
                <w:highlight w:val="none"/>
                <w:lang w:val="en-US" w:eastAsia="zh-CN"/>
              </w:rPr>
              <w:t>约</w:t>
            </w:r>
            <w:r>
              <w:rPr>
                <w:rFonts w:hint="eastAsia" w:cs="Times New Roman"/>
                <w:color w:val="auto"/>
                <w:sz w:val="24"/>
                <w:szCs w:val="24"/>
                <w:highlight w:val="none"/>
                <w:lang w:val="en-US" w:eastAsia="zh-CN"/>
              </w:rPr>
              <w:t>3.9</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14:paraId="34ADFC97">
            <w:pPr>
              <w:numPr>
                <w:ilvl w:val="0"/>
                <w:numId w:val="0"/>
              </w:numPr>
              <w:adjustRightInd w:val="0"/>
              <w:snapToGrid w:val="0"/>
              <w:spacing w:line="480" w:lineRule="exact"/>
              <w:ind w:firstLine="482" w:firstLineChars="200"/>
              <w:rPr>
                <w:rFonts w:hint="eastAsia" w:eastAsia="宋体" w:cs="Times New Roman"/>
                <w:b/>
                <w:bCs/>
                <w:color w:val="auto"/>
                <w:sz w:val="24"/>
                <w:szCs w:val="24"/>
                <w:highlight w:val="none"/>
                <w:lang w:val="en-US" w:eastAsia="zh-CN"/>
              </w:rPr>
            </w:pPr>
            <w:r>
              <w:rPr>
                <w:rFonts w:hint="eastAsia" w:cs="Times New Roman"/>
                <w:b/>
                <w:bCs/>
                <w:color w:val="auto"/>
                <w:kern w:val="2"/>
                <w:sz w:val="24"/>
                <w:szCs w:val="24"/>
                <w:highlight w:val="none"/>
                <w:lang w:val="en-US" w:eastAsia="zh-CN" w:bidi="ar-SA"/>
              </w:rPr>
              <w:t>收尘</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根据废气产排污核算，除尘装置收集的锡尘约0.003t/a。</w:t>
            </w:r>
          </w:p>
          <w:p w14:paraId="2466F9C3">
            <w:pPr>
              <w:pStyle w:val="6"/>
              <w:adjustRightInd w:val="0"/>
              <w:snapToGrid w:val="0"/>
              <w:spacing w:line="500" w:lineRule="exact"/>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kern w:val="2"/>
                <w:sz w:val="24"/>
                <w:szCs w:val="24"/>
                <w:lang w:val="en-US" w:eastAsia="zh-CN" w:bidi="ar-SA"/>
              </w:rPr>
              <w:t>废包材</w:t>
            </w:r>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w:t>
            </w:r>
            <w:r>
              <w:rPr>
                <w:rFonts w:hint="eastAsia" w:ascii="Times New Roman" w:hAnsi="Times New Roman" w:eastAsia="宋体" w:cs="Times New Roman"/>
                <w:color w:val="auto"/>
                <w:sz w:val="24"/>
                <w:szCs w:val="24"/>
                <w:highlight w:val="none"/>
                <w:lang w:val="en-US" w:eastAsia="zh-CN"/>
              </w:rPr>
              <w:t>目</w:t>
            </w:r>
            <w:r>
              <w:rPr>
                <w:rFonts w:hint="eastAsia" w:ascii="宋体" w:hAnsi="宋体" w:cs="宋体"/>
                <w:i w:val="0"/>
                <w:iCs w:val="0"/>
                <w:color w:val="auto"/>
                <w:kern w:val="0"/>
                <w:sz w:val="24"/>
                <w:szCs w:val="24"/>
                <w:u w:val="none"/>
                <w:lang w:val="en-US" w:eastAsia="zh-CN" w:bidi="ar"/>
              </w:rPr>
              <w:t>铜</w:t>
            </w:r>
            <w:r>
              <w:rPr>
                <w:rFonts w:hint="eastAsia" w:ascii="宋体" w:hAnsi="宋体" w:eastAsia="宋体" w:cs="宋体"/>
                <w:i w:val="0"/>
                <w:iCs w:val="0"/>
                <w:color w:val="auto"/>
                <w:kern w:val="0"/>
                <w:sz w:val="24"/>
                <w:szCs w:val="24"/>
                <w:u w:val="none"/>
                <w:lang w:val="en-US" w:eastAsia="zh-CN" w:bidi="ar"/>
              </w:rPr>
              <w:t>线</w:t>
            </w:r>
            <w:r>
              <w:rPr>
                <w:rFonts w:hint="eastAsia" w:ascii="Times New Roman" w:hAnsi="Times New Roman" w:cs="Times New Roman"/>
                <w:color w:val="auto"/>
                <w:kern w:val="2"/>
                <w:sz w:val="24"/>
                <w:szCs w:val="24"/>
                <w:lang w:val="en-US" w:eastAsia="zh-CN" w:bidi="ar-SA"/>
              </w:rPr>
              <w:t>、</w:t>
            </w:r>
            <w:r>
              <w:rPr>
                <w:rFonts w:hint="eastAsia" w:ascii="宋体" w:hAnsi="宋体" w:eastAsia="宋体" w:cs="宋体"/>
                <w:i w:val="0"/>
                <w:iCs w:val="0"/>
                <w:color w:val="auto"/>
                <w:kern w:val="0"/>
                <w:sz w:val="24"/>
                <w:szCs w:val="24"/>
                <w:u w:val="none"/>
                <w:lang w:val="en-US" w:eastAsia="zh-CN" w:bidi="ar"/>
              </w:rPr>
              <w:t>绝缘膜、</w:t>
            </w:r>
            <w:r>
              <w:rPr>
                <w:rFonts w:hint="default" w:ascii="Times New Roman" w:hAnsi="Times New Roman" w:eastAsia="宋体" w:cs="Times New Roman"/>
                <w:color w:val="auto"/>
                <w:sz w:val="24"/>
                <w:szCs w:val="24"/>
              </w:rPr>
              <w:t>锡</w:t>
            </w:r>
            <w:r>
              <w:rPr>
                <w:rFonts w:hint="default" w:ascii="Times New Roman" w:hAnsi="Times New Roman" w:eastAsia="宋体" w:cs="Times New Roman"/>
                <w:color w:val="auto"/>
                <w:sz w:val="24"/>
                <w:szCs w:val="24"/>
                <w:lang w:val="en-US" w:eastAsia="zh-CN"/>
              </w:rPr>
              <w:t>条</w:t>
            </w:r>
            <w:r>
              <w:rPr>
                <w:rFonts w:hint="eastAsia" w:ascii="Times New Roman" w:hAnsi="Times New Roman" w:cs="Times New Roman"/>
                <w:color w:val="auto"/>
                <w:kern w:val="2"/>
                <w:sz w:val="24"/>
                <w:szCs w:val="24"/>
                <w:lang w:val="en-US" w:eastAsia="zh-CN" w:bidi="ar-SA"/>
              </w:rPr>
              <w:t>等固体原料</w:t>
            </w:r>
            <w:r>
              <w:rPr>
                <w:rFonts w:hint="eastAsia" w:ascii="Times New Roman" w:hAnsi="Times New Roman" w:eastAsia="宋体" w:cs="Times New Roman"/>
                <w:color w:val="auto"/>
                <w:sz w:val="24"/>
                <w:szCs w:val="24"/>
                <w:highlight w:val="none"/>
                <w:lang w:val="en-US" w:eastAsia="zh-CN"/>
              </w:rPr>
              <w:t>使用过程产生废</w:t>
            </w:r>
            <w:r>
              <w:rPr>
                <w:rFonts w:hint="eastAsia" w:ascii="Times New Roman" w:hAnsi="Times New Roman" w:cs="Times New Roman"/>
                <w:color w:val="auto"/>
                <w:sz w:val="24"/>
                <w:szCs w:val="24"/>
                <w:highlight w:val="none"/>
                <w:lang w:val="en-US" w:eastAsia="zh-CN"/>
              </w:rPr>
              <w:t>包材</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bidi="ar-SA"/>
              </w:rPr>
              <w:t>根据建设方提供数据，</w:t>
            </w:r>
            <w:r>
              <w:rPr>
                <w:rFonts w:hint="eastAsia" w:ascii="Times New Roman" w:hAnsi="Times New Roman"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废包</w:t>
            </w:r>
            <w:r>
              <w:rPr>
                <w:rFonts w:hint="eastAsia" w:ascii="Times New Roman" w:hAnsi="Times New Roman" w:cs="Times New Roman"/>
                <w:color w:val="auto"/>
                <w:sz w:val="24"/>
                <w:szCs w:val="24"/>
                <w:highlight w:val="none"/>
                <w:lang w:val="en-US" w:eastAsia="zh-CN"/>
              </w:rPr>
              <w:t>材</w:t>
            </w:r>
            <w:r>
              <w:rPr>
                <w:rFonts w:hint="eastAsia" w:ascii="Times New Roman" w:hAnsi="Times New Roman" w:eastAsia="宋体" w:cs="Times New Roman"/>
                <w:color w:val="auto"/>
                <w:sz w:val="24"/>
                <w:szCs w:val="24"/>
                <w:highlight w:val="none"/>
                <w:lang w:val="en-US" w:eastAsia="zh-CN"/>
              </w:rPr>
              <w:t>产生量约</w:t>
            </w:r>
            <w:r>
              <w:rPr>
                <w:rFonts w:hint="eastAsia" w:ascii="Times New Roman" w:hAnsi="Times New Roman"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val="en-US" w:eastAsia="zh-CN"/>
              </w:rPr>
              <w:t>。</w:t>
            </w:r>
          </w:p>
          <w:p w14:paraId="23275E8D">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废布袋</w:t>
            </w:r>
            <w:r>
              <w:rPr>
                <w:rFonts w:hint="default" w:ascii="Times New Roman" w:hAnsi="Times New Roman" w:eastAsia="宋体" w:cs="Times New Roman"/>
                <w:color w:val="auto"/>
                <w:sz w:val="24"/>
                <w:szCs w:val="24"/>
                <w:highlight w:val="none"/>
                <w:lang w:val="en-US" w:eastAsia="zh-CN"/>
              </w:rPr>
              <w:t>：项目袋式除尘器所用布袋每年更换一次，根据布袋数量折算，废布袋产生量约0.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w:t>
            </w:r>
          </w:p>
          <w:p w14:paraId="1B8EACA3">
            <w:pPr>
              <w:adjustRightInd w:val="0"/>
              <w:snapToGrid w:val="0"/>
              <w:spacing w:line="500" w:lineRule="exact"/>
              <w:ind w:firstLine="482" w:firstLineChars="200"/>
              <w:rPr>
                <w:rFonts w:hint="eastAsia" w:ascii="Times New Roman" w:hAnsi="Times New Roman" w:eastAsia="宋体" w:cs="Times New Roman"/>
                <w:bCs/>
                <w:color w:val="auto"/>
                <w:sz w:val="24"/>
                <w:lang w:eastAsia="zh-CN"/>
              </w:rPr>
            </w:pPr>
            <w:r>
              <w:rPr>
                <w:rFonts w:hint="eastAsia" w:cs="Times New Roman"/>
                <w:b/>
                <w:bCs w:val="0"/>
                <w:color w:val="auto"/>
                <w:sz w:val="24"/>
                <w:lang w:eastAsia="zh-CN"/>
              </w:rPr>
              <w:t>生活垃圾</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生活垃圾按人均产生量为</w:t>
            </w:r>
            <w:r>
              <w:rPr>
                <w:rFonts w:hint="eastAsia" w:cs="Times New Roman"/>
                <w:bCs/>
                <w:color w:val="auto"/>
                <w:sz w:val="24"/>
                <w:lang w:val="en-US" w:eastAsia="zh-CN"/>
              </w:rPr>
              <w:t>0.5</w:t>
            </w:r>
            <w:r>
              <w:rPr>
                <w:rFonts w:hint="default" w:ascii="Times New Roman" w:hAnsi="Times New Roman" w:eastAsia="宋体" w:cs="Times New Roman"/>
                <w:bCs/>
                <w:color w:val="auto"/>
                <w:sz w:val="24"/>
                <w:lang w:val="en-US" w:eastAsia="zh-CN"/>
              </w:rPr>
              <w:t>kg/d</w:t>
            </w:r>
            <w:r>
              <w:rPr>
                <w:rFonts w:hint="eastAsia" w:ascii="Times New Roman" w:hAnsi="Times New Roman" w:eastAsia="宋体" w:cs="Times New Roman"/>
                <w:bCs/>
                <w:color w:val="auto"/>
                <w:sz w:val="24"/>
                <w:lang w:val="en-US" w:eastAsia="zh-CN"/>
              </w:rPr>
              <w:t>计算，项目劳动定员</w:t>
            </w:r>
            <w:r>
              <w:rPr>
                <w:rFonts w:hint="eastAsia" w:cs="Times New Roman"/>
                <w:bCs/>
                <w:color w:val="auto"/>
                <w:sz w:val="24"/>
                <w:lang w:val="en-US" w:eastAsia="zh-CN"/>
              </w:rPr>
              <w:t>30</w:t>
            </w:r>
            <w:r>
              <w:rPr>
                <w:rFonts w:hint="eastAsia" w:ascii="Times New Roman" w:hAnsi="Times New Roman" w:eastAsia="宋体" w:cs="Times New Roman"/>
                <w:bCs/>
                <w:color w:val="auto"/>
                <w:sz w:val="24"/>
                <w:lang w:val="en-US" w:eastAsia="zh-CN"/>
              </w:rPr>
              <w:t>人，则生活垃圾产生量为</w:t>
            </w:r>
            <w:r>
              <w:rPr>
                <w:rFonts w:hint="eastAsia" w:cs="Times New Roman"/>
                <w:bCs/>
                <w:color w:val="auto"/>
                <w:sz w:val="24"/>
                <w:lang w:val="en-US" w:eastAsia="zh-CN"/>
              </w:rPr>
              <w:t>4.5</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en-US" w:eastAsia="zh-CN"/>
              </w:rPr>
              <w:t>。</w:t>
            </w:r>
          </w:p>
          <w:p w14:paraId="420A0A3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结合生产工艺流程及生产运营过程中的副产物产生情况，根据《固体废物鉴别标准通则》的规定，判断其是否属于固体废物，给出判定依据及结果，见下表。</w:t>
            </w:r>
          </w:p>
          <w:p w14:paraId="736BAA00">
            <w:pPr>
              <w:pStyle w:val="60"/>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w:t>
            </w:r>
            <w:r>
              <w:rPr>
                <w:rFonts w:hint="eastAsia" w:ascii="Times New Roman" w:hAnsi="Times New Roman" w:cs="Times New Roman"/>
                <w:b/>
                <w:color w:val="auto"/>
                <w:sz w:val="21"/>
                <w:szCs w:val="21"/>
                <w:highlight w:val="none"/>
                <w:lang w:val="en-US" w:eastAsia="zh-CN"/>
              </w:rPr>
              <w:t xml:space="preserve">4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项目固废</w:t>
            </w:r>
            <w:r>
              <w:rPr>
                <w:rFonts w:hint="default" w:ascii="Times New Roman" w:hAnsi="Times New Roman" w:eastAsia="宋体" w:cs="Times New Roman"/>
                <w:b/>
                <w:color w:val="auto"/>
                <w:sz w:val="21"/>
                <w:szCs w:val="21"/>
                <w:highlight w:val="none"/>
                <w:lang w:val="en-US" w:eastAsia="zh-CN"/>
              </w:rPr>
              <w:t>鉴别</w:t>
            </w:r>
            <w:r>
              <w:rPr>
                <w:rFonts w:hint="default" w:ascii="Times New Roman" w:hAnsi="Times New Roman" w:eastAsia="宋体" w:cs="Times New Roman"/>
                <w:b/>
                <w:color w:val="auto"/>
                <w:sz w:val="21"/>
                <w:szCs w:val="21"/>
                <w:highlight w:val="none"/>
              </w:rPr>
              <w:t>情况</w:t>
            </w:r>
            <w:r>
              <w:rPr>
                <w:rFonts w:hint="default" w:ascii="Times New Roman" w:hAnsi="Times New Roman" w:eastAsia="宋体" w:cs="Times New Roman"/>
                <w:b/>
                <w:color w:val="auto"/>
                <w:sz w:val="21"/>
                <w:szCs w:val="21"/>
                <w:highlight w:val="none"/>
                <w:lang w:val="en-US" w:eastAsia="zh-CN"/>
              </w:rPr>
              <w:t>汇总表</w:t>
            </w:r>
          </w:p>
          <w:tbl>
            <w:tblPr>
              <w:tblStyle w:val="28"/>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49"/>
              <w:gridCol w:w="1004"/>
              <w:gridCol w:w="1558"/>
              <w:gridCol w:w="547"/>
              <w:gridCol w:w="1542"/>
              <w:gridCol w:w="1028"/>
              <w:gridCol w:w="931"/>
              <w:gridCol w:w="695"/>
              <w:gridCol w:w="926"/>
            </w:tblGrid>
            <w:tr w14:paraId="1478A4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vMerge w:val="restart"/>
                  <w:tcBorders>
                    <w:tl2br w:val="nil"/>
                    <w:tr2bl w:val="nil"/>
                  </w:tcBorders>
                  <w:noWrap w:val="0"/>
                  <w:vAlign w:val="center"/>
                </w:tcPr>
                <w:p w14:paraId="06974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578" w:type="pct"/>
                  <w:vMerge w:val="restart"/>
                  <w:tcBorders>
                    <w:tl2br w:val="nil"/>
                    <w:tr2bl w:val="nil"/>
                  </w:tcBorders>
                  <w:noWrap w:val="0"/>
                  <w:vAlign w:val="center"/>
                </w:tcPr>
                <w:p w14:paraId="6D86A1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副产物</w:t>
                  </w:r>
                  <w:r>
                    <w:rPr>
                      <w:rFonts w:hint="default" w:ascii="Times New Roman" w:hAnsi="Times New Roman" w:cs="Times New Roman"/>
                      <w:b/>
                      <w:bCs/>
                      <w:color w:val="auto"/>
                      <w:sz w:val="21"/>
                      <w:szCs w:val="21"/>
                    </w:rPr>
                    <w:t>名称</w:t>
                  </w:r>
                </w:p>
              </w:tc>
              <w:tc>
                <w:tcPr>
                  <w:tcW w:w="897" w:type="pct"/>
                  <w:vMerge w:val="restart"/>
                  <w:tcBorders>
                    <w:tl2br w:val="nil"/>
                    <w:tr2bl w:val="nil"/>
                  </w:tcBorders>
                  <w:noWrap w:val="0"/>
                  <w:vAlign w:val="center"/>
                </w:tcPr>
                <w:p w14:paraId="6BDBB7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产生</w:t>
                  </w:r>
                  <w:r>
                    <w:rPr>
                      <w:rFonts w:hint="default" w:ascii="Times New Roman" w:hAnsi="Times New Roman" w:cs="Times New Roman"/>
                      <w:b/>
                      <w:bCs/>
                      <w:color w:val="auto"/>
                      <w:sz w:val="21"/>
                      <w:szCs w:val="21"/>
                      <w:lang w:val="en-US" w:eastAsia="zh-CN"/>
                    </w:rPr>
                    <w:t>工序</w:t>
                  </w:r>
                </w:p>
              </w:tc>
              <w:tc>
                <w:tcPr>
                  <w:tcW w:w="315" w:type="pct"/>
                  <w:vMerge w:val="restart"/>
                  <w:tcBorders>
                    <w:tl2br w:val="nil"/>
                    <w:tr2bl w:val="nil"/>
                  </w:tcBorders>
                  <w:noWrap w:val="0"/>
                  <w:vAlign w:val="center"/>
                </w:tcPr>
                <w:p w14:paraId="6B9848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888" w:type="pct"/>
                  <w:vMerge w:val="restart"/>
                  <w:tcBorders>
                    <w:tl2br w:val="nil"/>
                    <w:tr2bl w:val="nil"/>
                  </w:tcBorders>
                  <w:noWrap w:val="0"/>
                  <w:vAlign w:val="center"/>
                </w:tcPr>
                <w:p w14:paraId="1AC29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592" w:type="pct"/>
                  <w:vMerge w:val="restart"/>
                  <w:tcBorders>
                    <w:tl2br w:val="nil"/>
                    <w:tr2bl w:val="nil"/>
                  </w:tcBorders>
                  <w:noWrap w:val="0"/>
                  <w:vAlign w:val="center"/>
                </w:tcPr>
                <w:p w14:paraId="549FC4E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预测</w:t>
                  </w:r>
                  <w:r>
                    <w:rPr>
                      <w:rFonts w:hint="default" w:ascii="Times New Roman" w:hAnsi="Times New Roman" w:cs="Times New Roman"/>
                      <w:b/>
                      <w:bCs/>
                      <w:color w:val="auto"/>
                      <w:sz w:val="21"/>
                      <w:szCs w:val="21"/>
                    </w:rPr>
                    <w:t>产生量（t/a）</w:t>
                  </w:r>
                </w:p>
              </w:tc>
              <w:tc>
                <w:tcPr>
                  <w:tcW w:w="1469" w:type="pct"/>
                  <w:gridSpan w:val="3"/>
                  <w:tcBorders>
                    <w:tl2br w:val="nil"/>
                    <w:tr2bl w:val="nil"/>
                  </w:tcBorders>
                  <w:noWrap w:val="0"/>
                  <w:vAlign w:val="center"/>
                </w:tcPr>
                <w:p w14:paraId="7F3D6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种类判断</w:t>
                  </w:r>
                </w:p>
              </w:tc>
            </w:tr>
            <w:tr w14:paraId="78F269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259" w:type="pct"/>
                  <w:vMerge w:val="continue"/>
                  <w:tcBorders>
                    <w:tl2br w:val="nil"/>
                    <w:tr2bl w:val="nil"/>
                  </w:tcBorders>
                  <w:noWrap w:val="0"/>
                  <w:vAlign w:val="center"/>
                </w:tcPr>
                <w:p w14:paraId="424EEC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78" w:type="pct"/>
                  <w:vMerge w:val="continue"/>
                  <w:tcBorders>
                    <w:tl2br w:val="nil"/>
                    <w:tr2bl w:val="nil"/>
                  </w:tcBorders>
                  <w:noWrap w:val="0"/>
                  <w:vAlign w:val="center"/>
                </w:tcPr>
                <w:p w14:paraId="0F0124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p>
              </w:tc>
              <w:tc>
                <w:tcPr>
                  <w:tcW w:w="897" w:type="pct"/>
                  <w:vMerge w:val="continue"/>
                  <w:tcBorders>
                    <w:tl2br w:val="nil"/>
                    <w:tr2bl w:val="nil"/>
                  </w:tcBorders>
                  <w:noWrap w:val="0"/>
                  <w:vAlign w:val="center"/>
                </w:tcPr>
                <w:p w14:paraId="6D86C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315" w:type="pct"/>
                  <w:vMerge w:val="continue"/>
                  <w:tcBorders>
                    <w:tl2br w:val="nil"/>
                    <w:tr2bl w:val="nil"/>
                  </w:tcBorders>
                  <w:noWrap w:val="0"/>
                  <w:vAlign w:val="center"/>
                </w:tcPr>
                <w:p w14:paraId="11E73A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888" w:type="pct"/>
                  <w:vMerge w:val="continue"/>
                  <w:tcBorders>
                    <w:tl2br w:val="nil"/>
                    <w:tr2bl w:val="nil"/>
                  </w:tcBorders>
                  <w:noWrap w:val="0"/>
                  <w:vAlign w:val="center"/>
                </w:tcPr>
                <w:p w14:paraId="5885BA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592" w:type="pct"/>
                  <w:vMerge w:val="continue"/>
                  <w:tcBorders>
                    <w:tl2br w:val="nil"/>
                    <w:tr2bl w:val="nil"/>
                  </w:tcBorders>
                  <w:noWrap w:val="0"/>
                  <w:vAlign w:val="center"/>
                </w:tcPr>
                <w:p w14:paraId="1B03A1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lang w:val="en-US" w:eastAsia="zh-CN"/>
                    </w:rPr>
                  </w:pPr>
                </w:p>
              </w:tc>
              <w:tc>
                <w:tcPr>
                  <w:tcW w:w="536" w:type="pct"/>
                  <w:tcBorders>
                    <w:tl2br w:val="nil"/>
                    <w:tr2bl w:val="nil"/>
                  </w:tcBorders>
                  <w:noWrap w:val="0"/>
                  <w:vAlign w:val="center"/>
                </w:tcPr>
                <w:p w14:paraId="15A29D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固体废物</w:t>
                  </w:r>
                </w:p>
              </w:tc>
              <w:tc>
                <w:tcPr>
                  <w:tcW w:w="400" w:type="pct"/>
                  <w:tcBorders>
                    <w:tl2br w:val="nil"/>
                    <w:tr2bl w:val="nil"/>
                  </w:tcBorders>
                  <w:noWrap w:val="0"/>
                  <w:vAlign w:val="center"/>
                </w:tcPr>
                <w:p w14:paraId="291EE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副产品</w:t>
                  </w:r>
                </w:p>
              </w:tc>
              <w:tc>
                <w:tcPr>
                  <w:tcW w:w="532" w:type="pct"/>
                  <w:tcBorders>
                    <w:tl2br w:val="nil"/>
                    <w:tr2bl w:val="nil"/>
                  </w:tcBorders>
                  <w:noWrap w:val="0"/>
                  <w:vAlign w:val="center"/>
                </w:tcPr>
                <w:p w14:paraId="241CFC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判定依据</w:t>
                  </w:r>
                </w:p>
              </w:tc>
            </w:tr>
            <w:tr w14:paraId="1FAF9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noWrap w:val="0"/>
                  <w:vAlign w:val="center"/>
                </w:tcPr>
                <w:p w14:paraId="5D8AB69A">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8" w:type="pct"/>
                  <w:tcBorders>
                    <w:tl2br w:val="nil"/>
                    <w:tr2bl w:val="nil"/>
                  </w:tcBorders>
                  <w:noWrap w:val="0"/>
                  <w:vAlign w:val="center"/>
                </w:tcPr>
                <w:p w14:paraId="2015E89A">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边角料</w:t>
                  </w:r>
                </w:p>
              </w:tc>
              <w:tc>
                <w:tcPr>
                  <w:tcW w:w="897" w:type="pct"/>
                  <w:tcBorders>
                    <w:tl2br w:val="nil"/>
                    <w:tr2bl w:val="nil"/>
                  </w:tcBorders>
                  <w:noWrap w:val="0"/>
                  <w:vAlign w:val="center"/>
                </w:tcPr>
                <w:p w14:paraId="01C73A09">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切线</w:t>
                  </w:r>
                </w:p>
              </w:tc>
              <w:tc>
                <w:tcPr>
                  <w:tcW w:w="315" w:type="pct"/>
                  <w:tcBorders>
                    <w:tl2br w:val="nil"/>
                    <w:tr2bl w:val="nil"/>
                  </w:tcBorders>
                  <w:noWrap w:val="0"/>
                  <w:vAlign w:val="center"/>
                </w:tcPr>
                <w:p w14:paraId="18879172">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888" w:type="pct"/>
                  <w:tcBorders>
                    <w:tl2br w:val="nil"/>
                    <w:tr2bl w:val="nil"/>
                  </w:tcBorders>
                  <w:noWrap w:val="0"/>
                  <w:vAlign w:val="center"/>
                </w:tcPr>
                <w:p w14:paraId="537209C2">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铜</w:t>
                  </w:r>
                </w:p>
              </w:tc>
              <w:tc>
                <w:tcPr>
                  <w:tcW w:w="592" w:type="pct"/>
                  <w:tcBorders>
                    <w:tl2br w:val="nil"/>
                    <w:tr2bl w:val="nil"/>
                  </w:tcBorders>
                  <w:noWrap w:val="0"/>
                  <w:vAlign w:val="center"/>
                </w:tcPr>
                <w:p w14:paraId="6E7CFC7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3.6</w:t>
                  </w:r>
                </w:p>
              </w:tc>
              <w:tc>
                <w:tcPr>
                  <w:tcW w:w="536" w:type="pct"/>
                  <w:tcBorders>
                    <w:tl2br w:val="nil"/>
                    <w:tr2bl w:val="nil"/>
                  </w:tcBorders>
                  <w:noWrap w:val="0"/>
                  <w:vAlign w:val="center"/>
                </w:tcPr>
                <w:p w14:paraId="388EE7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1B224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2" w:type="pct"/>
                  <w:vMerge w:val="restart"/>
                  <w:tcBorders>
                    <w:tl2br w:val="nil"/>
                    <w:tr2bl w:val="nil"/>
                  </w:tcBorders>
                  <w:noWrap w:val="0"/>
                  <w:vAlign w:val="center"/>
                </w:tcPr>
                <w:p w14:paraId="7420A3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《固体废物鉴别标准通则》</w:t>
                  </w:r>
                </w:p>
              </w:tc>
            </w:tr>
            <w:tr w14:paraId="0FE19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 w:type="dxa"/>
                  <w:tcBorders>
                    <w:tl2br w:val="nil"/>
                    <w:tr2bl w:val="nil"/>
                  </w:tcBorders>
                  <w:noWrap w:val="0"/>
                  <w:vAlign w:val="center"/>
                </w:tcPr>
                <w:p w14:paraId="288AA8E2">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8" w:type="pct"/>
                  <w:tcBorders>
                    <w:tl2br w:val="nil"/>
                    <w:tr2bl w:val="nil"/>
                  </w:tcBorders>
                  <w:noWrap w:val="0"/>
                  <w:vAlign w:val="center"/>
                </w:tcPr>
                <w:p w14:paraId="22A632A6">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锡渣</w:t>
                  </w:r>
                </w:p>
              </w:tc>
              <w:tc>
                <w:tcPr>
                  <w:tcW w:w="897" w:type="pct"/>
                  <w:tcBorders>
                    <w:tl2br w:val="nil"/>
                    <w:tr2bl w:val="nil"/>
                  </w:tcBorders>
                  <w:noWrap w:val="0"/>
                  <w:vAlign w:val="center"/>
                </w:tcPr>
                <w:p w14:paraId="6B84A8AA">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浸锡</w:t>
                  </w:r>
                </w:p>
              </w:tc>
              <w:tc>
                <w:tcPr>
                  <w:tcW w:w="315" w:type="pct"/>
                  <w:tcBorders>
                    <w:tl2br w:val="nil"/>
                    <w:tr2bl w:val="nil"/>
                  </w:tcBorders>
                  <w:noWrap w:val="0"/>
                  <w:vAlign w:val="center"/>
                </w:tcPr>
                <w:p w14:paraId="4353A57A">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888" w:type="pct"/>
                  <w:tcBorders>
                    <w:tl2br w:val="nil"/>
                    <w:tr2bl w:val="nil"/>
                  </w:tcBorders>
                  <w:noWrap w:val="0"/>
                  <w:vAlign w:val="center"/>
                </w:tcPr>
                <w:p w14:paraId="77932924">
                  <w:pPr>
                    <w:pStyle w:val="6"/>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锡</w:t>
                  </w:r>
                </w:p>
              </w:tc>
              <w:tc>
                <w:tcPr>
                  <w:tcW w:w="592" w:type="pct"/>
                  <w:tcBorders>
                    <w:tl2br w:val="nil"/>
                    <w:tr2bl w:val="nil"/>
                  </w:tcBorders>
                  <w:noWrap w:val="0"/>
                  <w:vAlign w:val="center"/>
                </w:tcPr>
                <w:p w14:paraId="50EC9364">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0.01</w:t>
                  </w:r>
                </w:p>
              </w:tc>
              <w:tc>
                <w:tcPr>
                  <w:tcW w:w="931" w:type="dxa"/>
                  <w:tcBorders>
                    <w:tl2br w:val="nil"/>
                    <w:tr2bl w:val="nil"/>
                  </w:tcBorders>
                  <w:noWrap w:val="0"/>
                  <w:vAlign w:val="center"/>
                </w:tcPr>
                <w:p w14:paraId="61BD95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764933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2" w:type="pct"/>
                  <w:vMerge w:val="continue"/>
                  <w:tcBorders>
                    <w:tl2br w:val="nil"/>
                    <w:tr2bl w:val="nil"/>
                  </w:tcBorders>
                  <w:noWrap w:val="0"/>
                  <w:vAlign w:val="center"/>
                </w:tcPr>
                <w:p w14:paraId="2FEB01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6FBE93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 w:type="dxa"/>
                  <w:tcBorders>
                    <w:tl2br w:val="nil"/>
                    <w:tr2bl w:val="nil"/>
                  </w:tcBorders>
                  <w:noWrap w:val="0"/>
                  <w:vAlign w:val="center"/>
                </w:tcPr>
                <w:p w14:paraId="4BF28B63">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578" w:type="pct"/>
                  <w:tcBorders>
                    <w:tl2br w:val="nil"/>
                    <w:tr2bl w:val="nil"/>
                  </w:tcBorders>
                  <w:noWrap w:val="0"/>
                  <w:vAlign w:val="center"/>
                </w:tcPr>
                <w:p w14:paraId="52A91BE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次品</w:t>
                  </w:r>
                </w:p>
              </w:tc>
              <w:tc>
                <w:tcPr>
                  <w:tcW w:w="897" w:type="pct"/>
                  <w:tcBorders>
                    <w:tl2br w:val="nil"/>
                    <w:tr2bl w:val="nil"/>
                  </w:tcBorders>
                  <w:noWrap w:val="0"/>
                  <w:vAlign w:val="center"/>
                </w:tcPr>
                <w:p w14:paraId="57C9B85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测试</w:t>
                  </w:r>
                </w:p>
              </w:tc>
              <w:tc>
                <w:tcPr>
                  <w:tcW w:w="315" w:type="pct"/>
                  <w:tcBorders>
                    <w:tl2br w:val="nil"/>
                    <w:tr2bl w:val="nil"/>
                  </w:tcBorders>
                  <w:noWrap w:val="0"/>
                  <w:vAlign w:val="center"/>
                </w:tcPr>
                <w:p w14:paraId="6A32C5F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888" w:type="pct"/>
                  <w:tcBorders>
                    <w:tl2br w:val="nil"/>
                    <w:tr2bl w:val="nil"/>
                  </w:tcBorders>
                  <w:noWrap w:val="0"/>
                  <w:vAlign w:val="center"/>
                </w:tcPr>
                <w:p w14:paraId="10994C9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铜、锡等</w:t>
                  </w:r>
                </w:p>
              </w:tc>
              <w:tc>
                <w:tcPr>
                  <w:tcW w:w="592" w:type="pct"/>
                  <w:tcBorders>
                    <w:tl2br w:val="nil"/>
                    <w:tr2bl w:val="nil"/>
                  </w:tcBorders>
                  <w:noWrap w:val="0"/>
                  <w:vAlign w:val="center"/>
                </w:tcPr>
                <w:p w14:paraId="7DF90C21">
                  <w:pPr>
                    <w:adjustRightInd w:val="0"/>
                    <w:snapToGrid w:val="0"/>
                    <w:jc w:val="center"/>
                    <w:rPr>
                      <w:rFonts w:hint="default"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3.9</w:t>
                  </w:r>
                </w:p>
              </w:tc>
              <w:tc>
                <w:tcPr>
                  <w:tcW w:w="536" w:type="pct"/>
                  <w:tcBorders>
                    <w:tl2br w:val="nil"/>
                    <w:tr2bl w:val="nil"/>
                  </w:tcBorders>
                  <w:noWrap w:val="0"/>
                  <w:vAlign w:val="center"/>
                </w:tcPr>
                <w:p w14:paraId="4FD013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219C95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2" w:type="pct"/>
                  <w:vMerge w:val="continue"/>
                  <w:tcBorders>
                    <w:tl2br w:val="nil"/>
                    <w:tr2bl w:val="nil"/>
                  </w:tcBorders>
                  <w:noWrap w:val="0"/>
                  <w:vAlign w:val="center"/>
                </w:tcPr>
                <w:p w14:paraId="470BEC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r>
            <w:tr w14:paraId="1216D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 w:type="dxa"/>
                  <w:tcBorders>
                    <w:tl2br w:val="nil"/>
                    <w:tr2bl w:val="nil"/>
                  </w:tcBorders>
                  <w:noWrap w:val="0"/>
                  <w:vAlign w:val="center"/>
                </w:tcPr>
                <w:p w14:paraId="0D1D640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78" w:type="pct"/>
                  <w:tcBorders>
                    <w:tl2br w:val="nil"/>
                    <w:tr2bl w:val="nil"/>
                  </w:tcBorders>
                  <w:noWrap w:val="0"/>
                  <w:vAlign w:val="center"/>
                </w:tcPr>
                <w:p w14:paraId="16F7BAB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废包材</w:t>
                  </w:r>
                </w:p>
              </w:tc>
              <w:tc>
                <w:tcPr>
                  <w:tcW w:w="897" w:type="pct"/>
                  <w:tcBorders>
                    <w:tl2br w:val="nil"/>
                    <w:tr2bl w:val="nil"/>
                  </w:tcBorders>
                  <w:noWrap w:val="0"/>
                  <w:vAlign w:val="center"/>
                </w:tcPr>
                <w:p w14:paraId="62B9DCC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固体原料包装</w:t>
                  </w:r>
                </w:p>
              </w:tc>
              <w:tc>
                <w:tcPr>
                  <w:tcW w:w="315" w:type="pct"/>
                  <w:tcBorders>
                    <w:tl2br w:val="nil"/>
                    <w:tr2bl w:val="nil"/>
                  </w:tcBorders>
                  <w:noWrap w:val="0"/>
                  <w:vAlign w:val="center"/>
                </w:tcPr>
                <w:p w14:paraId="0A12EE1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888" w:type="pct"/>
                  <w:tcBorders>
                    <w:tl2br w:val="nil"/>
                    <w:tr2bl w:val="nil"/>
                  </w:tcBorders>
                  <w:noWrap w:val="0"/>
                  <w:vAlign w:val="center"/>
                </w:tcPr>
                <w:p w14:paraId="33C8237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塑料</w:t>
                  </w:r>
                </w:p>
              </w:tc>
              <w:tc>
                <w:tcPr>
                  <w:tcW w:w="592" w:type="pct"/>
                  <w:tcBorders>
                    <w:tl2br w:val="nil"/>
                    <w:tr2bl w:val="nil"/>
                  </w:tcBorders>
                  <w:noWrap w:val="0"/>
                  <w:vAlign w:val="center"/>
                </w:tcPr>
                <w:p w14:paraId="648501EE">
                  <w:pPr>
                    <w:adjustRightInd w:val="0"/>
                    <w:snapToGrid w:val="0"/>
                    <w:jc w:val="center"/>
                    <w:rPr>
                      <w:rFonts w:hint="default" w:cs="Times New Roman"/>
                      <w:b w:val="0"/>
                      <w:bCs/>
                      <w:color w:val="auto"/>
                      <w:sz w:val="21"/>
                      <w:szCs w:val="21"/>
                      <w:lang w:val="en-US" w:eastAsia="zh-CN"/>
                    </w:rPr>
                  </w:pPr>
                  <w:r>
                    <w:rPr>
                      <w:rFonts w:hint="eastAsia" w:cs="Times New Roman"/>
                      <w:color w:val="auto"/>
                      <w:sz w:val="21"/>
                      <w:szCs w:val="21"/>
                      <w:highlight w:val="none"/>
                      <w:lang w:val="en-US" w:eastAsia="zh-CN"/>
                    </w:rPr>
                    <w:t>1</w:t>
                  </w:r>
                </w:p>
              </w:tc>
              <w:tc>
                <w:tcPr>
                  <w:tcW w:w="536" w:type="pct"/>
                  <w:tcBorders>
                    <w:tl2br w:val="nil"/>
                    <w:tr2bl w:val="nil"/>
                  </w:tcBorders>
                  <w:noWrap w:val="0"/>
                  <w:vAlign w:val="center"/>
                </w:tcPr>
                <w:p w14:paraId="7FA3C78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7580B2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32" w:type="pct"/>
                  <w:vMerge w:val="continue"/>
                  <w:tcBorders>
                    <w:tl2br w:val="nil"/>
                    <w:tr2bl w:val="nil"/>
                  </w:tcBorders>
                  <w:noWrap w:val="0"/>
                  <w:vAlign w:val="center"/>
                </w:tcPr>
                <w:p w14:paraId="4FDA56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63DA0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 w:type="dxa"/>
                  <w:tcBorders>
                    <w:tl2br w:val="nil"/>
                    <w:tr2bl w:val="nil"/>
                  </w:tcBorders>
                  <w:noWrap w:val="0"/>
                  <w:vAlign w:val="center"/>
                </w:tcPr>
                <w:p w14:paraId="52E6B446">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8" w:type="pct"/>
                  <w:tcBorders>
                    <w:tl2br w:val="nil"/>
                    <w:tr2bl w:val="nil"/>
                  </w:tcBorders>
                  <w:noWrap w:val="0"/>
                  <w:vAlign w:val="center"/>
                </w:tcPr>
                <w:p w14:paraId="71B1B6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废布袋</w:t>
                  </w:r>
                </w:p>
              </w:tc>
              <w:tc>
                <w:tcPr>
                  <w:tcW w:w="897" w:type="pct"/>
                  <w:tcBorders>
                    <w:tl2br w:val="nil"/>
                    <w:tr2bl w:val="nil"/>
                  </w:tcBorders>
                  <w:noWrap w:val="0"/>
                  <w:vAlign w:val="center"/>
                </w:tcPr>
                <w:p w14:paraId="55B8FF2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15" w:type="pct"/>
                  <w:tcBorders>
                    <w:tl2br w:val="nil"/>
                    <w:tr2bl w:val="nil"/>
                  </w:tcBorders>
                  <w:noWrap w:val="0"/>
                  <w:vAlign w:val="center"/>
                </w:tcPr>
                <w:p w14:paraId="249CFFF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888" w:type="pct"/>
                  <w:tcBorders>
                    <w:tl2br w:val="nil"/>
                    <w:tr2bl w:val="nil"/>
                  </w:tcBorders>
                  <w:noWrap w:val="0"/>
                  <w:vAlign w:val="center"/>
                </w:tcPr>
                <w:p w14:paraId="6B2B352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塑料</w:t>
                  </w:r>
                </w:p>
              </w:tc>
              <w:tc>
                <w:tcPr>
                  <w:tcW w:w="592" w:type="pct"/>
                  <w:tcBorders>
                    <w:tl2br w:val="nil"/>
                    <w:tr2bl w:val="nil"/>
                  </w:tcBorders>
                  <w:noWrap w:val="0"/>
                  <w:vAlign w:val="center"/>
                </w:tcPr>
                <w:p w14:paraId="6EA61536">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536" w:type="pct"/>
                  <w:tcBorders>
                    <w:tl2br w:val="nil"/>
                    <w:tr2bl w:val="nil"/>
                  </w:tcBorders>
                  <w:noWrap w:val="0"/>
                  <w:vAlign w:val="center"/>
                </w:tcPr>
                <w:p w14:paraId="3E05D1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43CDC20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2" w:type="pct"/>
                  <w:vMerge w:val="continue"/>
                  <w:tcBorders>
                    <w:tl2br w:val="nil"/>
                    <w:tr2bl w:val="nil"/>
                  </w:tcBorders>
                  <w:noWrap w:val="0"/>
                  <w:vAlign w:val="center"/>
                </w:tcPr>
                <w:p w14:paraId="6546DF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7657C2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 w:type="dxa"/>
                  <w:tcBorders>
                    <w:tl2br w:val="nil"/>
                    <w:tr2bl w:val="nil"/>
                  </w:tcBorders>
                  <w:noWrap w:val="0"/>
                  <w:vAlign w:val="center"/>
                </w:tcPr>
                <w:p w14:paraId="46CEC5DE">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8" w:type="pct"/>
                  <w:tcBorders>
                    <w:tl2br w:val="nil"/>
                    <w:tr2bl w:val="nil"/>
                  </w:tcBorders>
                  <w:noWrap w:val="0"/>
                  <w:vAlign w:val="center"/>
                </w:tcPr>
                <w:p w14:paraId="5776F9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kern w:val="2"/>
                      <w:sz w:val="21"/>
                      <w:szCs w:val="21"/>
                      <w:highlight w:val="none"/>
                      <w:lang w:val="en-US" w:eastAsia="zh-CN" w:bidi="ar-SA"/>
                    </w:rPr>
                    <w:t>收尘</w:t>
                  </w:r>
                </w:p>
              </w:tc>
              <w:tc>
                <w:tcPr>
                  <w:tcW w:w="897" w:type="pct"/>
                  <w:tcBorders>
                    <w:tl2br w:val="nil"/>
                    <w:tr2bl w:val="nil"/>
                  </w:tcBorders>
                  <w:noWrap w:val="0"/>
                  <w:vAlign w:val="center"/>
                </w:tcPr>
                <w:p w14:paraId="5CDEA48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547" w:type="dxa"/>
                  <w:tcBorders>
                    <w:tl2br w:val="nil"/>
                    <w:tr2bl w:val="nil"/>
                  </w:tcBorders>
                  <w:noWrap w:val="0"/>
                  <w:vAlign w:val="center"/>
                </w:tcPr>
                <w:p w14:paraId="23373A13">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1542" w:type="dxa"/>
                  <w:tcBorders>
                    <w:tl2br w:val="nil"/>
                    <w:tr2bl w:val="nil"/>
                  </w:tcBorders>
                  <w:noWrap w:val="0"/>
                  <w:vAlign w:val="center"/>
                </w:tcPr>
                <w:p w14:paraId="06CA82B7">
                  <w:pPr>
                    <w:pStyle w:val="6"/>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锡</w:t>
                  </w:r>
                </w:p>
              </w:tc>
              <w:tc>
                <w:tcPr>
                  <w:tcW w:w="592" w:type="pct"/>
                  <w:tcBorders>
                    <w:tl2br w:val="nil"/>
                    <w:tr2bl w:val="nil"/>
                  </w:tcBorders>
                  <w:noWrap w:val="0"/>
                  <w:vAlign w:val="center"/>
                </w:tcPr>
                <w:p w14:paraId="7F2BCDB9">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0.003</w:t>
                  </w:r>
                </w:p>
              </w:tc>
              <w:tc>
                <w:tcPr>
                  <w:tcW w:w="931" w:type="dxa"/>
                  <w:tcBorders>
                    <w:tl2br w:val="nil"/>
                    <w:tr2bl w:val="nil"/>
                  </w:tcBorders>
                  <w:noWrap w:val="0"/>
                  <w:vAlign w:val="center"/>
                </w:tcPr>
                <w:p w14:paraId="3ED19C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695" w:type="dxa"/>
                  <w:tcBorders>
                    <w:tl2br w:val="nil"/>
                    <w:tr2bl w:val="nil"/>
                  </w:tcBorders>
                  <w:noWrap w:val="0"/>
                  <w:vAlign w:val="center"/>
                </w:tcPr>
                <w:p w14:paraId="0E2A7A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2" w:type="pct"/>
                  <w:vMerge w:val="continue"/>
                  <w:tcBorders>
                    <w:tl2br w:val="nil"/>
                    <w:tr2bl w:val="nil"/>
                  </w:tcBorders>
                  <w:noWrap w:val="0"/>
                  <w:vAlign w:val="center"/>
                </w:tcPr>
                <w:p w14:paraId="205F06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70A66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 w:type="dxa"/>
                  <w:tcBorders>
                    <w:tl2br w:val="nil"/>
                    <w:tr2bl w:val="nil"/>
                  </w:tcBorders>
                  <w:noWrap w:val="0"/>
                  <w:vAlign w:val="center"/>
                </w:tcPr>
                <w:p w14:paraId="52C68677">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578" w:type="pct"/>
                  <w:tcBorders>
                    <w:tl2br w:val="nil"/>
                    <w:tr2bl w:val="nil"/>
                  </w:tcBorders>
                  <w:noWrap w:val="0"/>
                  <w:vAlign w:val="center"/>
                </w:tcPr>
                <w:p w14:paraId="7717A1D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废塑料桶</w:t>
                  </w:r>
                </w:p>
              </w:tc>
              <w:tc>
                <w:tcPr>
                  <w:tcW w:w="897" w:type="pct"/>
                  <w:tcBorders>
                    <w:tl2br w:val="nil"/>
                    <w:tr2bl w:val="nil"/>
                  </w:tcBorders>
                  <w:noWrap w:val="0"/>
                  <w:vAlign w:val="center"/>
                </w:tcPr>
                <w:p w14:paraId="7729CB6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浸助焊剂、助焊剂包装</w:t>
                  </w:r>
                </w:p>
              </w:tc>
              <w:tc>
                <w:tcPr>
                  <w:tcW w:w="315" w:type="pct"/>
                  <w:tcBorders>
                    <w:tl2br w:val="nil"/>
                    <w:tr2bl w:val="nil"/>
                  </w:tcBorders>
                  <w:noWrap w:val="0"/>
                  <w:vAlign w:val="center"/>
                </w:tcPr>
                <w:p w14:paraId="7B979F0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888" w:type="pct"/>
                  <w:tcBorders>
                    <w:tl2br w:val="nil"/>
                    <w:tr2bl w:val="nil"/>
                  </w:tcBorders>
                  <w:noWrap w:val="0"/>
                  <w:vAlign w:val="center"/>
                </w:tcPr>
                <w:p w14:paraId="58E792D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助焊剂、塑料</w:t>
                  </w:r>
                </w:p>
              </w:tc>
              <w:tc>
                <w:tcPr>
                  <w:tcW w:w="592" w:type="pct"/>
                  <w:tcBorders>
                    <w:tl2br w:val="nil"/>
                    <w:tr2bl w:val="nil"/>
                  </w:tcBorders>
                  <w:noWrap w:val="0"/>
                  <w:vAlign w:val="center"/>
                </w:tcPr>
                <w:p w14:paraId="732809A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0.018</w:t>
                  </w:r>
                </w:p>
              </w:tc>
              <w:tc>
                <w:tcPr>
                  <w:tcW w:w="536" w:type="pct"/>
                  <w:tcBorders>
                    <w:tl2br w:val="nil"/>
                    <w:tr2bl w:val="nil"/>
                  </w:tcBorders>
                  <w:noWrap w:val="0"/>
                  <w:vAlign w:val="center"/>
                </w:tcPr>
                <w:p w14:paraId="36BBB0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tcBorders>
                    <w:tl2br w:val="nil"/>
                    <w:tr2bl w:val="nil"/>
                  </w:tcBorders>
                  <w:noWrap w:val="0"/>
                  <w:vAlign w:val="center"/>
                </w:tcPr>
                <w:p w14:paraId="147FC72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2" w:type="pct"/>
                  <w:vMerge w:val="continue"/>
                  <w:tcBorders>
                    <w:tl2br w:val="nil"/>
                    <w:tr2bl w:val="nil"/>
                  </w:tcBorders>
                  <w:noWrap w:val="0"/>
                  <w:vAlign w:val="center"/>
                </w:tcPr>
                <w:p w14:paraId="10EA4E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14:paraId="57B15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vAlign w:val="center"/>
                </w:tcPr>
                <w:p w14:paraId="3CB315B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578" w:type="pct"/>
                  <w:vAlign w:val="center"/>
                </w:tcPr>
                <w:p w14:paraId="0828884B">
                  <w:pPr>
                    <w:pStyle w:val="6"/>
                    <w:adjustRightInd w:val="0"/>
                    <w:snapToGrid w:val="0"/>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生活垃圾</w:t>
                  </w:r>
                </w:p>
              </w:tc>
              <w:tc>
                <w:tcPr>
                  <w:tcW w:w="897" w:type="pct"/>
                  <w:vAlign w:val="center"/>
                </w:tcPr>
                <w:p w14:paraId="35091A44">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315" w:type="pct"/>
                  <w:vAlign w:val="center"/>
                </w:tcPr>
                <w:p w14:paraId="493CD7E9">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888" w:type="pct"/>
                  <w:vAlign w:val="center"/>
                </w:tcPr>
                <w:p w14:paraId="696B7676">
                  <w:pPr>
                    <w:pStyle w:val="6"/>
                    <w:adjustRightInd w:val="0"/>
                    <w:snapToGrid w:val="0"/>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纸张等</w:t>
                  </w:r>
                </w:p>
              </w:tc>
              <w:tc>
                <w:tcPr>
                  <w:tcW w:w="592" w:type="pct"/>
                  <w:vAlign w:val="center"/>
                </w:tcPr>
                <w:p w14:paraId="20958674">
                  <w:pPr>
                    <w:adjustRightInd w:val="0"/>
                    <w:snapToGrid w:val="0"/>
                    <w:jc w:val="center"/>
                    <w:rPr>
                      <w:rFonts w:hint="default" w:ascii="Times New Roman" w:hAnsi="Times New Roman"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536" w:type="pct"/>
                  <w:vAlign w:val="center"/>
                </w:tcPr>
                <w:p w14:paraId="1BE4C7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400" w:type="pct"/>
                  <w:vAlign w:val="center"/>
                </w:tcPr>
                <w:p w14:paraId="18F288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32" w:type="pct"/>
                  <w:vMerge w:val="continue"/>
                  <w:vAlign w:val="center"/>
                </w:tcPr>
                <w:p w14:paraId="24ED4B5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bl>
          <w:p w14:paraId="4AE06485">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按照《建设项目危险废物环境影响评价指南》（环保部公告</w:t>
            </w:r>
            <w:r>
              <w:rPr>
                <w:rFonts w:hint="eastAsia" w:cs="Times New Roman"/>
                <w:color w:val="auto"/>
                <w:sz w:val="24"/>
                <w:lang w:eastAsia="zh-CN"/>
              </w:rPr>
              <w:t>〔2017〕43号</w:t>
            </w:r>
            <w:r>
              <w:rPr>
                <w:rFonts w:hint="default" w:ascii="Times New Roman" w:hAnsi="Times New Roman" w:cs="Times New Roman"/>
                <w:color w:val="auto"/>
                <w:sz w:val="24"/>
              </w:rPr>
              <w:t>）要求，本项目营运期产生的固体废物的名称、类别、属性和数量等情况见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145E2B04">
            <w:pPr>
              <w:pStyle w:val="60"/>
              <w:keepNext w:val="0"/>
              <w:keepLines w:val="0"/>
              <w:pageBreakBefore w:val="0"/>
              <w:widowControl w:val="0"/>
              <w:tabs>
                <w:tab w:val="left" w:pos="3240"/>
              </w:tabs>
              <w:kinsoku/>
              <w:wordWrap/>
              <w:overflowPunct/>
              <w:topLinePunct w:val="0"/>
              <w:autoSpaceDE/>
              <w:autoSpaceDN/>
              <w:bidi w:val="0"/>
              <w:adjustRightInd w:val="0"/>
              <w:snapToGrid w:val="0"/>
              <w:spacing w:line="500" w:lineRule="atLeas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15本项目</w:t>
            </w:r>
            <w:r>
              <w:rPr>
                <w:rFonts w:hint="default" w:ascii="Times New Roman" w:hAnsi="Times New Roman" w:eastAsia="宋体" w:cs="Times New Roman"/>
                <w:b/>
                <w:color w:val="auto"/>
                <w:sz w:val="21"/>
                <w:szCs w:val="21"/>
                <w:highlight w:val="none"/>
                <w:lang w:val="en-US" w:eastAsia="zh-CN"/>
              </w:rPr>
              <w:t>固废产生情况</w:t>
            </w:r>
          </w:p>
          <w:tbl>
            <w:tblPr>
              <w:tblStyle w:val="28"/>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6"/>
              <w:gridCol w:w="981"/>
              <w:gridCol w:w="625"/>
              <w:gridCol w:w="855"/>
              <w:gridCol w:w="556"/>
              <w:gridCol w:w="923"/>
              <w:gridCol w:w="1137"/>
              <w:gridCol w:w="584"/>
              <w:gridCol w:w="718"/>
              <w:gridCol w:w="1211"/>
              <w:gridCol w:w="827"/>
            </w:tblGrid>
            <w:tr w14:paraId="213D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7" w:type="pct"/>
                  <w:vAlign w:val="center"/>
                </w:tcPr>
                <w:p w14:paraId="5946F89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59" w:type="pct"/>
                  <w:vAlign w:val="center"/>
                </w:tcPr>
                <w:p w14:paraId="6CC9D8C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56" w:type="pct"/>
                  <w:tcBorders>
                    <w:bottom w:val="single" w:color="auto" w:sz="4" w:space="0"/>
                  </w:tcBorders>
                  <w:vAlign w:val="center"/>
                </w:tcPr>
                <w:p w14:paraId="1152BA3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487" w:type="pct"/>
                  <w:vAlign w:val="center"/>
                </w:tcPr>
                <w:p w14:paraId="3718033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17" w:type="pct"/>
                  <w:vAlign w:val="center"/>
                </w:tcPr>
                <w:p w14:paraId="5AFE908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526" w:type="pct"/>
                  <w:vAlign w:val="center"/>
                </w:tcPr>
                <w:p w14:paraId="0EE2E8C5">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主要成分</w:t>
                  </w:r>
                </w:p>
              </w:tc>
              <w:tc>
                <w:tcPr>
                  <w:tcW w:w="648" w:type="pct"/>
                  <w:vAlign w:val="center"/>
                </w:tcPr>
                <w:p w14:paraId="70CAD6A7">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危险特性鉴别方法</w:t>
                  </w:r>
                </w:p>
              </w:tc>
              <w:tc>
                <w:tcPr>
                  <w:tcW w:w="333" w:type="pct"/>
                  <w:vAlign w:val="center"/>
                </w:tcPr>
                <w:p w14:paraId="78D9E11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废物特性</w:t>
                  </w:r>
                </w:p>
              </w:tc>
              <w:tc>
                <w:tcPr>
                  <w:tcW w:w="409" w:type="pct"/>
                  <w:vAlign w:val="center"/>
                </w:tcPr>
                <w:p w14:paraId="7633F77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690" w:type="pct"/>
                  <w:vAlign w:val="center"/>
                </w:tcPr>
                <w:p w14:paraId="32AFE8B0">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471" w:type="pct"/>
                  <w:vAlign w:val="center"/>
                </w:tcPr>
                <w:p w14:paraId="469F249C">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r>
            <w:tr w14:paraId="72124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DD12AE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1</w:t>
                  </w:r>
                </w:p>
              </w:tc>
              <w:tc>
                <w:tcPr>
                  <w:tcW w:w="559" w:type="pct"/>
                  <w:vAlign w:val="center"/>
                </w:tcPr>
                <w:p w14:paraId="0CD36B7F">
                  <w:pPr>
                    <w:pStyle w:val="6"/>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边角料</w:t>
                  </w:r>
                </w:p>
              </w:tc>
              <w:tc>
                <w:tcPr>
                  <w:tcW w:w="356" w:type="pct"/>
                  <w:vMerge w:val="restart"/>
                  <w:tcBorders>
                    <w:top w:val="single" w:color="auto" w:sz="4" w:space="0"/>
                  </w:tcBorders>
                  <w:vAlign w:val="center"/>
                </w:tcPr>
                <w:p w14:paraId="32B02AF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487" w:type="pct"/>
                  <w:vAlign w:val="center"/>
                </w:tcPr>
                <w:p w14:paraId="79B4A149">
                  <w:pPr>
                    <w:pStyle w:val="6"/>
                    <w:adjustRightInd w:val="0"/>
                    <w:snapToGrid w:val="0"/>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1"/>
                      <w:lang w:val="en-US" w:eastAsia="zh-CN" w:bidi="ar-SA"/>
                    </w:rPr>
                    <w:t>切线</w:t>
                  </w:r>
                </w:p>
              </w:tc>
              <w:tc>
                <w:tcPr>
                  <w:tcW w:w="317" w:type="pct"/>
                  <w:vAlign w:val="center"/>
                </w:tcPr>
                <w:p w14:paraId="52C79E37">
                  <w:pPr>
                    <w:pStyle w:val="6"/>
                    <w:adjustRightInd w:val="0"/>
                    <w:snapToGrid w:val="0"/>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59ABD085">
                  <w:pPr>
                    <w:pStyle w:val="6"/>
                    <w:adjustRightInd w:val="0"/>
                    <w:snapToGrid w:val="0"/>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1"/>
                      <w:lang w:val="en-US" w:eastAsia="zh-CN" w:bidi="ar-SA"/>
                    </w:rPr>
                    <w:t>铜</w:t>
                  </w:r>
                </w:p>
              </w:tc>
              <w:tc>
                <w:tcPr>
                  <w:tcW w:w="648" w:type="pct"/>
                  <w:vMerge w:val="restart"/>
                  <w:vAlign w:val="center"/>
                </w:tcPr>
                <w:p w14:paraId="24D622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一般固体废物分类与代码(GBT39198</w:t>
                  </w:r>
                </w:p>
                <w:p w14:paraId="6CF62A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-2020)</w:t>
                  </w:r>
                </w:p>
              </w:tc>
              <w:tc>
                <w:tcPr>
                  <w:tcW w:w="333" w:type="pct"/>
                  <w:vAlign w:val="center"/>
                </w:tcPr>
                <w:p w14:paraId="5D4B0A9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FE5949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SW17</w:t>
                  </w:r>
                </w:p>
              </w:tc>
              <w:tc>
                <w:tcPr>
                  <w:tcW w:w="690" w:type="pct"/>
                  <w:vAlign w:val="center"/>
                </w:tcPr>
                <w:p w14:paraId="345F7F4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900-002-S17</w:t>
                  </w:r>
                </w:p>
              </w:tc>
              <w:tc>
                <w:tcPr>
                  <w:tcW w:w="471" w:type="pct"/>
                  <w:vAlign w:val="center"/>
                </w:tcPr>
                <w:p w14:paraId="1C97891B">
                  <w:pPr>
                    <w:adjustRightInd w:val="0"/>
                    <w:snapToGrid w:val="0"/>
                    <w:jc w:val="center"/>
                    <w:rPr>
                      <w:rFonts w:hint="default" w:ascii="Times New Roman" w:hAnsi="Times New Roman" w:cs="Times New Roman"/>
                      <w:color w:val="auto"/>
                      <w:sz w:val="21"/>
                      <w:szCs w:val="21"/>
                      <w:lang w:val="en-US" w:eastAsia="zh-CN"/>
                    </w:rPr>
                  </w:pPr>
                  <w:r>
                    <w:rPr>
                      <w:rFonts w:hint="eastAsia" w:cs="Times New Roman"/>
                      <w:b w:val="0"/>
                      <w:bCs/>
                      <w:color w:val="auto"/>
                      <w:kern w:val="2"/>
                      <w:sz w:val="21"/>
                      <w:szCs w:val="21"/>
                      <w:lang w:val="en-US" w:eastAsia="zh-CN" w:bidi="ar-SA"/>
                    </w:rPr>
                    <w:t>3.6</w:t>
                  </w:r>
                </w:p>
              </w:tc>
            </w:tr>
            <w:tr w14:paraId="760A15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563855D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559" w:type="pct"/>
                  <w:vAlign w:val="center"/>
                </w:tcPr>
                <w:p w14:paraId="64C4A0CA">
                  <w:pPr>
                    <w:pStyle w:val="6"/>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eastAsia="宋体" w:cs="Times New Roman"/>
                      <w:color w:val="auto"/>
                      <w:kern w:val="2"/>
                      <w:sz w:val="21"/>
                      <w:szCs w:val="21"/>
                      <w:lang w:val="en-US" w:eastAsia="zh-CN" w:bidi="ar-SA"/>
                    </w:rPr>
                    <w:t>锡渣</w:t>
                  </w:r>
                </w:p>
              </w:tc>
              <w:tc>
                <w:tcPr>
                  <w:tcW w:w="356" w:type="pct"/>
                  <w:vMerge w:val="continue"/>
                  <w:vAlign w:val="center"/>
                </w:tcPr>
                <w:p w14:paraId="3B63D032">
                  <w:pPr>
                    <w:adjustRightInd w:val="0"/>
                    <w:snapToGrid w:val="0"/>
                    <w:jc w:val="center"/>
                    <w:rPr>
                      <w:rFonts w:hint="default" w:ascii="Times New Roman" w:hAnsi="Times New Roman" w:cs="Times New Roman"/>
                      <w:color w:val="auto"/>
                      <w:szCs w:val="21"/>
                    </w:rPr>
                  </w:pPr>
                </w:p>
              </w:tc>
              <w:tc>
                <w:tcPr>
                  <w:tcW w:w="487" w:type="pct"/>
                  <w:vAlign w:val="center"/>
                </w:tcPr>
                <w:p w14:paraId="5AF81445">
                  <w:pPr>
                    <w:pStyle w:val="6"/>
                    <w:adjustRightInd w:val="0"/>
                    <w:snapToGrid w:val="0"/>
                    <w:ind w:firstLine="0" w:firstLineChars="0"/>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kern w:val="2"/>
                      <w:sz w:val="21"/>
                      <w:szCs w:val="21"/>
                      <w:lang w:val="en-US" w:eastAsia="zh-CN" w:bidi="ar-SA"/>
                    </w:rPr>
                    <w:t>浸锡</w:t>
                  </w:r>
                </w:p>
              </w:tc>
              <w:tc>
                <w:tcPr>
                  <w:tcW w:w="317" w:type="pct"/>
                  <w:vAlign w:val="center"/>
                </w:tcPr>
                <w:p w14:paraId="1E1BCBC5">
                  <w:pPr>
                    <w:pStyle w:val="6"/>
                    <w:adjustRightInd w:val="0"/>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0F6BEF73">
                  <w:pPr>
                    <w:pStyle w:val="6"/>
                    <w:adjustRightInd w:val="0"/>
                    <w:snapToGrid w:val="0"/>
                    <w:ind w:firstLine="0" w:firstLineChars="0"/>
                    <w:jc w:val="center"/>
                    <w:rPr>
                      <w:rFonts w:hint="eastAsia"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1"/>
                      <w:lang w:val="en-US" w:eastAsia="zh-CN" w:bidi="ar-SA"/>
                    </w:rPr>
                    <w:t>锡</w:t>
                  </w:r>
                </w:p>
              </w:tc>
              <w:tc>
                <w:tcPr>
                  <w:tcW w:w="648" w:type="pct"/>
                  <w:vMerge w:val="continue"/>
                  <w:vAlign w:val="center"/>
                </w:tcPr>
                <w:p w14:paraId="6BD78C5A">
                  <w:pPr>
                    <w:adjustRightInd w:val="0"/>
                    <w:snapToGrid w:val="0"/>
                    <w:jc w:val="center"/>
                    <w:rPr>
                      <w:rFonts w:hint="default" w:ascii="Times New Roman" w:hAnsi="Times New Roman" w:cs="Times New Roman"/>
                      <w:color w:val="auto"/>
                      <w:szCs w:val="21"/>
                    </w:rPr>
                  </w:pPr>
                </w:p>
              </w:tc>
              <w:tc>
                <w:tcPr>
                  <w:tcW w:w="333" w:type="pct"/>
                  <w:vAlign w:val="center"/>
                </w:tcPr>
                <w:p w14:paraId="59C2BDB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668BE9F3">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SW17</w:t>
                  </w:r>
                </w:p>
              </w:tc>
              <w:tc>
                <w:tcPr>
                  <w:tcW w:w="690" w:type="pct"/>
                  <w:vAlign w:val="center"/>
                </w:tcPr>
                <w:p w14:paraId="374C9642">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900-002-S17</w:t>
                  </w:r>
                </w:p>
              </w:tc>
              <w:tc>
                <w:tcPr>
                  <w:tcW w:w="471" w:type="pct"/>
                  <w:vAlign w:val="center"/>
                </w:tcPr>
                <w:p w14:paraId="153A5718">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0.01</w:t>
                  </w:r>
                </w:p>
              </w:tc>
            </w:tr>
            <w:tr w14:paraId="589CA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3209117D">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559" w:type="pct"/>
                  <w:vAlign w:val="center"/>
                </w:tcPr>
                <w:p w14:paraId="578E1B1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次品</w:t>
                  </w:r>
                </w:p>
              </w:tc>
              <w:tc>
                <w:tcPr>
                  <w:tcW w:w="356" w:type="pct"/>
                  <w:vMerge w:val="continue"/>
                  <w:vAlign w:val="center"/>
                </w:tcPr>
                <w:p w14:paraId="7E99B6D7">
                  <w:pPr>
                    <w:adjustRightInd w:val="0"/>
                    <w:snapToGrid w:val="0"/>
                    <w:jc w:val="center"/>
                    <w:rPr>
                      <w:rFonts w:hint="default" w:ascii="Times New Roman" w:hAnsi="Times New Roman" w:cs="Times New Roman"/>
                      <w:color w:val="auto"/>
                      <w:szCs w:val="21"/>
                    </w:rPr>
                  </w:pPr>
                </w:p>
              </w:tc>
              <w:tc>
                <w:tcPr>
                  <w:tcW w:w="487" w:type="pct"/>
                  <w:vAlign w:val="center"/>
                </w:tcPr>
                <w:p w14:paraId="0499031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测试</w:t>
                  </w:r>
                </w:p>
              </w:tc>
              <w:tc>
                <w:tcPr>
                  <w:tcW w:w="317" w:type="pct"/>
                  <w:vAlign w:val="center"/>
                </w:tcPr>
                <w:p w14:paraId="2B15472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3EB5F1C9">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铜、锡等</w:t>
                  </w:r>
                </w:p>
              </w:tc>
              <w:tc>
                <w:tcPr>
                  <w:tcW w:w="648" w:type="pct"/>
                  <w:vMerge w:val="continue"/>
                  <w:vAlign w:val="center"/>
                </w:tcPr>
                <w:p w14:paraId="4491DDA4">
                  <w:pPr>
                    <w:adjustRightInd w:val="0"/>
                    <w:snapToGrid w:val="0"/>
                    <w:jc w:val="center"/>
                    <w:rPr>
                      <w:rFonts w:hint="default" w:ascii="Times New Roman" w:hAnsi="Times New Roman" w:cs="Times New Roman"/>
                      <w:color w:val="auto"/>
                      <w:szCs w:val="21"/>
                    </w:rPr>
                  </w:pPr>
                </w:p>
              </w:tc>
              <w:tc>
                <w:tcPr>
                  <w:tcW w:w="333" w:type="pct"/>
                  <w:vAlign w:val="center"/>
                </w:tcPr>
                <w:p w14:paraId="636188E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7442EF48">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SW17</w:t>
                  </w:r>
                </w:p>
              </w:tc>
              <w:tc>
                <w:tcPr>
                  <w:tcW w:w="690" w:type="pct"/>
                  <w:vAlign w:val="center"/>
                </w:tcPr>
                <w:p w14:paraId="43D71F69">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900-002-S17</w:t>
                  </w:r>
                </w:p>
              </w:tc>
              <w:tc>
                <w:tcPr>
                  <w:tcW w:w="471" w:type="pct"/>
                  <w:vAlign w:val="center"/>
                </w:tcPr>
                <w:p w14:paraId="23871F79">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3.9</w:t>
                  </w:r>
                </w:p>
              </w:tc>
            </w:tr>
            <w:tr w14:paraId="59820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001A82E5">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559" w:type="pct"/>
                  <w:vAlign w:val="center"/>
                </w:tcPr>
                <w:p w14:paraId="0F2D4A64">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废包材</w:t>
                  </w:r>
                </w:p>
              </w:tc>
              <w:tc>
                <w:tcPr>
                  <w:tcW w:w="356" w:type="pct"/>
                  <w:vMerge w:val="continue"/>
                  <w:vAlign w:val="center"/>
                </w:tcPr>
                <w:p w14:paraId="6D8ED094">
                  <w:pPr>
                    <w:adjustRightInd w:val="0"/>
                    <w:snapToGrid w:val="0"/>
                    <w:jc w:val="center"/>
                    <w:rPr>
                      <w:rFonts w:hint="default" w:ascii="Times New Roman" w:hAnsi="Times New Roman" w:cs="Times New Roman"/>
                      <w:color w:val="auto"/>
                      <w:szCs w:val="21"/>
                    </w:rPr>
                  </w:pPr>
                </w:p>
              </w:tc>
              <w:tc>
                <w:tcPr>
                  <w:tcW w:w="487" w:type="pct"/>
                  <w:vAlign w:val="center"/>
                </w:tcPr>
                <w:p w14:paraId="1FB90D3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固体原料包装</w:t>
                  </w:r>
                </w:p>
              </w:tc>
              <w:tc>
                <w:tcPr>
                  <w:tcW w:w="317" w:type="pct"/>
                  <w:vAlign w:val="center"/>
                </w:tcPr>
                <w:p w14:paraId="4F2EA82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28191C2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塑料</w:t>
                  </w:r>
                </w:p>
              </w:tc>
              <w:tc>
                <w:tcPr>
                  <w:tcW w:w="648" w:type="pct"/>
                  <w:vMerge w:val="continue"/>
                  <w:vAlign w:val="center"/>
                </w:tcPr>
                <w:p w14:paraId="4E74C2A6">
                  <w:pPr>
                    <w:adjustRightInd w:val="0"/>
                    <w:snapToGrid w:val="0"/>
                    <w:jc w:val="center"/>
                    <w:rPr>
                      <w:rFonts w:hint="default" w:ascii="Times New Roman" w:hAnsi="Times New Roman" w:cs="Times New Roman"/>
                      <w:color w:val="auto"/>
                      <w:szCs w:val="21"/>
                    </w:rPr>
                  </w:pPr>
                </w:p>
              </w:tc>
              <w:tc>
                <w:tcPr>
                  <w:tcW w:w="333" w:type="pct"/>
                  <w:vAlign w:val="center"/>
                </w:tcPr>
                <w:p w14:paraId="2B124162">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26193583">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SW17</w:t>
                  </w:r>
                </w:p>
              </w:tc>
              <w:tc>
                <w:tcPr>
                  <w:tcW w:w="690" w:type="pct"/>
                  <w:vAlign w:val="center"/>
                </w:tcPr>
                <w:p w14:paraId="32BA7DAA">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900-003-S17</w:t>
                  </w:r>
                </w:p>
              </w:tc>
              <w:tc>
                <w:tcPr>
                  <w:tcW w:w="471" w:type="pct"/>
                  <w:vAlign w:val="center"/>
                </w:tcPr>
                <w:p w14:paraId="2DD3015F">
                  <w:pPr>
                    <w:adjustRightInd w:val="0"/>
                    <w:snapToGrid w:val="0"/>
                    <w:jc w:val="center"/>
                    <w:rPr>
                      <w:rFonts w:hint="eastAsia" w:cs="Times New Roman"/>
                      <w:b w:val="0"/>
                      <w:bCs/>
                      <w:color w:val="auto"/>
                      <w:sz w:val="21"/>
                      <w:szCs w:val="21"/>
                      <w:lang w:val="en-US" w:eastAsia="zh-CN"/>
                    </w:rPr>
                  </w:pPr>
                  <w:r>
                    <w:rPr>
                      <w:rFonts w:hint="eastAsia" w:cs="Times New Roman"/>
                      <w:color w:val="auto"/>
                      <w:sz w:val="21"/>
                      <w:szCs w:val="21"/>
                      <w:highlight w:val="none"/>
                      <w:lang w:val="en-US" w:eastAsia="zh-CN"/>
                    </w:rPr>
                    <w:t>1</w:t>
                  </w:r>
                </w:p>
              </w:tc>
            </w:tr>
            <w:tr w14:paraId="5941F3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184E6A6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59" w:type="pct"/>
                  <w:vAlign w:val="center"/>
                </w:tcPr>
                <w:p w14:paraId="6A5093E4">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废布袋</w:t>
                  </w:r>
                </w:p>
              </w:tc>
              <w:tc>
                <w:tcPr>
                  <w:tcW w:w="356" w:type="pct"/>
                  <w:vMerge w:val="continue"/>
                  <w:vAlign w:val="center"/>
                </w:tcPr>
                <w:p w14:paraId="5724F725">
                  <w:pPr>
                    <w:adjustRightInd w:val="0"/>
                    <w:snapToGrid w:val="0"/>
                    <w:jc w:val="center"/>
                    <w:rPr>
                      <w:rFonts w:hint="default" w:ascii="Times New Roman" w:hAnsi="Times New Roman" w:cs="Times New Roman"/>
                      <w:color w:val="auto"/>
                      <w:szCs w:val="21"/>
                    </w:rPr>
                  </w:pPr>
                </w:p>
              </w:tc>
              <w:tc>
                <w:tcPr>
                  <w:tcW w:w="487" w:type="pct"/>
                  <w:vAlign w:val="center"/>
                </w:tcPr>
                <w:p w14:paraId="565F3A4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废气处理</w:t>
                  </w:r>
                </w:p>
              </w:tc>
              <w:tc>
                <w:tcPr>
                  <w:tcW w:w="317" w:type="pct"/>
                  <w:vAlign w:val="center"/>
                </w:tcPr>
                <w:p w14:paraId="4ED2A38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79ECCBF5">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塑料</w:t>
                  </w:r>
                </w:p>
              </w:tc>
              <w:tc>
                <w:tcPr>
                  <w:tcW w:w="648" w:type="pct"/>
                  <w:vMerge w:val="continue"/>
                  <w:vAlign w:val="center"/>
                </w:tcPr>
                <w:p w14:paraId="0513767E">
                  <w:pPr>
                    <w:adjustRightInd w:val="0"/>
                    <w:snapToGrid w:val="0"/>
                    <w:jc w:val="center"/>
                    <w:rPr>
                      <w:rFonts w:hint="default" w:ascii="Times New Roman" w:hAnsi="Times New Roman" w:cs="Times New Roman"/>
                      <w:color w:val="auto"/>
                      <w:szCs w:val="21"/>
                    </w:rPr>
                  </w:pPr>
                </w:p>
              </w:tc>
              <w:tc>
                <w:tcPr>
                  <w:tcW w:w="333" w:type="pct"/>
                  <w:vAlign w:val="center"/>
                </w:tcPr>
                <w:p w14:paraId="153B9475">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612505A9">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690" w:type="pct"/>
                  <w:vAlign w:val="center"/>
                </w:tcPr>
                <w:p w14:paraId="495F2946">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471" w:type="pct"/>
                  <w:vAlign w:val="center"/>
                </w:tcPr>
                <w:p w14:paraId="48BD810F">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0.1</w:t>
                  </w:r>
                </w:p>
              </w:tc>
            </w:tr>
            <w:tr w14:paraId="7F977B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4A93626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59" w:type="pct"/>
                  <w:vAlign w:val="center"/>
                </w:tcPr>
                <w:p w14:paraId="111407C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kern w:val="2"/>
                      <w:sz w:val="21"/>
                      <w:szCs w:val="21"/>
                      <w:highlight w:val="none"/>
                      <w:lang w:val="en-US" w:eastAsia="zh-CN" w:bidi="ar-SA"/>
                    </w:rPr>
                    <w:t>收尘</w:t>
                  </w:r>
                </w:p>
              </w:tc>
              <w:tc>
                <w:tcPr>
                  <w:tcW w:w="356" w:type="pct"/>
                  <w:vMerge w:val="continue"/>
                  <w:vAlign w:val="center"/>
                </w:tcPr>
                <w:p w14:paraId="4138D77B">
                  <w:pPr>
                    <w:adjustRightInd w:val="0"/>
                    <w:snapToGrid w:val="0"/>
                    <w:jc w:val="center"/>
                    <w:rPr>
                      <w:rFonts w:hint="default" w:ascii="Times New Roman" w:hAnsi="Times New Roman" w:cs="Times New Roman"/>
                      <w:color w:val="auto"/>
                      <w:szCs w:val="21"/>
                    </w:rPr>
                  </w:pPr>
                </w:p>
              </w:tc>
              <w:tc>
                <w:tcPr>
                  <w:tcW w:w="487" w:type="pct"/>
                  <w:vAlign w:val="center"/>
                </w:tcPr>
                <w:p w14:paraId="180DBD40">
                  <w:pPr>
                    <w:pStyle w:val="6"/>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17" w:type="pct"/>
                  <w:vAlign w:val="center"/>
                </w:tcPr>
                <w:p w14:paraId="15CD9479">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7ACFBDD6">
                  <w:pPr>
                    <w:pStyle w:val="6"/>
                    <w:adjustRightInd w:val="0"/>
                    <w:snapToGrid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锡</w:t>
                  </w:r>
                </w:p>
              </w:tc>
              <w:tc>
                <w:tcPr>
                  <w:tcW w:w="648" w:type="pct"/>
                  <w:vMerge w:val="continue"/>
                  <w:vAlign w:val="center"/>
                </w:tcPr>
                <w:p w14:paraId="2DB045F1">
                  <w:pPr>
                    <w:adjustRightInd w:val="0"/>
                    <w:snapToGrid w:val="0"/>
                    <w:jc w:val="center"/>
                    <w:rPr>
                      <w:rFonts w:hint="default" w:ascii="Times New Roman" w:hAnsi="Times New Roman" w:cs="Times New Roman"/>
                      <w:color w:val="auto"/>
                      <w:szCs w:val="21"/>
                    </w:rPr>
                  </w:pPr>
                </w:p>
              </w:tc>
              <w:tc>
                <w:tcPr>
                  <w:tcW w:w="333" w:type="pct"/>
                  <w:vAlign w:val="center"/>
                </w:tcPr>
                <w:p w14:paraId="2A55EAC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5FEA77C9">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rPr>
                    <w:t>SW17</w:t>
                  </w:r>
                </w:p>
              </w:tc>
              <w:tc>
                <w:tcPr>
                  <w:tcW w:w="690" w:type="pct"/>
                  <w:vAlign w:val="center"/>
                </w:tcPr>
                <w:p w14:paraId="087722E2">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rPr>
                    <w:t>900-002-S17</w:t>
                  </w:r>
                </w:p>
              </w:tc>
              <w:tc>
                <w:tcPr>
                  <w:tcW w:w="471" w:type="pct"/>
                  <w:vAlign w:val="center"/>
                </w:tcPr>
                <w:p w14:paraId="0B618886">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0.003</w:t>
                  </w:r>
                </w:p>
              </w:tc>
            </w:tr>
            <w:tr w14:paraId="311AE9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61E9B52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w:t>
                  </w:r>
                </w:p>
              </w:tc>
              <w:tc>
                <w:tcPr>
                  <w:tcW w:w="559" w:type="pct"/>
                  <w:vAlign w:val="center"/>
                </w:tcPr>
                <w:p w14:paraId="16CFB824">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废塑料桶</w:t>
                  </w:r>
                </w:p>
              </w:tc>
              <w:tc>
                <w:tcPr>
                  <w:tcW w:w="356" w:type="pct"/>
                  <w:vAlign w:val="center"/>
                </w:tcPr>
                <w:p w14:paraId="642ABB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487" w:type="pct"/>
                  <w:vAlign w:val="center"/>
                </w:tcPr>
                <w:p w14:paraId="076BEFFC">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浸助焊剂、助焊剂包装</w:t>
                  </w:r>
                </w:p>
              </w:tc>
              <w:tc>
                <w:tcPr>
                  <w:tcW w:w="317" w:type="pct"/>
                  <w:vAlign w:val="center"/>
                </w:tcPr>
                <w:p w14:paraId="540FAE4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固态</w:t>
                  </w:r>
                </w:p>
              </w:tc>
              <w:tc>
                <w:tcPr>
                  <w:tcW w:w="526" w:type="pct"/>
                  <w:vAlign w:val="center"/>
                </w:tcPr>
                <w:p w14:paraId="2750D8BE">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助焊剂、塑料</w:t>
                  </w:r>
                </w:p>
              </w:tc>
              <w:tc>
                <w:tcPr>
                  <w:tcW w:w="648" w:type="pct"/>
                  <w:vAlign w:val="center"/>
                </w:tcPr>
                <w:p w14:paraId="2CD15E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《国家危险废物名录》（202</w:t>
                  </w:r>
                  <w:r>
                    <w:rPr>
                      <w:rFonts w:hint="eastAsia" w:cs="Times New Roman"/>
                      <w:color w:val="auto"/>
                      <w:szCs w:val="21"/>
                      <w:lang w:val="en-US" w:eastAsia="zh-CN"/>
                    </w:rPr>
                    <w:t>5</w:t>
                  </w:r>
                  <w:r>
                    <w:rPr>
                      <w:rFonts w:hint="default" w:ascii="Times New Roman" w:hAnsi="Times New Roman" w:cs="Times New Roman"/>
                      <w:color w:val="auto"/>
                      <w:szCs w:val="21"/>
                    </w:rPr>
                    <w:t>年）</w:t>
                  </w:r>
                </w:p>
              </w:tc>
              <w:tc>
                <w:tcPr>
                  <w:tcW w:w="333" w:type="pct"/>
                  <w:vAlign w:val="center"/>
                </w:tcPr>
                <w:p w14:paraId="456B2BD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T/In</w:t>
                  </w:r>
                </w:p>
              </w:tc>
              <w:tc>
                <w:tcPr>
                  <w:tcW w:w="409" w:type="pct"/>
                  <w:vAlign w:val="center"/>
                </w:tcPr>
                <w:p w14:paraId="12A477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HW49</w:t>
                  </w:r>
                </w:p>
              </w:tc>
              <w:tc>
                <w:tcPr>
                  <w:tcW w:w="690" w:type="pct"/>
                  <w:vAlign w:val="center"/>
                </w:tcPr>
                <w:p w14:paraId="1C30C545">
                  <w:pPr>
                    <w:adjustRightInd w:val="0"/>
                    <w:snapToGrid w:val="0"/>
                    <w:jc w:val="center"/>
                    <w:rPr>
                      <w:bCs/>
                      <w:color w:val="auto"/>
                      <w:sz w:val="21"/>
                      <w:szCs w:val="21"/>
                    </w:rPr>
                  </w:pPr>
                  <w:r>
                    <w:rPr>
                      <w:rFonts w:hint="default" w:ascii="Times New Roman" w:hAnsi="Times New Roman" w:eastAsia="宋体" w:cs="Times New Roman"/>
                      <w:color w:val="auto"/>
                      <w:szCs w:val="21"/>
                    </w:rPr>
                    <w:t>900-041-49</w:t>
                  </w:r>
                </w:p>
              </w:tc>
              <w:tc>
                <w:tcPr>
                  <w:tcW w:w="471" w:type="pct"/>
                  <w:vAlign w:val="center"/>
                </w:tcPr>
                <w:p w14:paraId="462118A9">
                  <w:pPr>
                    <w:adjustRightInd w:val="0"/>
                    <w:snapToGrid w:val="0"/>
                    <w:jc w:val="center"/>
                    <w:rPr>
                      <w:rFonts w:hint="default" w:cs="Times New Roman"/>
                      <w:color w:val="auto"/>
                      <w:kern w:val="2"/>
                      <w:sz w:val="21"/>
                      <w:szCs w:val="21"/>
                      <w:lang w:val="en-US" w:eastAsia="zh-CN" w:bidi="ar-SA"/>
                    </w:rPr>
                  </w:pPr>
                  <w:r>
                    <w:rPr>
                      <w:rFonts w:hint="eastAsia" w:cs="Times New Roman"/>
                      <w:b w:val="0"/>
                      <w:bCs/>
                      <w:color w:val="auto"/>
                      <w:sz w:val="21"/>
                      <w:szCs w:val="21"/>
                      <w:lang w:val="en-US" w:eastAsia="zh-CN"/>
                    </w:rPr>
                    <w:t>0.018</w:t>
                  </w:r>
                </w:p>
              </w:tc>
            </w:tr>
            <w:tr w14:paraId="6250C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7" w:type="pct"/>
                  <w:vAlign w:val="center"/>
                </w:tcPr>
                <w:p w14:paraId="7F81BFF0">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559" w:type="pct"/>
                  <w:vAlign w:val="center"/>
                </w:tcPr>
                <w:p w14:paraId="1DABB9BA">
                  <w:pPr>
                    <w:pStyle w:val="6"/>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生活垃圾</w:t>
                  </w:r>
                </w:p>
              </w:tc>
              <w:tc>
                <w:tcPr>
                  <w:tcW w:w="356" w:type="pct"/>
                  <w:vAlign w:val="center"/>
                </w:tcPr>
                <w:p w14:paraId="2A87FF39">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487" w:type="pct"/>
                  <w:vAlign w:val="center"/>
                </w:tcPr>
                <w:p w14:paraId="40E23543">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日常办公</w:t>
                  </w:r>
                </w:p>
              </w:tc>
              <w:tc>
                <w:tcPr>
                  <w:tcW w:w="317" w:type="pct"/>
                  <w:vAlign w:val="center"/>
                </w:tcPr>
                <w:p w14:paraId="5E8CF2D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固态</w:t>
                  </w:r>
                </w:p>
              </w:tc>
              <w:tc>
                <w:tcPr>
                  <w:tcW w:w="526" w:type="pct"/>
                  <w:vAlign w:val="center"/>
                </w:tcPr>
                <w:p w14:paraId="0B7263AC">
                  <w:pPr>
                    <w:widowControl/>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纸张等</w:t>
                  </w:r>
                </w:p>
              </w:tc>
              <w:tc>
                <w:tcPr>
                  <w:tcW w:w="648" w:type="pct"/>
                  <w:vAlign w:val="center"/>
                </w:tcPr>
                <w:p w14:paraId="2F84A94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333" w:type="pct"/>
                  <w:vAlign w:val="center"/>
                </w:tcPr>
                <w:p w14:paraId="0E2E6D99">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09" w:type="pct"/>
                  <w:vAlign w:val="center"/>
                </w:tcPr>
                <w:p w14:paraId="048EB245">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SW64</w:t>
                  </w:r>
                </w:p>
              </w:tc>
              <w:tc>
                <w:tcPr>
                  <w:tcW w:w="690" w:type="pct"/>
                  <w:vAlign w:val="center"/>
                </w:tcPr>
                <w:p w14:paraId="05A0F2C0">
                  <w:pPr>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900-099-S64</w:t>
                  </w:r>
                </w:p>
              </w:tc>
              <w:tc>
                <w:tcPr>
                  <w:tcW w:w="471" w:type="pct"/>
                  <w:vAlign w:val="center"/>
                </w:tcPr>
                <w:p w14:paraId="30924EE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r>
          </w:tbl>
          <w:p w14:paraId="277EB1A6">
            <w:pPr>
              <w:adjustRightInd w:val="0"/>
              <w:snapToGrid w:val="0"/>
              <w:spacing w:line="500" w:lineRule="exact"/>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lang w:val="en-US" w:eastAsia="zh-CN"/>
              </w:rPr>
              <w:t>处置利用情况</w:t>
            </w:r>
          </w:p>
          <w:p w14:paraId="283B94D6">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本项目固废均得到合理有效处置，不直接排向外环境。</w:t>
            </w:r>
          </w:p>
          <w:p w14:paraId="09CE9B90">
            <w:pPr>
              <w:adjustRightInd w:val="0"/>
              <w:snapToGrid w:val="0"/>
              <w:spacing w:line="500" w:lineRule="exact"/>
              <w:ind w:firstLine="480"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color w:val="auto"/>
                <w:sz w:val="24"/>
              </w:rPr>
              <w:t>按照《建设项目危险废物环境影响评价指南》（环保部公告</w:t>
            </w:r>
            <w:r>
              <w:rPr>
                <w:rFonts w:hint="eastAsia" w:cs="Times New Roman"/>
                <w:color w:val="auto"/>
                <w:sz w:val="24"/>
                <w:lang w:eastAsia="zh-CN"/>
              </w:rPr>
              <w:t>〔2017〕43号</w:t>
            </w:r>
            <w:r>
              <w:rPr>
                <w:rFonts w:hint="default" w:ascii="Times New Roman" w:hAnsi="Times New Roman" w:cs="Times New Roman"/>
                <w:color w:val="auto"/>
                <w:sz w:val="24"/>
              </w:rPr>
              <w:t>）要求，本项目固废产生及处理处置措施汇总表见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p>
          <w:p w14:paraId="45A823D0">
            <w:pPr>
              <w:pStyle w:val="60"/>
              <w:keepNext w:val="0"/>
              <w:keepLines w:val="0"/>
              <w:pageBreakBefore w:val="0"/>
              <w:tabs>
                <w:tab w:val="left" w:pos="3240"/>
              </w:tabs>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16本项目</w:t>
            </w:r>
            <w:r>
              <w:rPr>
                <w:rFonts w:hint="default" w:ascii="Times New Roman" w:hAnsi="Times New Roman" w:eastAsia="宋体" w:cs="Times New Roman"/>
                <w:b/>
                <w:color w:val="auto"/>
                <w:sz w:val="21"/>
                <w:szCs w:val="21"/>
                <w:highlight w:val="none"/>
                <w:lang w:val="en-US" w:eastAsia="zh-CN"/>
              </w:rPr>
              <w:t>固废产生及处理处置措施汇总表</w:t>
            </w:r>
          </w:p>
          <w:tbl>
            <w:tblPr>
              <w:tblStyle w:val="28"/>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9"/>
              <w:gridCol w:w="1150"/>
              <w:gridCol w:w="692"/>
              <w:gridCol w:w="968"/>
              <w:gridCol w:w="668"/>
              <w:gridCol w:w="696"/>
              <w:gridCol w:w="1273"/>
              <w:gridCol w:w="1089"/>
              <w:gridCol w:w="805"/>
              <w:gridCol w:w="874"/>
            </w:tblGrid>
            <w:tr w14:paraId="07510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89EFA1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663" w:type="pct"/>
                  <w:vAlign w:val="center"/>
                </w:tcPr>
                <w:p w14:paraId="7B1B21A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399" w:type="pct"/>
                  <w:tcBorders>
                    <w:bottom w:val="single" w:color="auto" w:sz="4" w:space="0"/>
                  </w:tcBorders>
                  <w:vAlign w:val="center"/>
                </w:tcPr>
                <w:p w14:paraId="3CE1C79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558" w:type="pct"/>
                  <w:vAlign w:val="center"/>
                </w:tcPr>
                <w:p w14:paraId="023F41BD">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产生来源</w:t>
                  </w:r>
                </w:p>
              </w:tc>
              <w:tc>
                <w:tcPr>
                  <w:tcW w:w="385" w:type="pct"/>
                  <w:vAlign w:val="center"/>
                </w:tcPr>
                <w:p w14:paraId="4893D4B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危废毒性</w:t>
                  </w:r>
                </w:p>
              </w:tc>
              <w:tc>
                <w:tcPr>
                  <w:tcW w:w="401" w:type="pct"/>
                  <w:vAlign w:val="center"/>
                </w:tcPr>
                <w:p w14:paraId="3F62B6F9">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734" w:type="pct"/>
                  <w:vAlign w:val="center"/>
                </w:tcPr>
                <w:p w14:paraId="4D232221">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628" w:type="pct"/>
                  <w:vAlign w:val="center"/>
                </w:tcPr>
                <w:p w14:paraId="46ECFAC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估算产生量（t/a）</w:t>
                  </w:r>
                </w:p>
              </w:tc>
              <w:tc>
                <w:tcPr>
                  <w:tcW w:w="464" w:type="pct"/>
                  <w:vAlign w:val="center"/>
                </w:tcPr>
                <w:p w14:paraId="6729F3B7">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利用处置方式</w:t>
                  </w:r>
                </w:p>
              </w:tc>
              <w:tc>
                <w:tcPr>
                  <w:tcW w:w="504" w:type="pct"/>
                  <w:vAlign w:val="center"/>
                </w:tcPr>
                <w:p w14:paraId="5C4D6BC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利用处置单位</w:t>
                  </w:r>
                </w:p>
              </w:tc>
            </w:tr>
            <w:tr w14:paraId="64A65D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2C0B56A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63" w:type="pct"/>
                  <w:vAlign w:val="center"/>
                </w:tcPr>
                <w:p w14:paraId="4F6D114C">
                  <w:pPr>
                    <w:pStyle w:val="6"/>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边角料</w:t>
                  </w:r>
                </w:p>
              </w:tc>
              <w:tc>
                <w:tcPr>
                  <w:tcW w:w="399" w:type="pct"/>
                  <w:vMerge w:val="restart"/>
                  <w:tcBorders>
                    <w:top w:val="single" w:color="auto" w:sz="4" w:space="0"/>
                  </w:tcBorders>
                  <w:vAlign w:val="center"/>
                </w:tcPr>
                <w:p w14:paraId="7E7375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968" w:type="dxa"/>
                  <w:vAlign w:val="center"/>
                </w:tcPr>
                <w:p w14:paraId="5855D084">
                  <w:pPr>
                    <w:pStyle w:val="6"/>
                    <w:adjustRightInd w:val="0"/>
                    <w:snapToGrid w:val="0"/>
                    <w:ind w:firstLine="0" w:firstLineChars="0"/>
                    <w:jc w:val="center"/>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1"/>
                      <w:lang w:val="en-US" w:eastAsia="zh-CN" w:bidi="ar-SA"/>
                    </w:rPr>
                    <w:t>切线</w:t>
                  </w:r>
                </w:p>
              </w:tc>
              <w:tc>
                <w:tcPr>
                  <w:tcW w:w="385" w:type="pct"/>
                  <w:vAlign w:val="center"/>
                </w:tcPr>
                <w:p w14:paraId="7F28C176">
                  <w:pPr>
                    <w:snapToGrid w:val="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 w:val="21"/>
                      <w:szCs w:val="21"/>
                    </w:rPr>
                    <w:t>/</w:t>
                  </w:r>
                </w:p>
              </w:tc>
              <w:tc>
                <w:tcPr>
                  <w:tcW w:w="696" w:type="dxa"/>
                  <w:vAlign w:val="center"/>
                </w:tcPr>
                <w:p w14:paraId="2F2D0B51">
                  <w:pPr>
                    <w:adjustRightInd w:val="0"/>
                    <w:snapToGrid w:val="0"/>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color w:val="auto"/>
                      <w:szCs w:val="21"/>
                    </w:rPr>
                    <w:t>SW17</w:t>
                  </w:r>
                </w:p>
              </w:tc>
              <w:tc>
                <w:tcPr>
                  <w:tcW w:w="1273" w:type="dxa"/>
                  <w:vAlign w:val="center"/>
                </w:tcPr>
                <w:p w14:paraId="28CED164">
                  <w:pPr>
                    <w:adjustRightInd w:val="0"/>
                    <w:snapToGrid w:val="0"/>
                    <w:jc w:val="center"/>
                    <w:rPr>
                      <w:rFonts w:hint="default" w:ascii="Times New Roman" w:hAnsi="Times New Roman" w:cs="Times New Roman"/>
                      <w:bCs/>
                      <w:color w:val="auto"/>
                      <w:szCs w:val="21"/>
                      <w:lang w:val="en-US" w:eastAsia="zh-CN"/>
                    </w:rPr>
                  </w:pPr>
                  <w:r>
                    <w:rPr>
                      <w:rFonts w:hint="eastAsia" w:ascii="Times New Roman" w:hAnsi="Times New Roman" w:eastAsia="宋体" w:cs="Times New Roman"/>
                      <w:color w:val="auto"/>
                      <w:szCs w:val="21"/>
                    </w:rPr>
                    <w:t>900-002-S17</w:t>
                  </w:r>
                </w:p>
              </w:tc>
              <w:tc>
                <w:tcPr>
                  <w:tcW w:w="1089" w:type="dxa"/>
                  <w:vAlign w:val="center"/>
                </w:tcPr>
                <w:p w14:paraId="361F6201">
                  <w:pPr>
                    <w:adjustRightInd w:val="0"/>
                    <w:snapToGrid w:val="0"/>
                    <w:jc w:val="center"/>
                    <w:rPr>
                      <w:rFonts w:hint="default" w:ascii="Times New Roman" w:hAnsi="Times New Roman" w:cs="Times New Roman"/>
                      <w:bCs/>
                      <w:color w:val="auto"/>
                      <w:szCs w:val="21"/>
                      <w:lang w:val="en-US" w:eastAsia="zh-CN"/>
                    </w:rPr>
                  </w:pPr>
                  <w:r>
                    <w:rPr>
                      <w:rFonts w:hint="eastAsia" w:cs="Times New Roman"/>
                      <w:b w:val="0"/>
                      <w:bCs/>
                      <w:color w:val="auto"/>
                      <w:kern w:val="2"/>
                      <w:sz w:val="21"/>
                      <w:szCs w:val="21"/>
                      <w:lang w:val="en-US" w:eastAsia="zh-CN" w:bidi="ar-SA"/>
                    </w:rPr>
                    <w:t>3.6</w:t>
                  </w:r>
                </w:p>
              </w:tc>
              <w:tc>
                <w:tcPr>
                  <w:tcW w:w="464" w:type="pct"/>
                  <w:vMerge w:val="restart"/>
                  <w:vAlign w:val="center"/>
                </w:tcPr>
                <w:p w14:paraId="1453A10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外售综合利用</w:t>
                  </w:r>
                </w:p>
              </w:tc>
              <w:tc>
                <w:tcPr>
                  <w:tcW w:w="504" w:type="pct"/>
                  <w:vMerge w:val="restart"/>
                  <w:vAlign w:val="center"/>
                </w:tcPr>
                <w:p w14:paraId="0F4CCB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物资回收单位</w:t>
                  </w:r>
                </w:p>
              </w:tc>
            </w:tr>
            <w:tr w14:paraId="0864BC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A21ED71">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2</w:t>
                  </w:r>
                </w:p>
              </w:tc>
              <w:tc>
                <w:tcPr>
                  <w:tcW w:w="663" w:type="pct"/>
                  <w:vAlign w:val="center"/>
                </w:tcPr>
                <w:p w14:paraId="002E108D">
                  <w:pPr>
                    <w:pStyle w:val="6"/>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eastAsia="宋体" w:cs="Times New Roman"/>
                      <w:color w:val="auto"/>
                      <w:kern w:val="2"/>
                      <w:sz w:val="21"/>
                      <w:szCs w:val="21"/>
                      <w:lang w:val="en-US" w:eastAsia="zh-CN" w:bidi="ar-SA"/>
                    </w:rPr>
                    <w:t>锡渣</w:t>
                  </w:r>
                </w:p>
              </w:tc>
              <w:tc>
                <w:tcPr>
                  <w:tcW w:w="399" w:type="pct"/>
                  <w:vMerge w:val="continue"/>
                  <w:vAlign w:val="center"/>
                </w:tcPr>
                <w:p w14:paraId="5148CC47">
                  <w:pPr>
                    <w:adjustRightInd w:val="0"/>
                    <w:snapToGrid w:val="0"/>
                    <w:jc w:val="center"/>
                    <w:rPr>
                      <w:rFonts w:hint="default" w:ascii="Times New Roman" w:hAnsi="Times New Roman" w:cs="Times New Roman"/>
                      <w:color w:val="auto"/>
                      <w:szCs w:val="21"/>
                    </w:rPr>
                  </w:pPr>
                </w:p>
              </w:tc>
              <w:tc>
                <w:tcPr>
                  <w:tcW w:w="968" w:type="dxa"/>
                  <w:vAlign w:val="center"/>
                </w:tcPr>
                <w:p w14:paraId="7D571751">
                  <w:pPr>
                    <w:pStyle w:val="6"/>
                    <w:adjustRightInd w:val="0"/>
                    <w:snapToGrid w:val="0"/>
                    <w:ind w:firstLine="0" w:firstLineChars="0"/>
                    <w:jc w:val="center"/>
                    <w:rPr>
                      <w:rFonts w:hint="eastAsia" w:ascii="Times New Roman" w:hAnsi="Times New Roman" w:cs="Times New Roman"/>
                      <w:bCs/>
                      <w:color w:val="auto"/>
                      <w:szCs w:val="21"/>
                      <w:lang w:val="en-US" w:eastAsia="zh-CN"/>
                    </w:rPr>
                  </w:pPr>
                  <w:r>
                    <w:rPr>
                      <w:rFonts w:hint="eastAsia" w:ascii="Times New Roman" w:hAnsi="Times New Roman" w:eastAsia="宋体" w:cs="Times New Roman"/>
                      <w:color w:val="auto"/>
                      <w:kern w:val="2"/>
                      <w:sz w:val="21"/>
                      <w:szCs w:val="21"/>
                      <w:lang w:val="en-US" w:eastAsia="zh-CN" w:bidi="ar-SA"/>
                    </w:rPr>
                    <w:t>浸锡</w:t>
                  </w:r>
                </w:p>
              </w:tc>
              <w:tc>
                <w:tcPr>
                  <w:tcW w:w="385" w:type="pct"/>
                  <w:vAlign w:val="center"/>
                </w:tcPr>
                <w:p w14:paraId="63DC1114">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FED12F9">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rPr>
                    <w:t>SW17</w:t>
                  </w:r>
                </w:p>
              </w:tc>
              <w:tc>
                <w:tcPr>
                  <w:tcW w:w="1273" w:type="dxa"/>
                  <w:vAlign w:val="center"/>
                </w:tcPr>
                <w:p w14:paraId="20AEC8AF">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Cs w:val="21"/>
                    </w:rPr>
                    <w:t>900-002-S17</w:t>
                  </w:r>
                </w:p>
              </w:tc>
              <w:tc>
                <w:tcPr>
                  <w:tcW w:w="1089" w:type="dxa"/>
                  <w:vAlign w:val="center"/>
                </w:tcPr>
                <w:p w14:paraId="1BED6236">
                  <w:pPr>
                    <w:adjustRightInd w:val="0"/>
                    <w:snapToGrid w:val="0"/>
                    <w:jc w:val="center"/>
                    <w:rPr>
                      <w:rFonts w:hint="default"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0.01</w:t>
                  </w:r>
                </w:p>
              </w:tc>
              <w:tc>
                <w:tcPr>
                  <w:tcW w:w="464" w:type="pct"/>
                  <w:vMerge w:val="continue"/>
                  <w:vAlign w:val="center"/>
                </w:tcPr>
                <w:p w14:paraId="6D0E1547">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2ABAEC3">
                  <w:pPr>
                    <w:adjustRightInd w:val="0"/>
                    <w:snapToGrid w:val="0"/>
                    <w:jc w:val="center"/>
                    <w:rPr>
                      <w:rFonts w:hint="default" w:ascii="Times New Roman" w:hAnsi="Times New Roman" w:cs="Times New Roman"/>
                      <w:bCs/>
                      <w:color w:val="auto"/>
                      <w:szCs w:val="21"/>
                    </w:rPr>
                  </w:pPr>
                </w:p>
              </w:tc>
            </w:tr>
            <w:tr w14:paraId="548A5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0A5A2434">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3</w:t>
                  </w:r>
                </w:p>
              </w:tc>
              <w:tc>
                <w:tcPr>
                  <w:tcW w:w="663" w:type="pct"/>
                  <w:vAlign w:val="center"/>
                </w:tcPr>
                <w:p w14:paraId="5B2A297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次品</w:t>
                  </w:r>
                </w:p>
              </w:tc>
              <w:tc>
                <w:tcPr>
                  <w:tcW w:w="399" w:type="pct"/>
                  <w:vMerge w:val="continue"/>
                  <w:vAlign w:val="center"/>
                </w:tcPr>
                <w:p w14:paraId="47CB0881">
                  <w:pPr>
                    <w:adjustRightInd w:val="0"/>
                    <w:snapToGrid w:val="0"/>
                    <w:jc w:val="center"/>
                    <w:rPr>
                      <w:rFonts w:hint="default" w:ascii="Times New Roman" w:hAnsi="Times New Roman" w:cs="Times New Roman"/>
                      <w:color w:val="auto"/>
                      <w:szCs w:val="21"/>
                    </w:rPr>
                  </w:pPr>
                </w:p>
              </w:tc>
              <w:tc>
                <w:tcPr>
                  <w:tcW w:w="968" w:type="dxa"/>
                  <w:vAlign w:val="center"/>
                </w:tcPr>
                <w:p w14:paraId="6450140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测试</w:t>
                  </w:r>
                </w:p>
              </w:tc>
              <w:tc>
                <w:tcPr>
                  <w:tcW w:w="385" w:type="pct"/>
                  <w:vAlign w:val="center"/>
                </w:tcPr>
                <w:p w14:paraId="4658CFA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19799D3D">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rPr>
                    <w:t>SW17</w:t>
                  </w:r>
                </w:p>
              </w:tc>
              <w:tc>
                <w:tcPr>
                  <w:tcW w:w="1273" w:type="dxa"/>
                  <w:vAlign w:val="center"/>
                </w:tcPr>
                <w:p w14:paraId="264F9218">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rPr>
                    <w:t>900-002-S17</w:t>
                  </w:r>
                </w:p>
              </w:tc>
              <w:tc>
                <w:tcPr>
                  <w:tcW w:w="1089" w:type="dxa"/>
                  <w:vAlign w:val="center"/>
                </w:tcPr>
                <w:p w14:paraId="1FDB8A2F">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3.9</w:t>
                  </w:r>
                </w:p>
              </w:tc>
              <w:tc>
                <w:tcPr>
                  <w:tcW w:w="464" w:type="pct"/>
                  <w:vMerge w:val="continue"/>
                  <w:vAlign w:val="center"/>
                </w:tcPr>
                <w:p w14:paraId="47171AE8">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23500C72">
                  <w:pPr>
                    <w:adjustRightInd w:val="0"/>
                    <w:snapToGrid w:val="0"/>
                    <w:jc w:val="center"/>
                    <w:rPr>
                      <w:rFonts w:hint="default" w:ascii="Times New Roman" w:hAnsi="Times New Roman" w:cs="Times New Roman"/>
                      <w:bCs/>
                      <w:color w:val="auto"/>
                      <w:szCs w:val="21"/>
                    </w:rPr>
                  </w:pPr>
                </w:p>
              </w:tc>
            </w:tr>
            <w:tr w14:paraId="1E4DD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3107DD85">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663" w:type="pct"/>
                  <w:vAlign w:val="center"/>
                </w:tcPr>
                <w:p w14:paraId="3ACF1345">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废包材</w:t>
                  </w:r>
                </w:p>
              </w:tc>
              <w:tc>
                <w:tcPr>
                  <w:tcW w:w="399" w:type="pct"/>
                  <w:vMerge w:val="continue"/>
                  <w:vAlign w:val="center"/>
                </w:tcPr>
                <w:p w14:paraId="456F0881">
                  <w:pPr>
                    <w:adjustRightInd w:val="0"/>
                    <w:snapToGrid w:val="0"/>
                    <w:jc w:val="center"/>
                    <w:rPr>
                      <w:rFonts w:hint="default" w:ascii="Times New Roman" w:hAnsi="Times New Roman" w:cs="Times New Roman"/>
                      <w:color w:val="auto"/>
                      <w:szCs w:val="21"/>
                    </w:rPr>
                  </w:pPr>
                </w:p>
              </w:tc>
              <w:tc>
                <w:tcPr>
                  <w:tcW w:w="968" w:type="dxa"/>
                  <w:vAlign w:val="center"/>
                </w:tcPr>
                <w:p w14:paraId="5441A15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固体原料包装</w:t>
                  </w:r>
                </w:p>
              </w:tc>
              <w:tc>
                <w:tcPr>
                  <w:tcW w:w="385" w:type="pct"/>
                  <w:vAlign w:val="center"/>
                </w:tcPr>
                <w:p w14:paraId="312D896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936FC1C">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lang w:val="en-US" w:eastAsia="zh-CN"/>
                    </w:rPr>
                    <w:t>SW17</w:t>
                  </w:r>
                </w:p>
              </w:tc>
              <w:tc>
                <w:tcPr>
                  <w:tcW w:w="1273" w:type="dxa"/>
                  <w:vAlign w:val="center"/>
                </w:tcPr>
                <w:p w14:paraId="6BD14C5E">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lang w:val="en-US" w:eastAsia="zh-CN"/>
                    </w:rPr>
                    <w:t>900-003-S17</w:t>
                  </w:r>
                </w:p>
              </w:tc>
              <w:tc>
                <w:tcPr>
                  <w:tcW w:w="1089" w:type="dxa"/>
                  <w:vAlign w:val="center"/>
                </w:tcPr>
                <w:p w14:paraId="3B0D2EA5">
                  <w:pPr>
                    <w:adjustRightInd w:val="0"/>
                    <w:snapToGrid w:val="0"/>
                    <w:jc w:val="center"/>
                    <w:rPr>
                      <w:rFonts w:hint="eastAsia" w:cs="Times New Roman"/>
                      <w:b w:val="0"/>
                      <w:bCs/>
                      <w:color w:val="auto"/>
                      <w:sz w:val="21"/>
                      <w:szCs w:val="21"/>
                      <w:lang w:val="en-US" w:eastAsia="zh-CN"/>
                    </w:rPr>
                  </w:pPr>
                  <w:r>
                    <w:rPr>
                      <w:rFonts w:hint="eastAsia" w:cs="Times New Roman"/>
                      <w:color w:val="auto"/>
                      <w:sz w:val="21"/>
                      <w:szCs w:val="21"/>
                      <w:highlight w:val="none"/>
                      <w:lang w:val="en-US" w:eastAsia="zh-CN"/>
                    </w:rPr>
                    <w:t>1</w:t>
                  </w:r>
                </w:p>
              </w:tc>
              <w:tc>
                <w:tcPr>
                  <w:tcW w:w="464" w:type="pct"/>
                  <w:vMerge w:val="continue"/>
                  <w:vAlign w:val="center"/>
                </w:tcPr>
                <w:p w14:paraId="364A5C3E">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5A748BA4">
                  <w:pPr>
                    <w:adjustRightInd w:val="0"/>
                    <w:snapToGrid w:val="0"/>
                    <w:jc w:val="center"/>
                    <w:rPr>
                      <w:rFonts w:hint="default" w:ascii="Times New Roman" w:hAnsi="Times New Roman" w:cs="Times New Roman"/>
                      <w:bCs/>
                      <w:color w:val="auto"/>
                      <w:szCs w:val="21"/>
                    </w:rPr>
                  </w:pPr>
                </w:p>
              </w:tc>
            </w:tr>
            <w:tr w14:paraId="5B725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52C3E8FA">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663" w:type="pct"/>
                  <w:vAlign w:val="center"/>
                </w:tcPr>
                <w:p w14:paraId="393AD26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废布袋</w:t>
                  </w:r>
                </w:p>
              </w:tc>
              <w:tc>
                <w:tcPr>
                  <w:tcW w:w="399" w:type="pct"/>
                  <w:vMerge w:val="continue"/>
                  <w:vAlign w:val="center"/>
                </w:tcPr>
                <w:p w14:paraId="0BEC7C38">
                  <w:pPr>
                    <w:adjustRightInd w:val="0"/>
                    <w:snapToGrid w:val="0"/>
                    <w:jc w:val="center"/>
                    <w:rPr>
                      <w:rFonts w:hint="default" w:ascii="Times New Roman" w:hAnsi="Times New Roman" w:cs="Times New Roman"/>
                      <w:color w:val="auto"/>
                      <w:szCs w:val="21"/>
                    </w:rPr>
                  </w:pPr>
                </w:p>
              </w:tc>
              <w:tc>
                <w:tcPr>
                  <w:tcW w:w="968" w:type="dxa"/>
                  <w:vAlign w:val="center"/>
                </w:tcPr>
                <w:p w14:paraId="276800B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668" w:type="dxa"/>
                  <w:vAlign w:val="center"/>
                </w:tcPr>
                <w:p w14:paraId="3F2299A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4065F57">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SW17</w:t>
                  </w:r>
                </w:p>
              </w:tc>
              <w:tc>
                <w:tcPr>
                  <w:tcW w:w="1273" w:type="dxa"/>
                  <w:vAlign w:val="center"/>
                </w:tcPr>
                <w:p w14:paraId="501463C0">
                  <w:pPr>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900-003-S17</w:t>
                  </w:r>
                </w:p>
              </w:tc>
              <w:tc>
                <w:tcPr>
                  <w:tcW w:w="1089" w:type="dxa"/>
                  <w:vAlign w:val="center"/>
                </w:tcPr>
                <w:p w14:paraId="2019CE0C">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464" w:type="pct"/>
                  <w:vMerge w:val="continue"/>
                  <w:vAlign w:val="center"/>
                </w:tcPr>
                <w:p w14:paraId="1ACA2CC5">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19742804">
                  <w:pPr>
                    <w:adjustRightInd w:val="0"/>
                    <w:snapToGrid w:val="0"/>
                    <w:jc w:val="center"/>
                    <w:rPr>
                      <w:rFonts w:hint="default" w:ascii="Times New Roman" w:hAnsi="Times New Roman" w:cs="Times New Roman"/>
                      <w:bCs/>
                      <w:color w:val="auto"/>
                      <w:szCs w:val="21"/>
                    </w:rPr>
                  </w:pPr>
                </w:p>
              </w:tc>
            </w:tr>
            <w:tr w14:paraId="7DEB82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17E5E2C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663" w:type="pct"/>
                  <w:vAlign w:val="center"/>
                </w:tcPr>
                <w:p w14:paraId="40EA73E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收尘</w:t>
                  </w:r>
                </w:p>
              </w:tc>
              <w:tc>
                <w:tcPr>
                  <w:tcW w:w="399" w:type="pct"/>
                  <w:vMerge w:val="continue"/>
                  <w:vAlign w:val="center"/>
                </w:tcPr>
                <w:p w14:paraId="5311B346">
                  <w:pPr>
                    <w:adjustRightInd w:val="0"/>
                    <w:snapToGrid w:val="0"/>
                    <w:jc w:val="center"/>
                    <w:rPr>
                      <w:rFonts w:hint="default" w:ascii="Times New Roman" w:hAnsi="Times New Roman" w:cs="Times New Roman"/>
                      <w:color w:val="auto"/>
                      <w:szCs w:val="21"/>
                    </w:rPr>
                  </w:pPr>
                </w:p>
              </w:tc>
              <w:tc>
                <w:tcPr>
                  <w:tcW w:w="968" w:type="dxa"/>
                  <w:vAlign w:val="center"/>
                </w:tcPr>
                <w:p w14:paraId="5CFDF1EB">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废气处理</w:t>
                  </w:r>
                </w:p>
              </w:tc>
              <w:tc>
                <w:tcPr>
                  <w:tcW w:w="385" w:type="pct"/>
                  <w:vAlign w:val="center"/>
                </w:tcPr>
                <w:p w14:paraId="675389A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4FC71C19">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rPr>
                    <w:t>SW17</w:t>
                  </w:r>
                </w:p>
              </w:tc>
              <w:tc>
                <w:tcPr>
                  <w:tcW w:w="1273" w:type="dxa"/>
                  <w:vAlign w:val="center"/>
                </w:tcPr>
                <w:p w14:paraId="4825C0C2">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szCs w:val="21"/>
                    </w:rPr>
                    <w:t>900-002-S17</w:t>
                  </w:r>
                </w:p>
              </w:tc>
              <w:tc>
                <w:tcPr>
                  <w:tcW w:w="1089" w:type="dxa"/>
                  <w:vAlign w:val="center"/>
                </w:tcPr>
                <w:p w14:paraId="57B6091F">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0.003</w:t>
                  </w:r>
                </w:p>
              </w:tc>
              <w:tc>
                <w:tcPr>
                  <w:tcW w:w="464" w:type="pct"/>
                  <w:vMerge w:val="continue"/>
                  <w:vAlign w:val="center"/>
                </w:tcPr>
                <w:p w14:paraId="684A7ACE">
                  <w:pPr>
                    <w:adjustRightInd w:val="0"/>
                    <w:snapToGrid w:val="0"/>
                    <w:jc w:val="center"/>
                    <w:rPr>
                      <w:rFonts w:hint="default" w:ascii="Times New Roman" w:hAnsi="Times New Roman" w:cs="Times New Roman"/>
                      <w:bCs/>
                      <w:color w:val="auto"/>
                      <w:szCs w:val="21"/>
                    </w:rPr>
                  </w:pPr>
                </w:p>
              </w:tc>
              <w:tc>
                <w:tcPr>
                  <w:tcW w:w="504" w:type="pct"/>
                  <w:vMerge w:val="continue"/>
                  <w:vAlign w:val="center"/>
                </w:tcPr>
                <w:p w14:paraId="04C554BD">
                  <w:pPr>
                    <w:adjustRightInd w:val="0"/>
                    <w:snapToGrid w:val="0"/>
                    <w:jc w:val="center"/>
                    <w:rPr>
                      <w:rFonts w:hint="default" w:ascii="Times New Roman" w:hAnsi="Times New Roman" w:cs="Times New Roman"/>
                      <w:bCs/>
                      <w:color w:val="auto"/>
                      <w:szCs w:val="21"/>
                    </w:rPr>
                  </w:pPr>
                </w:p>
              </w:tc>
            </w:tr>
            <w:tr w14:paraId="1E7199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9" w:type="dxa"/>
                  <w:vAlign w:val="center"/>
                </w:tcPr>
                <w:p w14:paraId="0ECA87A9">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7</w:t>
                  </w:r>
                </w:p>
              </w:tc>
              <w:tc>
                <w:tcPr>
                  <w:tcW w:w="663" w:type="pct"/>
                  <w:vAlign w:val="center"/>
                </w:tcPr>
                <w:p w14:paraId="585C7810">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eastAsia="宋体" w:cs="Times New Roman"/>
                      <w:color w:val="auto"/>
                      <w:kern w:val="2"/>
                      <w:sz w:val="21"/>
                      <w:szCs w:val="21"/>
                      <w:lang w:val="en-US" w:eastAsia="zh-CN" w:bidi="ar-SA"/>
                    </w:rPr>
                    <w:t>废塑料桶</w:t>
                  </w:r>
                </w:p>
              </w:tc>
              <w:tc>
                <w:tcPr>
                  <w:tcW w:w="399" w:type="pct"/>
                  <w:vAlign w:val="center"/>
                </w:tcPr>
                <w:p w14:paraId="3FA93E8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危险固废</w:t>
                  </w:r>
                </w:p>
              </w:tc>
              <w:tc>
                <w:tcPr>
                  <w:tcW w:w="968" w:type="dxa"/>
                  <w:vAlign w:val="center"/>
                </w:tcPr>
                <w:p w14:paraId="6EFF032C">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浸助焊剂、助焊剂包装</w:t>
                  </w:r>
                </w:p>
              </w:tc>
              <w:tc>
                <w:tcPr>
                  <w:tcW w:w="385" w:type="pct"/>
                  <w:vAlign w:val="center"/>
                </w:tcPr>
                <w:p w14:paraId="201802D7">
                  <w:pPr>
                    <w:snapToGrid w:val="0"/>
                    <w:jc w:val="center"/>
                    <w:rPr>
                      <w:bCs/>
                      <w:color w:val="auto"/>
                      <w:sz w:val="21"/>
                      <w:szCs w:val="21"/>
                    </w:rPr>
                  </w:pPr>
                  <w:r>
                    <w:rPr>
                      <w:rFonts w:hint="default" w:ascii="Times New Roman" w:hAnsi="Times New Roman" w:cs="Times New Roman"/>
                      <w:color w:val="auto"/>
                      <w:sz w:val="21"/>
                      <w:szCs w:val="21"/>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I</w:t>
                  </w:r>
                </w:p>
              </w:tc>
              <w:tc>
                <w:tcPr>
                  <w:tcW w:w="696" w:type="dxa"/>
                  <w:vAlign w:val="center"/>
                </w:tcPr>
                <w:p w14:paraId="57CB6DC4">
                  <w:pPr>
                    <w:adjustRightInd w:val="0"/>
                    <w:snapToGrid w:val="0"/>
                    <w:jc w:val="center"/>
                    <w:rPr>
                      <w:bCs/>
                      <w:color w:val="auto"/>
                      <w:sz w:val="21"/>
                      <w:szCs w:val="21"/>
                    </w:rPr>
                  </w:pPr>
                  <w:r>
                    <w:rPr>
                      <w:rFonts w:hint="default" w:ascii="Times New Roman" w:hAnsi="Times New Roman" w:eastAsia="宋体" w:cs="Times New Roman"/>
                      <w:color w:val="auto"/>
                      <w:szCs w:val="21"/>
                    </w:rPr>
                    <w:t>HW49</w:t>
                  </w:r>
                </w:p>
              </w:tc>
              <w:tc>
                <w:tcPr>
                  <w:tcW w:w="1273" w:type="dxa"/>
                  <w:vAlign w:val="center"/>
                </w:tcPr>
                <w:p w14:paraId="789C58F7">
                  <w:pPr>
                    <w:adjustRightInd w:val="0"/>
                    <w:snapToGrid w:val="0"/>
                    <w:jc w:val="center"/>
                    <w:rPr>
                      <w:bCs/>
                      <w:color w:val="auto"/>
                      <w:sz w:val="21"/>
                      <w:szCs w:val="21"/>
                    </w:rPr>
                  </w:pPr>
                  <w:r>
                    <w:rPr>
                      <w:rFonts w:hint="default" w:ascii="Times New Roman" w:hAnsi="Times New Roman" w:eastAsia="宋体" w:cs="Times New Roman"/>
                      <w:color w:val="auto"/>
                      <w:szCs w:val="21"/>
                    </w:rPr>
                    <w:t>900-041-49</w:t>
                  </w:r>
                </w:p>
              </w:tc>
              <w:tc>
                <w:tcPr>
                  <w:tcW w:w="1089" w:type="dxa"/>
                  <w:vAlign w:val="center"/>
                </w:tcPr>
                <w:p w14:paraId="50153DB1">
                  <w:pPr>
                    <w:adjustRightInd w:val="0"/>
                    <w:snapToGrid w:val="0"/>
                    <w:jc w:val="center"/>
                    <w:rPr>
                      <w:rFonts w:hint="eastAsia" w:cs="Times New Roman"/>
                      <w:color w:val="auto"/>
                      <w:kern w:val="2"/>
                      <w:sz w:val="21"/>
                      <w:szCs w:val="21"/>
                      <w:lang w:val="en-US" w:eastAsia="zh-CN" w:bidi="ar-SA"/>
                    </w:rPr>
                  </w:pPr>
                  <w:r>
                    <w:rPr>
                      <w:rFonts w:hint="eastAsia" w:cs="Times New Roman"/>
                      <w:b w:val="0"/>
                      <w:bCs/>
                      <w:color w:val="auto"/>
                      <w:sz w:val="21"/>
                      <w:szCs w:val="21"/>
                      <w:lang w:val="en-US" w:eastAsia="zh-CN"/>
                    </w:rPr>
                    <w:t>0.018</w:t>
                  </w:r>
                </w:p>
              </w:tc>
              <w:tc>
                <w:tcPr>
                  <w:tcW w:w="464" w:type="pct"/>
                  <w:vAlign w:val="center"/>
                </w:tcPr>
                <w:p w14:paraId="20B2AC4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bCs/>
                      <w:color w:val="auto"/>
                      <w:szCs w:val="21"/>
                      <w:lang w:val="en-US" w:eastAsia="zh-CN"/>
                    </w:rPr>
                    <w:t>委托处置</w:t>
                  </w:r>
                </w:p>
              </w:tc>
              <w:tc>
                <w:tcPr>
                  <w:tcW w:w="504" w:type="pct"/>
                  <w:vAlign w:val="center"/>
                </w:tcPr>
                <w:p w14:paraId="2EF06C4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有资质单位</w:t>
                  </w:r>
                </w:p>
              </w:tc>
            </w:tr>
            <w:tr w14:paraId="648DD5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9" w:type="pct"/>
                  <w:vAlign w:val="center"/>
                </w:tcPr>
                <w:p w14:paraId="7F2FC4BF">
                  <w:pPr>
                    <w:pStyle w:val="6"/>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663" w:type="pct"/>
                  <w:vAlign w:val="center"/>
                </w:tcPr>
                <w:p w14:paraId="2F26AB10">
                  <w:pPr>
                    <w:pStyle w:val="6"/>
                    <w:adjustRightInd w:val="0"/>
                    <w:snapToGrid w:val="0"/>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生活垃圾</w:t>
                  </w:r>
                </w:p>
              </w:tc>
              <w:tc>
                <w:tcPr>
                  <w:tcW w:w="399" w:type="pct"/>
                  <w:vAlign w:val="center"/>
                </w:tcPr>
                <w:p w14:paraId="086DDA42">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968" w:type="dxa"/>
                  <w:vAlign w:val="center"/>
                </w:tcPr>
                <w:p w14:paraId="4016867E">
                  <w:pPr>
                    <w:adjustRightInd w:val="0"/>
                    <w:snapToGrid w:val="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日常办公</w:t>
                  </w:r>
                </w:p>
              </w:tc>
              <w:tc>
                <w:tcPr>
                  <w:tcW w:w="385" w:type="pct"/>
                  <w:vAlign w:val="center"/>
                </w:tcPr>
                <w:p w14:paraId="7817A3F7">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6" w:type="dxa"/>
                  <w:vAlign w:val="center"/>
                </w:tcPr>
                <w:p w14:paraId="69FD8243">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SW64</w:t>
                  </w:r>
                </w:p>
              </w:tc>
              <w:tc>
                <w:tcPr>
                  <w:tcW w:w="1273" w:type="dxa"/>
                  <w:vAlign w:val="center"/>
                </w:tcPr>
                <w:p w14:paraId="2A2CC204">
                  <w:pPr>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900-099-S64</w:t>
                  </w:r>
                </w:p>
              </w:tc>
              <w:tc>
                <w:tcPr>
                  <w:tcW w:w="1089" w:type="dxa"/>
                  <w:vAlign w:val="center"/>
                </w:tcPr>
                <w:p w14:paraId="4D99F1C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464" w:type="pct"/>
                  <w:vAlign w:val="center"/>
                </w:tcPr>
                <w:p w14:paraId="3C8D4CA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委托处置</w:t>
                  </w:r>
                </w:p>
              </w:tc>
              <w:tc>
                <w:tcPr>
                  <w:tcW w:w="504" w:type="pct"/>
                  <w:vAlign w:val="center"/>
                </w:tcPr>
                <w:p w14:paraId="1FA5BEA0">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环卫部门</w:t>
                  </w:r>
                </w:p>
              </w:tc>
            </w:tr>
          </w:tbl>
          <w:p w14:paraId="746A7F92">
            <w:pPr>
              <w:adjustRightInd w:val="0"/>
              <w:snapToGrid w:val="0"/>
              <w:spacing w:line="500" w:lineRule="exact"/>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lang w:val="en-US" w:eastAsia="zh-CN"/>
              </w:rPr>
              <w:t>固废环境影响分析</w:t>
            </w:r>
          </w:p>
          <w:p w14:paraId="1AA4FAD1">
            <w:pPr>
              <w:adjustRightInd w:val="0"/>
              <w:snapToGrid w:val="0"/>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临时贮存可行性分析：</w:t>
            </w:r>
          </w:p>
          <w:p w14:paraId="72AABA52">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标示牌。</w:t>
            </w:r>
          </w:p>
          <w:p w14:paraId="684156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w:t>
            </w:r>
            <w:r>
              <w:rPr>
                <w:rFonts w:hint="default" w:ascii="Times New Roman" w:hAnsi="Times New Roman" w:eastAsia="宋体" w:cs="Times New Roman"/>
                <w:bCs/>
                <w:color w:val="auto"/>
                <w:sz w:val="24"/>
                <w:lang w:val="en-US" w:eastAsia="zh-CN"/>
              </w:rPr>
              <w:t>危险废物经营单位需制定废物入场控制措施，并不得接受核准经营许可以外的种类；贮存设施周转的累积贮存量不得超过年许可经营能力的六分之一，贮存期限原则上不得超过三个月。</w:t>
            </w:r>
          </w:p>
          <w:p w14:paraId="1F2B0F54">
            <w:pPr>
              <w:pStyle w:val="86"/>
              <w:keepNext w:val="0"/>
              <w:keepLines w:val="0"/>
              <w:pageBreakBefore w:val="0"/>
              <w:widowControl w:val="0"/>
              <w:kinsoku/>
              <w:wordWrap/>
              <w:overflowPunct/>
              <w:topLinePunct w:val="0"/>
              <w:autoSpaceDE w:val="0"/>
              <w:autoSpaceDN w:val="0"/>
              <w:bidi w:val="0"/>
              <w:adjustRightInd w:val="0"/>
              <w:snapToGrid w:val="0"/>
              <w:spacing w:beforeLines="0" w:line="500" w:lineRule="exact"/>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表4-</w:t>
            </w:r>
            <w:r>
              <w:rPr>
                <w:rFonts w:hint="eastAsia" w:cs="Times New Roman"/>
                <w:b/>
                <w:color w:val="auto"/>
                <w:sz w:val="21"/>
                <w:szCs w:val="21"/>
                <w:lang w:val="en-US" w:eastAsia="zh-CN"/>
              </w:rPr>
              <w:t>17 项目</w:t>
            </w:r>
            <w:r>
              <w:rPr>
                <w:rFonts w:hint="default" w:ascii="Times New Roman" w:hAnsi="Times New Roman" w:eastAsia="宋体" w:cs="Times New Roman"/>
                <w:b/>
                <w:color w:val="auto"/>
                <w:sz w:val="21"/>
                <w:szCs w:val="21"/>
                <w:lang w:val="en-US" w:eastAsia="zh-CN"/>
              </w:rPr>
              <w:t>危险废物贮存场所（设施）基本情况表</w:t>
            </w:r>
          </w:p>
          <w:tbl>
            <w:tblPr>
              <w:tblStyle w:val="2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312"/>
              <w:gridCol w:w="660"/>
              <w:gridCol w:w="644"/>
              <w:gridCol w:w="1178"/>
              <w:gridCol w:w="753"/>
              <w:gridCol w:w="713"/>
              <w:gridCol w:w="713"/>
              <w:gridCol w:w="713"/>
              <w:gridCol w:w="716"/>
              <w:gridCol w:w="1043"/>
            </w:tblGrid>
            <w:tr w14:paraId="4D3D9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222" w:type="pct"/>
                  <w:noWrap w:val="0"/>
                  <w:tcMar>
                    <w:top w:w="0" w:type="dxa"/>
                    <w:left w:w="11" w:type="dxa"/>
                    <w:bottom w:w="0" w:type="dxa"/>
                    <w:right w:w="11" w:type="dxa"/>
                  </w:tcMar>
                  <w:vAlign w:val="center"/>
                </w:tcPr>
                <w:p w14:paraId="22EE8A9A">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742" w:type="pct"/>
                  <w:noWrap w:val="0"/>
                  <w:tcMar>
                    <w:top w:w="0" w:type="dxa"/>
                    <w:left w:w="11" w:type="dxa"/>
                    <w:bottom w:w="0" w:type="dxa"/>
                    <w:right w:w="11" w:type="dxa"/>
                  </w:tcMar>
                  <w:vAlign w:val="center"/>
                </w:tcPr>
                <w:p w14:paraId="1467A6DF">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373" w:type="pct"/>
                  <w:noWrap w:val="0"/>
                  <w:tcMar>
                    <w:top w:w="0" w:type="dxa"/>
                    <w:left w:w="11" w:type="dxa"/>
                    <w:bottom w:w="0" w:type="dxa"/>
                    <w:right w:w="11" w:type="dxa"/>
                  </w:tcMar>
                  <w:vAlign w:val="center"/>
                </w:tcPr>
                <w:p w14:paraId="21916A78">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364" w:type="pct"/>
                  <w:noWrap w:val="0"/>
                  <w:tcMar>
                    <w:top w:w="0" w:type="dxa"/>
                    <w:left w:w="11" w:type="dxa"/>
                    <w:bottom w:w="0" w:type="dxa"/>
                    <w:right w:w="11" w:type="dxa"/>
                  </w:tcMar>
                  <w:vAlign w:val="center"/>
                </w:tcPr>
                <w:p w14:paraId="02F98DC7">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664" w:type="pct"/>
                  <w:noWrap w:val="0"/>
                  <w:tcMar>
                    <w:top w:w="0" w:type="dxa"/>
                    <w:left w:w="11" w:type="dxa"/>
                    <w:bottom w:w="0" w:type="dxa"/>
                    <w:right w:w="11" w:type="dxa"/>
                  </w:tcMar>
                  <w:vAlign w:val="center"/>
                </w:tcPr>
                <w:p w14:paraId="43658E30">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426" w:type="pct"/>
                  <w:noWrap w:val="0"/>
                  <w:tcMar>
                    <w:top w:w="0" w:type="dxa"/>
                    <w:left w:w="11" w:type="dxa"/>
                    <w:bottom w:w="0" w:type="dxa"/>
                    <w:right w:w="11" w:type="dxa"/>
                  </w:tcMar>
                  <w:vAlign w:val="center"/>
                </w:tcPr>
                <w:p w14:paraId="72B825A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403" w:type="pct"/>
                  <w:noWrap w:val="0"/>
                  <w:tcMar>
                    <w:top w:w="0" w:type="dxa"/>
                    <w:left w:w="11" w:type="dxa"/>
                    <w:bottom w:w="0" w:type="dxa"/>
                    <w:right w:w="11" w:type="dxa"/>
                  </w:tcMar>
                  <w:vAlign w:val="center"/>
                </w:tcPr>
                <w:p w14:paraId="1DA8BF2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403" w:type="pct"/>
                  <w:noWrap w:val="0"/>
                  <w:tcMar>
                    <w:top w:w="0" w:type="dxa"/>
                    <w:left w:w="11" w:type="dxa"/>
                    <w:bottom w:w="0" w:type="dxa"/>
                    <w:right w:w="11" w:type="dxa"/>
                  </w:tcMar>
                  <w:vAlign w:val="center"/>
                </w:tcPr>
                <w:p w14:paraId="2D32E61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403" w:type="pct"/>
                  <w:noWrap w:val="0"/>
                  <w:tcMar>
                    <w:top w:w="0" w:type="dxa"/>
                    <w:left w:w="11" w:type="dxa"/>
                    <w:bottom w:w="0" w:type="dxa"/>
                    <w:right w:w="11" w:type="dxa"/>
                  </w:tcMar>
                  <w:vAlign w:val="center"/>
                </w:tcPr>
                <w:p w14:paraId="54F9E808">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405" w:type="pct"/>
                  <w:noWrap w:val="0"/>
                  <w:tcMar>
                    <w:top w:w="0" w:type="dxa"/>
                    <w:left w:w="11" w:type="dxa"/>
                    <w:bottom w:w="0" w:type="dxa"/>
                    <w:right w:w="11" w:type="dxa"/>
                  </w:tcMar>
                  <w:vAlign w:val="center"/>
                </w:tcPr>
                <w:p w14:paraId="5C4A6F5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590" w:type="pct"/>
                  <w:noWrap w:val="0"/>
                  <w:tcMar>
                    <w:top w:w="0" w:type="dxa"/>
                    <w:left w:w="11" w:type="dxa"/>
                    <w:bottom w:w="0" w:type="dxa"/>
                    <w:right w:w="11" w:type="dxa"/>
                  </w:tcMar>
                  <w:vAlign w:val="center"/>
                </w:tcPr>
                <w:p w14:paraId="2E564457">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0EBCDB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noWrap w:val="0"/>
                  <w:tcMar>
                    <w:top w:w="0" w:type="dxa"/>
                    <w:left w:w="11" w:type="dxa"/>
                    <w:bottom w:w="0" w:type="dxa"/>
                    <w:right w:w="11" w:type="dxa"/>
                  </w:tcMar>
                  <w:vAlign w:val="center"/>
                </w:tcPr>
                <w:p w14:paraId="3D23825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742" w:type="pct"/>
                  <w:noWrap w:val="0"/>
                  <w:tcMar>
                    <w:top w:w="0" w:type="dxa"/>
                    <w:left w:w="11" w:type="dxa"/>
                    <w:bottom w:w="0" w:type="dxa"/>
                    <w:right w:w="11" w:type="dxa"/>
                  </w:tcMar>
                  <w:vAlign w:val="center"/>
                </w:tcPr>
                <w:p w14:paraId="674C8C4F">
                  <w:pPr>
                    <w:adjustRightInd w:val="0"/>
                    <w:snapToGrid w:val="0"/>
                    <w:jc w:val="center"/>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废塑料桶</w:t>
                  </w:r>
                </w:p>
              </w:tc>
              <w:tc>
                <w:tcPr>
                  <w:tcW w:w="373" w:type="pct"/>
                  <w:noWrap w:val="0"/>
                  <w:tcMar>
                    <w:top w:w="0" w:type="dxa"/>
                    <w:left w:w="11" w:type="dxa"/>
                    <w:bottom w:w="0" w:type="dxa"/>
                    <w:right w:w="11" w:type="dxa"/>
                  </w:tcMar>
                  <w:vAlign w:val="center"/>
                </w:tcPr>
                <w:p w14:paraId="6938B2C7">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危险废物</w:t>
                  </w:r>
                </w:p>
              </w:tc>
              <w:tc>
                <w:tcPr>
                  <w:tcW w:w="364" w:type="pct"/>
                  <w:noWrap w:val="0"/>
                  <w:tcMar>
                    <w:top w:w="0" w:type="dxa"/>
                    <w:left w:w="11" w:type="dxa"/>
                    <w:bottom w:w="0" w:type="dxa"/>
                    <w:right w:w="11" w:type="dxa"/>
                  </w:tcMar>
                  <w:vAlign w:val="center"/>
                </w:tcPr>
                <w:p w14:paraId="412A0632">
                  <w:pPr>
                    <w:adjustRightInd w:val="0"/>
                    <w:snapToGrid w:val="0"/>
                    <w:jc w:val="center"/>
                    <w:rPr>
                      <w:bCs/>
                      <w:color w:val="auto"/>
                      <w:sz w:val="21"/>
                      <w:szCs w:val="21"/>
                    </w:rPr>
                  </w:pPr>
                  <w:r>
                    <w:rPr>
                      <w:rFonts w:hint="default" w:ascii="Times New Roman" w:hAnsi="Times New Roman" w:eastAsia="宋体" w:cs="Times New Roman"/>
                      <w:color w:val="auto"/>
                      <w:szCs w:val="21"/>
                    </w:rPr>
                    <w:t>HW49</w:t>
                  </w:r>
                </w:p>
              </w:tc>
              <w:tc>
                <w:tcPr>
                  <w:tcW w:w="664" w:type="pct"/>
                  <w:noWrap w:val="0"/>
                  <w:tcMar>
                    <w:top w:w="0" w:type="dxa"/>
                    <w:left w:w="11" w:type="dxa"/>
                    <w:bottom w:w="0" w:type="dxa"/>
                    <w:right w:w="11" w:type="dxa"/>
                  </w:tcMar>
                  <w:vAlign w:val="center"/>
                </w:tcPr>
                <w:p w14:paraId="708F75BD">
                  <w:pPr>
                    <w:adjustRightInd w:val="0"/>
                    <w:snapToGrid w:val="0"/>
                    <w:jc w:val="center"/>
                    <w:rPr>
                      <w:bCs/>
                      <w:color w:val="auto"/>
                      <w:sz w:val="21"/>
                      <w:szCs w:val="21"/>
                    </w:rPr>
                  </w:pPr>
                  <w:r>
                    <w:rPr>
                      <w:rFonts w:hint="default" w:ascii="Times New Roman" w:hAnsi="Times New Roman" w:eastAsia="宋体" w:cs="Times New Roman"/>
                      <w:color w:val="auto"/>
                      <w:szCs w:val="21"/>
                    </w:rPr>
                    <w:t>900-041-49</w:t>
                  </w:r>
                </w:p>
              </w:tc>
              <w:tc>
                <w:tcPr>
                  <w:tcW w:w="426" w:type="pct"/>
                  <w:noWrap w:val="0"/>
                  <w:tcMar>
                    <w:top w:w="0" w:type="dxa"/>
                    <w:left w:w="11" w:type="dxa"/>
                    <w:bottom w:w="0" w:type="dxa"/>
                    <w:right w:w="11" w:type="dxa"/>
                  </w:tcMar>
                  <w:vAlign w:val="center"/>
                </w:tcPr>
                <w:p w14:paraId="012F092B">
                  <w:pPr>
                    <w:adjustRightInd w:val="0"/>
                    <w:snapToGrid w:val="0"/>
                    <w:jc w:val="center"/>
                    <w:rPr>
                      <w:rFonts w:hint="default" w:cs="Times New Roman"/>
                      <w:color w:val="auto"/>
                      <w:sz w:val="21"/>
                      <w:szCs w:val="21"/>
                      <w:lang w:val="en-US" w:eastAsia="zh-CN"/>
                    </w:rPr>
                  </w:pPr>
                  <w:r>
                    <w:rPr>
                      <w:rFonts w:hint="eastAsia" w:cs="Times New Roman"/>
                      <w:b w:val="0"/>
                      <w:bCs/>
                      <w:color w:val="auto"/>
                      <w:sz w:val="21"/>
                      <w:szCs w:val="21"/>
                      <w:lang w:val="en-US" w:eastAsia="zh-CN"/>
                    </w:rPr>
                    <w:t>0.018</w:t>
                  </w:r>
                </w:p>
              </w:tc>
              <w:tc>
                <w:tcPr>
                  <w:tcW w:w="403" w:type="pct"/>
                  <w:noWrap w:val="0"/>
                  <w:tcMar>
                    <w:top w:w="0" w:type="dxa"/>
                    <w:left w:w="11" w:type="dxa"/>
                    <w:bottom w:w="0" w:type="dxa"/>
                    <w:right w:w="11" w:type="dxa"/>
                  </w:tcMar>
                  <w:vAlign w:val="center"/>
                </w:tcPr>
                <w:p w14:paraId="3481F1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防渗托盘</w:t>
                  </w:r>
                </w:p>
              </w:tc>
              <w:tc>
                <w:tcPr>
                  <w:tcW w:w="403" w:type="pct"/>
                  <w:noWrap w:val="0"/>
                  <w:tcMar>
                    <w:top w:w="0" w:type="dxa"/>
                    <w:left w:w="11" w:type="dxa"/>
                    <w:bottom w:w="0" w:type="dxa"/>
                    <w:right w:w="11" w:type="dxa"/>
                  </w:tcMar>
                  <w:vAlign w:val="center"/>
                </w:tcPr>
                <w:p w14:paraId="727E2779">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403" w:type="pct"/>
                  <w:noWrap w:val="0"/>
                  <w:tcMar>
                    <w:top w:w="0" w:type="dxa"/>
                    <w:left w:w="11" w:type="dxa"/>
                    <w:bottom w:w="0" w:type="dxa"/>
                    <w:right w:w="11" w:type="dxa"/>
                  </w:tcMar>
                  <w:vAlign w:val="center"/>
                </w:tcPr>
                <w:p w14:paraId="44549F46">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4A330F7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0.004</w:t>
                  </w:r>
                </w:p>
              </w:tc>
              <w:tc>
                <w:tcPr>
                  <w:tcW w:w="590" w:type="pct"/>
                  <w:noWrap w:val="0"/>
                  <w:tcMar>
                    <w:top w:w="0" w:type="dxa"/>
                    <w:left w:w="11" w:type="dxa"/>
                    <w:bottom w:w="0" w:type="dxa"/>
                    <w:right w:w="11" w:type="dxa"/>
                  </w:tcMar>
                  <w:vAlign w:val="center"/>
                </w:tcPr>
                <w:p w14:paraId="63D8947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r>
                    <w:rPr>
                      <w:rFonts w:hint="eastAsia" w:cs="Times New Roman"/>
                      <w:color w:val="auto"/>
                      <w:sz w:val="21"/>
                      <w:szCs w:val="21"/>
                      <w:lang w:val="en-US" w:eastAsia="zh-CN"/>
                    </w:rPr>
                    <w:t>仓库</w:t>
                  </w:r>
                </w:p>
              </w:tc>
            </w:tr>
            <w:tr w14:paraId="10A1C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pct"/>
                  <w:gridSpan w:val="5"/>
                  <w:noWrap w:val="0"/>
                  <w:tcMar>
                    <w:top w:w="0" w:type="dxa"/>
                    <w:left w:w="11" w:type="dxa"/>
                    <w:bottom w:w="0" w:type="dxa"/>
                    <w:right w:w="11" w:type="dxa"/>
                  </w:tcMar>
                  <w:vAlign w:val="center"/>
                </w:tcPr>
                <w:p w14:paraId="38517DBA">
                  <w:pPr>
                    <w:pStyle w:val="10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426" w:type="pct"/>
                  <w:noWrap w:val="0"/>
                  <w:tcMar>
                    <w:top w:w="0" w:type="dxa"/>
                    <w:left w:w="11" w:type="dxa"/>
                    <w:bottom w:w="0" w:type="dxa"/>
                    <w:right w:w="11" w:type="dxa"/>
                  </w:tcMar>
                  <w:vAlign w:val="center"/>
                </w:tcPr>
                <w:p w14:paraId="4683114D">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D6E8E5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B7EB92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03" w:type="pct"/>
                  <w:noWrap w:val="0"/>
                  <w:tcMar>
                    <w:top w:w="0" w:type="dxa"/>
                    <w:left w:w="11" w:type="dxa"/>
                    <w:bottom w:w="0" w:type="dxa"/>
                    <w:right w:w="11" w:type="dxa"/>
                  </w:tcMar>
                  <w:vAlign w:val="center"/>
                </w:tcPr>
                <w:p w14:paraId="1F13288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405" w:type="pct"/>
                  <w:noWrap w:val="0"/>
                  <w:tcMar>
                    <w:top w:w="0" w:type="dxa"/>
                    <w:left w:w="11" w:type="dxa"/>
                    <w:bottom w:w="0" w:type="dxa"/>
                    <w:right w:w="11" w:type="dxa"/>
                  </w:tcMar>
                  <w:vAlign w:val="center"/>
                </w:tcPr>
                <w:p w14:paraId="176841A5">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90" w:type="pct"/>
                  <w:noWrap w:val="0"/>
                  <w:tcMar>
                    <w:top w:w="0" w:type="dxa"/>
                    <w:left w:w="11" w:type="dxa"/>
                    <w:bottom w:w="0" w:type="dxa"/>
                    <w:right w:w="11" w:type="dxa"/>
                  </w:tcMar>
                  <w:vAlign w:val="center"/>
                </w:tcPr>
                <w:p w14:paraId="2318E88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7AD67FA7">
            <w:pPr>
              <w:pStyle w:val="6"/>
              <w:adjustRightInd w:val="0"/>
              <w:snapToGrid w:val="0"/>
              <w:spacing w:line="50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本项目危险废物收集后密闭袋装或桶装暂存于危险废物</w:t>
            </w:r>
            <w:r>
              <w:rPr>
                <w:rFonts w:hint="default" w:ascii="Times New Roman" w:hAnsi="Times New Roman" w:cs="Times New Roman"/>
                <w:color w:val="auto"/>
                <w:sz w:val="24"/>
                <w:lang w:val="en-US" w:eastAsia="zh-CN"/>
              </w:rPr>
              <w:t>仓库</w:t>
            </w:r>
            <w:r>
              <w:rPr>
                <w:rFonts w:hint="default" w:ascii="Times New Roman" w:hAnsi="Times New Roman" w:eastAsia="宋体" w:cs="Times New Roman"/>
                <w:color w:val="auto"/>
                <w:sz w:val="24"/>
                <w:lang w:val="en-US" w:eastAsia="zh-CN"/>
              </w:rPr>
              <w:t>，由上表可知危险废物贮存占用面积约为</w:t>
            </w:r>
            <w:r>
              <w:rPr>
                <w:rFonts w:hint="eastAsia" w:ascii="Times New Roman" w:hAnsi="Times New Roman" w:cs="Times New Roman"/>
                <w:color w:val="auto"/>
                <w:sz w:val="24"/>
                <w:lang w:val="en-US" w:eastAsia="zh-CN"/>
              </w:rPr>
              <w:t>0.5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，项目</w:t>
            </w:r>
            <w:r>
              <w:rPr>
                <w:rFonts w:hint="default" w:ascii="Times New Roman" w:hAnsi="Times New Roman" w:cs="Times New Roman"/>
                <w:color w:val="auto"/>
                <w:sz w:val="24"/>
                <w:lang w:val="en-US" w:eastAsia="zh-CN"/>
              </w:rPr>
              <w:t>拟</w:t>
            </w:r>
            <w:r>
              <w:rPr>
                <w:rFonts w:hint="default" w:ascii="Times New Roman" w:hAnsi="Times New Roman" w:eastAsia="宋体" w:cs="Times New Roman"/>
                <w:color w:val="auto"/>
                <w:sz w:val="24"/>
                <w:lang w:val="en-US" w:eastAsia="zh-CN"/>
              </w:rPr>
              <w:t>设置一个</w:t>
            </w:r>
            <w:r>
              <w:rPr>
                <w:rFonts w:hint="eastAsia"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危险废物</w:t>
            </w:r>
            <w:r>
              <w:rPr>
                <w:rFonts w:hint="default" w:ascii="Times New Roman" w:hAnsi="Times New Roman" w:cs="Times New Roman"/>
                <w:color w:val="auto"/>
                <w:sz w:val="24"/>
                <w:lang w:val="en-US" w:eastAsia="zh-CN"/>
              </w:rPr>
              <w:t>仓库</w:t>
            </w:r>
            <w:r>
              <w:rPr>
                <w:rFonts w:hint="default" w:ascii="Times New Roman" w:hAnsi="Times New Roman" w:eastAsia="宋体" w:cs="Times New Roman"/>
                <w:color w:val="auto"/>
                <w:sz w:val="24"/>
                <w:lang w:val="en-US" w:eastAsia="zh-CN"/>
              </w:rPr>
              <w:t>，可满足</w:t>
            </w:r>
            <w:r>
              <w:rPr>
                <w:rFonts w:hint="default" w:ascii="Times New Roman" w:hAnsi="Times New Roman" w:cs="Times New Roman"/>
                <w:color w:val="auto"/>
                <w:sz w:val="24"/>
                <w:lang w:val="en-US" w:eastAsia="zh-CN"/>
              </w:rPr>
              <w:t>本项目</w:t>
            </w:r>
            <w:r>
              <w:rPr>
                <w:rFonts w:hint="default" w:ascii="Times New Roman" w:hAnsi="Times New Roman" w:eastAsia="宋体" w:cs="Times New Roman"/>
                <w:color w:val="auto"/>
                <w:sz w:val="24"/>
                <w:lang w:val="en-US" w:eastAsia="zh-CN"/>
              </w:rPr>
              <w:t>各类危险废物暂存需求</w:t>
            </w:r>
            <w:r>
              <w:rPr>
                <w:rFonts w:hint="default" w:ascii="Times New Roman" w:hAnsi="Times New Roman" w:cs="Times New Roman"/>
                <w:color w:val="auto"/>
                <w:sz w:val="24"/>
                <w:lang w:val="en-US" w:eastAsia="zh-CN"/>
              </w:rPr>
              <w:t>。</w:t>
            </w:r>
          </w:p>
          <w:p w14:paraId="3D25CC1B">
            <w:pPr>
              <w:pStyle w:val="6"/>
              <w:adjustRightInd w:val="0"/>
              <w:snapToGrid w:val="0"/>
              <w:spacing w:line="500" w:lineRule="exact"/>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环境管理要求</w:t>
            </w:r>
          </w:p>
          <w:p w14:paraId="353E9D19">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①</w:t>
            </w:r>
            <w:r>
              <w:rPr>
                <w:rFonts w:hint="default" w:ascii="Times New Roman" w:hAnsi="Times New Roman" w:eastAsia="宋体" w:cs="Times New Roman"/>
                <w:bCs/>
                <w:color w:val="auto"/>
                <w:sz w:val="24"/>
                <w:lang w:eastAsia="zh-CN"/>
              </w:rPr>
              <w:t>危险</w:t>
            </w:r>
            <w:r>
              <w:rPr>
                <w:rFonts w:hint="default" w:ascii="Times New Roman" w:hAnsi="Times New Roman" w:eastAsia="宋体" w:cs="Times New Roman"/>
                <w:bCs/>
                <w:color w:val="auto"/>
                <w:sz w:val="24"/>
                <w:lang w:val="en-US" w:eastAsia="zh-CN"/>
              </w:rPr>
              <w:t>废物</w:t>
            </w:r>
            <w:r>
              <w:rPr>
                <w:rFonts w:hint="default" w:ascii="Times New Roman" w:hAnsi="Times New Roman" w:eastAsia="宋体" w:cs="Times New Roman"/>
                <w:bCs/>
                <w:color w:val="auto"/>
                <w:sz w:val="24"/>
                <w:lang w:eastAsia="zh-CN"/>
              </w:rPr>
              <w:t>管理要求</w:t>
            </w:r>
          </w:p>
          <w:p w14:paraId="28E5D155">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根据《</w:t>
            </w:r>
            <w:r>
              <w:rPr>
                <w:rFonts w:hint="eastAsia" w:cs="Times New Roman"/>
                <w:bCs/>
                <w:color w:val="auto"/>
                <w:sz w:val="24"/>
                <w:lang w:val="en-US" w:eastAsia="zh-CN"/>
              </w:rPr>
              <w:t>江苏省固体废物全过程环境监管工作意见</w:t>
            </w:r>
            <w:r>
              <w:rPr>
                <w:rFonts w:hint="default" w:ascii="Times New Roman" w:hAnsi="Times New Roman" w:cs="Times New Roman"/>
                <w:bCs/>
                <w:color w:val="auto"/>
                <w:sz w:val="24"/>
              </w:rPr>
              <w:t>》（</w:t>
            </w:r>
            <w:r>
              <w:rPr>
                <w:rFonts w:hint="default" w:ascii="Times New Roman" w:hAnsi="Times New Roman" w:eastAsia="宋体" w:cs="Times New Roman"/>
                <w:bCs/>
                <w:color w:val="auto"/>
                <w:sz w:val="24"/>
                <w:lang w:eastAsia="zh-CN"/>
              </w:rPr>
              <w:t>苏环办</w:t>
            </w:r>
            <w:r>
              <w:rPr>
                <w:rFonts w:hint="eastAsia" w:cs="Times New Roman"/>
                <w:bCs/>
                <w:color w:val="auto"/>
                <w:sz w:val="24"/>
                <w:lang w:eastAsia="zh-CN"/>
              </w:rPr>
              <w:t>〔2024〕16号</w:t>
            </w:r>
            <w:r>
              <w:rPr>
                <w:rFonts w:hint="default" w:ascii="Times New Roman" w:hAnsi="Times New Roman" w:eastAsia="宋体" w:cs="Times New Roman"/>
                <w:bCs/>
                <w:color w:val="auto"/>
                <w:sz w:val="24"/>
                <w:lang w:eastAsia="zh-CN"/>
              </w:rPr>
              <w:t>）要求：</w:t>
            </w:r>
          </w:p>
          <w:p w14:paraId="2202AF7A">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cs="Times New Roman"/>
                <w:bCs/>
                <w:color w:val="auto"/>
                <w:sz w:val="24"/>
                <w:lang w:val="en-US" w:eastAsia="zh-CN"/>
              </w:rPr>
              <w:t>〔2021〕290号</w:t>
            </w:r>
            <w:r>
              <w:rPr>
                <w:rFonts w:hint="default" w:ascii="Times New Roman" w:hAnsi="Times New Roman" w:eastAsia="宋体" w:cs="Times New Roman"/>
                <w:bCs/>
                <w:color w:val="auto"/>
                <w:sz w:val="24"/>
                <w:lang w:val="en-US" w:eastAsia="zh-CN"/>
              </w:rPr>
              <w:t>)中关于贮存周期和贮存量的要求</w:t>
            </w:r>
            <w:r>
              <w:rPr>
                <w:rFonts w:hint="default" w:ascii="Times New Roman" w:hAnsi="Times New Roman" w:eastAsia="宋体" w:cs="Times New Roman"/>
                <w:bCs/>
                <w:color w:val="auto"/>
                <w:sz w:val="24"/>
                <w:szCs w:val="24"/>
                <w:lang w:val="en-US" w:eastAsia="zh-CN"/>
              </w:rPr>
              <w:t>，I级、II级、</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 = 3 \* ROMAN \* MERGEFORMAT </w:instrText>
            </w:r>
            <w:r>
              <w:rPr>
                <w:rFonts w:hint="default" w:ascii="Times New Roman" w:hAnsi="Times New Roman" w:eastAsia="宋体" w:cs="Times New Roman"/>
                <w:bCs/>
                <w:color w:val="auto"/>
                <w:sz w:val="24"/>
                <w:szCs w:val="24"/>
                <w:lang w:val="en-US" w:eastAsia="zh-CN"/>
              </w:rPr>
              <w:fldChar w:fldCharType="separate"/>
            </w:r>
            <w:r>
              <w:rPr>
                <w:color w:val="auto"/>
                <w:sz w:val="24"/>
                <w:szCs w:val="24"/>
              </w:rPr>
              <w:t>III</w:t>
            </w:r>
            <w:r>
              <w:rPr>
                <w:rFonts w:hint="default" w:ascii="Times New Roman" w:hAnsi="Times New Roman" w:eastAsia="宋体" w:cs="Times New Roman"/>
                <w:bCs/>
                <w:color w:val="auto"/>
                <w:sz w:val="24"/>
                <w:szCs w:val="24"/>
                <w:lang w:val="en-US" w:eastAsia="zh-CN"/>
              </w:rPr>
              <w:fldChar w:fldCharType="end"/>
            </w:r>
            <w:r>
              <w:rPr>
                <w:rFonts w:hint="default" w:ascii="Times New Roman" w:hAnsi="Times New Roman" w:eastAsia="宋体" w:cs="Times New Roman"/>
                <w:bCs/>
                <w:color w:val="auto"/>
                <w:sz w:val="24"/>
                <w:szCs w:val="24"/>
                <w:lang w:val="en-US" w:eastAsia="zh-CN"/>
              </w:rPr>
              <w:t>级危险</w:t>
            </w:r>
            <w:r>
              <w:rPr>
                <w:rFonts w:hint="default" w:ascii="Times New Roman" w:hAnsi="Times New Roman" w:eastAsia="宋体" w:cs="Times New Roman"/>
                <w:bCs/>
                <w:color w:val="auto"/>
                <w:sz w:val="24"/>
                <w:lang w:val="en-US" w:eastAsia="zh-CN"/>
              </w:rPr>
              <w:t>废物贮存时间分别不得超过30天、60天、90天，最大贮存量不得超过1吨。</w:t>
            </w:r>
          </w:p>
          <w:p w14:paraId="586D59BC">
            <w:pPr>
              <w:adjustRightInd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w:t>
            </w:r>
          </w:p>
          <w:p w14:paraId="3A4D9533">
            <w:pPr>
              <w:adjustRightInd w:val="0"/>
              <w:snapToGrid w:val="0"/>
              <w:spacing w:line="500" w:lineRule="exact"/>
              <w:rPr>
                <w:rFonts w:hint="default" w:ascii="Times New Roman" w:hAnsi="Times New Roman" w:cs="Times New Roman"/>
                <w:color w:val="auto"/>
              </w:rPr>
            </w:pPr>
            <w:r>
              <w:rPr>
                <w:rFonts w:hint="default" w:ascii="Times New Roman" w:hAnsi="Times New Roman" w:eastAsia="宋体" w:cs="Times New Roman"/>
                <w:bCs/>
                <w:color w:val="auto"/>
                <w:sz w:val="24"/>
                <w:lang w:val="en-US" w:eastAsia="zh-CN"/>
              </w:rPr>
              <w:t>危废焚烧处置设施的单位要依法及时公开二燃室温度等工况运行指标以及污染物排放指标、浓度等有关信息，并联网至属地生态环境部门。危险废物经营单位应同步公开许可证、许可条件等全文信息</w:t>
            </w:r>
            <w:r>
              <w:rPr>
                <w:rFonts w:hint="default" w:ascii="Times New Roman" w:hAnsi="Times New Roman" w:cs="Times New Roman"/>
                <w:color w:val="auto"/>
                <w:kern w:val="0"/>
                <w:sz w:val="24"/>
              </w:rPr>
              <w:t>。</w:t>
            </w:r>
          </w:p>
          <w:p w14:paraId="7FBB31A1">
            <w:pPr>
              <w:adjustRightInd w:val="0"/>
              <w:snapToGrid w:val="0"/>
              <w:spacing w:line="500" w:lineRule="exact"/>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eastAsia="zh-CN"/>
              </w:rPr>
              <w:t>一般工业固废管理要求</w:t>
            </w:r>
          </w:p>
          <w:p w14:paraId="4B459C21">
            <w:pPr>
              <w:pStyle w:val="6"/>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一般固废仓库满足防渗漏、防雨淋、防扬尘的环境管理要求</w:t>
            </w:r>
            <w:r>
              <w:rPr>
                <w:rFonts w:hint="default" w:ascii="Times New Roman" w:hAnsi="Times New Roman" w:eastAsia="宋体" w:cs="Times New Roman"/>
                <w:color w:val="auto"/>
                <w:kern w:val="0"/>
                <w:sz w:val="24"/>
                <w:lang w:val="en-US" w:eastAsia="zh-CN"/>
              </w:rPr>
              <w:t>，边角料、</w:t>
            </w:r>
            <w:r>
              <w:rPr>
                <w:rFonts w:hint="eastAsia" w:ascii="Times New Roman" w:hAnsi="Times New Roman" w:cs="Times New Roman"/>
                <w:color w:val="auto"/>
                <w:kern w:val="0"/>
                <w:sz w:val="24"/>
                <w:lang w:val="en-US" w:eastAsia="zh-CN"/>
              </w:rPr>
              <w:t>次品</w:t>
            </w:r>
            <w:r>
              <w:rPr>
                <w:rFonts w:hint="eastAsia" w:ascii="Times New Roman" w:hAnsi="Times New Roman" w:eastAsia="宋体" w:cs="Times New Roman"/>
                <w:color w:val="auto"/>
                <w:kern w:val="0"/>
                <w:sz w:val="24"/>
                <w:lang w:val="en-US" w:eastAsia="zh-CN"/>
              </w:rPr>
              <w:t>、废</w:t>
            </w:r>
            <w:r>
              <w:rPr>
                <w:rFonts w:hint="eastAsia" w:ascii="Times New Roman" w:hAnsi="Times New Roman" w:cs="Times New Roman"/>
                <w:color w:val="auto"/>
                <w:kern w:val="0"/>
                <w:sz w:val="24"/>
                <w:lang w:val="en-US" w:eastAsia="zh-CN"/>
              </w:rPr>
              <w:t>布袋</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收尘</w:t>
            </w:r>
            <w:r>
              <w:rPr>
                <w:rFonts w:hint="eastAsia" w:ascii="Times New Roman" w:hAnsi="Times New Roman" w:eastAsia="宋体" w:cs="Times New Roman"/>
                <w:color w:val="auto"/>
                <w:kern w:val="0"/>
                <w:sz w:val="24"/>
                <w:lang w:val="en-US" w:eastAsia="zh-CN"/>
              </w:rPr>
              <w:t>、废包装袋</w:t>
            </w:r>
            <w:r>
              <w:rPr>
                <w:rFonts w:hint="default" w:ascii="Times New Roman" w:hAnsi="Times New Roman" w:cs="Times New Roman"/>
                <w:color w:val="auto"/>
                <w:kern w:val="0"/>
                <w:sz w:val="24"/>
                <w:szCs w:val="24"/>
              </w:rPr>
              <w:t>收集后分别送至一般固废暂</w:t>
            </w:r>
            <w:r>
              <w:rPr>
                <w:rFonts w:hint="default" w:ascii="Times New Roman" w:hAnsi="Times New Roman" w:eastAsia="宋体" w:cs="Times New Roman"/>
                <w:color w:val="auto"/>
                <w:kern w:val="0"/>
                <w:sz w:val="24"/>
                <w:szCs w:val="24"/>
              </w:rPr>
              <w:t>存场所进行分类暂存，杜绝混合存放。</w:t>
            </w:r>
          </w:p>
          <w:p w14:paraId="4BEF3083">
            <w:pPr>
              <w:pStyle w:val="6"/>
              <w:adjustRightInd w:val="0"/>
              <w:snapToGrid w:val="0"/>
              <w:spacing w:line="50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企业在做好废物产生、收集、贮运、处置各环节的措施及厂内管理后，固废均能得到合理、有效</w:t>
            </w:r>
            <w:r>
              <w:rPr>
                <w:rFonts w:hint="eastAsia" w:ascii="Times New Roman" w:hAnsi="Times New Roman" w:cs="Times New Roman"/>
                <w:color w:val="auto"/>
                <w:kern w:val="0"/>
                <w:sz w:val="24"/>
                <w:lang w:val="en-US" w:eastAsia="zh-CN"/>
              </w:rPr>
              <w:t>地</w:t>
            </w:r>
            <w:r>
              <w:rPr>
                <w:rFonts w:hint="default" w:ascii="Times New Roman" w:hAnsi="Times New Roman" w:eastAsia="宋体" w:cs="Times New Roman"/>
                <w:color w:val="auto"/>
                <w:kern w:val="0"/>
                <w:sz w:val="24"/>
                <w:lang w:val="en-US" w:eastAsia="zh-CN"/>
              </w:rPr>
              <w:t>处置。因此，厂内产生的固体废物经有效处理和处置后对环境影响较小。</w:t>
            </w:r>
          </w:p>
          <w:p w14:paraId="763DE632">
            <w:pPr>
              <w:pStyle w:val="6"/>
              <w:adjustRightInd w:val="0"/>
              <w:snapToGrid w:val="0"/>
              <w:spacing w:line="500" w:lineRule="exact"/>
              <w:ind w:firstLine="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五</w:t>
            </w:r>
            <w:r>
              <w:rPr>
                <w:rFonts w:hint="default" w:ascii="Times New Roman" w:hAnsi="Times New Roman" w:cs="Times New Roman"/>
                <w:b/>
                <w:bCs/>
                <w:color w:val="auto"/>
                <w:sz w:val="24"/>
                <w:szCs w:val="24"/>
              </w:rPr>
              <w:t>、土壤、地下水</w:t>
            </w:r>
          </w:p>
          <w:p w14:paraId="588E5683">
            <w:pPr>
              <w:adjustRightInd w:val="0"/>
              <w:snapToGrid w:val="0"/>
              <w:spacing w:line="500" w:lineRule="exact"/>
              <w:ind w:firstLine="480" w:firstLineChars="200"/>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土壤、地下水环境影响分析</w:t>
            </w:r>
          </w:p>
          <w:p w14:paraId="5347DD57">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w:t>
            </w:r>
            <w:r>
              <w:rPr>
                <w:rFonts w:hint="eastAsia" w:cs="Times New Roman"/>
                <w:color w:val="auto"/>
                <w:sz w:val="24"/>
                <w:lang w:val="en-US" w:eastAsia="zh-CN"/>
              </w:rPr>
              <w:t>所租车间地面已全部硬化</w:t>
            </w:r>
            <w:r>
              <w:rPr>
                <w:rFonts w:hint="default" w:ascii="Times New Roman" w:hAnsi="Times New Roman" w:cs="Times New Roman"/>
                <w:color w:val="auto"/>
                <w:sz w:val="24"/>
              </w:rPr>
              <w:t>。建设项目正常运行过程中，</w:t>
            </w:r>
            <w:r>
              <w:rPr>
                <w:rFonts w:hint="eastAsia" w:cs="Times New Roman"/>
                <w:color w:val="auto"/>
                <w:sz w:val="24"/>
                <w:lang w:val="en-US" w:eastAsia="zh-CN"/>
              </w:rPr>
              <w:t>在</w:t>
            </w:r>
            <w:r>
              <w:rPr>
                <w:rFonts w:hint="default" w:ascii="Times New Roman" w:hAnsi="Times New Roman" w:cs="Times New Roman"/>
                <w:color w:val="auto"/>
                <w:sz w:val="24"/>
              </w:rPr>
              <w:t>落实各项污染防渗措施的情况下，项目不会对当地</w:t>
            </w:r>
            <w:r>
              <w:rPr>
                <w:rFonts w:hint="default" w:ascii="Times New Roman" w:hAnsi="Times New Roman" w:cs="Times New Roman"/>
                <w:color w:val="auto"/>
                <w:sz w:val="24"/>
                <w:lang w:val="en-US" w:eastAsia="zh-CN"/>
              </w:rPr>
              <w:t>土壤及</w:t>
            </w:r>
            <w:r>
              <w:rPr>
                <w:rFonts w:hint="default" w:ascii="Times New Roman" w:hAnsi="Times New Roman" w:cs="Times New Roman"/>
                <w:color w:val="auto"/>
                <w:sz w:val="24"/>
              </w:rPr>
              <w:t>地下水水质产生影响。若产生</w:t>
            </w:r>
            <w:r>
              <w:rPr>
                <w:rFonts w:hint="eastAsia" w:cs="Times New Roman"/>
                <w:color w:val="auto"/>
                <w:sz w:val="24"/>
                <w:lang w:val="en-US" w:eastAsia="zh-CN"/>
              </w:rPr>
              <w:t>油品、危废等</w:t>
            </w:r>
            <w:r>
              <w:rPr>
                <w:rFonts w:hint="default" w:ascii="Times New Roman" w:hAnsi="Times New Roman" w:cs="Times New Roman"/>
                <w:color w:val="auto"/>
                <w:sz w:val="24"/>
              </w:rPr>
              <w:t>泄漏，污染物下渗则可能会在厂区及周边较小范围内造成</w:t>
            </w:r>
            <w:r>
              <w:rPr>
                <w:rFonts w:hint="default" w:ascii="Times New Roman" w:hAnsi="Times New Roman" w:cs="Times New Roman"/>
                <w:color w:val="auto"/>
                <w:sz w:val="24"/>
                <w:lang w:val="en-US" w:eastAsia="zh-CN"/>
              </w:rPr>
              <w:t>土壤及地下水</w:t>
            </w:r>
            <w:r>
              <w:rPr>
                <w:rFonts w:hint="default" w:ascii="Times New Roman" w:hAnsi="Times New Roman" w:cs="Times New Roman"/>
                <w:color w:val="auto"/>
                <w:sz w:val="24"/>
              </w:rPr>
              <w:t>水质污染。项目所在地水文地质单元内水力梯度小，水流速度较慢，污染物不易随水流迁移。区域地层以风化基岩为主，透水性较小，污染物在其中迁移距离较小，对地下水基本无影响。</w:t>
            </w:r>
          </w:p>
          <w:p w14:paraId="67AA60B9">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若固体废物不考虑设置废物堆放处或者没有适当的防漏措施，其中的有害组分很容易经过风化、雨水淋溶、地表径流的侵蚀，产生有毒液体渗入土壤，</w:t>
            </w:r>
            <w:r>
              <w:rPr>
                <w:rFonts w:hint="default" w:ascii="Times New Roman" w:hAnsi="Times New Roman" w:cs="Times New Roman"/>
                <w:color w:val="auto"/>
                <w:sz w:val="24"/>
                <w:lang w:val="en-US" w:eastAsia="zh-CN"/>
              </w:rPr>
              <w:t>对土壤环境造成污染</w:t>
            </w:r>
            <w:r>
              <w:rPr>
                <w:rFonts w:hint="default" w:ascii="Times New Roman" w:hAnsi="Times New Roman" w:cs="Times New Roman"/>
                <w:color w:val="auto"/>
                <w:sz w:val="24"/>
              </w:rPr>
              <w:t>。同时这些水分经土壤渗入地下水，对地下水水质也造成污染。本项目设置有危废仓库暂存危险废物，且危险废物仓库采取“三防”（防扬散、防流失、防渗漏）和防腐措施。因此，项目运行期可有效避免由于固废的</w:t>
            </w:r>
            <w:r>
              <w:rPr>
                <w:rFonts w:hint="eastAsia" w:cs="Times New Roman"/>
                <w:color w:val="auto"/>
                <w:sz w:val="24"/>
                <w:lang w:eastAsia="zh-CN"/>
              </w:rPr>
              <w:t>泄漏</w:t>
            </w:r>
            <w:r>
              <w:rPr>
                <w:rFonts w:hint="default" w:ascii="Times New Roman" w:hAnsi="Times New Roman" w:cs="Times New Roman"/>
                <w:color w:val="auto"/>
                <w:sz w:val="24"/>
              </w:rPr>
              <w:t>而造成土壤环境的污染。</w:t>
            </w:r>
          </w:p>
          <w:p w14:paraId="182C122E">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大气沉降主要考虑重点重金属、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583A6AD6">
            <w:pPr>
              <w:snapToGrid w:val="0"/>
              <w:spacing w:line="500" w:lineRule="exact"/>
              <w:ind w:firstLine="480" w:firstLineChars="200"/>
              <w:rPr>
                <w:rFonts w:hint="default" w:ascii="Times New Roman" w:hAnsi="Times New Roman" w:cs="Times New Roman"/>
                <w:bCs/>
                <w:color w:val="auto"/>
                <w:sz w:val="24"/>
              </w:rPr>
            </w:pPr>
            <w:r>
              <w:rPr>
                <w:rFonts w:hint="eastAsia" w:cs="Times New Roman"/>
                <w:color w:val="auto"/>
                <w:sz w:val="24"/>
                <w:lang w:val="en-US" w:eastAsia="zh-CN"/>
              </w:rPr>
              <w:t>2、</w:t>
            </w:r>
            <w:r>
              <w:rPr>
                <w:rFonts w:hint="default" w:ascii="Times New Roman" w:hAnsi="Times New Roman" w:cs="Times New Roman"/>
                <w:bCs/>
                <w:color w:val="auto"/>
                <w:sz w:val="24"/>
              </w:rPr>
              <w:t>土壤</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地下水污染防治措施</w:t>
            </w:r>
          </w:p>
          <w:p w14:paraId="66316207">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本项目土壤地下水污染防治措施按照“源头控制、分区防治、污染监控、应急响应”相结合的原则，从污染物的产生、入渗、扩散、应急响应进行控制。</w:t>
            </w:r>
          </w:p>
          <w:p w14:paraId="3A8F983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1</w:t>
            </w:r>
            <w:r>
              <w:rPr>
                <w:rFonts w:hint="eastAsia" w:cs="Times New Roman"/>
                <w:bCs/>
                <w:color w:val="auto"/>
                <w:sz w:val="24"/>
                <w:lang w:eastAsia="zh-CN"/>
              </w:rPr>
              <w:t>）</w:t>
            </w:r>
            <w:r>
              <w:rPr>
                <w:rFonts w:hint="default" w:ascii="Times New Roman" w:hAnsi="Times New Roman" w:cs="Times New Roman"/>
                <w:bCs/>
                <w:color w:val="auto"/>
                <w:sz w:val="24"/>
              </w:rPr>
              <w:t>源头控制措施</w:t>
            </w:r>
          </w:p>
          <w:p w14:paraId="727DB818">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542AB2C9">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rPr>
              <w:t>分区防渗措施</w:t>
            </w:r>
          </w:p>
          <w:p w14:paraId="2E11BC81">
            <w:pPr>
              <w:spacing w:line="500" w:lineRule="exact"/>
              <w:ind w:firstLine="480" w:firstLineChars="200"/>
              <w:rPr>
                <w:rFonts w:hint="default" w:ascii="Times New Roman" w:hAnsi="Times New Roman" w:eastAsia="宋体" w:cs="Times New Roman"/>
                <w:bCs/>
                <w:color w:val="auto"/>
                <w:sz w:val="24"/>
              </w:rPr>
            </w:pPr>
            <w:bookmarkStart w:id="6" w:name="OLE_LINK23"/>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rPr>
              <w:t>重点防渗区</w:t>
            </w:r>
            <w:bookmarkEnd w:id="6"/>
          </w:p>
          <w:p w14:paraId="531A23A3">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本项目建成后，</w:t>
            </w:r>
            <w:r>
              <w:rPr>
                <w:rFonts w:hint="eastAsia" w:ascii="Times New Roman" w:hAnsi="Times New Roman" w:eastAsia="宋体" w:cs="Times New Roman"/>
                <w:bCs/>
                <w:color w:val="auto"/>
                <w:sz w:val="24"/>
                <w:lang w:eastAsia="zh-CN"/>
              </w:rPr>
              <w:t>厂区</w:t>
            </w:r>
            <w:r>
              <w:rPr>
                <w:rFonts w:hint="default" w:ascii="Times New Roman" w:hAnsi="Times New Roman" w:eastAsia="宋体" w:cs="Times New Roman"/>
                <w:bCs/>
                <w:color w:val="auto"/>
                <w:sz w:val="24"/>
              </w:rPr>
              <w:t>重点防渗区</w:t>
            </w:r>
            <w:r>
              <w:rPr>
                <w:rFonts w:hint="eastAsia" w:ascii="Times New Roman" w:hAnsi="Times New Roman" w:eastAsia="宋体" w:cs="Times New Roman"/>
                <w:bCs/>
                <w:color w:val="auto"/>
                <w:sz w:val="24"/>
                <w:szCs w:val="24"/>
                <w:lang w:val="en-US" w:eastAsia="zh-CN"/>
              </w:rPr>
              <w:t>主要为浸锡区、</w:t>
            </w:r>
            <w:r>
              <w:rPr>
                <w:rFonts w:hint="eastAsia" w:ascii="Times New Roman" w:hAnsi="Times New Roman" w:eastAsia="宋体" w:cs="Times New Roman"/>
                <w:bCs/>
                <w:color w:val="auto"/>
                <w:sz w:val="24"/>
                <w:szCs w:val="24"/>
                <w:lang w:eastAsia="zh-CN"/>
              </w:rPr>
              <w:t>危废仓库</w:t>
            </w:r>
            <w:r>
              <w:rPr>
                <w:rFonts w:hint="default" w:ascii="Times New Roman" w:hAnsi="Times New Roman" w:eastAsia="宋体" w:cs="Times New Roman"/>
                <w:bCs/>
                <w:color w:val="auto"/>
                <w:sz w:val="24"/>
                <w:szCs w:val="24"/>
              </w:rPr>
              <w:t>等。</w:t>
            </w:r>
            <w:r>
              <w:rPr>
                <w:rFonts w:hint="eastAsia" w:ascii="Times New Roman" w:hAnsi="Times New Roman" w:eastAsia="宋体" w:cs="Times New Roman"/>
                <w:bCs/>
                <w:color w:val="auto"/>
                <w:sz w:val="24"/>
                <w:szCs w:val="24"/>
                <w:lang w:val="en-US" w:eastAsia="zh-CN"/>
              </w:rPr>
              <w:t>浸锡区、</w:t>
            </w:r>
            <w:r>
              <w:rPr>
                <w:rFonts w:hint="eastAsia" w:ascii="Times New Roman" w:hAnsi="Times New Roman" w:eastAsia="宋体" w:cs="Times New Roman"/>
                <w:bCs/>
                <w:color w:val="auto"/>
                <w:sz w:val="24"/>
                <w:szCs w:val="24"/>
                <w:lang w:eastAsia="zh-CN"/>
              </w:rPr>
              <w:t>危废仓库等</w:t>
            </w:r>
            <w:r>
              <w:rPr>
                <w:rFonts w:hint="default" w:ascii="Times New Roman" w:hAnsi="Times New Roman" w:eastAsia="宋体" w:cs="Times New Roman"/>
                <w:bCs/>
                <w:color w:val="auto"/>
                <w:sz w:val="24"/>
                <w:szCs w:val="24"/>
              </w:rPr>
              <w:t>重点防渗区</w:t>
            </w:r>
            <w:r>
              <w:rPr>
                <w:rFonts w:hint="eastAsia" w:ascii="Times New Roman" w:hAnsi="Times New Roman" w:eastAsia="宋体" w:cs="Times New Roman"/>
                <w:bCs/>
                <w:color w:val="auto"/>
                <w:sz w:val="24"/>
                <w:szCs w:val="24"/>
                <w:lang w:eastAsia="zh-CN"/>
              </w:rPr>
              <w:t>需参照</w:t>
            </w:r>
            <w:r>
              <w:rPr>
                <w:rFonts w:hint="default" w:ascii="Times New Roman" w:hAnsi="Times New Roman" w:eastAsia="宋体" w:cs="Times New Roman"/>
                <w:bCs/>
                <w:color w:val="auto"/>
                <w:sz w:val="24"/>
                <w:szCs w:val="24"/>
              </w:rPr>
              <w:t>《危险废物贮存污染控制标准》（GB18597-2023）进行防渗设计，</w:t>
            </w:r>
            <w:r>
              <w:rPr>
                <w:rFonts w:hint="eastAsia" w:eastAsia="宋体" w:cs="Times New Roman"/>
                <w:bCs/>
                <w:color w:val="auto"/>
                <w:sz w:val="24"/>
                <w:szCs w:val="24"/>
                <w:lang w:eastAsia="zh-CN"/>
              </w:rPr>
              <w:t>设置</w:t>
            </w:r>
            <w:r>
              <w:rPr>
                <w:rFonts w:hint="default" w:ascii="Times New Roman" w:hAnsi="Times New Roman" w:eastAsia="宋体" w:cs="Times New Roman"/>
                <w:bCs/>
                <w:color w:val="auto"/>
                <w:sz w:val="24"/>
                <w:szCs w:val="24"/>
              </w:rPr>
              <w:t>耐腐蚀的硬化地面和基础防渗层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rPr>
              <w:t>渗透系数小于1.0×10</w:t>
            </w:r>
            <w:r>
              <w:rPr>
                <w:rFonts w:hint="default" w:ascii="Times New Roman" w:hAnsi="Times New Roman" w:eastAsia="宋体" w:cs="Times New Roman"/>
                <w:bCs/>
                <w:color w:val="auto"/>
                <w:sz w:val="24"/>
                <w:vertAlign w:val="superscript"/>
              </w:rPr>
              <w:t>-10</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r>
              <w:rPr>
                <w:rFonts w:hint="eastAsia" w:cs="Times New Roman"/>
                <w:color w:val="auto"/>
                <w:sz w:val="24"/>
                <w:szCs w:val="24"/>
                <w:highlight w:val="none"/>
                <w:lang w:eastAsia="zh-CN"/>
              </w:rPr>
              <w:t>危废仓库需设置在车间</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bCs/>
                <w:color w:val="auto"/>
                <w:sz w:val="24"/>
              </w:rPr>
              <w:t>具备防风、防雨和防晒功能，并设计径流疏通系统，保证不受25年一遇暴雨的影响。</w:t>
            </w:r>
          </w:p>
          <w:p w14:paraId="48FE0244">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rPr>
              <w:t>一般防渗区</w:t>
            </w:r>
          </w:p>
          <w:p w14:paraId="0E1899F1">
            <w:pPr>
              <w:spacing w:line="500" w:lineRule="exact"/>
              <w:ind w:firstLine="480" w:firstLineChars="200"/>
              <w:rPr>
                <w:rFonts w:hint="eastAsia"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本项目建成后，一般防渗区主要为</w:t>
            </w:r>
            <w:r>
              <w:rPr>
                <w:rFonts w:hint="default" w:ascii="Times New Roman" w:hAnsi="Times New Roman" w:eastAsia="宋体" w:cs="Times New Roman"/>
                <w:bCs/>
                <w:color w:val="auto"/>
                <w:sz w:val="24"/>
                <w:lang w:val="en-US" w:eastAsia="zh-CN"/>
              </w:rPr>
              <w:t>车间</w:t>
            </w:r>
            <w:r>
              <w:rPr>
                <w:rFonts w:hint="eastAsia" w:cs="Times New Roman"/>
                <w:bCs/>
                <w:color w:val="auto"/>
                <w:sz w:val="24"/>
                <w:lang w:val="en-US" w:eastAsia="zh-CN"/>
              </w:rPr>
              <w:t>其他区域</w:t>
            </w:r>
            <w:r>
              <w:rPr>
                <w:rFonts w:hint="eastAsia" w:ascii="Times New Roman" w:hAnsi="Times New Roman" w:eastAsia="宋体" w:cs="Times New Roman"/>
                <w:bCs/>
                <w:color w:val="auto"/>
                <w:sz w:val="24"/>
                <w:lang w:val="en-US" w:eastAsia="zh-CN"/>
              </w:rPr>
              <w:t>、</w:t>
            </w:r>
            <w:r>
              <w:rPr>
                <w:rFonts w:hint="eastAsia" w:cs="Times New Roman"/>
                <w:bCs/>
                <w:color w:val="auto"/>
                <w:sz w:val="24"/>
                <w:lang w:val="en-US" w:eastAsia="zh-CN"/>
              </w:rPr>
              <w:t>原料仓库、成品仓库、</w:t>
            </w:r>
            <w:r>
              <w:rPr>
                <w:rFonts w:hint="eastAsia" w:cs="Times New Roman"/>
                <w:bCs/>
                <w:color w:val="auto"/>
                <w:sz w:val="24"/>
                <w:lang w:eastAsia="zh-CN"/>
              </w:rPr>
              <w:t>一般固废仓库</w:t>
            </w:r>
            <w:r>
              <w:rPr>
                <w:rFonts w:hint="default" w:ascii="Times New Roman" w:hAnsi="Times New Roman" w:eastAsia="宋体" w:cs="Times New Roman"/>
                <w:bCs/>
                <w:color w:val="auto"/>
                <w:sz w:val="24"/>
              </w:rPr>
              <w:t>等</w:t>
            </w:r>
            <w:r>
              <w:rPr>
                <w:rFonts w:hint="eastAsia" w:cs="Times New Roman"/>
                <w:bCs/>
                <w:color w:val="auto"/>
                <w:sz w:val="24"/>
                <w:lang w:eastAsia="zh-CN"/>
              </w:rPr>
              <w:t>，</w:t>
            </w:r>
            <w:r>
              <w:rPr>
                <w:rFonts w:hint="eastAsia" w:ascii="Times New Roman" w:hAnsi="Times New Roman" w:eastAsia="宋体" w:cs="Times New Roman"/>
                <w:bCs/>
                <w:color w:val="auto"/>
                <w:sz w:val="24"/>
                <w:lang w:val="en-US" w:eastAsia="zh-CN"/>
              </w:rPr>
              <w:t>需按照</w:t>
            </w:r>
            <w:r>
              <w:rPr>
                <w:rFonts w:hint="default" w:ascii="Times New Roman" w:hAnsi="Times New Roman" w:eastAsia="宋体" w:cs="Times New Roman"/>
                <w:bCs/>
                <w:color w:val="auto"/>
                <w:sz w:val="24"/>
              </w:rPr>
              <w:t>一般防渗区</w:t>
            </w:r>
            <w:r>
              <w:rPr>
                <w:rFonts w:hint="eastAsia" w:ascii="Times New Roman" w:hAnsi="Times New Roman" w:eastAsia="宋体" w:cs="Times New Roman"/>
                <w:bCs/>
                <w:color w:val="auto"/>
                <w:sz w:val="24"/>
                <w:lang w:eastAsia="zh-CN"/>
              </w:rPr>
              <w:t>要求采用</w:t>
            </w:r>
            <w:r>
              <w:rPr>
                <w:rFonts w:hint="default" w:ascii="Times New Roman" w:hAnsi="Times New Roman" w:cs="Times New Roman"/>
                <w:bCs/>
                <w:color w:val="auto"/>
                <w:sz w:val="24"/>
              </w:rPr>
              <w:t>人工大理石或水泥防渗结构</w:t>
            </w:r>
            <w:r>
              <w:rPr>
                <w:rFonts w:hint="default" w:ascii="Times New Roman" w:hAnsi="Times New Roman" w:eastAsia="宋体" w:cs="Times New Roman"/>
                <w:bCs/>
                <w:color w:val="auto"/>
                <w:sz w:val="24"/>
              </w:rPr>
              <w:t>，</w:t>
            </w:r>
            <w:r>
              <w:rPr>
                <w:rFonts w:hint="default" w:ascii="Times New Roman" w:hAnsi="Times New Roman" w:cs="Times New Roman"/>
                <w:bCs/>
                <w:color w:val="auto"/>
                <w:sz w:val="24"/>
              </w:rPr>
              <w:t>车间地面全部进行粘土夯实、混凝硬化</w:t>
            </w:r>
            <w:r>
              <w:rPr>
                <w:rFonts w:hint="eastAsia" w:ascii="Times New Roman" w:hAnsi="Times New Roman" w:cs="Times New Roman"/>
                <w:bCs/>
                <w:color w:val="auto"/>
                <w:sz w:val="24"/>
                <w:lang w:eastAsia="zh-CN"/>
              </w:rPr>
              <w:t>，</w:t>
            </w:r>
            <w:r>
              <w:rPr>
                <w:rFonts w:hint="default" w:ascii="Times New Roman" w:hAnsi="Times New Roman" w:eastAsia="宋体" w:cs="Times New Roman"/>
                <w:bCs/>
                <w:color w:val="auto"/>
                <w:sz w:val="24"/>
              </w:rPr>
              <w:t>确保渗透系数≤1.0×10</w:t>
            </w:r>
            <w:r>
              <w:rPr>
                <w:rFonts w:hint="default" w:ascii="Times New Roman" w:hAnsi="Times New Roman" w:eastAsia="宋体" w:cs="Times New Roman"/>
                <w:bCs/>
                <w:color w:val="auto"/>
                <w:sz w:val="24"/>
                <w:vertAlign w:val="superscript"/>
              </w:rPr>
              <w:t>-7</w:t>
            </w:r>
            <w:r>
              <w:rPr>
                <w:rFonts w:hint="default" w:ascii="Times New Roman" w:hAnsi="Times New Roman" w:eastAsia="宋体" w:cs="Times New Roman"/>
                <w:bCs/>
                <w:color w:val="auto"/>
                <w:sz w:val="24"/>
              </w:rPr>
              <w:t>cm/s</w:t>
            </w:r>
            <w:r>
              <w:rPr>
                <w:rFonts w:hint="eastAsia" w:ascii="Times New Roman" w:hAnsi="Times New Roman" w:eastAsia="宋体" w:cs="Times New Roman"/>
                <w:bCs/>
                <w:color w:val="auto"/>
                <w:sz w:val="24"/>
                <w:lang w:eastAsia="zh-CN"/>
              </w:rPr>
              <w:t>。</w:t>
            </w:r>
          </w:p>
          <w:p w14:paraId="02436C9B">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3</w:t>
            </w:r>
            <w:r>
              <w:rPr>
                <w:rFonts w:hint="eastAsia" w:cs="Times New Roman"/>
                <w:bCs/>
                <w:color w:val="auto"/>
                <w:sz w:val="24"/>
                <w:lang w:eastAsia="zh-CN"/>
              </w:rPr>
              <w:t>）</w:t>
            </w:r>
            <w:r>
              <w:rPr>
                <w:rFonts w:hint="default" w:ascii="Times New Roman" w:hAnsi="Times New Roman" w:cs="Times New Roman"/>
                <w:bCs/>
                <w:color w:val="auto"/>
                <w:sz w:val="24"/>
              </w:rPr>
              <w:t>应急处置</w:t>
            </w:r>
          </w:p>
          <w:p w14:paraId="333BDC3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w:t>
            </w:r>
            <w:r>
              <w:rPr>
                <w:rFonts w:hint="eastAsia"/>
                <w:color w:val="auto"/>
                <w:sz w:val="24"/>
                <w:szCs w:val="32"/>
                <w:lang w:val="en-US" w:eastAsia="zh-CN"/>
              </w:rPr>
              <w:t>事件</w:t>
            </w:r>
            <w:r>
              <w:rPr>
                <w:rFonts w:hint="default" w:ascii="Times New Roman" w:hAnsi="Times New Roman" w:cs="Times New Roman"/>
                <w:bCs/>
                <w:color w:val="auto"/>
                <w:sz w:val="24"/>
              </w:rPr>
              <w:t>局部化，如可能应予以消除，尽量缩小环境事故对人和财产的影响，减低事故后果的手段，包括切断生产装置或设施。对事故现场</w:t>
            </w:r>
            <w:r>
              <w:rPr>
                <w:rFonts w:hint="eastAsia" w:cs="Times New Roman"/>
                <w:bCs/>
                <w:color w:val="auto"/>
                <w:sz w:val="24"/>
                <w:lang w:val="en-US" w:eastAsia="zh-CN"/>
              </w:rPr>
              <w:t>进行</w:t>
            </w:r>
            <w:r>
              <w:rPr>
                <w:rFonts w:hint="default" w:ascii="Times New Roman" w:hAnsi="Times New Roman" w:cs="Times New Roman"/>
                <w:bCs/>
                <w:color w:val="auto"/>
                <w:sz w:val="24"/>
              </w:rPr>
              <w:t>调查、监测、处理。对事故后果进行评估，采取紧急措施制止事故的扩散、扩大，并制定防止类似事件发生的措施。如果本公司力量不足，需要请求社会应急力量协助。</w:t>
            </w:r>
          </w:p>
          <w:p w14:paraId="3CE87685">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六</w:t>
            </w:r>
            <w:r>
              <w:rPr>
                <w:rFonts w:hint="default" w:ascii="Times New Roman" w:hAnsi="Times New Roman" w:cs="Times New Roman"/>
                <w:b/>
                <w:bCs/>
                <w:color w:val="auto"/>
                <w:sz w:val="24"/>
              </w:rPr>
              <w:t>、生态</w:t>
            </w:r>
          </w:p>
          <w:p w14:paraId="74B04280">
            <w:pPr>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szCs w:val="22"/>
              </w:rPr>
              <w:t>本项目不在已划定的生态空间管控区域和生态红线区内，无须设置生态保护措施。</w:t>
            </w:r>
          </w:p>
          <w:p w14:paraId="11BA2D3E">
            <w:pPr>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七</w:t>
            </w:r>
            <w:r>
              <w:rPr>
                <w:rFonts w:hint="default" w:ascii="Times New Roman" w:hAnsi="Times New Roman" w:cs="Times New Roman"/>
                <w:b/>
                <w:bCs/>
                <w:color w:val="auto"/>
                <w:sz w:val="24"/>
              </w:rPr>
              <w:t>、环境风险</w:t>
            </w:r>
          </w:p>
          <w:p w14:paraId="0FD704D8">
            <w:pPr>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1、</w:t>
            </w:r>
            <w:r>
              <w:rPr>
                <w:rFonts w:hint="default" w:ascii="Times New Roman" w:hAnsi="Times New Roman" w:cs="Times New Roman"/>
                <w:bCs/>
                <w:color w:val="auto"/>
                <w:sz w:val="24"/>
              </w:rPr>
              <w:t>风险识别</w:t>
            </w:r>
          </w:p>
          <w:p w14:paraId="489061AB">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本项目涉及的风险物质最大存储量与临界量见下表。</w:t>
            </w:r>
          </w:p>
          <w:p w14:paraId="5EF8D87E">
            <w:pPr>
              <w:spacing w:line="50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-18 </w:t>
            </w:r>
            <w:r>
              <w:rPr>
                <w:rFonts w:hint="default" w:ascii="Times New Roman" w:hAnsi="Times New Roman" w:cs="Times New Roman"/>
                <w:b/>
                <w:bCs/>
                <w:color w:val="auto"/>
                <w:szCs w:val="21"/>
                <w:highlight w:val="none"/>
              </w:rPr>
              <w:t>风险物质与临界量比值结果表</w:t>
            </w:r>
          </w:p>
          <w:tbl>
            <w:tblPr>
              <w:tblStyle w:val="2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616"/>
              <w:gridCol w:w="2072"/>
              <w:gridCol w:w="1077"/>
              <w:gridCol w:w="1779"/>
              <w:gridCol w:w="1563"/>
            </w:tblGrid>
            <w:tr w14:paraId="3EF52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1FC6DB7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914" w:type="pct"/>
                  <w:vAlign w:val="center"/>
                </w:tcPr>
                <w:p w14:paraId="7795BFEB">
                  <w:p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szCs w:val="21"/>
                    </w:rPr>
                    <w:t>名称</w:t>
                  </w:r>
                </w:p>
              </w:tc>
              <w:tc>
                <w:tcPr>
                  <w:tcW w:w="1172" w:type="pct"/>
                  <w:tcBorders>
                    <w:right w:val="single" w:color="000000" w:sz="4" w:space="0"/>
                  </w:tcBorders>
                  <w:vAlign w:val="center"/>
                </w:tcPr>
                <w:p w14:paraId="36041FBA">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最大存在总量（t）</w:t>
                  </w:r>
                </w:p>
              </w:tc>
              <w:tc>
                <w:tcPr>
                  <w:tcW w:w="608" w:type="pct"/>
                  <w:tcBorders>
                    <w:left w:val="single" w:color="000000" w:sz="4" w:space="0"/>
                  </w:tcBorders>
                  <w:vAlign w:val="center"/>
                </w:tcPr>
                <w:p w14:paraId="2D08DD0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临界量（t）</w:t>
                  </w:r>
                </w:p>
              </w:tc>
              <w:tc>
                <w:tcPr>
                  <w:tcW w:w="1006" w:type="pct"/>
                  <w:vAlign w:val="center"/>
                </w:tcPr>
                <w:p w14:paraId="7737425F">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最大储存量与临界量的比值（q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/Q</w:t>
                  </w:r>
                  <w:r>
                    <w:rPr>
                      <w:rFonts w:hint="default" w:ascii="Times New Roman" w:hAnsi="Times New Roman" w:cs="Times New Roman"/>
                      <w:b/>
                      <w:color w:val="auto"/>
                      <w:szCs w:val="21"/>
                      <w:vertAlign w:val="subscript"/>
                    </w:rPr>
                    <w:t>i</w:t>
                  </w:r>
                  <w:r>
                    <w:rPr>
                      <w:rFonts w:hint="default" w:ascii="Times New Roman" w:hAnsi="Times New Roman" w:cs="Times New Roman"/>
                      <w:b/>
                      <w:color w:val="auto"/>
                      <w:szCs w:val="21"/>
                    </w:rPr>
                    <w:t>）</w:t>
                  </w:r>
                </w:p>
              </w:tc>
              <w:tc>
                <w:tcPr>
                  <w:tcW w:w="884" w:type="pct"/>
                  <w:vAlign w:val="center"/>
                </w:tcPr>
                <w:p w14:paraId="506A0266">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储存地点</w:t>
                  </w:r>
                </w:p>
              </w:tc>
            </w:tr>
            <w:tr w14:paraId="7EDE04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7B264019">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914" w:type="pct"/>
                  <w:vAlign w:val="center"/>
                </w:tcPr>
                <w:p w14:paraId="361B62C1">
                  <w:pPr>
                    <w:pStyle w:val="23"/>
                    <w:keepNext w:val="0"/>
                    <w:keepLines w:val="0"/>
                    <w:widowControl/>
                    <w:suppressLineNumbers w:val="0"/>
                    <w:ind w:left="0" w:leftChars="0" w:right="0" w:right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bCs/>
                      <w:color w:val="auto"/>
                      <w:kern w:val="2"/>
                      <w:sz w:val="21"/>
                      <w:szCs w:val="21"/>
                      <w:lang w:val="en-US" w:eastAsia="zh-CN" w:bidi="ar-SA"/>
                    </w:rPr>
                    <w:t>浸锡</w:t>
                  </w:r>
                  <w:r>
                    <w:rPr>
                      <w:rFonts w:hint="default" w:ascii="Times New Roman" w:hAnsi="Times New Roman" w:eastAsia="宋体" w:cs="Times New Roman"/>
                      <w:bCs/>
                      <w:color w:val="auto"/>
                      <w:kern w:val="2"/>
                      <w:sz w:val="21"/>
                      <w:szCs w:val="21"/>
                      <w:lang w:val="en-US" w:eastAsia="zh-CN" w:bidi="ar-SA"/>
                    </w:rPr>
                    <w:t>废气</w:t>
                  </w:r>
                  <w:r>
                    <w:rPr>
                      <w:rFonts w:hint="eastAsia"/>
                      <w:color w:val="auto"/>
                      <w:sz w:val="21"/>
                      <w:szCs w:val="21"/>
                      <w:lang w:val="en-US" w:eastAsia="zh-CN"/>
                    </w:rPr>
                    <w:t>及收尘</w:t>
                  </w:r>
                </w:p>
              </w:tc>
              <w:tc>
                <w:tcPr>
                  <w:tcW w:w="1172" w:type="pct"/>
                  <w:tcBorders>
                    <w:right w:val="single" w:color="000000" w:sz="4" w:space="0"/>
                  </w:tcBorders>
                  <w:vAlign w:val="center"/>
                </w:tcPr>
                <w:p w14:paraId="0FFC567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0.0000001(铜及其化合物)</w:t>
                  </w:r>
                </w:p>
              </w:tc>
              <w:tc>
                <w:tcPr>
                  <w:tcW w:w="608" w:type="pct"/>
                  <w:tcBorders>
                    <w:left w:val="single" w:color="000000" w:sz="4" w:space="0"/>
                  </w:tcBorders>
                  <w:vAlign w:val="center"/>
                </w:tcPr>
                <w:p w14:paraId="50FC78B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0.025</w:t>
                  </w:r>
                </w:p>
              </w:tc>
              <w:tc>
                <w:tcPr>
                  <w:tcW w:w="1006" w:type="pct"/>
                  <w:vAlign w:val="center"/>
                </w:tcPr>
                <w:p w14:paraId="00BABE6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0.000004</w:t>
                  </w:r>
                </w:p>
              </w:tc>
              <w:tc>
                <w:tcPr>
                  <w:tcW w:w="884" w:type="pct"/>
                  <w:vAlign w:val="center"/>
                </w:tcPr>
                <w:p w14:paraId="40B4F3C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原料仓库</w:t>
                  </w:r>
                </w:p>
              </w:tc>
            </w:tr>
            <w:tr w14:paraId="1340E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628FA160">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2</w:t>
                  </w:r>
                </w:p>
              </w:tc>
              <w:tc>
                <w:tcPr>
                  <w:tcW w:w="914" w:type="pct"/>
                  <w:vAlign w:val="center"/>
                </w:tcPr>
                <w:p w14:paraId="0B54A00C">
                  <w:pPr>
                    <w:pStyle w:val="23"/>
                    <w:keepNext w:val="0"/>
                    <w:keepLines w:val="0"/>
                    <w:widowControl/>
                    <w:suppressLineNumbers w:val="0"/>
                    <w:ind w:left="0" w:leftChars="0" w:right="0" w:rightChars="0"/>
                    <w:jc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水性助焊剂</w:t>
                  </w:r>
                </w:p>
              </w:tc>
              <w:tc>
                <w:tcPr>
                  <w:tcW w:w="1172" w:type="pct"/>
                  <w:tcBorders>
                    <w:right w:val="single" w:color="000000" w:sz="4" w:space="0"/>
                  </w:tcBorders>
                  <w:vAlign w:val="center"/>
                </w:tcPr>
                <w:p w14:paraId="079C77F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0.1</w:t>
                  </w:r>
                </w:p>
              </w:tc>
              <w:tc>
                <w:tcPr>
                  <w:tcW w:w="608" w:type="pct"/>
                  <w:tcBorders>
                    <w:left w:val="single" w:color="000000" w:sz="4" w:space="0"/>
                  </w:tcBorders>
                  <w:vAlign w:val="center"/>
                </w:tcPr>
                <w:p w14:paraId="661F0E2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w:t>
                  </w:r>
                </w:p>
              </w:tc>
              <w:tc>
                <w:tcPr>
                  <w:tcW w:w="1006" w:type="pct"/>
                  <w:vAlign w:val="center"/>
                </w:tcPr>
                <w:p w14:paraId="0E71BFB7">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0.002</w:t>
                  </w:r>
                </w:p>
              </w:tc>
              <w:tc>
                <w:tcPr>
                  <w:tcW w:w="884" w:type="pct"/>
                  <w:vAlign w:val="center"/>
                </w:tcPr>
                <w:p w14:paraId="519499D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浸锡区</w:t>
                  </w:r>
                </w:p>
              </w:tc>
            </w:tr>
            <w:tr w14:paraId="0E258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7D580BA8">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3</w:t>
                  </w:r>
                </w:p>
              </w:tc>
              <w:tc>
                <w:tcPr>
                  <w:tcW w:w="914" w:type="pct"/>
                  <w:vAlign w:val="center"/>
                </w:tcPr>
                <w:p w14:paraId="2B6CE6F6">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kern w:val="2"/>
                      <w:sz w:val="21"/>
                      <w:szCs w:val="21"/>
                      <w:lang w:val="en-US" w:eastAsia="zh-CN" w:bidi="ar-SA"/>
                    </w:rPr>
                    <w:t>废塑料桶</w:t>
                  </w:r>
                </w:p>
              </w:tc>
              <w:tc>
                <w:tcPr>
                  <w:tcW w:w="1172" w:type="pct"/>
                  <w:tcBorders>
                    <w:right w:val="single" w:color="000000" w:sz="4" w:space="0"/>
                  </w:tcBorders>
                  <w:vAlign w:val="center"/>
                </w:tcPr>
                <w:p w14:paraId="467CBF6B">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Cs w:val="21"/>
                      <w:lang w:val="en-US" w:eastAsia="zh-CN"/>
                    </w:rPr>
                  </w:pPr>
                  <w:r>
                    <w:rPr>
                      <w:rFonts w:hint="eastAsia" w:cs="Times New Roman"/>
                      <w:color w:val="auto"/>
                      <w:sz w:val="21"/>
                      <w:szCs w:val="21"/>
                      <w:lang w:val="en-US" w:eastAsia="zh-CN"/>
                    </w:rPr>
                    <w:t>0.004</w:t>
                  </w:r>
                </w:p>
              </w:tc>
              <w:tc>
                <w:tcPr>
                  <w:tcW w:w="608" w:type="pct"/>
                  <w:tcBorders>
                    <w:left w:val="single" w:color="000000" w:sz="4" w:space="0"/>
                  </w:tcBorders>
                  <w:vAlign w:val="center"/>
                </w:tcPr>
                <w:p w14:paraId="4F45DD8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50</w:t>
                  </w:r>
                </w:p>
              </w:tc>
              <w:tc>
                <w:tcPr>
                  <w:tcW w:w="1006" w:type="pct"/>
                  <w:vAlign w:val="center"/>
                </w:tcPr>
                <w:p w14:paraId="799E8EC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0.00008</w:t>
                  </w:r>
                </w:p>
              </w:tc>
              <w:tc>
                <w:tcPr>
                  <w:tcW w:w="884" w:type="pct"/>
                  <w:vAlign w:val="center"/>
                </w:tcPr>
                <w:p w14:paraId="46241EA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危废仓库</w:t>
                  </w:r>
                </w:p>
              </w:tc>
            </w:tr>
            <w:tr w14:paraId="7175F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pct"/>
                  <w:gridSpan w:val="4"/>
                  <w:vAlign w:val="center"/>
                </w:tcPr>
                <w:p w14:paraId="4F8A74CB">
                  <w:pPr>
                    <w:adjustRightInd w:val="0"/>
                    <w:snapToGrid w:val="0"/>
                    <w:jc w:val="center"/>
                    <w:rPr>
                      <w:rFonts w:hint="default" w:cs="Times New Roman"/>
                      <w:color w:val="auto"/>
                      <w:szCs w:val="21"/>
                      <w:lang w:val="en-US" w:eastAsia="zh-CN"/>
                    </w:rPr>
                  </w:pPr>
                  <w:r>
                    <w:rPr>
                      <w:rFonts w:hint="default" w:cs="Times New Roman"/>
                      <w:color w:val="auto"/>
                      <w:szCs w:val="21"/>
                      <w:lang w:val="en-US" w:eastAsia="zh-CN"/>
                    </w:rPr>
                    <w:t>合计</w:t>
                  </w:r>
                </w:p>
              </w:tc>
              <w:tc>
                <w:tcPr>
                  <w:tcW w:w="1006" w:type="pct"/>
                  <w:vAlign w:val="center"/>
                </w:tcPr>
                <w:p w14:paraId="20F96FB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0.002084</w:t>
                  </w:r>
                </w:p>
              </w:tc>
              <w:tc>
                <w:tcPr>
                  <w:tcW w:w="884" w:type="pct"/>
                  <w:vAlign w:val="center"/>
                </w:tcPr>
                <w:p w14:paraId="6AA963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1DDDE962">
            <w:pPr>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由上表可知风险物质与临界量比值Q＜1，故本项目环境风险潜势等级低。</w:t>
            </w:r>
          </w:p>
          <w:p w14:paraId="79DA632D">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通过对本项目的风</w:t>
            </w:r>
            <w:r>
              <w:rPr>
                <w:rFonts w:hint="default" w:ascii="Times New Roman" w:hAnsi="Times New Roman" w:cs="Times New Roman"/>
                <w:bCs/>
                <w:color w:val="auto"/>
                <w:sz w:val="24"/>
                <w:szCs w:val="24"/>
              </w:rPr>
              <w:t>险识别，参考同类企业的有关资料，本项目可能发生的突发环境事件为</w:t>
            </w:r>
            <w:r>
              <w:rPr>
                <w:rFonts w:hint="eastAsia" w:cs="Times New Roman"/>
                <w:bCs/>
                <w:color w:val="auto"/>
                <w:sz w:val="24"/>
                <w:szCs w:val="24"/>
                <w:lang w:eastAsia="zh-CN"/>
              </w:rPr>
              <w:t>：</w:t>
            </w:r>
            <w:r>
              <w:rPr>
                <w:rFonts w:hint="default" w:ascii="Times New Roman" w:hAnsi="Times New Roman" w:cs="Times New Roman"/>
                <w:bCs/>
                <w:color w:val="auto"/>
                <w:sz w:val="24"/>
                <w:szCs w:val="24"/>
              </w:rPr>
              <w:t>①</w:t>
            </w:r>
            <w:r>
              <w:rPr>
                <w:rFonts w:hint="default" w:ascii="Times New Roman" w:hAnsi="Times New Roman" w:eastAsia="宋体" w:cs="Times New Roman"/>
                <w:bCs/>
                <w:color w:val="auto"/>
                <w:sz w:val="24"/>
                <w:szCs w:val="24"/>
                <w:lang w:val="en-US" w:eastAsia="zh-CN"/>
              </w:rPr>
              <w:t>水性助焊剂</w:t>
            </w:r>
            <w:r>
              <w:rPr>
                <w:rFonts w:hint="eastAsia" w:ascii="Times New Roman" w:hAnsi="Times New Roman" w:eastAsia="宋体" w:cs="Times New Roman"/>
                <w:bCs/>
                <w:color w:val="auto"/>
                <w:sz w:val="24"/>
                <w:szCs w:val="24"/>
                <w:lang w:val="en-US" w:eastAsia="zh-CN"/>
              </w:rPr>
              <w:t>包装桶</w:t>
            </w:r>
            <w:r>
              <w:rPr>
                <w:rFonts w:hint="default" w:ascii="Times New Roman" w:hAnsi="Times New Roman" w:eastAsia="宋体" w:cs="Times New Roman"/>
                <w:bCs/>
                <w:color w:val="auto"/>
                <w:sz w:val="24"/>
                <w:szCs w:val="24"/>
              </w:rPr>
              <w:t>破损导致</w:t>
            </w:r>
            <w:r>
              <w:rPr>
                <w:rFonts w:hint="default" w:ascii="Times New Roman" w:hAnsi="Times New Roman" w:eastAsia="宋体" w:cs="Times New Roman"/>
                <w:bCs/>
                <w:color w:val="auto"/>
                <w:sz w:val="24"/>
                <w:szCs w:val="24"/>
                <w:lang w:val="en-US" w:eastAsia="zh-CN"/>
              </w:rPr>
              <w:t>水性助焊剂</w:t>
            </w:r>
            <w:r>
              <w:rPr>
                <w:rFonts w:hint="eastAsia" w:ascii="Times New Roman" w:hAnsi="Times New Roman" w:eastAsia="宋体" w:cs="Times New Roman"/>
                <w:bCs/>
                <w:color w:val="auto"/>
                <w:sz w:val="24"/>
                <w:szCs w:val="24"/>
                <w:lang w:val="en-US" w:eastAsia="zh-CN"/>
              </w:rPr>
              <w:t>泄漏</w:t>
            </w:r>
            <w:r>
              <w:rPr>
                <w:rFonts w:hint="default" w:ascii="Times New Roman" w:hAnsi="Times New Roman" w:eastAsia="宋体" w:cs="Times New Roman"/>
                <w:bCs/>
                <w:color w:val="auto"/>
                <w:sz w:val="24"/>
                <w:szCs w:val="24"/>
                <w:lang w:val="en-US" w:eastAsia="zh-CN"/>
              </w:rPr>
              <w:t>进入厂区内雨水管道，通过雨水冲刷和下渗影响土壤、地表水和地下水环境；②项目</w:t>
            </w:r>
            <w:r>
              <w:rPr>
                <w:rFonts w:hint="eastAsia" w:ascii="Times New Roman" w:hAnsi="Times New Roman" w:eastAsia="宋体" w:cs="Times New Roman"/>
                <w:bCs/>
                <w:color w:val="auto"/>
                <w:sz w:val="24"/>
                <w:szCs w:val="24"/>
                <w:lang w:val="en-US" w:eastAsia="zh-CN"/>
              </w:rPr>
              <w:t>绝缘膜、热缩管可燃</w:t>
            </w:r>
            <w:r>
              <w:rPr>
                <w:rFonts w:hint="default" w:ascii="Times New Roman" w:hAnsi="Times New Roman" w:eastAsia="宋体" w:cs="Times New Roman"/>
                <w:bCs/>
                <w:color w:val="auto"/>
                <w:sz w:val="24"/>
                <w:szCs w:val="24"/>
                <w:lang w:val="en-US" w:eastAsia="zh-CN"/>
              </w:rPr>
              <w:t>，遇明火可能发生火灾爆炸事故，产生次生/伴生环境事故。</w:t>
            </w:r>
          </w:p>
          <w:p w14:paraId="54EBC1E5">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2、</w:t>
            </w:r>
            <w:r>
              <w:rPr>
                <w:rFonts w:hint="default" w:ascii="Times New Roman" w:hAnsi="Times New Roman" w:cs="Times New Roman"/>
                <w:bCs/>
                <w:color w:val="auto"/>
                <w:sz w:val="24"/>
              </w:rPr>
              <w:t>环境风险防范及应急管理要求</w:t>
            </w:r>
          </w:p>
          <w:p w14:paraId="26FA8A6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管理、储存、使用、运输中的防范措施</w:t>
            </w:r>
          </w:p>
          <w:p w14:paraId="79DE8D4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77B0FE8E">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存放区风险防范措施</w:t>
            </w:r>
          </w:p>
          <w:p w14:paraId="09275743">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szCs w:val="24"/>
                <w:lang w:val="en-US" w:eastAsia="zh-CN"/>
              </w:rPr>
              <w:t>水性助焊剂</w:t>
            </w:r>
            <w:r>
              <w:rPr>
                <w:rFonts w:hint="default" w:ascii="Times New Roman" w:hAnsi="Times New Roman" w:cs="Times New Roman"/>
                <w:bCs/>
                <w:color w:val="auto"/>
                <w:sz w:val="24"/>
              </w:rPr>
              <w:t>必须设置于阴凉、通风的库房，库房必须防渗、防漏、防雨；仓库、危废仓库内应设置一个收集桶，当泄漏事故发生时，可及时将泄漏的物料或废料收集至桶内暂存，最终作为危险废物处理；仓库、危废仓库应配备吸附剂等材料，防止发生事故时能对事故进行应急处理。</w:t>
            </w:r>
          </w:p>
          <w:p w14:paraId="4777552B">
            <w:pPr>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泄漏</w:t>
            </w:r>
            <w:r>
              <w:rPr>
                <w:rFonts w:hint="default" w:ascii="Times New Roman" w:hAnsi="Times New Roman" w:cs="Times New Roman"/>
                <w:bCs/>
                <w:color w:val="auto"/>
                <w:sz w:val="24"/>
              </w:rPr>
              <w:t>事故应急对策措施</w:t>
            </w:r>
          </w:p>
          <w:p w14:paraId="0189EB57">
            <w:pPr>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尽可能采用不产生冲击、静电火花的工具进行泄漏物的回收，将泄漏物收集在密闭容器内，用</w:t>
            </w:r>
            <w:r>
              <w:rPr>
                <w:rFonts w:hint="eastAsia" w:cs="Times New Roman"/>
                <w:bCs/>
                <w:color w:val="auto"/>
                <w:sz w:val="24"/>
                <w:lang w:val="en-US" w:eastAsia="zh-CN"/>
              </w:rPr>
              <w:t>沙土</w:t>
            </w:r>
            <w:r>
              <w:rPr>
                <w:rFonts w:hint="default" w:ascii="Times New Roman" w:hAnsi="Times New Roman" w:cs="Times New Roman"/>
                <w:bCs/>
                <w:color w:val="auto"/>
                <w:sz w:val="24"/>
              </w:rPr>
              <w:t>或</w:t>
            </w:r>
            <w:r>
              <w:rPr>
                <w:rFonts w:hint="eastAsia" w:cs="Times New Roman"/>
                <w:bCs/>
                <w:color w:val="auto"/>
                <w:sz w:val="24"/>
                <w:lang w:val="en-US" w:eastAsia="zh-CN"/>
              </w:rPr>
              <w:t>其他</w:t>
            </w:r>
            <w:r>
              <w:rPr>
                <w:rFonts w:hint="default" w:ascii="Times New Roman" w:hAnsi="Times New Roman" w:cs="Times New Roman"/>
                <w:bCs/>
                <w:color w:val="auto"/>
                <w:sz w:val="24"/>
              </w:rPr>
              <w:t>惰性材料吸收</w:t>
            </w:r>
            <w:r>
              <w:rPr>
                <w:rFonts w:hint="eastAsia" w:ascii="Times New Roman" w:hAnsi="Times New Roman" w:cs="Times New Roman"/>
                <w:bCs/>
                <w:color w:val="auto"/>
                <w:sz w:val="24"/>
                <w:lang w:val="en-US" w:eastAsia="zh-CN"/>
              </w:rPr>
              <w:t>残液</w:t>
            </w:r>
            <w:r>
              <w:rPr>
                <w:rFonts w:hint="default" w:ascii="Times New Roman" w:hAnsi="Times New Roman" w:cs="Times New Roman"/>
                <w:bCs/>
                <w:color w:val="auto"/>
                <w:sz w:val="24"/>
              </w:rPr>
              <w:t>。</w:t>
            </w:r>
          </w:p>
          <w:p w14:paraId="4299DCCF">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4）火灾爆炸事故风险防范措施</w:t>
            </w:r>
          </w:p>
          <w:p w14:paraId="40688DF9">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①</w:t>
            </w:r>
            <w:r>
              <w:rPr>
                <w:rFonts w:hint="default" w:ascii="Times New Roman" w:hAnsi="Times New Roman" w:eastAsia="宋体" w:cs="Times New Roman"/>
                <w:bCs/>
                <w:color w:val="auto"/>
                <w:sz w:val="24"/>
                <w:lang w:val="en-US" w:eastAsia="zh-CN"/>
              </w:rPr>
              <w:t>定期对储运设备进行安全检测，检测内容、时间、人员应有记录保存。安全检测应根据设备的安全性、危险性设定检测频次。</w:t>
            </w:r>
          </w:p>
          <w:p w14:paraId="38DF499B">
            <w:pPr>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②</w:t>
            </w:r>
            <w:r>
              <w:rPr>
                <w:rFonts w:hint="default" w:ascii="Times New Roman" w:hAnsi="Times New Roman" w:eastAsia="宋体" w:cs="Times New Roman"/>
                <w:bCs/>
                <w:color w:val="auto"/>
                <w:sz w:val="24"/>
                <w:lang w:val="en-US" w:eastAsia="zh-CN"/>
              </w:rPr>
              <w:t>在管道以及其他设备上，设置永久性接地装置；在危险操作时，操作人员应使用抗静电工作帽和具有导电性的作业鞋；有防雷装置，特别防止雷击。</w:t>
            </w:r>
          </w:p>
          <w:p w14:paraId="3791B4DA">
            <w:pPr>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③</w:t>
            </w:r>
            <w:r>
              <w:rPr>
                <w:rFonts w:hint="default" w:ascii="Times New Roman" w:hAnsi="Times New Roman" w:eastAsia="宋体" w:cs="Times New Roman"/>
                <w:bCs/>
                <w:color w:val="auto"/>
                <w:sz w:val="24"/>
                <w:lang w:val="en-US" w:eastAsia="zh-CN"/>
              </w:rPr>
              <w:t>应加强火源的管理，严禁烟火带入，对设备需进行维修焊接，应经安全部门确认、准许，并有记录。</w:t>
            </w:r>
          </w:p>
          <w:p w14:paraId="722A4BC4">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④要有完善的安全消防措施。各重点部位建议设置灭火器，并且对其</w:t>
            </w:r>
            <w:r>
              <w:rPr>
                <w:rFonts w:hint="eastAsia" w:cs="Times New Roman"/>
                <w:bCs/>
                <w:color w:val="auto"/>
                <w:sz w:val="24"/>
                <w:lang w:val="en-US" w:eastAsia="zh-CN"/>
              </w:rPr>
              <w:t>做</w:t>
            </w:r>
            <w:r>
              <w:rPr>
                <w:rFonts w:hint="default" w:ascii="Times New Roman" w:hAnsi="Times New Roman" w:eastAsia="宋体" w:cs="Times New Roman"/>
                <w:bCs/>
                <w:color w:val="auto"/>
                <w:sz w:val="24"/>
                <w:lang w:val="en-US" w:eastAsia="zh-CN"/>
              </w:rPr>
              <w:t>定期检查。</w:t>
            </w:r>
          </w:p>
          <w:p w14:paraId="796BD9D6">
            <w:pPr>
              <w:keepNext w:val="0"/>
              <w:keepLines w:val="0"/>
              <w:pageBreakBefore w:val="0"/>
              <w:widowControl w:val="0"/>
              <w:kinsoku/>
              <w:wordWrap/>
              <w:overflowPunct/>
              <w:topLinePunct w:val="0"/>
              <w:bidi w:val="0"/>
              <w:snapToGrid w:val="0"/>
              <w:spacing w:line="500" w:lineRule="exact"/>
              <w:ind w:firstLine="480" w:firstLineChars="200"/>
              <w:rPr>
                <w:rFonts w:hint="eastAsia" w:ascii="Times New Roman" w:hAnsi="Times New Roman" w:eastAsia="宋体" w:cs="Times New Roman"/>
                <w:bCs/>
                <w:color w:val="auto"/>
                <w:sz w:val="24"/>
                <w:lang w:val="en-US" w:eastAsia="zh-CN"/>
              </w:rPr>
            </w:pPr>
            <w:r>
              <w:rPr>
                <w:rFonts w:hint="eastAsia" w:cs="Times New Roman"/>
                <w:bCs/>
                <w:color w:val="auto"/>
                <w:sz w:val="24"/>
                <w:lang w:val="en-US" w:eastAsia="zh-CN"/>
              </w:rPr>
              <w:t>5）</w:t>
            </w:r>
            <w:r>
              <w:rPr>
                <w:rFonts w:hint="eastAsia" w:ascii="Times New Roman" w:hAnsi="Times New Roman" w:eastAsia="宋体" w:cs="Times New Roman"/>
                <w:bCs/>
                <w:color w:val="auto"/>
                <w:sz w:val="24"/>
                <w:lang w:val="en-US" w:eastAsia="zh-CN"/>
              </w:rPr>
              <w:t>废气</w:t>
            </w:r>
            <w:r>
              <w:rPr>
                <w:rFonts w:hint="eastAsia" w:cs="Times New Roman"/>
                <w:bCs/>
                <w:color w:val="auto"/>
                <w:sz w:val="24"/>
                <w:lang w:val="en-US" w:eastAsia="zh-CN"/>
              </w:rPr>
              <w:t>处理设施</w:t>
            </w:r>
            <w:r>
              <w:rPr>
                <w:rFonts w:hint="eastAsia" w:ascii="Times New Roman" w:hAnsi="Times New Roman" w:eastAsia="宋体" w:cs="Times New Roman"/>
                <w:bCs/>
                <w:color w:val="auto"/>
                <w:sz w:val="24"/>
                <w:lang w:val="en-US" w:eastAsia="zh-CN"/>
              </w:rPr>
              <w:t>风险防范措施</w:t>
            </w:r>
          </w:p>
          <w:p w14:paraId="210C5058">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加强“</w:t>
            </w:r>
            <w:r>
              <w:rPr>
                <w:rFonts w:hint="eastAsia" w:cs="Times New Roman"/>
                <w:bCs/>
                <w:color w:val="auto"/>
                <w:sz w:val="24"/>
                <w:lang w:val="en-US" w:eastAsia="zh-CN"/>
              </w:rPr>
              <w:t>袋式除尘</w:t>
            </w:r>
            <w:r>
              <w:rPr>
                <w:rFonts w:hint="eastAsia" w:ascii="Times New Roman" w:hAnsi="Times New Roman" w:eastAsia="宋体" w:cs="Times New Roman"/>
                <w:bCs/>
                <w:color w:val="auto"/>
                <w:sz w:val="24"/>
                <w:lang w:val="en-US" w:eastAsia="zh-CN"/>
              </w:rPr>
              <w:t>”装置运行维护管理，做到治理设施较生产设备“先启后停”，在治理设施达到正常运行条件后方可启动生产设备，在生产设备停止、残留</w:t>
            </w:r>
            <w:r>
              <w:rPr>
                <w:rFonts w:hint="eastAsia" w:cs="Times New Roman"/>
                <w:bCs/>
                <w:color w:val="auto"/>
                <w:sz w:val="24"/>
                <w:lang w:val="en-US" w:eastAsia="zh-CN"/>
              </w:rPr>
              <w:t>颗粒物</w:t>
            </w:r>
            <w:r>
              <w:rPr>
                <w:rFonts w:hint="eastAsia" w:ascii="Times New Roman" w:hAnsi="Times New Roman" w:eastAsia="宋体" w:cs="Times New Roman"/>
                <w:bCs/>
                <w:color w:val="auto"/>
                <w:sz w:val="24"/>
                <w:lang w:val="en-US" w:eastAsia="zh-CN"/>
              </w:rPr>
              <w:t>废气收集处理完毕后，方可停运治理设施；及时清理、更换</w:t>
            </w:r>
            <w:r>
              <w:rPr>
                <w:rFonts w:hint="eastAsia" w:cs="Times New Roman"/>
                <w:bCs/>
                <w:color w:val="auto"/>
                <w:sz w:val="24"/>
                <w:lang w:val="en-US" w:eastAsia="zh-CN"/>
              </w:rPr>
              <w:t>布袋</w:t>
            </w:r>
            <w:r>
              <w:rPr>
                <w:rFonts w:hint="eastAsia" w:ascii="Times New Roman" w:hAnsi="Times New Roman" w:eastAsia="宋体" w:cs="Times New Roman"/>
                <w:bCs/>
                <w:color w:val="auto"/>
                <w:sz w:val="24"/>
                <w:lang w:val="en-US" w:eastAsia="zh-CN"/>
              </w:rPr>
              <w:t>等治理设施耗材，确保设施能够稳定高效运行。</w:t>
            </w:r>
          </w:p>
          <w:p w14:paraId="0C5F0E35">
            <w:pPr>
              <w:keepNext w:val="0"/>
              <w:keepLines w:val="0"/>
              <w:pageBreakBefore w:val="0"/>
              <w:widowControl w:val="0"/>
              <w:numPr>
                <w:ilvl w:val="0"/>
                <w:numId w:val="4"/>
              </w:numPr>
              <w:kinsoku/>
              <w:wordWrap/>
              <w:overflowPunct/>
              <w:topLinePunct w:val="0"/>
              <w:bidi w:val="0"/>
              <w:adjustRightInd w:val="0"/>
              <w:snapToGrid w:val="0"/>
              <w:spacing w:line="500" w:lineRule="exact"/>
              <w:ind w:firstLine="480" w:firstLineChars="200"/>
              <w:rPr>
                <w:rFonts w:hint="eastAsia" w:ascii="Cambria Math" w:hAnsi="Cambria Math" w:cs="Times New Roman"/>
                <w:color w:val="auto"/>
                <w:kern w:val="2"/>
                <w:sz w:val="24"/>
                <w:szCs w:val="24"/>
                <w:lang w:val="en-US" w:eastAsia="zh-CN" w:bidi="ar-SA"/>
              </w:rPr>
            </w:pPr>
            <w:r>
              <w:rPr>
                <w:rFonts w:hint="eastAsia" w:ascii="Cambria Math" w:hAnsi="Cambria Math" w:cs="Times New Roman"/>
                <w:color w:val="auto"/>
                <w:kern w:val="2"/>
                <w:sz w:val="24"/>
                <w:szCs w:val="24"/>
                <w:lang w:val="en-US" w:eastAsia="zh-CN" w:bidi="ar-SA"/>
              </w:rPr>
              <w:t>事故应急池设置</w:t>
            </w:r>
          </w:p>
          <w:p w14:paraId="6D78E72A">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color w:val="auto"/>
                <w:sz w:val="24"/>
                <w:szCs w:val="24"/>
              </w:rPr>
            </w:pPr>
            <w:r>
              <w:rPr>
                <w:rFonts w:hint="eastAsia"/>
                <w:color w:val="auto"/>
                <w:sz w:val="24"/>
                <w:szCs w:val="24"/>
                <w:lang w:eastAsia="zh-CN"/>
              </w:rPr>
              <w:t>企业需</w:t>
            </w:r>
            <w:r>
              <w:rPr>
                <w:rFonts w:hint="eastAsia"/>
                <w:color w:val="auto"/>
                <w:sz w:val="24"/>
                <w:szCs w:val="24"/>
              </w:rPr>
              <w:t>委托专业单位建设事故应急池，</w:t>
            </w:r>
            <w:r>
              <w:rPr>
                <w:color w:val="auto"/>
                <w:sz w:val="24"/>
                <w:szCs w:val="24"/>
              </w:rPr>
              <w:t>事故应急水池容量按下式计算：</w:t>
            </w:r>
          </w:p>
          <w:p w14:paraId="4C62EAE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a</w:t>
            </w:r>
            <w:r>
              <w:rPr>
                <w:color w:val="auto"/>
                <w:sz w:val="24"/>
                <w:szCs w:val="24"/>
              </w:rPr>
              <w:t>=(V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+V</w:t>
            </w:r>
            <w:r>
              <w:rPr>
                <w:color w:val="auto"/>
                <w:sz w:val="24"/>
                <w:szCs w:val="24"/>
                <w:vertAlign w:val="subscript"/>
              </w:rPr>
              <w:t>4</w:t>
            </w:r>
            <w:r>
              <w:rPr>
                <w:color w:val="auto"/>
                <w:sz w:val="24"/>
                <w:szCs w:val="24"/>
              </w:rPr>
              <w:t>+V</w:t>
            </w:r>
            <w:r>
              <w:rPr>
                <w:color w:val="auto"/>
                <w:sz w:val="24"/>
                <w:szCs w:val="24"/>
                <w:vertAlign w:val="subscript"/>
              </w:rPr>
              <w:t>5</w:t>
            </w:r>
          </w:p>
          <w:p w14:paraId="4E6F87DF">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[注：(V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w:t>
            </w:r>
            <w:r>
              <w:rPr>
                <w:color w:val="auto"/>
                <w:sz w:val="24"/>
                <w:szCs w:val="24"/>
                <w:vertAlign w:val="subscript"/>
              </w:rPr>
              <w:t>max</w:t>
            </w:r>
            <w:r>
              <w:rPr>
                <w:color w:val="auto"/>
                <w:sz w:val="24"/>
                <w:szCs w:val="24"/>
              </w:rPr>
              <w:t>是指对收集系统范围内不同罐组或装置分别计算V</w:t>
            </w:r>
            <w:r>
              <w:rPr>
                <w:color w:val="auto"/>
                <w:sz w:val="24"/>
                <w:szCs w:val="24"/>
                <w:vertAlign w:val="subscript"/>
              </w:rPr>
              <w:t>1</w:t>
            </w:r>
            <w:r>
              <w:rPr>
                <w:color w:val="auto"/>
                <w:sz w:val="24"/>
                <w:szCs w:val="24"/>
              </w:rPr>
              <w:t>+V</w:t>
            </w:r>
            <w:r>
              <w:rPr>
                <w:color w:val="auto"/>
                <w:sz w:val="24"/>
                <w:szCs w:val="24"/>
                <w:vertAlign w:val="subscript"/>
              </w:rPr>
              <w:t>2</w:t>
            </w:r>
            <w:r>
              <w:rPr>
                <w:color w:val="auto"/>
                <w:sz w:val="24"/>
                <w:szCs w:val="24"/>
              </w:rPr>
              <w:t>-V</w:t>
            </w:r>
            <w:r>
              <w:rPr>
                <w:color w:val="auto"/>
                <w:sz w:val="24"/>
                <w:szCs w:val="24"/>
                <w:vertAlign w:val="subscript"/>
              </w:rPr>
              <w:t>3</w:t>
            </w:r>
            <w:r>
              <w:rPr>
                <w:color w:val="auto"/>
                <w:sz w:val="24"/>
                <w:szCs w:val="24"/>
              </w:rPr>
              <w:t>，取其中最大值。]</w:t>
            </w:r>
          </w:p>
          <w:p w14:paraId="3C3293AF">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Va：事故应急池容积，m</w:t>
            </w:r>
            <w:r>
              <w:rPr>
                <w:color w:val="auto"/>
                <w:sz w:val="24"/>
                <w:szCs w:val="24"/>
                <w:vertAlign w:val="superscript"/>
              </w:rPr>
              <w:t>3</w:t>
            </w:r>
            <w:r>
              <w:rPr>
                <w:color w:val="auto"/>
                <w:sz w:val="24"/>
                <w:szCs w:val="24"/>
              </w:rPr>
              <w:t>；</w:t>
            </w:r>
          </w:p>
          <w:p w14:paraId="19985847">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1</w:t>
            </w:r>
            <w:r>
              <w:rPr>
                <w:color w:val="auto"/>
                <w:sz w:val="24"/>
                <w:szCs w:val="24"/>
              </w:rPr>
              <w:t>：事故一个罐或一个装置物料量，m</w:t>
            </w:r>
            <w:r>
              <w:rPr>
                <w:color w:val="auto"/>
                <w:sz w:val="24"/>
                <w:szCs w:val="24"/>
                <w:vertAlign w:val="superscript"/>
              </w:rPr>
              <w:t>3</w:t>
            </w:r>
            <w:r>
              <w:rPr>
                <w:color w:val="auto"/>
                <w:sz w:val="24"/>
                <w:szCs w:val="24"/>
              </w:rPr>
              <w:t>；</w:t>
            </w:r>
          </w:p>
          <w:p w14:paraId="4E6BD1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2</w:t>
            </w:r>
            <w:r>
              <w:rPr>
                <w:color w:val="auto"/>
                <w:sz w:val="24"/>
                <w:szCs w:val="24"/>
              </w:rPr>
              <w:t>：事故状态下最大消防水量，m</w:t>
            </w:r>
            <w:r>
              <w:rPr>
                <w:color w:val="auto"/>
                <w:sz w:val="24"/>
                <w:szCs w:val="24"/>
                <w:vertAlign w:val="superscript"/>
              </w:rPr>
              <w:t>3</w:t>
            </w:r>
            <w:r>
              <w:rPr>
                <w:color w:val="auto"/>
                <w:sz w:val="24"/>
                <w:szCs w:val="24"/>
              </w:rPr>
              <w:t>；</w:t>
            </w:r>
          </w:p>
          <w:p w14:paraId="0EF76FAD">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3</w:t>
            </w:r>
            <w:r>
              <w:rPr>
                <w:color w:val="auto"/>
                <w:sz w:val="24"/>
                <w:szCs w:val="24"/>
              </w:rPr>
              <w:t>：事故时可以转输到</w:t>
            </w:r>
            <w:r>
              <w:rPr>
                <w:rFonts w:hint="eastAsia"/>
                <w:color w:val="auto"/>
                <w:sz w:val="24"/>
                <w:szCs w:val="24"/>
                <w:lang w:eastAsia="zh-CN"/>
              </w:rPr>
              <w:t>其他</w:t>
            </w:r>
            <w:r>
              <w:rPr>
                <w:color w:val="auto"/>
                <w:sz w:val="24"/>
                <w:szCs w:val="24"/>
              </w:rPr>
              <w:t>储存或处理设施的物料量，m</w:t>
            </w:r>
            <w:r>
              <w:rPr>
                <w:color w:val="auto"/>
                <w:sz w:val="24"/>
                <w:szCs w:val="24"/>
                <w:vertAlign w:val="superscript"/>
              </w:rPr>
              <w:t>3</w:t>
            </w:r>
            <w:r>
              <w:rPr>
                <w:color w:val="auto"/>
                <w:sz w:val="24"/>
                <w:szCs w:val="24"/>
              </w:rPr>
              <w:t>；</w:t>
            </w:r>
          </w:p>
          <w:p w14:paraId="661F6B53">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：发生事故时必须进入该收集系统的生产废水量，m</w:t>
            </w:r>
            <w:r>
              <w:rPr>
                <w:color w:val="auto"/>
                <w:sz w:val="24"/>
                <w:szCs w:val="24"/>
                <w:vertAlign w:val="superscript"/>
              </w:rPr>
              <w:t>3</w:t>
            </w:r>
            <w:r>
              <w:rPr>
                <w:color w:val="auto"/>
                <w:sz w:val="24"/>
                <w:szCs w:val="24"/>
              </w:rPr>
              <w:t>；</w:t>
            </w:r>
          </w:p>
          <w:p w14:paraId="2AC94560">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：发生事故时可能进入该收集系统的降雨量，m</w:t>
            </w:r>
            <w:r>
              <w:rPr>
                <w:color w:val="auto"/>
                <w:sz w:val="24"/>
                <w:szCs w:val="24"/>
                <w:vertAlign w:val="superscript"/>
              </w:rPr>
              <w:t>3</w:t>
            </w:r>
            <w:r>
              <w:rPr>
                <w:color w:val="auto"/>
                <w:sz w:val="24"/>
                <w:szCs w:val="24"/>
              </w:rPr>
              <w:t>；</w:t>
            </w:r>
          </w:p>
          <w:p w14:paraId="5F139E65">
            <w:pPr>
              <w:keepNext w:val="0"/>
              <w:keepLines w:val="0"/>
              <w:pageBreakBefore w:val="0"/>
              <w:widowControl w:val="0"/>
              <w:kinsoku/>
              <w:wordWrap/>
              <w:overflowPunct/>
              <w:topLinePunct w:val="0"/>
              <w:bidi w:val="0"/>
              <w:adjustRightInd w:val="0"/>
              <w:snapToGrid w:val="0"/>
              <w:spacing w:line="500" w:lineRule="exact"/>
              <w:ind w:firstLine="520" w:firstLineChars="200"/>
              <w:rPr>
                <w:color w:val="auto"/>
                <w:spacing w:val="10"/>
                <w:sz w:val="24"/>
                <w:szCs w:val="24"/>
              </w:rPr>
            </w:pPr>
            <w:r>
              <w:rPr>
                <w:color w:val="auto"/>
                <w:spacing w:val="10"/>
                <w:sz w:val="24"/>
                <w:szCs w:val="24"/>
              </w:rPr>
              <w:t>V</w:t>
            </w:r>
            <w:r>
              <w:rPr>
                <w:color w:val="auto"/>
                <w:spacing w:val="10"/>
                <w:sz w:val="24"/>
                <w:szCs w:val="24"/>
                <w:vertAlign w:val="subscript"/>
              </w:rPr>
              <w:t>1</w:t>
            </w:r>
            <w:r>
              <w:rPr>
                <w:color w:val="auto"/>
                <w:sz w:val="24"/>
                <w:szCs w:val="24"/>
              </w:rPr>
              <w:t>：</w:t>
            </w:r>
            <w:r>
              <w:rPr>
                <w:rFonts w:hint="eastAsia"/>
                <w:color w:val="auto"/>
                <w:sz w:val="24"/>
                <w:szCs w:val="24"/>
              </w:rPr>
              <w:t>项目液态物料最大包装规格为</w:t>
            </w:r>
            <w:r>
              <w:rPr>
                <w:rFonts w:hint="eastAsia"/>
                <w:color w:val="auto"/>
                <w:sz w:val="24"/>
                <w:szCs w:val="24"/>
                <w:lang w:val="en-US" w:eastAsia="zh-CN"/>
              </w:rPr>
              <w:t>0.02</w:t>
            </w:r>
            <w:r>
              <w:rPr>
                <w:color w:val="auto"/>
                <w:spacing w:val="10"/>
                <w:sz w:val="24"/>
                <w:szCs w:val="24"/>
              </w:rPr>
              <w:t>m</w:t>
            </w:r>
            <w:r>
              <w:rPr>
                <w:color w:val="auto"/>
                <w:spacing w:val="10"/>
                <w:sz w:val="24"/>
                <w:szCs w:val="24"/>
                <w:vertAlign w:val="superscript"/>
              </w:rPr>
              <w:t>3</w:t>
            </w:r>
            <w:r>
              <w:rPr>
                <w:rFonts w:hint="eastAsia"/>
                <w:color w:val="auto"/>
                <w:sz w:val="24"/>
                <w:szCs w:val="24"/>
              </w:rPr>
              <w:t>，则</w:t>
            </w:r>
            <w:r>
              <w:rPr>
                <w:color w:val="auto"/>
                <w:spacing w:val="10"/>
                <w:sz w:val="24"/>
                <w:szCs w:val="24"/>
              </w:rPr>
              <w:t>V</w:t>
            </w:r>
            <w:r>
              <w:rPr>
                <w:color w:val="auto"/>
                <w:spacing w:val="10"/>
                <w:sz w:val="24"/>
                <w:szCs w:val="24"/>
                <w:vertAlign w:val="subscript"/>
              </w:rPr>
              <w:t>1</w:t>
            </w:r>
            <w:r>
              <w:rPr>
                <w:color w:val="auto"/>
                <w:spacing w:val="10"/>
                <w:sz w:val="24"/>
                <w:szCs w:val="24"/>
              </w:rPr>
              <w:t>=</w:t>
            </w:r>
            <w:r>
              <w:rPr>
                <w:rFonts w:hint="eastAsia"/>
                <w:color w:val="auto"/>
                <w:spacing w:val="10"/>
                <w:sz w:val="24"/>
                <w:szCs w:val="24"/>
                <w:lang w:val="en-US" w:eastAsia="zh-CN"/>
              </w:rPr>
              <w:t>0.02</w:t>
            </w:r>
            <w:r>
              <w:rPr>
                <w:color w:val="auto"/>
                <w:spacing w:val="10"/>
                <w:sz w:val="24"/>
                <w:szCs w:val="24"/>
              </w:rPr>
              <w:t>m</w:t>
            </w:r>
            <w:r>
              <w:rPr>
                <w:color w:val="auto"/>
                <w:spacing w:val="10"/>
                <w:sz w:val="24"/>
                <w:szCs w:val="24"/>
                <w:vertAlign w:val="superscript"/>
              </w:rPr>
              <w:t>3</w:t>
            </w:r>
            <w:r>
              <w:rPr>
                <w:color w:val="auto"/>
                <w:spacing w:val="10"/>
                <w:sz w:val="24"/>
                <w:szCs w:val="24"/>
              </w:rPr>
              <w:t>。</w:t>
            </w:r>
          </w:p>
          <w:p w14:paraId="3626C3BA">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pacing w:val="10"/>
                <w:sz w:val="24"/>
                <w:szCs w:val="24"/>
              </w:rPr>
            </w:pPr>
            <w:r>
              <w:rPr>
                <w:color w:val="auto"/>
                <w:sz w:val="24"/>
                <w:szCs w:val="24"/>
              </w:rPr>
              <w:t>V</w:t>
            </w:r>
            <w:r>
              <w:rPr>
                <w:color w:val="auto"/>
                <w:sz w:val="24"/>
                <w:szCs w:val="24"/>
                <w:vertAlign w:val="subscript"/>
              </w:rPr>
              <w:t>2</w:t>
            </w:r>
            <w:r>
              <w:rPr>
                <w:color w:val="auto"/>
                <w:sz w:val="24"/>
                <w:szCs w:val="24"/>
              </w:rPr>
              <w:t>：</w:t>
            </w:r>
            <w:r>
              <w:rPr>
                <w:color w:val="auto"/>
                <w:spacing w:val="10"/>
                <w:sz w:val="24"/>
                <w:szCs w:val="24"/>
              </w:rPr>
              <w:t>根据《建筑设计防火规范》(GB50016-2014)（2018年修订），在进行城镇、居住区、企事业单位规划和建筑设计时，必须同时设计消防给水系统，消防用水可由给水管网、天然水源或消防水池供给。则发生一次火灾时厂房室外消防用水量为：1</w:t>
            </w:r>
            <w:r>
              <w:rPr>
                <w:rFonts w:hint="eastAsia"/>
                <w:color w:val="auto"/>
                <w:spacing w:val="10"/>
                <w:sz w:val="24"/>
                <w:szCs w:val="24"/>
                <w:lang w:val="en-US" w:eastAsia="zh-CN"/>
              </w:rPr>
              <w:t>0</w:t>
            </w:r>
            <w:r>
              <w:rPr>
                <w:color w:val="auto"/>
                <w:spacing w:val="10"/>
                <w:sz w:val="24"/>
                <w:szCs w:val="24"/>
              </w:rPr>
              <w:t>×3600×10</w:t>
            </w:r>
            <w:r>
              <w:rPr>
                <w:color w:val="auto"/>
                <w:spacing w:val="10"/>
                <w:sz w:val="24"/>
                <w:szCs w:val="24"/>
                <w:vertAlign w:val="superscript"/>
              </w:rPr>
              <w:t>-3</w:t>
            </w:r>
            <w:r>
              <w:rPr>
                <w:color w:val="auto"/>
                <w:spacing w:val="10"/>
                <w:sz w:val="24"/>
                <w:szCs w:val="24"/>
              </w:rPr>
              <w:t>×</w:t>
            </w:r>
            <w:r>
              <w:rPr>
                <w:rFonts w:hint="eastAsia"/>
                <w:color w:val="auto"/>
                <w:spacing w:val="10"/>
                <w:sz w:val="24"/>
                <w:szCs w:val="24"/>
              </w:rPr>
              <w:t>2</w:t>
            </w:r>
            <w:r>
              <w:rPr>
                <w:color w:val="auto"/>
                <w:spacing w:val="10"/>
                <w:sz w:val="24"/>
                <w:szCs w:val="24"/>
              </w:rPr>
              <w:t>=</w:t>
            </w:r>
            <w:r>
              <w:rPr>
                <w:rFonts w:hint="eastAsia"/>
                <w:color w:val="auto"/>
                <w:spacing w:val="10"/>
                <w:sz w:val="24"/>
                <w:szCs w:val="24"/>
                <w:lang w:val="en-US" w:eastAsia="zh-CN"/>
              </w:rPr>
              <w:t>72</w:t>
            </w:r>
            <w:r>
              <w:rPr>
                <w:color w:val="auto"/>
                <w:spacing w:val="10"/>
                <w:sz w:val="24"/>
                <w:szCs w:val="24"/>
              </w:rPr>
              <w:t>m</w:t>
            </w:r>
            <w:r>
              <w:rPr>
                <w:color w:val="auto"/>
                <w:spacing w:val="10"/>
                <w:sz w:val="24"/>
                <w:szCs w:val="24"/>
                <w:vertAlign w:val="superscript"/>
              </w:rPr>
              <w:t>3</w:t>
            </w:r>
          </w:p>
          <w:p w14:paraId="740103E9">
            <w:pPr>
              <w:keepNext w:val="0"/>
              <w:keepLines w:val="0"/>
              <w:pageBreakBefore w:val="0"/>
              <w:widowControl w:val="0"/>
              <w:kinsoku/>
              <w:wordWrap/>
              <w:overflowPunct/>
              <w:topLinePunct w:val="0"/>
              <w:bidi w:val="0"/>
              <w:adjustRightInd w:val="0"/>
              <w:snapToGrid w:val="0"/>
              <w:spacing w:line="500" w:lineRule="exact"/>
              <w:ind w:firstLine="480" w:firstLineChars="200"/>
              <w:rPr>
                <w:rFonts w:hint="eastAsia" w:eastAsia="宋体"/>
                <w:color w:val="auto"/>
                <w:sz w:val="24"/>
                <w:szCs w:val="24"/>
                <w:lang w:eastAsia="zh-CN"/>
              </w:rPr>
            </w:pPr>
            <w:r>
              <w:rPr>
                <w:color w:val="auto"/>
                <w:sz w:val="24"/>
                <w:szCs w:val="24"/>
              </w:rPr>
              <w:t>V</w:t>
            </w:r>
            <w:r>
              <w:rPr>
                <w:color w:val="auto"/>
                <w:sz w:val="24"/>
                <w:szCs w:val="24"/>
                <w:vertAlign w:val="subscript"/>
              </w:rPr>
              <w:t>3</w:t>
            </w:r>
            <w:r>
              <w:rPr>
                <w:color w:val="auto"/>
                <w:sz w:val="24"/>
                <w:szCs w:val="24"/>
              </w:rPr>
              <w:t>：公司</w:t>
            </w:r>
            <w:r>
              <w:rPr>
                <w:rFonts w:hint="eastAsia"/>
                <w:color w:val="auto"/>
                <w:sz w:val="24"/>
                <w:szCs w:val="24"/>
              </w:rPr>
              <w:t>所在</w:t>
            </w:r>
            <w:r>
              <w:rPr>
                <w:rFonts w:hint="eastAsia"/>
                <w:color w:val="auto"/>
                <w:sz w:val="24"/>
                <w:szCs w:val="24"/>
                <w:lang w:eastAsia="zh-CN"/>
              </w:rPr>
              <w:t>的</w:t>
            </w:r>
            <w:r>
              <w:rPr>
                <w:rFonts w:hint="eastAsia"/>
                <w:color w:val="auto"/>
                <w:sz w:val="24"/>
                <w:szCs w:val="24"/>
                <w:lang w:val="en-US" w:eastAsia="zh-CN"/>
              </w:rPr>
              <w:t>厂</w:t>
            </w:r>
            <w:r>
              <w:rPr>
                <w:rFonts w:hint="eastAsia"/>
                <w:color w:val="auto"/>
                <w:sz w:val="24"/>
                <w:szCs w:val="24"/>
                <w:lang w:eastAsia="zh-CN"/>
              </w:rPr>
              <w:t>区</w:t>
            </w:r>
            <w:r>
              <w:rPr>
                <w:color w:val="auto"/>
                <w:sz w:val="24"/>
                <w:szCs w:val="24"/>
              </w:rPr>
              <w:t>雨水管网总长度约为</w:t>
            </w:r>
            <w:r>
              <w:rPr>
                <w:rFonts w:hint="eastAsia"/>
                <w:color w:val="auto"/>
                <w:sz w:val="24"/>
                <w:szCs w:val="24"/>
                <w:lang w:val="en-US" w:eastAsia="zh-CN"/>
              </w:rPr>
              <w:t>40</w:t>
            </w:r>
            <w:r>
              <w:rPr>
                <w:color w:val="auto"/>
                <w:sz w:val="24"/>
                <w:szCs w:val="24"/>
              </w:rPr>
              <w:t>0m，</w:t>
            </w:r>
            <w:r>
              <w:rPr>
                <w:rFonts w:hint="eastAsia"/>
                <w:color w:val="auto"/>
                <w:sz w:val="24"/>
                <w:szCs w:val="24"/>
                <w:lang w:val="en-US" w:eastAsia="zh-CN"/>
              </w:rPr>
              <w:t>其中</w:t>
            </w:r>
            <w:r>
              <w:rPr>
                <w:color w:val="auto"/>
                <w:sz w:val="24"/>
                <w:szCs w:val="24"/>
              </w:rPr>
              <w:t>管内径为0.</w:t>
            </w:r>
            <w:r>
              <w:rPr>
                <w:rFonts w:hint="eastAsia"/>
                <w:color w:val="auto"/>
                <w:sz w:val="24"/>
                <w:szCs w:val="24"/>
                <w:lang w:val="en-US" w:eastAsia="zh-CN"/>
              </w:rPr>
              <w:t>4</w:t>
            </w:r>
            <w:r>
              <w:rPr>
                <w:color w:val="auto"/>
                <w:sz w:val="24"/>
                <w:szCs w:val="24"/>
              </w:rPr>
              <w:t>m</w:t>
            </w:r>
            <w:r>
              <w:rPr>
                <w:rFonts w:hint="eastAsia"/>
                <w:color w:val="auto"/>
                <w:sz w:val="24"/>
                <w:szCs w:val="24"/>
                <w:lang w:eastAsia="zh-CN"/>
              </w:rPr>
              <w:t>的</w:t>
            </w:r>
            <w:r>
              <w:rPr>
                <w:rFonts w:hint="eastAsia"/>
                <w:color w:val="auto"/>
                <w:sz w:val="24"/>
                <w:szCs w:val="24"/>
                <w:lang w:val="en-US" w:eastAsia="zh-CN"/>
              </w:rPr>
              <w:t>雨水管网约350m</w:t>
            </w:r>
            <w:r>
              <w:rPr>
                <w:color w:val="auto"/>
                <w:sz w:val="24"/>
                <w:szCs w:val="24"/>
              </w:rPr>
              <w:t>，管内径为0.</w:t>
            </w:r>
            <w:r>
              <w:rPr>
                <w:rFonts w:hint="eastAsia"/>
                <w:color w:val="auto"/>
                <w:sz w:val="24"/>
                <w:szCs w:val="24"/>
                <w:lang w:val="en-US" w:eastAsia="zh-CN"/>
              </w:rPr>
              <w:t>4</w:t>
            </w:r>
            <w:r>
              <w:rPr>
                <w:color w:val="auto"/>
                <w:sz w:val="24"/>
                <w:szCs w:val="24"/>
              </w:rPr>
              <w:t>m</w:t>
            </w:r>
            <w:r>
              <w:rPr>
                <w:rFonts w:hint="eastAsia"/>
                <w:color w:val="auto"/>
                <w:sz w:val="24"/>
                <w:szCs w:val="24"/>
                <w:lang w:eastAsia="zh-CN"/>
              </w:rPr>
              <w:t>的</w:t>
            </w:r>
            <w:r>
              <w:rPr>
                <w:rFonts w:hint="eastAsia"/>
                <w:color w:val="auto"/>
                <w:sz w:val="24"/>
                <w:szCs w:val="24"/>
                <w:lang w:val="en-US" w:eastAsia="zh-CN"/>
              </w:rPr>
              <w:t>雨水管网约50m，</w:t>
            </w:r>
            <w:r>
              <w:rPr>
                <w:color w:val="auto"/>
                <w:sz w:val="24"/>
                <w:szCs w:val="24"/>
              </w:rPr>
              <w:t>则雨水管网总容积约为</w:t>
            </w:r>
            <w:r>
              <w:rPr>
                <w:rFonts w:hint="eastAsia"/>
                <w:color w:val="auto"/>
                <w:sz w:val="24"/>
                <w:szCs w:val="24"/>
                <w:lang w:val="en-US" w:eastAsia="zh-CN"/>
              </w:rPr>
              <w:t>53.8</w:t>
            </w:r>
            <w:r>
              <w:rPr>
                <w:color w:val="auto"/>
                <w:sz w:val="24"/>
                <w:szCs w:val="24"/>
              </w:rPr>
              <w:t>m</w:t>
            </w:r>
            <w:r>
              <w:rPr>
                <w:color w:val="auto"/>
                <w:sz w:val="24"/>
                <w:szCs w:val="24"/>
                <w:vertAlign w:val="superscript"/>
              </w:rPr>
              <w:t>3</w:t>
            </w:r>
            <w:r>
              <w:rPr>
                <w:color w:val="auto"/>
                <w:sz w:val="24"/>
                <w:szCs w:val="24"/>
              </w:rPr>
              <w:t>，事故时可容纳消防尾水量为</w:t>
            </w:r>
            <w:r>
              <w:rPr>
                <w:rFonts w:hint="eastAsia"/>
                <w:color w:val="auto"/>
                <w:sz w:val="24"/>
                <w:szCs w:val="24"/>
                <w:lang w:val="en-US" w:eastAsia="zh-CN"/>
              </w:rPr>
              <w:t>32.3</w:t>
            </w:r>
            <w:r>
              <w:rPr>
                <w:color w:val="auto"/>
                <w:sz w:val="24"/>
                <w:szCs w:val="24"/>
              </w:rPr>
              <w:t>m</w:t>
            </w:r>
            <w:r>
              <w:rPr>
                <w:color w:val="auto"/>
                <w:sz w:val="24"/>
                <w:szCs w:val="24"/>
                <w:vertAlign w:val="superscript"/>
              </w:rPr>
              <w:t>3</w:t>
            </w:r>
            <w:r>
              <w:rPr>
                <w:color w:val="auto"/>
                <w:sz w:val="24"/>
                <w:szCs w:val="24"/>
              </w:rPr>
              <w:t>（以雨水管网总容积的</w:t>
            </w:r>
            <w:r>
              <w:rPr>
                <w:rFonts w:hint="eastAsia"/>
                <w:color w:val="auto"/>
                <w:sz w:val="24"/>
                <w:szCs w:val="24"/>
                <w:lang w:val="en-US" w:eastAsia="zh-CN"/>
              </w:rPr>
              <w:t>8</w:t>
            </w:r>
            <w:r>
              <w:rPr>
                <w:color w:val="auto"/>
                <w:sz w:val="24"/>
                <w:szCs w:val="24"/>
              </w:rPr>
              <w:t>0%计），则V</w:t>
            </w:r>
            <w:r>
              <w:rPr>
                <w:color w:val="auto"/>
                <w:sz w:val="24"/>
                <w:szCs w:val="24"/>
                <w:vertAlign w:val="subscript"/>
              </w:rPr>
              <w:t>3</w:t>
            </w:r>
            <w:r>
              <w:rPr>
                <w:color w:val="auto"/>
                <w:sz w:val="24"/>
                <w:szCs w:val="24"/>
              </w:rPr>
              <w:t>＝</w:t>
            </w:r>
            <w:r>
              <w:rPr>
                <w:rFonts w:hint="eastAsia"/>
                <w:color w:val="auto"/>
                <w:sz w:val="24"/>
                <w:szCs w:val="24"/>
                <w:lang w:val="en-US" w:eastAsia="zh-CN"/>
              </w:rPr>
              <w:t>32.3</w:t>
            </w:r>
            <w:r>
              <w:rPr>
                <w:color w:val="auto"/>
                <w:sz w:val="24"/>
                <w:szCs w:val="24"/>
              </w:rPr>
              <w:t>m</w:t>
            </w:r>
            <w:r>
              <w:rPr>
                <w:color w:val="auto"/>
                <w:sz w:val="24"/>
                <w:szCs w:val="24"/>
                <w:vertAlign w:val="superscript"/>
              </w:rPr>
              <w:t>3</w:t>
            </w:r>
            <w:r>
              <w:rPr>
                <w:color w:val="auto"/>
                <w:sz w:val="24"/>
                <w:szCs w:val="24"/>
              </w:rPr>
              <w:t>；</w:t>
            </w:r>
          </w:p>
          <w:p w14:paraId="7F4AC87B">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4</w:t>
            </w:r>
            <w:r>
              <w:rPr>
                <w:color w:val="auto"/>
                <w:sz w:val="24"/>
                <w:szCs w:val="24"/>
              </w:rPr>
              <w:t>：发生事故时无生产废水量进入该系统，取0m</w:t>
            </w:r>
            <w:r>
              <w:rPr>
                <w:color w:val="auto"/>
                <w:sz w:val="24"/>
                <w:szCs w:val="24"/>
                <w:vertAlign w:val="superscript"/>
              </w:rPr>
              <w:t>3</w:t>
            </w:r>
            <w:r>
              <w:rPr>
                <w:color w:val="auto"/>
                <w:sz w:val="24"/>
                <w:szCs w:val="24"/>
              </w:rPr>
              <w:t>；</w:t>
            </w:r>
          </w:p>
          <w:p w14:paraId="73E87754">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V</w:t>
            </w:r>
            <w:r>
              <w:rPr>
                <w:color w:val="auto"/>
                <w:sz w:val="24"/>
                <w:szCs w:val="24"/>
                <w:vertAlign w:val="subscript"/>
              </w:rPr>
              <w:t>5</w:t>
            </w:r>
            <w:r>
              <w:rPr>
                <w:color w:val="auto"/>
                <w:sz w:val="24"/>
                <w:szCs w:val="24"/>
              </w:rPr>
              <w:t>：发生事故时可能进入该收集系统的降雨量，发生事故时可能进入该收集系统的降雨量，V</w:t>
            </w:r>
            <w:r>
              <w:rPr>
                <w:color w:val="auto"/>
                <w:sz w:val="24"/>
                <w:szCs w:val="24"/>
                <w:vertAlign w:val="subscript"/>
              </w:rPr>
              <w:t>5</w:t>
            </w:r>
            <w:r>
              <w:rPr>
                <w:color w:val="auto"/>
                <w:sz w:val="24"/>
                <w:szCs w:val="24"/>
              </w:rPr>
              <w:t>=10qF；</w:t>
            </w:r>
          </w:p>
          <w:p w14:paraId="4A91CFCC">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q：降雨强度，mm；按平均日降雨量；</w:t>
            </w:r>
          </w:p>
          <w:p w14:paraId="27CF7D21">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q=q</w:t>
            </w:r>
            <w:r>
              <w:rPr>
                <w:color w:val="auto"/>
                <w:sz w:val="24"/>
                <w:szCs w:val="24"/>
                <w:vertAlign w:val="subscript"/>
              </w:rPr>
              <w:t>a</w:t>
            </w:r>
            <w:r>
              <w:rPr>
                <w:color w:val="auto"/>
                <w:sz w:val="24"/>
                <w:szCs w:val="24"/>
              </w:rPr>
              <w:t>/n</w:t>
            </w:r>
          </w:p>
          <w:p w14:paraId="29A8B71E">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q</w:t>
            </w:r>
            <w:r>
              <w:rPr>
                <w:color w:val="auto"/>
                <w:sz w:val="24"/>
                <w:szCs w:val="24"/>
                <w:vertAlign w:val="subscript"/>
              </w:rPr>
              <w:t>a</w:t>
            </w:r>
            <w:r>
              <w:rPr>
                <w:color w:val="auto"/>
                <w:sz w:val="24"/>
                <w:szCs w:val="24"/>
              </w:rPr>
              <w:t>：年平均降雨量，取1074mm；</w:t>
            </w:r>
          </w:p>
          <w:p w14:paraId="4D7C732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n：年平均降雨日数，取126天；</w:t>
            </w:r>
          </w:p>
          <w:p w14:paraId="1B3DC257">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F：必须进入事故废水收集系统的雨水汇水面积ha，</w:t>
            </w:r>
            <w:r>
              <w:rPr>
                <w:rFonts w:hint="eastAsia"/>
                <w:color w:val="auto"/>
                <w:sz w:val="24"/>
                <w:szCs w:val="24"/>
                <w:lang w:eastAsia="zh-CN"/>
              </w:rPr>
              <w:t>项目生产车间、</w:t>
            </w:r>
            <w:r>
              <w:rPr>
                <w:rFonts w:hint="eastAsia"/>
                <w:color w:val="auto"/>
                <w:sz w:val="24"/>
                <w:szCs w:val="24"/>
                <w:lang w:val="en-US" w:eastAsia="zh-CN"/>
              </w:rPr>
              <w:t>仓库、办公区</w:t>
            </w:r>
            <w:r>
              <w:rPr>
                <w:rFonts w:hint="eastAsia"/>
                <w:color w:val="auto"/>
                <w:sz w:val="24"/>
                <w:szCs w:val="24"/>
                <w:lang w:eastAsia="zh-CN"/>
              </w:rPr>
              <w:t>占地面积约</w:t>
            </w:r>
            <w:r>
              <w:rPr>
                <w:rFonts w:hint="eastAsia" w:cs="Times New Roman"/>
                <w:color w:val="auto"/>
                <w:sz w:val="24"/>
                <w:szCs w:val="24"/>
                <w:lang w:val="en-US" w:eastAsia="zh-CN"/>
              </w:rPr>
              <w:t>1000</w:t>
            </w:r>
            <w:r>
              <w:rPr>
                <w:rFonts w:hint="eastAsia"/>
                <w:color w:val="auto"/>
                <w:sz w:val="24"/>
                <w:szCs w:val="24"/>
                <w:lang w:val="en-US" w:eastAsia="zh-CN"/>
              </w:rPr>
              <w:t>m</w:t>
            </w:r>
            <w:r>
              <w:rPr>
                <w:rFonts w:hint="eastAsia"/>
                <w:color w:val="auto"/>
                <w:sz w:val="24"/>
                <w:szCs w:val="24"/>
                <w:vertAlign w:val="superscript"/>
                <w:lang w:val="en-US" w:eastAsia="zh-CN"/>
              </w:rPr>
              <w:t>2</w:t>
            </w:r>
            <w:r>
              <w:rPr>
                <w:rFonts w:hint="eastAsia"/>
                <w:color w:val="auto"/>
                <w:sz w:val="24"/>
                <w:szCs w:val="24"/>
                <w:lang w:val="en-US" w:eastAsia="zh-CN"/>
              </w:rPr>
              <w:t>，故取0.1</w:t>
            </w:r>
            <w:r>
              <w:rPr>
                <w:color w:val="auto"/>
                <w:sz w:val="24"/>
                <w:szCs w:val="24"/>
              </w:rPr>
              <w:t>ha；</w:t>
            </w:r>
          </w:p>
          <w:p w14:paraId="17F982D0">
            <w:pPr>
              <w:keepNext w:val="0"/>
              <w:keepLines w:val="0"/>
              <w:pageBreakBefore w:val="0"/>
              <w:widowControl w:val="0"/>
              <w:kinsoku/>
              <w:wordWrap/>
              <w:overflowPunct/>
              <w:topLinePunct w:val="0"/>
              <w:bidi w:val="0"/>
              <w:adjustRightInd w:val="0"/>
              <w:snapToGrid w:val="0"/>
              <w:spacing w:line="500" w:lineRule="exact"/>
              <w:ind w:firstLine="480" w:firstLineChars="200"/>
              <w:rPr>
                <w:color w:val="auto"/>
                <w:sz w:val="24"/>
                <w:szCs w:val="24"/>
              </w:rPr>
            </w:pPr>
            <w:r>
              <w:rPr>
                <w:color w:val="auto"/>
                <w:sz w:val="24"/>
                <w:szCs w:val="24"/>
              </w:rPr>
              <w:t>由此计算V</w:t>
            </w:r>
            <w:r>
              <w:rPr>
                <w:color w:val="auto"/>
                <w:sz w:val="24"/>
                <w:szCs w:val="24"/>
                <w:vertAlign w:val="subscript"/>
              </w:rPr>
              <w:t>5</w:t>
            </w:r>
            <w:r>
              <w:rPr>
                <w:color w:val="auto"/>
                <w:sz w:val="24"/>
                <w:szCs w:val="24"/>
              </w:rPr>
              <w:t>为</w:t>
            </w:r>
            <w:r>
              <w:rPr>
                <w:rFonts w:hint="eastAsia"/>
                <w:color w:val="auto"/>
                <w:sz w:val="24"/>
                <w:szCs w:val="24"/>
                <w:lang w:val="en-US" w:eastAsia="zh-CN"/>
              </w:rPr>
              <w:t>8.5</w:t>
            </w:r>
            <w:r>
              <w:rPr>
                <w:color w:val="auto"/>
                <w:sz w:val="24"/>
                <w:szCs w:val="24"/>
              </w:rPr>
              <w:t>m</w:t>
            </w:r>
            <w:r>
              <w:rPr>
                <w:color w:val="auto"/>
                <w:sz w:val="24"/>
                <w:szCs w:val="24"/>
                <w:vertAlign w:val="superscript"/>
              </w:rPr>
              <w:t>3</w:t>
            </w:r>
            <w:r>
              <w:rPr>
                <w:color w:val="auto"/>
                <w:sz w:val="24"/>
                <w:szCs w:val="24"/>
              </w:rPr>
              <w:t>。</w:t>
            </w:r>
          </w:p>
          <w:p w14:paraId="16B02A67">
            <w:pPr>
              <w:pStyle w:val="8"/>
              <w:keepNext w:val="0"/>
              <w:keepLines w:val="0"/>
              <w:pageBreakBefore w:val="0"/>
              <w:widowControl w:val="0"/>
              <w:kinsoku/>
              <w:wordWrap/>
              <w:overflowPunct/>
              <w:topLinePunct w:val="0"/>
              <w:bidi w:val="0"/>
              <w:adjustRightInd w:val="0"/>
              <w:spacing w:before="0" w:after="0" w:line="500" w:lineRule="exact"/>
              <w:ind w:right="0" w:firstLine="480" w:firstLineChars="200"/>
              <w:rPr>
                <w:b/>
                <w:color w:val="auto"/>
                <w:sz w:val="24"/>
                <w:szCs w:val="24"/>
              </w:rPr>
            </w:pPr>
            <w:r>
              <w:rPr>
                <w:color w:val="auto"/>
                <w:sz w:val="24"/>
                <w:szCs w:val="24"/>
              </w:rPr>
              <w:t>V</w:t>
            </w:r>
            <w:r>
              <w:rPr>
                <w:color w:val="auto"/>
                <w:sz w:val="24"/>
                <w:szCs w:val="24"/>
                <w:vertAlign w:val="subscript"/>
              </w:rPr>
              <w:t>a</w:t>
            </w:r>
            <w:r>
              <w:rPr>
                <w:color w:val="auto"/>
                <w:sz w:val="24"/>
                <w:szCs w:val="24"/>
              </w:rPr>
              <w:t>=</w:t>
            </w:r>
            <w:r>
              <w:rPr>
                <w:rFonts w:hint="eastAsia" w:eastAsia="仿宋_GB2312" w:cs="Times New Roman"/>
                <w:color w:val="auto"/>
                <w:sz w:val="24"/>
                <w:szCs w:val="24"/>
                <w:lang w:val="en-US" w:eastAsia="zh-CN"/>
              </w:rPr>
              <w:t>0.02</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72</w:t>
            </w:r>
            <w:r>
              <w:rPr>
                <w:rFonts w:hint="default" w:ascii="Times New Roman" w:hAnsi="Times New Roman" w:eastAsia="仿宋_GB2312" w:cs="Times New Roman"/>
                <w:color w:val="auto"/>
                <w:sz w:val="24"/>
                <w:szCs w:val="24"/>
              </w:rPr>
              <w:t>-</w:t>
            </w:r>
            <w:r>
              <w:rPr>
                <w:rFonts w:hint="eastAsia" w:eastAsia="仿宋" w:cs="Times New Roman"/>
                <w:color w:val="auto"/>
                <w:sz w:val="24"/>
                <w:szCs w:val="24"/>
                <w:lang w:val="en-US" w:eastAsia="zh-CN"/>
              </w:rPr>
              <w:t>32.3</w:t>
            </w:r>
            <w:r>
              <w:rPr>
                <w:rFonts w:hint="default" w:ascii="Times New Roman" w:hAnsi="Times New Roman" w:eastAsia="仿宋_GB2312" w:cs="Times New Roman"/>
                <w:color w:val="auto"/>
                <w:sz w:val="24"/>
                <w:szCs w:val="24"/>
              </w:rPr>
              <w:t>+0+</w:t>
            </w:r>
            <w:r>
              <w:rPr>
                <w:rFonts w:hint="eastAsia" w:eastAsia="仿宋_GB2312" w:cs="Times New Roman"/>
                <w:color w:val="auto"/>
                <w:sz w:val="24"/>
                <w:szCs w:val="24"/>
                <w:lang w:val="en-US" w:eastAsia="zh-CN"/>
              </w:rPr>
              <w:t>8.5</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48.22</w:t>
            </w:r>
            <w:r>
              <w:rPr>
                <w:color w:val="auto"/>
                <w:sz w:val="24"/>
                <w:szCs w:val="24"/>
              </w:rPr>
              <w:t>m</w:t>
            </w:r>
            <w:r>
              <w:rPr>
                <w:color w:val="auto"/>
                <w:sz w:val="24"/>
                <w:szCs w:val="24"/>
                <w:vertAlign w:val="superscript"/>
              </w:rPr>
              <w:t>3</w:t>
            </w:r>
          </w:p>
          <w:p w14:paraId="61615133">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color w:val="auto"/>
                <w:sz w:val="24"/>
                <w:szCs w:val="24"/>
              </w:rPr>
              <w:t>公司</w:t>
            </w:r>
            <w:r>
              <w:rPr>
                <w:rFonts w:hint="eastAsia"/>
                <w:color w:val="auto"/>
                <w:sz w:val="24"/>
                <w:szCs w:val="24"/>
                <w:lang w:val="en-US" w:eastAsia="zh-CN"/>
              </w:rPr>
              <w:t>需新建一座50m</w:t>
            </w:r>
            <w:r>
              <w:rPr>
                <w:color w:val="auto"/>
                <w:sz w:val="24"/>
                <w:szCs w:val="24"/>
                <w:vertAlign w:val="superscript"/>
              </w:rPr>
              <w:t>3</w:t>
            </w:r>
            <w:r>
              <w:rPr>
                <w:rFonts w:hint="eastAsia"/>
                <w:color w:val="auto"/>
                <w:sz w:val="24"/>
                <w:szCs w:val="24"/>
                <w:lang w:val="en-US" w:eastAsia="zh-CN"/>
              </w:rPr>
              <w:t>的事故应急池，</w:t>
            </w:r>
            <w:r>
              <w:rPr>
                <w:rFonts w:hint="eastAsia" w:ascii="Times New Roman" w:hAnsi="Times New Roman" w:cs="Times New Roman"/>
                <w:color w:val="auto"/>
                <w:sz w:val="24"/>
                <w:szCs w:val="24"/>
              </w:rPr>
              <w:t>同时</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ascii="Times New Roman" w:hAnsi="Times New Roman" w:cs="Times New Roman"/>
                <w:color w:val="auto"/>
                <w:sz w:val="24"/>
                <w:szCs w:val="24"/>
              </w:rPr>
              <w:t>雨水排放口</w:t>
            </w:r>
            <w:r>
              <w:rPr>
                <w:rFonts w:hint="eastAsia" w:cs="Times New Roman"/>
                <w:color w:val="auto"/>
                <w:sz w:val="24"/>
                <w:szCs w:val="24"/>
                <w:lang w:eastAsia="zh-CN"/>
              </w:rPr>
              <w:t>需</w:t>
            </w:r>
            <w:r>
              <w:rPr>
                <w:rFonts w:hint="eastAsia" w:ascii="Times New Roman" w:hAnsi="Times New Roman" w:cs="Times New Roman"/>
                <w:color w:val="auto"/>
                <w:sz w:val="24"/>
                <w:szCs w:val="24"/>
              </w:rPr>
              <w:t>安装截流阀，确保事故时的消防废水、泄漏废液不排入外环境。</w:t>
            </w:r>
          </w:p>
          <w:p w14:paraId="5158E2CE">
            <w:pPr>
              <w:keepNext w:val="0"/>
              <w:keepLines w:val="0"/>
              <w:pageBreakBefore w:val="0"/>
              <w:widowControl w:val="0"/>
              <w:numPr>
                <w:ilvl w:val="0"/>
                <w:numId w:val="0"/>
              </w:numPr>
              <w:kinsoku/>
              <w:wordWrap/>
              <w:overflowPunct/>
              <w:topLinePunct w:val="0"/>
              <w:bidi w:val="0"/>
              <w:adjustRightInd w:val="0"/>
              <w:snapToGrid w:val="0"/>
              <w:spacing w:line="500" w:lineRule="exact"/>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7）企</w:t>
            </w:r>
            <w:r>
              <w:rPr>
                <w:rFonts w:hint="eastAsia" w:ascii="Times New Roman" w:hAnsi="Times New Roman" w:eastAsia="宋体" w:cs="Times New Roman"/>
                <w:color w:val="auto"/>
                <w:sz w:val="24"/>
                <w:szCs w:val="24"/>
                <w:lang w:val="en-US" w:eastAsia="zh-CN"/>
              </w:rPr>
              <w:t>业</w:t>
            </w:r>
            <w:r>
              <w:rPr>
                <w:rFonts w:hint="eastAsia" w:ascii="Times New Roman" w:hAnsi="Times New Roman" w:eastAsia="宋体" w:cs="Times New Roman"/>
                <w:color w:val="auto"/>
                <w:sz w:val="24"/>
                <w:szCs w:val="24"/>
              </w:rPr>
              <w:t>环境风险三级防范</w:t>
            </w:r>
            <w:r>
              <w:rPr>
                <w:rFonts w:hint="eastAsia" w:ascii="Times New Roman" w:hAnsi="Times New Roman" w:eastAsia="宋体" w:cs="Times New Roman"/>
                <w:color w:val="auto"/>
                <w:sz w:val="24"/>
                <w:szCs w:val="24"/>
                <w:lang w:eastAsia="zh-CN"/>
              </w:rPr>
              <w:t>措施</w:t>
            </w:r>
          </w:p>
          <w:p w14:paraId="7D3A5697">
            <w:pPr>
              <w:pStyle w:val="99"/>
              <w:keepNext w:val="0"/>
              <w:keepLines w:val="0"/>
              <w:pageBreakBefore w:val="0"/>
              <w:widowControl w:val="0"/>
              <w:tabs>
                <w:tab w:val="left" w:pos="840"/>
              </w:tabs>
              <w:kinsoku/>
              <w:wordWrap/>
              <w:overflowPunct/>
              <w:topLinePunct w:val="0"/>
              <w:bidi w:val="0"/>
              <w:snapToGrid/>
              <w:spacing w:line="500" w:lineRule="exact"/>
              <w:ind w:firstLine="480" w:firstLineChars="200"/>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一级防控措施：利用</w:t>
            </w:r>
            <w:r>
              <w:rPr>
                <w:rFonts w:hint="eastAsia" w:ascii="Times New Roman" w:hAnsi="Times New Roman" w:eastAsia="宋体" w:cs="Times New Roman"/>
                <w:snapToGrid/>
                <w:color w:val="auto"/>
                <w:spacing w:val="0"/>
                <w:kern w:val="2"/>
                <w:sz w:val="24"/>
                <w:szCs w:val="24"/>
                <w:lang w:val="en-US" w:eastAsia="zh-CN" w:bidi="ar-SA"/>
              </w:rPr>
              <w:t>车间</w:t>
            </w:r>
            <w:r>
              <w:rPr>
                <w:rFonts w:hint="default" w:ascii="Times New Roman" w:hAnsi="Times New Roman" w:eastAsia="宋体" w:cs="Times New Roman"/>
                <w:snapToGrid/>
                <w:color w:val="auto"/>
                <w:spacing w:val="0"/>
                <w:kern w:val="2"/>
                <w:sz w:val="24"/>
                <w:szCs w:val="24"/>
                <w:lang w:val="en-US" w:eastAsia="zh-CN" w:bidi="ar-SA"/>
              </w:rPr>
              <w:t>存储区</w:t>
            </w:r>
            <w:r>
              <w:rPr>
                <w:rFonts w:hint="eastAsia" w:ascii="Times New Roman" w:hAnsi="Times New Roman" w:cs="Times New Roman"/>
                <w:snapToGrid/>
                <w:color w:val="auto"/>
                <w:spacing w:val="0"/>
                <w:kern w:val="2"/>
                <w:sz w:val="24"/>
                <w:szCs w:val="24"/>
                <w:lang w:val="en-US" w:eastAsia="zh-CN" w:bidi="ar-SA"/>
              </w:rPr>
              <w:t>、危废仓库</w:t>
            </w:r>
            <w:r>
              <w:rPr>
                <w:rFonts w:hint="default" w:ascii="Times New Roman" w:hAnsi="Times New Roman" w:eastAsia="宋体" w:cs="Times New Roman"/>
                <w:snapToGrid/>
                <w:color w:val="auto"/>
                <w:spacing w:val="0"/>
                <w:kern w:val="2"/>
                <w:sz w:val="24"/>
                <w:szCs w:val="24"/>
                <w:lang w:val="en-US" w:eastAsia="zh-CN" w:bidi="ar-SA"/>
              </w:rPr>
              <w:t>收集装置作为一级防控措施，主要防控泄漏</w:t>
            </w:r>
            <w:r>
              <w:rPr>
                <w:rFonts w:hint="eastAsia" w:ascii="Times New Roman" w:hAnsi="Times New Roman" w:eastAsia="宋体" w:cs="Times New Roman"/>
                <w:snapToGrid/>
                <w:color w:val="auto"/>
                <w:spacing w:val="0"/>
                <w:kern w:val="2"/>
                <w:sz w:val="24"/>
                <w:szCs w:val="24"/>
                <w:lang w:val="en-US" w:eastAsia="zh-CN" w:bidi="ar-SA"/>
              </w:rPr>
              <w:t>少量</w:t>
            </w:r>
            <w:r>
              <w:rPr>
                <w:rFonts w:hint="default" w:ascii="Times New Roman" w:hAnsi="Times New Roman" w:eastAsia="宋体" w:cs="Times New Roman"/>
                <w:snapToGrid/>
                <w:color w:val="auto"/>
                <w:spacing w:val="0"/>
                <w:kern w:val="2"/>
                <w:sz w:val="24"/>
                <w:szCs w:val="24"/>
                <w:lang w:val="en-US" w:eastAsia="zh-CN" w:bidi="ar-SA"/>
              </w:rPr>
              <w:t>物料。二级防控措施：</w:t>
            </w:r>
            <w:r>
              <w:rPr>
                <w:rFonts w:hint="eastAsia" w:ascii="Times New Roman" w:hAnsi="Times New Roman" w:eastAsia="宋体" w:cs="Times New Roman"/>
                <w:snapToGrid/>
                <w:color w:val="auto"/>
                <w:spacing w:val="0"/>
                <w:kern w:val="2"/>
                <w:sz w:val="24"/>
                <w:szCs w:val="24"/>
                <w:lang w:val="en-US" w:eastAsia="zh-CN" w:bidi="ar-SA"/>
              </w:rPr>
              <w:t>利用</w:t>
            </w:r>
            <w:r>
              <w:rPr>
                <w:rFonts w:hint="eastAsia"/>
                <w:color w:val="auto"/>
                <w:sz w:val="24"/>
                <w:szCs w:val="24"/>
                <w:lang w:val="en-US" w:eastAsia="zh-CN"/>
              </w:rPr>
              <w:t>事故应急池</w:t>
            </w:r>
            <w:r>
              <w:rPr>
                <w:rFonts w:hint="default" w:ascii="Times New Roman" w:hAnsi="Times New Roman" w:eastAsia="宋体" w:cs="Times New Roman"/>
                <w:snapToGrid/>
                <w:color w:val="auto"/>
                <w:spacing w:val="0"/>
                <w:kern w:val="2"/>
                <w:sz w:val="24"/>
                <w:szCs w:val="24"/>
                <w:lang w:val="en-US" w:eastAsia="zh-CN" w:bidi="ar-SA"/>
              </w:rPr>
              <w:t>作为二级防控措施，用于事故状态下储存泄漏物料、事故废水。三级防控措施：当厂区二级防控系统</w:t>
            </w:r>
            <w:r>
              <w:rPr>
                <w:rFonts w:hint="eastAsia" w:ascii="Times New Roman" w:hAnsi="Times New Roman" w:cs="Times New Roman"/>
                <w:snapToGrid/>
                <w:color w:val="auto"/>
                <w:spacing w:val="0"/>
                <w:kern w:val="2"/>
                <w:sz w:val="24"/>
                <w:szCs w:val="24"/>
                <w:lang w:val="en-US" w:eastAsia="zh-CN" w:bidi="ar-SA"/>
              </w:rPr>
              <w:t>无法满足防控需求</w:t>
            </w:r>
            <w:r>
              <w:rPr>
                <w:rFonts w:hint="default" w:ascii="Times New Roman" w:hAnsi="Times New Roman" w:eastAsia="宋体" w:cs="Times New Roman"/>
                <w:snapToGrid/>
                <w:color w:val="auto"/>
                <w:spacing w:val="0"/>
                <w:kern w:val="2"/>
                <w:sz w:val="24"/>
                <w:szCs w:val="24"/>
                <w:lang w:val="en-US" w:eastAsia="zh-CN" w:bidi="ar-SA"/>
              </w:rPr>
              <w:t>时，</w:t>
            </w:r>
            <w:r>
              <w:rPr>
                <w:rFonts w:hint="eastAsia" w:ascii="Times New Roman" w:hAnsi="Times New Roman" w:cs="Times New Roman"/>
                <w:snapToGrid/>
                <w:color w:val="auto"/>
                <w:spacing w:val="0"/>
                <w:kern w:val="2"/>
                <w:sz w:val="24"/>
                <w:szCs w:val="24"/>
                <w:lang w:val="en-US" w:eastAsia="zh-CN" w:bidi="ar-SA"/>
              </w:rPr>
              <w:t>企业需立即汇报金坛生态环境局、金坛区水利局、金坛区航道管理处等上级管理部门，由上级管理部门</w:t>
            </w:r>
            <w:r>
              <w:rPr>
                <w:rFonts w:hint="default" w:ascii="Times New Roman" w:hAnsi="Times New Roman" w:eastAsia="宋体" w:cs="Times New Roman"/>
                <w:snapToGrid/>
                <w:color w:val="auto"/>
                <w:spacing w:val="0"/>
                <w:kern w:val="2"/>
                <w:sz w:val="24"/>
                <w:szCs w:val="24"/>
                <w:lang w:val="en-US" w:eastAsia="zh-CN" w:bidi="ar-SA"/>
              </w:rPr>
              <w:t>在厂区附近的</w:t>
            </w:r>
            <w:r>
              <w:rPr>
                <w:rFonts w:hint="eastAsia" w:ascii="Times New Roman" w:hAnsi="Times New Roman" w:eastAsia="宋体" w:cs="Times New Roman"/>
                <w:snapToGrid/>
                <w:color w:val="auto"/>
                <w:spacing w:val="0"/>
                <w:kern w:val="2"/>
                <w:sz w:val="24"/>
                <w:szCs w:val="24"/>
                <w:lang w:val="en-US" w:eastAsia="zh-CN" w:bidi="ar-SA"/>
              </w:rPr>
              <w:t>市政</w:t>
            </w:r>
            <w:r>
              <w:rPr>
                <w:rFonts w:hint="default" w:ascii="Times New Roman" w:hAnsi="Times New Roman" w:eastAsia="宋体" w:cs="Times New Roman"/>
                <w:snapToGrid/>
                <w:color w:val="auto"/>
                <w:spacing w:val="0"/>
                <w:kern w:val="2"/>
                <w:sz w:val="24"/>
                <w:szCs w:val="24"/>
                <w:lang w:val="en-US" w:eastAsia="zh-CN" w:bidi="ar-SA"/>
              </w:rPr>
              <w:t>雨水管网</w:t>
            </w:r>
            <w:r>
              <w:rPr>
                <w:rFonts w:hint="eastAsia" w:ascii="Times New Roman" w:hAnsi="Times New Roman" w:cs="Times New Roman"/>
                <w:snapToGrid/>
                <w:color w:val="auto"/>
                <w:spacing w:val="0"/>
                <w:kern w:val="2"/>
                <w:sz w:val="24"/>
                <w:szCs w:val="24"/>
                <w:lang w:val="en-US" w:eastAsia="zh-CN" w:bidi="ar-SA"/>
              </w:rPr>
              <w:t>及附近河道</w:t>
            </w:r>
            <w:r>
              <w:rPr>
                <w:rFonts w:hint="default" w:ascii="Times New Roman" w:hAnsi="Times New Roman" w:eastAsia="宋体" w:cs="Times New Roman"/>
                <w:snapToGrid/>
                <w:color w:val="auto"/>
                <w:spacing w:val="0"/>
                <w:kern w:val="2"/>
                <w:sz w:val="24"/>
                <w:szCs w:val="24"/>
                <w:lang w:val="en-US" w:eastAsia="zh-CN" w:bidi="ar-SA"/>
              </w:rPr>
              <w:t>上游、下游方向</w:t>
            </w:r>
            <w:r>
              <w:rPr>
                <w:rFonts w:hint="eastAsia" w:ascii="Times New Roman" w:hAnsi="Times New Roman" w:cs="Times New Roman"/>
                <w:snapToGrid/>
                <w:color w:val="auto"/>
                <w:spacing w:val="0"/>
                <w:kern w:val="2"/>
                <w:sz w:val="24"/>
                <w:szCs w:val="24"/>
                <w:lang w:val="en-US" w:eastAsia="zh-CN" w:bidi="ar-SA"/>
              </w:rPr>
              <w:t>设置拦截措施</w:t>
            </w:r>
            <w:r>
              <w:rPr>
                <w:rFonts w:hint="default" w:ascii="Times New Roman" w:hAnsi="Times New Roman" w:eastAsia="宋体" w:cs="Times New Roman"/>
                <w:snapToGrid/>
                <w:color w:val="auto"/>
                <w:spacing w:val="0"/>
                <w:kern w:val="2"/>
                <w:sz w:val="24"/>
                <w:szCs w:val="24"/>
                <w:lang w:val="en-US" w:eastAsia="zh-CN" w:bidi="ar-SA"/>
              </w:rPr>
              <w:t>，防止事故废水进一步污染下游水环境</w:t>
            </w:r>
            <w:r>
              <w:rPr>
                <w:rFonts w:hint="eastAsia" w:ascii="Times New Roman" w:hAnsi="Times New Roman" w:eastAsia="宋体" w:cs="Times New Roman"/>
                <w:snapToGrid/>
                <w:color w:val="auto"/>
                <w:spacing w:val="0"/>
                <w:kern w:val="2"/>
                <w:sz w:val="24"/>
                <w:szCs w:val="24"/>
                <w:lang w:val="en-US" w:eastAsia="zh-CN" w:bidi="ar-SA"/>
              </w:rPr>
              <w:t>。</w:t>
            </w:r>
          </w:p>
          <w:p w14:paraId="6259796A">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cs="Times New Roman"/>
                <w:color w:val="auto"/>
                <w:sz w:val="24"/>
                <w:szCs w:val="24"/>
              </w:rPr>
            </w:pPr>
            <w:r>
              <w:rPr>
                <w:rFonts w:hint="eastAsia" w:cs="Times New Roman"/>
                <w:color w:val="auto"/>
                <w:sz w:val="24"/>
                <w:szCs w:val="24"/>
                <w:lang w:val="en-US" w:eastAsia="zh-CN"/>
              </w:rPr>
              <w:t>6</w:t>
            </w:r>
            <w:r>
              <w:rPr>
                <w:rFonts w:hint="eastAsia" w:ascii="Times New Roman" w:hAnsi="Times New Roman" w:cs="Times New Roman"/>
                <w:color w:val="auto"/>
                <w:sz w:val="24"/>
                <w:szCs w:val="24"/>
              </w:rPr>
              <w:t>）与常州市金坛区应急管理局的联动</w:t>
            </w:r>
          </w:p>
          <w:p w14:paraId="2DF3678C">
            <w:pPr>
              <w:keepNext w:val="0"/>
              <w:keepLines w:val="0"/>
              <w:pageBreakBefore w:val="0"/>
              <w:widowControl w:val="0"/>
              <w:kinsoku/>
              <w:wordWrap/>
              <w:overflowPunct/>
              <w:topLinePunct w:val="0"/>
              <w:bidi w:val="0"/>
              <w:adjustRightInd w:val="0"/>
              <w:snapToGrid w:val="0"/>
              <w:spacing w:line="500" w:lineRule="exact"/>
              <w:ind w:firstLine="482"/>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根据《省生态环境厅关于做好安全生产专项整治工作实施方案》(苏环办</w:t>
            </w:r>
            <w:r>
              <w:rPr>
                <w:rFonts w:hint="eastAsia" w:cs="Times New Roman"/>
                <w:color w:val="auto"/>
                <w:sz w:val="24"/>
                <w:szCs w:val="24"/>
                <w:lang w:eastAsia="zh-CN"/>
              </w:rPr>
              <w:t>〔2020〕16号</w:t>
            </w:r>
            <w:r>
              <w:rPr>
                <w:rFonts w:hint="eastAsia" w:ascii="Times New Roman" w:hAnsi="Times New Roman" w:eastAsia="宋体" w:cs="Times New Roman"/>
                <w:color w:val="auto"/>
                <w:sz w:val="24"/>
                <w:szCs w:val="24"/>
              </w:rPr>
              <w:t>)、《关于做好生态环境和应急管理部门联动工作的意见》（苏环办</w:t>
            </w:r>
            <w:r>
              <w:rPr>
                <w:rFonts w:hint="eastAsia" w:cs="Times New Roman"/>
                <w:color w:val="auto"/>
                <w:sz w:val="24"/>
                <w:szCs w:val="24"/>
                <w:lang w:eastAsia="zh-CN"/>
              </w:rPr>
              <w:t>〔2020〕101号</w:t>
            </w:r>
            <w:r>
              <w:rPr>
                <w:rFonts w:hint="eastAsia" w:ascii="Times New Roman" w:hAnsi="Times New Roman" w:eastAsia="宋体" w:cs="Times New Roman"/>
                <w:color w:val="auto"/>
                <w:sz w:val="24"/>
                <w:szCs w:val="24"/>
              </w:rPr>
              <w:t>）相关要求，项目建成后需开展大气、固废等污染防治措施安全论证并获得常州市金坛区应急管理局的许可。</w:t>
            </w:r>
          </w:p>
          <w:p w14:paraId="519B58C5">
            <w:pPr>
              <w:keepNext w:val="0"/>
              <w:keepLines w:val="0"/>
              <w:pageBreakBefore w:val="0"/>
              <w:widowControl w:val="0"/>
              <w:kinsoku/>
              <w:wordWrap/>
              <w:overflowPunct/>
              <w:topLinePunct w:val="0"/>
              <w:bidi w:val="0"/>
              <w:snapToGrid w:val="0"/>
              <w:spacing w:line="500" w:lineRule="exact"/>
              <w:ind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3、</w:t>
            </w:r>
            <w:r>
              <w:rPr>
                <w:rFonts w:hint="default" w:ascii="Times New Roman" w:hAnsi="Times New Roman" w:cs="Times New Roman"/>
                <w:bCs/>
                <w:color w:val="auto"/>
                <w:sz w:val="24"/>
              </w:rPr>
              <w:t>突发环境事件应急预案风险应急计划</w:t>
            </w:r>
          </w:p>
          <w:p w14:paraId="07DBE62E">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cs="Times New Roman"/>
                <w:bCs/>
                <w:color w:val="auto"/>
                <w:sz w:val="24"/>
                <w:szCs w:val="22"/>
              </w:rPr>
            </w:pPr>
            <w:r>
              <w:rPr>
                <w:rFonts w:hint="default" w:ascii="Times New Roman" w:hAnsi="Times New Roman" w:cs="Times New Roman"/>
                <w:bCs/>
                <w:color w:val="auto"/>
                <w:sz w:val="24"/>
              </w:rPr>
              <w:t>企业可委托有资质单位编制突发环境事件应急预案，并按规定报县级以上生态环境主管部门备案。</w:t>
            </w:r>
          </w:p>
          <w:p w14:paraId="3FBE2A63">
            <w:pPr>
              <w:keepNext w:val="0"/>
              <w:keepLines w:val="0"/>
              <w:pageBreakBefore w:val="0"/>
              <w:widowControl w:val="0"/>
              <w:kinsoku/>
              <w:wordWrap/>
              <w:overflowPunct/>
              <w:topLinePunct w:val="0"/>
              <w:bidi w:val="0"/>
              <w:adjustRightInd w:val="0"/>
              <w:snapToGrid w:val="0"/>
              <w:spacing w:line="500" w:lineRule="exact"/>
              <w:rPr>
                <w:rFonts w:hint="default" w:ascii="Times New Roman" w:hAnsi="Times New Roman" w:cs="Times New Roman"/>
                <w:b/>
                <w:bCs/>
                <w:color w:val="auto"/>
                <w:sz w:val="24"/>
              </w:rPr>
            </w:pPr>
            <w:r>
              <w:rPr>
                <w:rFonts w:hint="eastAsia" w:cs="Times New Roman"/>
                <w:b/>
                <w:bCs/>
                <w:color w:val="auto"/>
                <w:sz w:val="24"/>
                <w:lang w:eastAsia="zh-CN"/>
              </w:rPr>
              <w:t>八</w:t>
            </w:r>
            <w:r>
              <w:rPr>
                <w:rFonts w:hint="default" w:ascii="Times New Roman" w:hAnsi="Times New Roman" w:cs="Times New Roman"/>
                <w:b/>
                <w:bCs/>
                <w:color w:val="auto"/>
                <w:sz w:val="24"/>
              </w:rPr>
              <w:t>、电磁辐射</w:t>
            </w:r>
          </w:p>
          <w:p w14:paraId="343826DF">
            <w:pPr>
              <w:keepNext w:val="0"/>
              <w:keepLines w:val="0"/>
              <w:pageBreakBefore w:val="0"/>
              <w:widowControl w:val="0"/>
              <w:kinsoku/>
              <w:wordWrap/>
              <w:overflowPunct/>
              <w:topLinePunct w:val="0"/>
              <w:bidi w:val="0"/>
              <w:adjustRightInd w:val="0"/>
              <w:snapToGrid w:val="0"/>
              <w:spacing w:line="500" w:lineRule="exact"/>
              <w:ind w:firstLine="480" w:firstLineChars="200"/>
              <w:rPr>
                <w:rFonts w:hint="default" w:ascii="Times New Roman" w:hAnsi="Times New Roman" w:eastAsia="黑体" w:cs="Times New Roman"/>
                <w:snapToGrid w:val="0"/>
                <w:color w:val="auto"/>
                <w:sz w:val="30"/>
                <w:szCs w:val="30"/>
                <w:vertAlign w:val="baseline"/>
              </w:rPr>
            </w:pPr>
            <w:r>
              <w:rPr>
                <w:rFonts w:hint="default" w:ascii="Times New Roman" w:hAnsi="Times New Roman" w:cs="Times New Roman"/>
                <w:bCs/>
                <w:color w:val="auto"/>
                <w:sz w:val="24"/>
                <w:szCs w:val="22"/>
              </w:rPr>
              <w:t>本项目不涉及</w:t>
            </w:r>
            <w:r>
              <w:rPr>
                <w:rFonts w:hint="default" w:ascii="Times New Roman" w:hAnsi="Times New Roman" w:eastAsia="宋体" w:cs="Times New Roman"/>
                <w:bCs/>
                <w:color w:val="auto"/>
                <w:sz w:val="24"/>
              </w:rPr>
              <w:t>电磁辐射</w:t>
            </w:r>
            <w:r>
              <w:rPr>
                <w:rFonts w:hint="default" w:ascii="Times New Roman" w:hAnsi="Times New Roman" w:cs="Times New Roman"/>
                <w:bCs/>
                <w:color w:val="auto"/>
                <w:sz w:val="24"/>
                <w:szCs w:val="22"/>
              </w:rPr>
              <w:t>。</w:t>
            </w:r>
          </w:p>
        </w:tc>
      </w:tr>
    </w:tbl>
    <w:p w14:paraId="1D8CCA02">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sectPr>
          <w:headerReference r:id="rId9" w:type="default"/>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2FE462A3">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7" w:name="_Hlk54167917"/>
      <w:r>
        <w:rPr>
          <w:rFonts w:hint="default" w:ascii="Times New Roman" w:hAnsi="Times New Roman" w:eastAsia="黑体" w:cs="Times New Roman"/>
          <w:snapToGrid w:val="0"/>
          <w:color w:val="auto"/>
          <w:sz w:val="30"/>
          <w:szCs w:val="30"/>
        </w:rPr>
        <w:t>环境保护措施监督检查清单</w:t>
      </w:r>
      <w:bookmarkEnd w:id="5"/>
      <w:bookmarkEnd w:id="7"/>
    </w:p>
    <w:tbl>
      <w:tblPr>
        <w:tblStyle w:val="28"/>
        <w:tblW w:w="9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66"/>
        <w:gridCol w:w="666"/>
        <w:gridCol w:w="1473"/>
        <w:gridCol w:w="1677"/>
        <w:gridCol w:w="2400"/>
        <w:gridCol w:w="2285"/>
      </w:tblGrid>
      <w:tr w14:paraId="1D18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tcBorders>
              <w:tl2br w:val="single" w:color="auto" w:sz="4" w:space="0"/>
            </w:tcBorders>
          </w:tcPr>
          <w:p w14:paraId="3F8D3E78">
            <w:pPr>
              <w:adjustRightInd w:val="0"/>
              <w:snapToGrid w:val="0"/>
              <w:spacing w:line="240" w:lineRule="auto"/>
              <w:ind w:left="0" w:leftChars="0" w:firstLine="0" w:firstLineChars="0"/>
              <w:jc w:val="righ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w:t>
            </w:r>
          </w:p>
          <w:p w14:paraId="73765D38">
            <w:pPr>
              <w:adjustRightInd w:val="0"/>
              <w:snapToGrid w:val="0"/>
              <w:spacing w:line="240" w:lineRule="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要素</w:t>
            </w:r>
          </w:p>
        </w:tc>
        <w:tc>
          <w:tcPr>
            <w:tcW w:w="1473" w:type="dxa"/>
            <w:vAlign w:val="center"/>
          </w:tcPr>
          <w:p w14:paraId="21BE6A5F">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排放口（编号、名称）/污染源</w:t>
            </w:r>
          </w:p>
        </w:tc>
        <w:tc>
          <w:tcPr>
            <w:tcW w:w="1677" w:type="dxa"/>
            <w:vAlign w:val="center"/>
          </w:tcPr>
          <w:p w14:paraId="67F2C5F2">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污染物项目</w:t>
            </w:r>
          </w:p>
        </w:tc>
        <w:tc>
          <w:tcPr>
            <w:tcW w:w="2400" w:type="dxa"/>
            <w:vAlign w:val="center"/>
          </w:tcPr>
          <w:p w14:paraId="3B7E45BD">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环境保护措施</w:t>
            </w:r>
          </w:p>
        </w:tc>
        <w:tc>
          <w:tcPr>
            <w:tcW w:w="2285" w:type="dxa"/>
            <w:vAlign w:val="center"/>
          </w:tcPr>
          <w:p w14:paraId="4911D01E">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执行标准</w:t>
            </w:r>
          </w:p>
        </w:tc>
      </w:tr>
      <w:tr w14:paraId="500D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666" w:type="dxa"/>
            <w:vMerge w:val="restart"/>
            <w:vAlign w:val="center"/>
          </w:tcPr>
          <w:p w14:paraId="6BA2021D">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666" w:type="dxa"/>
            <w:vMerge w:val="restart"/>
            <w:vAlign w:val="center"/>
          </w:tcPr>
          <w:p w14:paraId="349E7322">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1473" w:type="dxa"/>
            <w:vMerge w:val="restart"/>
            <w:vAlign w:val="center"/>
          </w:tcPr>
          <w:p w14:paraId="3697D363">
            <w:pPr>
              <w:adjustRightInd w:val="0"/>
              <w:snapToGrid w:val="0"/>
              <w:spacing w:line="240" w:lineRule="auto"/>
              <w:jc w:val="center"/>
              <w:rPr>
                <w:rFonts w:hint="default" w:ascii="Times New Roman" w:hAnsi="Times New Roman" w:cs="Times New Roman"/>
                <w:color w:val="auto"/>
                <w:sz w:val="21"/>
                <w:szCs w:val="21"/>
              </w:rPr>
            </w:pPr>
            <w:r>
              <w:rPr>
                <w:rFonts w:hint="eastAsia"/>
                <w:color w:val="auto"/>
                <w:szCs w:val="21"/>
              </w:rPr>
              <w:t>生产车间</w:t>
            </w:r>
          </w:p>
        </w:tc>
        <w:tc>
          <w:tcPr>
            <w:tcW w:w="1677" w:type="dxa"/>
            <w:vAlign w:val="center"/>
          </w:tcPr>
          <w:p w14:paraId="3A4C1C2B">
            <w:pPr>
              <w:spacing w:line="240" w:lineRule="auto"/>
              <w:jc w:val="center"/>
              <w:rPr>
                <w:rFonts w:hint="default" w:ascii="Times New Roman" w:hAnsi="Times New Roman" w:cs="Times New Roman"/>
                <w:color w:val="FF0000"/>
                <w:sz w:val="21"/>
                <w:szCs w:val="21"/>
                <w:lang w:val="en-US" w:eastAsia="zh-CN"/>
              </w:rPr>
            </w:pPr>
            <w:r>
              <w:rPr>
                <w:rFonts w:hint="eastAsia" w:ascii="Times New Roman" w:hAnsi="Times New Roman" w:eastAsia="宋体" w:cs="Times New Roman"/>
                <w:bCs/>
                <w:color w:val="FF0000"/>
                <w:kern w:val="2"/>
                <w:sz w:val="21"/>
                <w:szCs w:val="21"/>
                <w:lang w:val="en-US" w:eastAsia="zh-CN" w:bidi="ar-SA"/>
              </w:rPr>
              <w:t>锡及其化合物</w:t>
            </w:r>
          </w:p>
        </w:tc>
        <w:tc>
          <w:tcPr>
            <w:tcW w:w="2400" w:type="dxa"/>
            <w:vAlign w:val="center"/>
          </w:tcPr>
          <w:p w14:paraId="5E0F27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项目</w:t>
            </w:r>
            <w:r>
              <w:rPr>
                <w:rFonts w:hint="eastAsia" w:cs="Times New Roman"/>
                <w:bCs/>
                <w:color w:val="FF0000"/>
                <w:kern w:val="2"/>
                <w:sz w:val="21"/>
                <w:szCs w:val="21"/>
                <w:lang w:val="en-US" w:eastAsia="zh-CN" w:bidi="ar-SA"/>
              </w:rPr>
              <w:t>浸锡</w:t>
            </w:r>
            <w:r>
              <w:rPr>
                <w:rFonts w:hint="eastAsia" w:ascii="Times New Roman" w:hAnsi="Times New Roman" w:cs="Times New Roman"/>
                <w:bCs/>
                <w:color w:val="FF0000"/>
                <w:kern w:val="2"/>
                <w:sz w:val="21"/>
                <w:szCs w:val="21"/>
                <w:lang w:val="en-US" w:eastAsia="zh-CN" w:bidi="ar-SA"/>
              </w:rPr>
              <w:t>废气</w:t>
            </w:r>
            <w:r>
              <w:rPr>
                <w:rFonts w:hint="eastAsia" w:cs="Times New Roman"/>
                <w:color w:val="FF0000"/>
                <w:sz w:val="21"/>
                <w:szCs w:val="21"/>
                <w:highlight w:val="none"/>
                <w:lang w:val="en-US" w:eastAsia="zh-CN"/>
              </w:rPr>
              <w:t>采用袋式除尘器</w:t>
            </w:r>
            <w:r>
              <w:rPr>
                <w:rFonts w:hint="default" w:ascii="Times New Roman" w:hAnsi="Times New Roman" w:cs="Times New Roman"/>
                <w:color w:val="FF0000"/>
                <w:sz w:val="21"/>
                <w:szCs w:val="21"/>
                <w:highlight w:val="none"/>
              </w:rPr>
              <w:t>处理</w:t>
            </w:r>
          </w:p>
        </w:tc>
        <w:tc>
          <w:tcPr>
            <w:tcW w:w="2285" w:type="dxa"/>
            <w:vMerge w:val="restart"/>
            <w:vAlign w:val="center"/>
          </w:tcPr>
          <w:p w14:paraId="10661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大气污染物综合排放标准》（DB32/4041-2021）表</w:t>
            </w:r>
            <w:r>
              <w:rPr>
                <w:rFonts w:hint="eastAsia" w:ascii="Times New Roman" w:hAnsi="Times New Roman" w:eastAsia="宋体" w:cs="Times New Roman"/>
                <w:color w:val="auto"/>
                <w:szCs w:val="21"/>
                <w:lang w:val="en-US" w:eastAsia="zh-CN"/>
              </w:rPr>
              <w:t>3</w:t>
            </w:r>
          </w:p>
        </w:tc>
      </w:tr>
      <w:tr w14:paraId="1C29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666" w:type="dxa"/>
            <w:vMerge w:val="continue"/>
            <w:vAlign w:val="center"/>
          </w:tcPr>
          <w:p w14:paraId="36155D40">
            <w:pPr>
              <w:adjustRightInd w:val="0"/>
              <w:snapToGrid w:val="0"/>
              <w:spacing w:line="240" w:lineRule="auto"/>
              <w:jc w:val="center"/>
              <w:rPr>
                <w:rFonts w:hint="default" w:ascii="Times New Roman" w:hAnsi="Times New Roman" w:cs="Times New Roman"/>
                <w:color w:val="auto"/>
                <w:sz w:val="21"/>
                <w:szCs w:val="21"/>
              </w:rPr>
            </w:pPr>
          </w:p>
        </w:tc>
        <w:tc>
          <w:tcPr>
            <w:tcW w:w="666" w:type="dxa"/>
            <w:vMerge w:val="continue"/>
            <w:vAlign w:val="center"/>
          </w:tcPr>
          <w:p w14:paraId="3CA5689A">
            <w:pPr>
              <w:adjustRightInd w:val="0"/>
              <w:snapToGrid w:val="0"/>
              <w:spacing w:line="240" w:lineRule="auto"/>
              <w:jc w:val="center"/>
              <w:rPr>
                <w:rFonts w:hint="default" w:ascii="Times New Roman" w:hAnsi="Times New Roman" w:cs="Times New Roman"/>
                <w:color w:val="auto"/>
                <w:sz w:val="21"/>
                <w:szCs w:val="21"/>
              </w:rPr>
            </w:pPr>
          </w:p>
        </w:tc>
        <w:tc>
          <w:tcPr>
            <w:tcW w:w="1473" w:type="dxa"/>
            <w:vMerge w:val="continue"/>
            <w:vAlign w:val="center"/>
          </w:tcPr>
          <w:p w14:paraId="162EA19A">
            <w:pPr>
              <w:adjustRightInd w:val="0"/>
              <w:snapToGrid w:val="0"/>
              <w:spacing w:line="240" w:lineRule="auto"/>
              <w:jc w:val="center"/>
              <w:rPr>
                <w:rFonts w:hint="default" w:ascii="Times New Roman" w:hAnsi="Times New Roman" w:cs="Times New Roman"/>
                <w:color w:val="auto"/>
                <w:sz w:val="21"/>
                <w:szCs w:val="21"/>
              </w:rPr>
            </w:pPr>
          </w:p>
        </w:tc>
        <w:tc>
          <w:tcPr>
            <w:tcW w:w="1677" w:type="dxa"/>
            <w:vAlign w:val="center"/>
          </w:tcPr>
          <w:p w14:paraId="27AEC7A0">
            <w:pPr>
              <w:spacing w:line="240" w:lineRule="auto"/>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非甲烷总烃</w:t>
            </w:r>
          </w:p>
        </w:tc>
        <w:tc>
          <w:tcPr>
            <w:tcW w:w="2400" w:type="dxa"/>
            <w:vAlign w:val="center"/>
          </w:tcPr>
          <w:p w14:paraId="5992F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FF0000"/>
                <w:sz w:val="21"/>
                <w:szCs w:val="21"/>
              </w:rPr>
              <w:t>加强车间通风</w:t>
            </w:r>
          </w:p>
        </w:tc>
        <w:tc>
          <w:tcPr>
            <w:tcW w:w="2285" w:type="dxa"/>
            <w:vMerge w:val="continue"/>
            <w:vAlign w:val="center"/>
          </w:tcPr>
          <w:p w14:paraId="194E36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p>
        </w:tc>
      </w:tr>
      <w:tr w14:paraId="568B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666" w:type="dxa"/>
            <w:vMerge w:val="continue"/>
            <w:vAlign w:val="center"/>
          </w:tcPr>
          <w:p w14:paraId="22B6DF69">
            <w:pPr>
              <w:adjustRightInd w:val="0"/>
              <w:snapToGrid w:val="0"/>
              <w:spacing w:line="240" w:lineRule="auto"/>
              <w:jc w:val="center"/>
              <w:rPr>
                <w:rFonts w:hint="default" w:ascii="Times New Roman" w:hAnsi="Times New Roman" w:cs="Times New Roman"/>
                <w:color w:val="auto"/>
                <w:sz w:val="21"/>
                <w:szCs w:val="21"/>
              </w:rPr>
            </w:pPr>
          </w:p>
        </w:tc>
        <w:tc>
          <w:tcPr>
            <w:tcW w:w="666" w:type="dxa"/>
            <w:vMerge w:val="continue"/>
            <w:vAlign w:val="center"/>
          </w:tcPr>
          <w:p w14:paraId="77277ECF">
            <w:pPr>
              <w:adjustRightInd w:val="0"/>
              <w:snapToGrid w:val="0"/>
              <w:spacing w:line="240" w:lineRule="auto"/>
              <w:jc w:val="center"/>
              <w:rPr>
                <w:rFonts w:hint="default" w:ascii="Times New Roman" w:hAnsi="Times New Roman" w:cs="Times New Roman"/>
                <w:color w:val="auto"/>
                <w:sz w:val="21"/>
                <w:szCs w:val="21"/>
              </w:rPr>
            </w:pPr>
          </w:p>
        </w:tc>
        <w:tc>
          <w:tcPr>
            <w:tcW w:w="1473" w:type="dxa"/>
            <w:vAlign w:val="center"/>
          </w:tcPr>
          <w:p w14:paraId="10EE3E79">
            <w:pPr>
              <w:jc w:val="center"/>
              <w:rPr>
                <w:rFonts w:hint="default" w:ascii="Times New Roman" w:hAnsi="Times New Roman" w:cs="Times New Roman"/>
                <w:color w:val="auto"/>
                <w:sz w:val="21"/>
                <w:szCs w:val="21"/>
              </w:rPr>
            </w:pPr>
            <w:r>
              <w:rPr>
                <w:color w:val="auto"/>
                <w:szCs w:val="21"/>
              </w:rPr>
              <w:t>厂区内车间外有机废气</w:t>
            </w:r>
          </w:p>
        </w:tc>
        <w:tc>
          <w:tcPr>
            <w:tcW w:w="1677" w:type="dxa"/>
            <w:vAlign w:val="center"/>
          </w:tcPr>
          <w:p w14:paraId="5E0EF210">
            <w:pPr>
              <w:jc w:val="center"/>
              <w:rPr>
                <w:rFonts w:hint="eastAsia" w:ascii="Times New Roman" w:hAnsi="Times New Roman" w:eastAsia="宋体" w:cs="Times New Roman"/>
                <w:bCs/>
                <w:color w:val="auto"/>
                <w:kern w:val="2"/>
                <w:sz w:val="21"/>
                <w:szCs w:val="21"/>
                <w:lang w:val="en-US" w:eastAsia="zh-CN" w:bidi="ar-SA"/>
              </w:rPr>
            </w:pPr>
            <w:r>
              <w:rPr>
                <w:color w:val="auto"/>
                <w:szCs w:val="21"/>
              </w:rPr>
              <w:t>非甲烷总烃</w:t>
            </w:r>
          </w:p>
        </w:tc>
        <w:tc>
          <w:tcPr>
            <w:tcW w:w="2400" w:type="dxa"/>
            <w:vAlign w:val="center"/>
          </w:tcPr>
          <w:p w14:paraId="48ACCF38">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sz w:val="21"/>
                <w:szCs w:val="21"/>
              </w:rPr>
            </w:pPr>
            <w:r>
              <w:rPr>
                <w:rFonts w:hint="eastAsia" w:hAnsi="宋体"/>
                <w:color w:val="auto"/>
                <w:sz w:val="21"/>
                <w:szCs w:val="21"/>
              </w:rPr>
              <w:t>/</w:t>
            </w:r>
          </w:p>
        </w:tc>
        <w:tc>
          <w:tcPr>
            <w:tcW w:w="2285" w:type="dxa"/>
            <w:vAlign w:val="center"/>
          </w:tcPr>
          <w:p w14:paraId="3206D0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大气污染物综合排放标准》（DB32/4041-2021）</w:t>
            </w:r>
            <w:r>
              <w:rPr>
                <w:rFonts w:hint="eastAsia" w:ascii="Times New Roman" w:hAnsi="Times New Roman" w:eastAsia="宋体" w:cs="Times New Roman"/>
                <w:color w:val="auto"/>
                <w:sz w:val="21"/>
                <w:szCs w:val="21"/>
              </w:rPr>
              <w:t>表</w:t>
            </w:r>
            <w:r>
              <w:rPr>
                <w:rFonts w:hint="eastAsia" w:cs="Times New Roman"/>
                <w:color w:val="auto"/>
                <w:sz w:val="21"/>
                <w:szCs w:val="21"/>
                <w:lang w:val="en-US" w:eastAsia="zh-CN"/>
              </w:rPr>
              <w:t>2</w:t>
            </w:r>
          </w:p>
        </w:tc>
      </w:tr>
      <w:tr w14:paraId="03CF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vAlign w:val="center"/>
          </w:tcPr>
          <w:p w14:paraId="2CCE1505">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1473" w:type="dxa"/>
            <w:vAlign w:val="center"/>
          </w:tcPr>
          <w:p w14:paraId="39345EE7">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eastAsia="zh-CN"/>
              </w:rPr>
              <w:t>生活污水</w:t>
            </w:r>
          </w:p>
        </w:tc>
        <w:tc>
          <w:tcPr>
            <w:tcW w:w="1677" w:type="dxa"/>
            <w:vAlign w:val="center"/>
          </w:tcPr>
          <w:p w14:paraId="7A58429A">
            <w:pPr>
              <w:adjustRightInd w:val="0"/>
              <w:snapToGrid w:val="0"/>
              <w:spacing w:line="240" w:lineRule="auto"/>
              <w:jc w:val="center"/>
              <w:rPr>
                <w:rFonts w:hint="default" w:ascii="Times New Roman" w:hAnsi="Times New Roman" w:cs="Times New Roman"/>
                <w:color w:val="auto"/>
                <w:sz w:val="21"/>
                <w:szCs w:val="21"/>
              </w:rPr>
            </w:pPr>
            <w:r>
              <w:rPr>
                <w:color w:val="auto"/>
                <w:sz w:val="21"/>
                <w:szCs w:val="21"/>
              </w:rPr>
              <w:t>COD、SS、氨氮、</w:t>
            </w:r>
            <w:r>
              <w:rPr>
                <w:rFonts w:hint="eastAsia"/>
                <w:color w:val="auto"/>
                <w:sz w:val="21"/>
                <w:szCs w:val="21"/>
              </w:rPr>
              <w:t>TN</w:t>
            </w:r>
            <w:r>
              <w:rPr>
                <w:color w:val="auto"/>
                <w:sz w:val="21"/>
                <w:szCs w:val="21"/>
              </w:rPr>
              <w:t>、</w:t>
            </w:r>
            <w:r>
              <w:rPr>
                <w:rFonts w:hint="eastAsia"/>
                <w:color w:val="auto"/>
                <w:sz w:val="21"/>
                <w:szCs w:val="21"/>
              </w:rPr>
              <w:t>TP</w:t>
            </w:r>
          </w:p>
        </w:tc>
        <w:tc>
          <w:tcPr>
            <w:tcW w:w="2400" w:type="dxa"/>
            <w:vAlign w:val="center"/>
          </w:tcPr>
          <w:p w14:paraId="06C9210A">
            <w:pPr>
              <w:adjustRightInd w:val="0"/>
              <w:snapToGrid w:val="0"/>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接管至金坛区指前镇新河村农村生活污水处理站</w:t>
            </w:r>
          </w:p>
        </w:tc>
        <w:tc>
          <w:tcPr>
            <w:tcW w:w="2285" w:type="dxa"/>
            <w:vAlign w:val="center"/>
          </w:tcPr>
          <w:p w14:paraId="122FD13B">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《污水排入城镇下水道水质标准》（GB/T31962-2015）表1中B等级</w:t>
            </w:r>
          </w:p>
        </w:tc>
      </w:tr>
      <w:tr w14:paraId="2D8F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vAlign w:val="center"/>
          </w:tcPr>
          <w:p w14:paraId="11A1355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473" w:type="dxa"/>
            <w:vAlign w:val="center"/>
          </w:tcPr>
          <w:p w14:paraId="165D47F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机械设备</w:t>
            </w:r>
          </w:p>
        </w:tc>
        <w:tc>
          <w:tcPr>
            <w:tcW w:w="1677" w:type="dxa"/>
            <w:vAlign w:val="center"/>
          </w:tcPr>
          <w:p w14:paraId="6190531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400" w:type="dxa"/>
            <w:vAlign w:val="center"/>
          </w:tcPr>
          <w:p w14:paraId="5885591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合理布局、减振、厂房隔声、距离衰减等措施</w:t>
            </w:r>
          </w:p>
        </w:tc>
        <w:tc>
          <w:tcPr>
            <w:tcW w:w="2285" w:type="dxa"/>
            <w:vAlign w:val="center"/>
          </w:tcPr>
          <w:p w14:paraId="3DD40A81">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类标准</w:t>
            </w:r>
          </w:p>
        </w:tc>
      </w:tr>
      <w:tr w14:paraId="1C9C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gridSpan w:val="2"/>
            <w:vAlign w:val="center"/>
          </w:tcPr>
          <w:p w14:paraId="086C074B">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1473" w:type="dxa"/>
            <w:vAlign w:val="center"/>
          </w:tcPr>
          <w:p w14:paraId="6C017644">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77" w:type="dxa"/>
            <w:vAlign w:val="center"/>
          </w:tcPr>
          <w:p w14:paraId="7B499F8C">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400" w:type="dxa"/>
            <w:vAlign w:val="center"/>
          </w:tcPr>
          <w:p w14:paraId="119E9997">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285" w:type="dxa"/>
            <w:vAlign w:val="center"/>
          </w:tcPr>
          <w:p w14:paraId="7A8BB358">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908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gridSpan w:val="2"/>
            <w:vAlign w:val="center"/>
          </w:tcPr>
          <w:p w14:paraId="340D2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835" w:type="dxa"/>
            <w:gridSpan w:val="4"/>
            <w:vAlign w:val="center"/>
          </w:tcPr>
          <w:p w14:paraId="130FE02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边角料、</w:t>
            </w:r>
            <w:r>
              <w:rPr>
                <w:rFonts w:hint="eastAsia" w:cs="Times New Roman"/>
                <w:color w:val="auto"/>
                <w:sz w:val="21"/>
                <w:szCs w:val="21"/>
                <w:highlight w:val="none"/>
                <w:lang w:val="en-US" w:eastAsia="zh-CN"/>
              </w:rPr>
              <w:t>次品</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lang w:val="en-US" w:eastAsia="zh-CN" w:bidi="ar-SA"/>
              </w:rPr>
              <w:t>锡渣、</w:t>
            </w:r>
            <w:r>
              <w:rPr>
                <w:rFonts w:hint="default" w:ascii="Times New Roman" w:hAnsi="Times New Roman" w:eastAsia="宋体" w:cs="Times New Roman"/>
                <w:color w:val="auto"/>
                <w:sz w:val="21"/>
                <w:szCs w:val="21"/>
                <w:highlight w:val="none"/>
                <w:lang w:val="en-US" w:eastAsia="zh-CN"/>
              </w:rPr>
              <w:t>废</w:t>
            </w:r>
            <w:r>
              <w:rPr>
                <w:rFonts w:hint="eastAsia" w:cs="Times New Roman"/>
                <w:color w:val="auto"/>
                <w:sz w:val="21"/>
                <w:szCs w:val="21"/>
                <w:highlight w:val="none"/>
                <w:lang w:val="en-US" w:eastAsia="zh-CN"/>
              </w:rPr>
              <w:t>布袋</w:t>
            </w:r>
            <w:r>
              <w:rPr>
                <w:rFonts w:hint="eastAsia" w:ascii="Times New Roman" w:hAnsi="Times New Roman" w:eastAsia="宋体" w:cs="Times New Roman"/>
                <w:color w:val="auto"/>
                <w:sz w:val="21"/>
                <w:szCs w:val="21"/>
                <w:highlight w:val="none"/>
                <w:lang w:val="en-US" w:eastAsia="zh-CN"/>
              </w:rPr>
              <w:t>、废包</w:t>
            </w:r>
            <w:r>
              <w:rPr>
                <w:rFonts w:hint="eastAsia" w:cs="Times New Roman"/>
                <w:color w:val="auto"/>
                <w:sz w:val="21"/>
                <w:szCs w:val="21"/>
                <w:highlight w:val="none"/>
                <w:lang w:val="en-US" w:eastAsia="zh-CN"/>
              </w:rPr>
              <w:t>材、收尘</w:t>
            </w:r>
            <w:r>
              <w:rPr>
                <w:rFonts w:hint="default" w:ascii="Times New Roman" w:hAnsi="Times New Roman" w:eastAsia="宋体" w:cs="Times New Roman"/>
                <w:color w:val="auto"/>
                <w:sz w:val="21"/>
                <w:szCs w:val="21"/>
                <w:highlight w:val="none"/>
              </w:rPr>
              <w:t>属于一般固废，收集后外售综合利用；</w:t>
            </w:r>
            <w:r>
              <w:rPr>
                <w:rFonts w:hint="eastAsia" w:ascii="Times New Roman" w:hAnsi="Times New Roman" w:eastAsia="宋体" w:cs="Times New Roman"/>
                <w:color w:val="auto"/>
                <w:kern w:val="2"/>
                <w:sz w:val="21"/>
                <w:szCs w:val="21"/>
                <w:lang w:val="en-US" w:eastAsia="zh-CN" w:bidi="ar-SA"/>
              </w:rPr>
              <w:t>废塑料桶</w:t>
            </w:r>
            <w:r>
              <w:rPr>
                <w:rFonts w:hint="default" w:ascii="Times New Roman" w:hAnsi="Times New Roman" w:eastAsia="宋体" w:cs="Times New Roman"/>
                <w:color w:val="auto"/>
                <w:sz w:val="21"/>
                <w:szCs w:val="21"/>
                <w:highlight w:val="none"/>
              </w:rPr>
              <w:t>属于危险废物，委托有资质单位</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eastAsia="zh-CN"/>
              </w:rPr>
              <w:t>生活垃圾</w:t>
            </w:r>
            <w:r>
              <w:rPr>
                <w:rFonts w:hint="default" w:ascii="Times New Roman" w:hAnsi="Times New Roman" w:cs="Times New Roman"/>
                <w:color w:val="auto"/>
                <w:sz w:val="21"/>
                <w:szCs w:val="21"/>
                <w:highlight w:val="none"/>
              </w:rPr>
              <w:t>委托环卫清运。</w:t>
            </w:r>
          </w:p>
        </w:tc>
      </w:tr>
      <w:tr w14:paraId="040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gridSpan w:val="2"/>
            <w:vAlign w:val="center"/>
          </w:tcPr>
          <w:p w14:paraId="40E93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835" w:type="dxa"/>
            <w:gridSpan w:val="4"/>
            <w:vAlign w:val="center"/>
          </w:tcPr>
          <w:p w14:paraId="01BA53E6">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本项目土壤地下水污染防治措施按照</w:t>
            </w:r>
            <w:r>
              <w:rPr>
                <w:rFonts w:hint="eastAsia" w:cs="Times New Roman"/>
                <w:color w:val="auto"/>
                <w:sz w:val="21"/>
                <w:szCs w:val="21"/>
                <w:lang w:eastAsia="zh-CN"/>
              </w:rPr>
              <w:t>“</w:t>
            </w:r>
            <w:r>
              <w:rPr>
                <w:rFonts w:hint="default" w:ascii="Times New Roman" w:hAnsi="Times New Roman" w:cs="Times New Roman"/>
                <w:color w:val="auto"/>
                <w:sz w:val="21"/>
                <w:szCs w:val="21"/>
              </w:rPr>
              <w:t>源头控制、分区防治、污染监控、应急响应</w:t>
            </w:r>
            <w:r>
              <w:rPr>
                <w:rFonts w:hint="eastAsia" w:cs="Times New Roman"/>
                <w:color w:val="auto"/>
                <w:sz w:val="21"/>
                <w:szCs w:val="21"/>
                <w:lang w:eastAsia="zh-CN"/>
              </w:rPr>
              <w:t>”</w:t>
            </w:r>
            <w:r>
              <w:rPr>
                <w:rFonts w:hint="default" w:ascii="Times New Roman" w:hAnsi="Times New Roman" w:cs="Times New Roman"/>
                <w:color w:val="auto"/>
                <w:sz w:val="21"/>
                <w:szCs w:val="21"/>
              </w:rPr>
              <w:t>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0DC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gridSpan w:val="2"/>
            <w:vAlign w:val="center"/>
          </w:tcPr>
          <w:p w14:paraId="06069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w:t>
            </w:r>
          </w:p>
          <w:p w14:paraId="04760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7835" w:type="dxa"/>
            <w:gridSpan w:val="4"/>
            <w:vAlign w:val="center"/>
          </w:tcPr>
          <w:p w14:paraId="5EB680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本项目用地范围内不含生态保护目标。</w:t>
            </w:r>
          </w:p>
        </w:tc>
      </w:tr>
      <w:tr w14:paraId="3893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gridSpan w:val="2"/>
            <w:vAlign w:val="center"/>
          </w:tcPr>
          <w:p w14:paraId="48E99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w:t>
            </w:r>
          </w:p>
          <w:p w14:paraId="69DE9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防范措施</w:t>
            </w:r>
          </w:p>
        </w:tc>
        <w:tc>
          <w:tcPr>
            <w:tcW w:w="7835" w:type="dxa"/>
            <w:gridSpan w:val="4"/>
            <w:vAlign w:val="center"/>
          </w:tcPr>
          <w:p w14:paraId="72C7B2A7">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（1）加强对危险废物的管理，制定相应的安全操作流程；</w:t>
            </w:r>
          </w:p>
          <w:p w14:paraId="64A87B95">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lang w:val="en-US" w:eastAsia="zh-CN"/>
              </w:rPr>
              <w:t>仓库必须防渗、防漏、防雨，应配备吸附剂等材料，防止发生事故时能对事故进行应急处理；</w:t>
            </w:r>
          </w:p>
          <w:p w14:paraId="011972C0">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lang w:val="en-US" w:eastAsia="zh-CN"/>
              </w:rPr>
              <w:t>应加强火源的管理，各重点部位建议设置灭火器，并且对其</w:t>
            </w:r>
            <w:r>
              <w:rPr>
                <w:rFonts w:hint="eastAsia" w:cs="Times New Roman"/>
                <w:color w:val="auto"/>
                <w:sz w:val="21"/>
                <w:szCs w:val="21"/>
                <w:lang w:val="en-US" w:eastAsia="zh-CN"/>
              </w:rPr>
              <w:t>做</w:t>
            </w:r>
            <w:r>
              <w:rPr>
                <w:rFonts w:hint="default" w:ascii="Times New Roman" w:hAnsi="Times New Roman" w:eastAsia="宋体" w:cs="Times New Roman"/>
                <w:color w:val="auto"/>
                <w:sz w:val="21"/>
                <w:szCs w:val="21"/>
                <w:lang w:val="en-US" w:eastAsia="zh-CN"/>
              </w:rPr>
              <w:t>定期检查。</w:t>
            </w:r>
          </w:p>
        </w:tc>
      </w:tr>
      <w:tr w14:paraId="131D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gridSpan w:val="2"/>
            <w:vAlign w:val="center"/>
          </w:tcPr>
          <w:p w14:paraId="7BFD03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w:t>
            </w:r>
          </w:p>
          <w:p w14:paraId="26C9B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管理要求</w:t>
            </w:r>
          </w:p>
        </w:tc>
        <w:tc>
          <w:tcPr>
            <w:tcW w:w="7835" w:type="dxa"/>
            <w:gridSpan w:val="4"/>
            <w:vAlign w:val="center"/>
          </w:tcPr>
          <w:p w14:paraId="493C8563">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（1）保持与环境保护主</w:t>
            </w:r>
            <w:r>
              <w:rPr>
                <w:rFonts w:hint="default" w:ascii="Times New Roman" w:hAnsi="Times New Roman" w:eastAsia="宋体" w:cs="Times New Roman"/>
                <w:color w:val="auto"/>
                <w:sz w:val="21"/>
                <w:szCs w:val="21"/>
                <w:lang w:val="en-US" w:eastAsia="zh-CN"/>
              </w:rPr>
              <w:t>管机构的密切联系，及时了解国家、地方对本项目的有关环境保护的法律、法规和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要求，及时向环境保护主管机构反映与项目有关的污染因素、存在的问题、采取的污染控制对策等环境保护方面的内容，听取环境保护主管机构的批示意见；</w:t>
            </w:r>
          </w:p>
          <w:p w14:paraId="2C0B660D">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（2）及时将国家、地方与本项目环境保护有关的法律、法规和</w:t>
            </w:r>
            <w:r>
              <w:rPr>
                <w:rFonts w:hint="eastAsia" w:cs="Times New Roman"/>
                <w:color w:val="auto"/>
                <w:sz w:val="21"/>
                <w:szCs w:val="21"/>
                <w:lang w:val="en-US" w:eastAsia="zh-CN"/>
              </w:rPr>
              <w:t>其他</w:t>
            </w:r>
            <w:r>
              <w:rPr>
                <w:rFonts w:hint="default" w:ascii="Times New Roman" w:hAnsi="Times New Roman" w:eastAsia="宋体" w:cs="Times New Roman"/>
                <w:color w:val="auto"/>
                <w:sz w:val="21"/>
                <w:szCs w:val="21"/>
                <w:lang w:val="en-US" w:eastAsia="zh-CN"/>
              </w:rPr>
              <w:t>要求向单位负责人汇报，及时向本单位有关机构、人员进行通报，组织职工进行环境保护方面的教育、培训，提高环保意识；</w:t>
            </w:r>
          </w:p>
          <w:p w14:paraId="2D675E8C">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（3）及时向单位负责人汇报与本项目有关的污染因素、存在问题、采取的污染控制对策、实施情况等，提出改进建议；</w:t>
            </w:r>
          </w:p>
          <w:p w14:paraId="44DA4EB8">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（4）负责制定、监督实施本单位的有关环境保护管理规章制度，负责实施污染控制措施、管理污染治理设施，并</w:t>
            </w:r>
            <w:r>
              <w:rPr>
                <w:rFonts w:hint="eastAsia" w:cs="Times New Roman"/>
                <w:color w:val="auto"/>
                <w:sz w:val="21"/>
                <w:szCs w:val="21"/>
                <w:lang w:val="en-US" w:eastAsia="zh-CN"/>
              </w:rPr>
              <w:t>进行详细的</w:t>
            </w:r>
            <w:r>
              <w:rPr>
                <w:rFonts w:hint="default" w:ascii="Times New Roman" w:hAnsi="Times New Roman" w:eastAsia="宋体" w:cs="Times New Roman"/>
                <w:color w:val="auto"/>
                <w:sz w:val="21"/>
                <w:szCs w:val="21"/>
                <w:lang w:val="en-US" w:eastAsia="zh-CN"/>
              </w:rPr>
              <w:t>记录、以备检查；</w:t>
            </w:r>
          </w:p>
          <w:p w14:paraId="3CDD6132">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01CB632A">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（6）按《江苏省排污口设置及规范化整治管理办法》（苏环控[97]122号）要求，对废气排口、固定噪声污染源、固废临时堆场进行规范化设置。</w:t>
            </w:r>
          </w:p>
          <w:p w14:paraId="76702C5E">
            <w:pPr>
              <w:keepNext w:val="0"/>
              <w:keepLines w:val="0"/>
              <w:pageBreakBefore w:val="0"/>
              <w:widowControl w:val="0"/>
              <w:kinsoku/>
              <w:wordWrap/>
              <w:overflowPunct/>
              <w:topLinePunct w:val="0"/>
              <w:autoSpaceDE/>
              <w:autoSpaceDN/>
              <w:bidi w:val="0"/>
              <w:adjustRightInd w:val="0"/>
              <w:snapToGrid w:val="0"/>
              <w:spacing w:line="350" w:lineRule="exact"/>
              <w:ind w:firstLine="420" w:firstLineChars="200"/>
              <w:textAlignment w:val="auto"/>
              <w:rPr>
                <w:rFonts w:hint="default" w:ascii="Times New Roman" w:hAnsi="Times New Roman" w:cs="Times New Roman"/>
                <w:color w:val="auto"/>
                <w:sz w:val="21"/>
                <w:szCs w:val="21"/>
              </w:rPr>
            </w:pPr>
          </w:p>
        </w:tc>
      </w:tr>
    </w:tbl>
    <w:p w14:paraId="5B9057D6">
      <w:pPr>
        <w:pStyle w:val="23"/>
        <w:spacing w:before="0" w:beforeAutospacing="0" w:after="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8" w:name="_Toc28394"/>
      <w:r>
        <w:rPr>
          <w:rFonts w:hint="default" w:ascii="Times New Roman" w:hAnsi="Times New Roman" w:eastAsia="黑体" w:cs="Times New Roman"/>
          <w:snapToGrid w:val="0"/>
          <w:color w:val="auto"/>
          <w:sz w:val="30"/>
          <w:szCs w:val="30"/>
        </w:rPr>
        <w:t>六、结论</w:t>
      </w:r>
      <w:bookmarkEnd w:id="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5A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3C03B4E4">
            <w:pPr>
              <w:adjustRightInd w:val="0"/>
              <w:snapToGrid w:val="0"/>
              <w:spacing w:line="500" w:lineRule="exact"/>
              <w:ind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30B9B77D">
            <w:pPr>
              <w:adjustRightInd w:val="0"/>
              <w:snapToGrid w:val="0"/>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因此，建设单位在重视环保工作，落实本报告表提出的各项环保措施要求、严格执行环保“三同时”的前提下，从环保角度分析，本项目建设具有环境可行性。</w:t>
            </w:r>
          </w:p>
        </w:tc>
      </w:tr>
    </w:tbl>
    <w:p w14:paraId="62F2963E">
      <w:pPr>
        <w:rPr>
          <w:rFonts w:hint="default" w:ascii="Times New Roman" w:hAnsi="Times New Roman" w:cs="Times New Roman"/>
          <w:color w:val="auto"/>
        </w:rPr>
      </w:pPr>
    </w:p>
    <w:p w14:paraId="32AB21F1">
      <w:pPr>
        <w:rPr>
          <w:rFonts w:hint="default" w:ascii="Times New Roman" w:hAnsi="Times New Roman" w:cs="Times New Roman"/>
          <w:color w:val="auto"/>
        </w:rPr>
      </w:pPr>
    </w:p>
    <w:p w14:paraId="1889EF9D">
      <w:pPr>
        <w:rPr>
          <w:rFonts w:hint="default" w:ascii="Times New Roman" w:hAnsi="Times New Roman" w:cs="Times New Roman"/>
          <w:color w:val="auto"/>
        </w:rPr>
      </w:pPr>
    </w:p>
    <w:p w14:paraId="53ABB82C">
      <w:pPr>
        <w:adjustRightInd w:val="0"/>
        <w:snapToGrid w:val="0"/>
        <w:spacing w:line="48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注释</w:t>
      </w:r>
    </w:p>
    <w:p w14:paraId="0B7E840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本报告表附以下附件、附图：</w:t>
      </w:r>
    </w:p>
    <w:p w14:paraId="6A45F76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附件</w:t>
      </w:r>
    </w:p>
    <w:p w14:paraId="447DD8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附件1</w:t>
      </w:r>
      <w:r>
        <w:rPr>
          <w:rFonts w:hint="eastAsia" w:cs="Times New Roman"/>
          <w:color w:val="auto"/>
          <w:sz w:val="24"/>
          <w:lang w:eastAsia="zh-CN"/>
        </w:rPr>
        <w:t>环评合同及</w:t>
      </w:r>
      <w:r>
        <w:rPr>
          <w:rFonts w:hint="default" w:ascii="Times New Roman" w:hAnsi="Times New Roman" w:cs="Times New Roman"/>
          <w:color w:val="auto"/>
          <w:sz w:val="24"/>
        </w:rPr>
        <w:t>委托书</w:t>
      </w:r>
    </w:p>
    <w:p w14:paraId="4EE3E3D9">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附件2项目备案通知书</w:t>
      </w:r>
    </w:p>
    <w:p w14:paraId="4719E02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附件3营业执照</w:t>
      </w:r>
    </w:p>
    <w:p w14:paraId="6E026313">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附件4</w:t>
      </w:r>
      <w:r>
        <w:rPr>
          <w:rFonts w:hint="eastAsia" w:cs="Times New Roman"/>
          <w:color w:val="auto"/>
          <w:sz w:val="24"/>
          <w:lang w:eastAsia="zh-CN"/>
        </w:rPr>
        <w:t>法人身份证</w:t>
      </w:r>
    </w:p>
    <w:p w14:paraId="639B650B">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eastAsia" w:ascii="Times New Roman" w:hAnsi="Times New Roman" w:eastAsia="宋体" w:cs="Times New Roman"/>
          <w:color w:val="auto"/>
          <w:lang w:eastAsia="zh-CN"/>
        </w:rPr>
      </w:pPr>
      <w:r>
        <w:rPr>
          <w:rFonts w:hint="default" w:ascii="Times New Roman" w:hAnsi="Times New Roman" w:cs="Times New Roman"/>
          <w:color w:val="auto"/>
          <w:sz w:val="24"/>
        </w:rPr>
        <w:t>附件5土地</w:t>
      </w:r>
      <w:r>
        <w:rPr>
          <w:rFonts w:hint="eastAsia" w:cs="Times New Roman"/>
          <w:color w:val="auto"/>
          <w:sz w:val="24"/>
          <w:lang w:val="en-US" w:eastAsia="zh-CN"/>
        </w:rPr>
        <w:t>手续</w:t>
      </w:r>
    </w:p>
    <w:p w14:paraId="705581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附件6污水接管协议</w:t>
      </w:r>
    </w:p>
    <w:p w14:paraId="6987326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附件7环境监测报告</w:t>
      </w:r>
    </w:p>
    <w:p w14:paraId="616E39E2">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附件8</w:t>
      </w:r>
      <w:r>
        <w:rPr>
          <w:rFonts w:hint="eastAsia" w:cs="Times New Roman"/>
          <w:color w:val="auto"/>
          <w:sz w:val="24"/>
          <w:lang w:val="en-US" w:eastAsia="zh-CN"/>
        </w:rPr>
        <w:t>危废处置</w:t>
      </w:r>
      <w:r>
        <w:rPr>
          <w:rFonts w:hint="default" w:ascii="Times New Roman" w:hAnsi="Times New Roman" w:cs="Times New Roman"/>
          <w:color w:val="auto"/>
          <w:sz w:val="24"/>
        </w:rPr>
        <w:t>承诺书</w:t>
      </w:r>
    </w:p>
    <w:p w14:paraId="4A4C066D">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附件9建设单位承诺书</w:t>
      </w:r>
    </w:p>
    <w:p w14:paraId="6AB8BA75">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sz w:val="24"/>
        </w:rPr>
      </w:pPr>
    </w:p>
    <w:p w14:paraId="4B438A0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sz w:val="24"/>
        </w:rPr>
      </w:pPr>
    </w:p>
    <w:p w14:paraId="317D997C">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sz w:val="24"/>
        </w:rPr>
        <w:t>附图</w:t>
      </w:r>
    </w:p>
    <w:p w14:paraId="152F33E8">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附图1项目地理位置示意图</w:t>
      </w:r>
    </w:p>
    <w:p w14:paraId="24F2BA9A">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w:t>附图2项目周边环境状况示意图</w:t>
      </w:r>
    </w:p>
    <w:p w14:paraId="420FF67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rPr>
        <w:t>附图</w:t>
      </w:r>
      <w:r>
        <w:rPr>
          <w:rFonts w:hint="default" w:ascii="Times New Roman" w:hAnsi="Times New Roman" w:cs="Times New Roman"/>
          <w:color w:val="auto"/>
          <w:sz w:val="24"/>
          <w:szCs w:val="22"/>
        </w:rPr>
        <w:t>3厂区总平面布置图</w:t>
      </w:r>
    </w:p>
    <w:p w14:paraId="5498B4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r>
        <w:rPr>
          <w:rFonts w:hint="eastAsia" w:cs="Times New Roman"/>
          <w:color w:val="auto"/>
          <w:sz w:val="24"/>
          <w:szCs w:val="22"/>
          <w:lang w:val="en-US" w:eastAsia="zh-CN"/>
        </w:rPr>
        <w:t>4</w:t>
      </w:r>
      <w:r>
        <w:rPr>
          <w:rFonts w:hint="default" w:ascii="Times New Roman" w:hAnsi="Times New Roman" w:cs="Times New Roman"/>
          <w:color w:val="auto"/>
          <w:sz w:val="24"/>
          <w:szCs w:val="22"/>
        </w:rPr>
        <w:t>生态红线图</w:t>
      </w:r>
    </w:p>
    <w:p w14:paraId="63A1487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附图</w:t>
      </w:r>
      <w:bookmarkStart w:id="9" w:name="_Toc6354"/>
      <w:r>
        <w:rPr>
          <w:rFonts w:hint="eastAsia" w:cs="Times New Roman"/>
          <w:color w:val="auto"/>
          <w:sz w:val="24"/>
          <w:szCs w:val="22"/>
          <w:lang w:val="en-US" w:eastAsia="zh-CN"/>
        </w:rPr>
        <w:t>5</w:t>
      </w:r>
      <w:r>
        <w:rPr>
          <w:rFonts w:hint="default" w:ascii="Times New Roman" w:hAnsi="Times New Roman" w:cs="Times New Roman"/>
          <w:color w:val="auto"/>
          <w:sz w:val="24"/>
          <w:szCs w:val="22"/>
        </w:rPr>
        <w:t>区域水系图</w:t>
      </w:r>
    </w:p>
    <w:bookmarkEnd w:id="9"/>
    <w:p w14:paraId="18A761B1">
      <w:pPr>
        <w:keepNext w:val="0"/>
        <w:keepLines w:val="0"/>
        <w:pageBreakBefore w:val="0"/>
        <w:widowControl w:val="0"/>
        <w:kinsoku/>
        <w:wordWrap/>
        <w:overflowPunct/>
        <w:topLinePunct w:val="0"/>
        <w:autoSpaceDE/>
        <w:autoSpaceDN/>
        <w:bidi w:val="0"/>
        <w:adjustRightInd w:val="0"/>
        <w:snapToGrid w:val="0"/>
        <w:spacing w:line="480" w:lineRule="exact"/>
        <w:ind w:firstLine="480"/>
        <w:textAlignment w:val="auto"/>
        <w:outlineLvl w:val="9"/>
        <w:rPr>
          <w:rFonts w:hint="default" w:ascii="Times New Roman" w:hAnsi="Times New Roman" w:cs="Times New Roman"/>
          <w:color w:val="auto"/>
        </w:rPr>
      </w:pPr>
    </w:p>
    <w:p w14:paraId="336CB87E">
      <w:pPr>
        <w:rPr>
          <w:rFonts w:hint="default" w:ascii="Times New Roman" w:hAnsi="Times New Roman" w:cs="Times New Roman"/>
          <w:color w:val="auto"/>
        </w:rPr>
      </w:pPr>
    </w:p>
    <w:p w14:paraId="647E2381">
      <w:pPr>
        <w:rPr>
          <w:rFonts w:hint="default" w:ascii="Times New Roman" w:hAnsi="Times New Roman" w:cs="Times New Roman"/>
          <w:color w:val="auto"/>
        </w:rPr>
        <w:sectPr>
          <w:pgSz w:w="11906" w:h="16838"/>
          <w:pgMar w:top="1417" w:right="1417" w:bottom="1417" w:left="1417" w:header="851" w:footer="1134" w:gutter="0"/>
          <w:pgBorders>
            <w:top w:val="none" w:sz="0" w:space="0"/>
            <w:left w:val="none" w:sz="0" w:space="0"/>
            <w:bottom w:val="none" w:sz="0" w:space="0"/>
            <w:right w:val="none" w:sz="0" w:space="0"/>
          </w:pgBorders>
          <w:cols w:space="720" w:num="1"/>
          <w:docGrid w:linePitch="312" w:charSpace="0"/>
        </w:sectPr>
      </w:pPr>
    </w:p>
    <w:p w14:paraId="3409FE4C">
      <w:pPr>
        <w:pStyle w:val="23"/>
        <w:adjustRightInd w:val="0"/>
        <w:snapToGrid w:val="0"/>
        <w:spacing w:before="0" w:beforeAutospacing="0" w:after="0" w:afterAutospacing="0"/>
        <w:contextualSpacing/>
        <w:outlineLvl w:val="0"/>
        <w:rPr>
          <w:rFonts w:hint="default" w:ascii="Times New Roman" w:hAnsi="Times New Roman" w:eastAsia="黑体" w:cs="Times New Roman"/>
          <w:snapToGrid w:val="0"/>
          <w:color w:val="auto"/>
          <w:sz w:val="32"/>
          <w:szCs w:val="32"/>
        </w:rPr>
      </w:pPr>
      <w:bookmarkStart w:id="10" w:name="_Toc6584"/>
      <w:r>
        <w:rPr>
          <w:rFonts w:hint="default" w:ascii="Times New Roman" w:hAnsi="Times New Roman" w:eastAsia="黑体" w:cs="Times New Roman"/>
          <w:snapToGrid w:val="0"/>
          <w:color w:val="auto"/>
          <w:sz w:val="32"/>
          <w:szCs w:val="32"/>
        </w:rPr>
        <w:t>附表</w:t>
      </w:r>
      <w:bookmarkEnd w:id="10"/>
    </w:p>
    <w:p w14:paraId="1141C9BE">
      <w:pPr>
        <w:pStyle w:val="23"/>
        <w:adjustRightInd w:val="0"/>
        <w:snapToGrid w:val="0"/>
        <w:spacing w:before="0" w:beforeAutospacing="0" w:after="0" w:afterAutospacing="0"/>
        <w:contextualSpacing/>
        <w:jc w:val="center"/>
        <w:outlineLvl w:val="0"/>
        <w:rPr>
          <w:rFonts w:hint="default" w:ascii="Times New Roman" w:hAnsi="Times New Roman" w:eastAsia="方正小标宋_GBK" w:cs="Times New Roman"/>
          <w:snapToGrid w:val="0"/>
          <w:color w:val="auto"/>
          <w:sz w:val="28"/>
          <w:szCs w:val="28"/>
        </w:rPr>
      </w:pPr>
      <w:bookmarkStart w:id="11" w:name="_Toc169"/>
      <w:r>
        <w:rPr>
          <w:rFonts w:hint="default" w:ascii="Times New Roman" w:hAnsi="Times New Roman" w:eastAsia="方正小标宋_GBK" w:cs="Times New Roman"/>
          <w:snapToGrid w:val="0"/>
          <w:color w:val="auto"/>
          <w:sz w:val="28"/>
          <w:szCs w:val="28"/>
        </w:rPr>
        <w:t>建设项目污染物排放量汇总表</w:t>
      </w:r>
      <w:bookmarkEnd w:id="11"/>
    </w:p>
    <w:tbl>
      <w:tblPr>
        <w:tblStyle w:val="28"/>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061E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3BBD9421">
            <w:pPr>
              <w:pStyle w:val="45"/>
              <w:spacing w:beforeLines="0" w:afterLines="0" w:line="240" w:lineRule="auto"/>
              <w:jc w:val="righ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14:paraId="4A89AB33">
            <w:pPr>
              <w:pStyle w:val="45"/>
              <w:spacing w:beforeLines="0" w:afterLines="0" w:line="240" w:lineRule="auto"/>
              <w:jc w:val="left"/>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901" w:type="dxa"/>
            <w:tcMar>
              <w:left w:w="28" w:type="dxa"/>
              <w:right w:w="28" w:type="dxa"/>
            </w:tcMar>
            <w:vAlign w:val="center"/>
          </w:tcPr>
          <w:p w14:paraId="126A61E2">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701" w:type="dxa"/>
            <w:tcMar>
              <w:left w:w="28" w:type="dxa"/>
              <w:right w:w="28" w:type="dxa"/>
            </w:tcMar>
            <w:vAlign w:val="center"/>
          </w:tcPr>
          <w:p w14:paraId="2CC9EC54">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F86C09B">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523" w:type="dxa"/>
            <w:tcMar>
              <w:left w:w="28" w:type="dxa"/>
              <w:right w:w="28" w:type="dxa"/>
            </w:tcMar>
            <w:vAlign w:val="center"/>
          </w:tcPr>
          <w:p w14:paraId="5930E253">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14:paraId="4B45640C">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14:paraId="7E808D8B">
            <w:pPr>
              <w:pStyle w:val="45"/>
              <w:spacing w:beforeLines="0" w:afterLines="0"/>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454" w:type="dxa"/>
            <w:tcMar>
              <w:left w:w="28" w:type="dxa"/>
              <w:right w:w="28" w:type="dxa"/>
            </w:tcMar>
            <w:vAlign w:val="center"/>
          </w:tcPr>
          <w:p w14:paraId="3E1EE005">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14:paraId="58771087">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559" w:type="dxa"/>
            <w:tcMar>
              <w:left w:w="28" w:type="dxa"/>
              <w:right w:w="28" w:type="dxa"/>
            </w:tcMar>
            <w:vAlign w:val="center"/>
          </w:tcPr>
          <w:p w14:paraId="57B70F81">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14:paraId="69FDFDDF">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427" w:type="dxa"/>
            <w:tcMar>
              <w:left w:w="28" w:type="dxa"/>
              <w:right w:w="28" w:type="dxa"/>
            </w:tcMar>
            <w:vAlign w:val="center"/>
          </w:tcPr>
          <w:p w14:paraId="00469206">
            <w:pPr>
              <w:pStyle w:val="45"/>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14:paraId="1A222D26">
            <w:pPr>
              <w:pStyle w:val="45"/>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639" w:type="dxa"/>
            <w:tcMar>
              <w:left w:w="28" w:type="dxa"/>
              <w:right w:w="28" w:type="dxa"/>
            </w:tcMar>
            <w:vAlign w:val="center"/>
          </w:tcPr>
          <w:p w14:paraId="6FF7558C">
            <w:pPr>
              <w:pStyle w:val="45"/>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14:paraId="2B4D3EF2">
            <w:pPr>
              <w:pStyle w:val="45"/>
              <w:spacing w:beforeLines="0" w:afterLines="0" w:line="240" w:lineRule="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430" w:type="dxa"/>
            <w:tcMar>
              <w:left w:w="28" w:type="dxa"/>
              <w:right w:w="28" w:type="dxa"/>
            </w:tcMar>
            <w:vAlign w:val="center"/>
          </w:tcPr>
          <w:p w14:paraId="590F0840">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14:paraId="10C73E73">
            <w:pPr>
              <w:pStyle w:val="45"/>
              <w:spacing w:beforeLines="0" w:afterLines="0" w:line="240" w:lineRule="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14:paraId="166A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2A52BFC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901" w:type="dxa"/>
            <w:vAlign w:val="center"/>
          </w:tcPr>
          <w:p w14:paraId="749A51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锡及其化合物</w:t>
            </w:r>
          </w:p>
        </w:tc>
        <w:tc>
          <w:tcPr>
            <w:tcW w:w="1701" w:type="dxa"/>
            <w:vAlign w:val="center"/>
          </w:tcPr>
          <w:p w14:paraId="2ACEBA4F">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787908DB">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D7C0EDD">
            <w:pPr>
              <w:spacing w:beforeLines="0" w:afterLines="0" w:line="240" w:lineRule="auto"/>
              <w:jc w:val="center"/>
              <w:rPr>
                <w:rFonts w:hint="default" w:ascii="Times New Roman" w:hAnsi="Times New Roman" w:cs="Times New Roman"/>
                <w:snapToGrid w:val="0"/>
                <w:color w:val="auto"/>
                <w:kern w:val="21"/>
                <w:sz w:val="21"/>
                <w:szCs w:val="21"/>
              </w:rPr>
            </w:pPr>
            <w:r>
              <w:rPr>
                <w:rFonts w:hint="eastAsia" w:cs="Times New Roman"/>
                <w:color w:val="auto"/>
                <w:kern w:val="0"/>
                <w:sz w:val="21"/>
                <w:szCs w:val="21"/>
                <w:lang w:val="en-US" w:eastAsia="zh-CN" w:bidi="ar-SA"/>
              </w:rPr>
              <w:t>0</w:t>
            </w:r>
          </w:p>
        </w:tc>
        <w:tc>
          <w:tcPr>
            <w:tcW w:w="1559" w:type="dxa"/>
            <w:vAlign w:val="center"/>
          </w:tcPr>
          <w:p w14:paraId="2100FFE5">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0.0008</w:t>
            </w:r>
          </w:p>
        </w:tc>
        <w:tc>
          <w:tcPr>
            <w:tcW w:w="1427" w:type="dxa"/>
            <w:vAlign w:val="center"/>
          </w:tcPr>
          <w:p w14:paraId="58A20076">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639" w:type="dxa"/>
            <w:vAlign w:val="center"/>
          </w:tcPr>
          <w:p w14:paraId="5D9D741D">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0.0008</w:t>
            </w:r>
          </w:p>
        </w:tc>
        <w:tc>
          <w:tcPr>
            <w:tcW w:w="1430" w:type="dxa"/>
            <w:vAlign w:val="center"/>
          </w:tcPr>
          <w:p w14:paraId="7ABD1927">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+0.0008</w:t>
            </w:r>
          </w:p>
        </w:tc>
      </w:tr>
      <w:tr w14:paraId="4170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2D85FB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30751475">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非甲烷总烃</w:t>
            </w:r>
          </w:p>
        </w:tc>
        <w:tc>
          <w:tcPr>
            <w:tcW w:w="1701" w:type="dxa"/>
            <w:vAlign w:val="center"/>
          </w:tcPr>
          <w:p w14:paraId="36B8A7E0">
            <w:pPr>
              <w:widowControl/>
              <w:adjustRightInd w:val="0"/>
              <w:snapToGrid w:val="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8788479">
            <w:pPr>
              <w:widowControl/>
              <w:adjustRightInd w:val="0"/>
              <w:snapToGrid w:val="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2121EE4">
            <w:pPr>
              <w:spacing w:beforeLines="0" w:afterLines="0"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66DA449">
            <w:pPr>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0.001</w:t>
            </w:r>
          </w:p>
        </w:tc>
        <w:tc>
          <w:tcPr>
            <w:tcW w:w="1427" w:type="dxa"/>
            <w:vAlign w:val="center"/>
          </w:tcPr>
          <w:p w14:paraId="606463FF">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639" w:type="dxa"/>
            <w:vAlign w:val="center"/>
          </w:tcPr>
          <w:p w14:paraId="7F6A194A">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0.001</w:t>
            </w:r>
          </w:p>
        </w:tc>
        <w:tc>
          <w:tcPr>
            <w:tcW w:w="1430" w:type="dxa"/>
            <w:vAlign w:val="center"/>
          </w:tcPr>
          <w:p w14:paraId="2F3DEF86">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+0.001</w:t>
            </w:r>
          </w:p>
        </w:tc>
      </w:tr>
      <w:tr w14:paraId="446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C83D87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901" w:type="dxa"/>
            <w:vAlign w:val="center"/>
          </w:tcPr>
          <w:p w14:paraId="1F224A3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水量</w:t>
            </w:r>
          </w:p>
        </w:tc>
        <w:tc>
          <w:tcPr>
            <w:tcW w:w="1701" w:type="dxa"/>
            <w:vAlign w:val="center"/>
          </w:tcPr>
          <w:p w14:paraId="79806C2F">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E44FF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7D08B45">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F9832A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720</w:t>
            </w:r>
          </w:p>
        </w:tc>
        <w:tc>
          <w:tcPr>
            <w:tcW w:w="1427" w:type="dxa"/>
            <w:vAlign w:val="center"/>
          </w:tcPr>
          <w:p w14:paraId="1D6500EC">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ECB5E9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720</w:t>
            </w:r>
          </w:p>
        </w:tc>
        <w:tc>
          <w:tcPr>
            <w:tcW w:w="1430" w:type="dxa"/>
            <w:vAlign w:val="center"/>
          </w:tcPr>
          <w:p w14:paraId="2D1EABA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720</w:t>
            </w:r>
          </w:p>
        </w:tc>
      </w:tr>
      <w:tr w14:paraId="7CC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C9A070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453E8AA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701" w:type="dxa"/>
            <w:vAlign w:val="center"/>
          </w:tcPr>
          <w:p w14:paraId="5CF5EB9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8C0B2C8">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7587A9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1D346EF">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0.288</w:t>
            </w:r>
          </w:p>
        </w:tc>
        <w:tc>
          <w:tcPr>
            <w:tcW w:w="1427" w:type="dxa"/>
            <w:vAlign w:val="center"/>
          </w:tcPr>
          <w:p w14:paraId="4E2E8512">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4515AE7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0.288</w:t>
            </w:r>
          </w:p>
        </w:tc>
        <w:tc>
          <w:tcPr>
            <w:tcW w:w="1430" w:type="dxa"/>
            <w:vAlign w:val="center"/>
          </w:tcPr>
          <w:p w14:paraId="5845E389">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0.288</w:t>
            </w:r>
          </w:p>
        </w:tc>
      </w:tr>
      <w:tr w14:paraId="6AC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5F23A4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0CA2AC8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701" w:type="dxa"/>
            <w:vAlign w:val="center"/>
          </w:tcPr>
          <w:p w14:paraId="4C1C3B1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5B8BCEB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15BF1F0">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C50A844">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0.144</w:t>
            </w:r>
          </w:p>
        </w:tc>
        <w:tc>
          <w:tcPr>
            <w:tcW w:w="1427" w:type="dxa"/>
            <w:vAlign w:val="center"/>
          </w:tcPr>
          <w:p w14:paraId="5B46B02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C76592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0.144</w:t>
            </w:r>
          </w:p>
        </w:tc>
        <w:tc>
          <w:tcPr>
            <w:tcW w:w="1430" w:type="dxa"/>
            <w:vAlign w:val="center"/>
          </w:tcPr>
          <w:p w14:paraId="25F62DF6">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0.144</w:t>
            </w:r>
          </w:p>
        </w:tc>
      </w:tr>
      <w:tr w14:paraId="4A9E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34CC3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3FFDC40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701" w:type="dxa"/>
            <w:vAlign w:val="center"/>
          </w:tcPr>
          <w:p w14:paraId="5D8248B1">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BF71CF5">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77D047FA">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B9065C0">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0.022</w:t>
            </w:r>
          </w:p>
        </w:tc>
        <w:tc>
          <w:tcPr>
            <w:tcW w:w="1427" w:type="dxa"/>
            <w:vAlign w:val="center"/>
          </w:tcPr>
          <w:p w14:paraId="1802F4D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AE1C214">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0.022</w:t>
            </w:r>
          </w:p>
        </w:tc>
        <w:tc>
          <w:tcPr>
            <w:tcW w:w="1430" w:type="dxa"/>
            <w:vAlign w:val="center"/>
          </w:tcPr>
          <w:p w14:paraId="28CE3805">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0.022</w:t>
            </w:r>
          </w:p>
        </w:tc>
      </w:tr>
      <w:tr w14:paraId="52B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011BAA6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66DD78E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TN</w:t>
            </w:r>
          </w:p>
        </w:tc>
        <w:tc>
          <w:tcPr>
            <w:tcW w:w="1701" w:type="dxa"/>
            <w:vAlign w:val="center"/>
          </w:tcPr>
          <w:p w14:paraId="0746370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226F00B">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0318691C">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2A7099D">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0.029</w:t>
            </w:r>
          </w:p>
        </w:tc>
        <w:tc>
          <w:tcPr>
            <w:tcW w:w="1427" w:type="dxa"/>
            <w:vAlign w:val="center"/>
          </w:tcPr>
          <w:p w14:paraId="15D9BAC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CDF0ABD">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0.029</w:t>
            </w:r>
          </w:p>
        </w:tc>
        <w:tc>
          <w:tcPr>
            <w:tcW w:w="1430" w:type="dxa"/>
            <w:vAlign w:val="center"/>
          </w:tcPr>
          <w:p w14:paraId="3D7A9B9C">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0.029</w:t>
            </w:r>
          </w:p>
        </w:tc>
      </w:tr>
      <w:tr w14:paraId="205C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08440A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2FFE962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TP</w:t>
            </w:r>
          </w:p>
        </w:tc>
        <w:tc>
          <w:tcPr>
            <w:tcW w:w="1701" w:type="dxa"/>
            <w:vAlign w:val="center"/>
          </w:tcPr>
          <w:p w14:paraId="366C4B93">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2F2B2739">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3D39DE4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0F0A8957">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0.002</w:t>
            </w:r>
          </w:p>
        </w:tc>
        <w:tc>
          <w:tcPr>
            <w:tcW w:w="1427" w:type="dxa"/>
            <w:vAlign w:val="center"/>
          </w:tcPr>
          <w:p w14:paraId="5873C00A">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ABC7356">
            <w:pPr>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sz w:val="21"/>
                <w:szCs w:val="21"/>
                <w:lang w:val="en-US" w:eastAsia="zh-CN"/>
              </w:rPr>
              <w:t>0.002</w:t>
            </w:r>
          </w:p>
        </w:tc>
        <w:tc>
          <w:tcPr>
            <w:tcW w:w="1430" w:type="dxa"/>
            <w:vAlign w:val="center"/>
          </w:tcPr>
          <w:p w14:paraId="39A13238">
            <w:pPr>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color w:val="auto"/>
                <w:sz w:val="21"/>
                <w:szCs w:val="21"/>
                <w:lang w:val="en-US" w:eastAsia="zh-CN"/>
              </w:rPr>
              <w:t>0.002</w:t>
            </w:r>
          </w:p>
        </w:tc>
      </w:tr>
      <w:tr w14:paraId="508E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72A64B2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w:t>
            </w:r>
          </w:p>
          <w:p w14:paraId="0B2A3BB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1901" w:type="dxa"/>
            <w:vAlign w:val="center"/>
          </w:tcPr>
          <w:p w14:paraId="271A0CF7">
            <w:pPr>
              <w:pStyle w:val="6"/>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val="en-US" w:eastAsia="zh-CN" w:bidi="ar-SA"/>
              </w:rPr>
              <w:t>边角料</w:t>
            </w:r>
          </w:p>
        </w:tc>
        <w:tc>
          <w:tcPr>
            <w:tcW w:w="1701" w:type="dxa"/>
            <w:vAlign w:val="center"/>
          </w:tcPr>
          <w:p w14:paraId="62DA4D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3E71F87">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61FCED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B5AE72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3.6</w:t>
            </w:r>
          </w:p>
        </w:tc>
        <w:tc>
          <w:tcPr>
            <w:tcW w:w="1427" w:type="dxa"/>
            <w:vAlign w:val="center"/>
          </w:tcPr>
          <w:p w14:paraId="2DD6E43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1D2256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3.6</w:t>
            </w:r>
          </w:p>
        </w:tc>
        <w:tc>
          <w:tcPr>
            <w:tcW w:w="1430" w:type="dxa"/>
            <w:vAlign w:val="center"/>
          </w:tcPr>
          <w:p w14:paraId="40350DE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b w:val="0"/>
                <w:bCs/>
                <w:color w:val="auto"/>
                <w:kern w:val="2"/>
                <w:sz w:val="21"/>
                <w:szCs w:val="21"/>
                <w:lang w:val="en-US" w:eastAsia="zh-CN" w:bidi="ar-SA"/>
              </w:rPr>
              <w:t>3.6</w:t>
            </w:r>
          </w:p>
        </w:tc>
      </w:tr>
      <w:tr w14:paraId="700D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F8B3A6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533379A9">
            <w:pPr>
              <w:pStyle w:val="6"/>
              <w:adjustRightInd w:val="0"/>
              <w:snapToGrid w:val="0"/>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锡渣</w:t>
            </w:r>
          </w:p>
        </w:tc>
        <w:tc>
          <w:tcPr>
            <w:tcW w:w="1701" w:type="dxa"/>
            <w:vAlign w:val="center"/>
          </w:tcPr>
          <w:p w14:paraId="0B14367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4B930C68">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C376871">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70B04450">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0.01</w:t>
            </w:r>
          </w:p>
        </w:tc>
        <w:tc>
          <w:tcPr>
            <w:tcW w:w="1427" w:type="dxa"/>
            <w:vAlign w:val="center"/>
          </w:tcPr>
          <w:p w14:paraId="1232EF9E">
            <w:pPr>
              <w:adjustRightInd w:val="0"/>
              <w:snapToGrid w:val="0"/>
              <w:spacing w:line="280" w:lineRule="exact"/>
              <w:jc w:val="center"/>
              <w:rPr>
                <w:rFonts w:hint="eastAsia"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30171FF7">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0.01</w:t>
            </w:r>
          </w:p>
        </w:tc>
        <w:tc>
          <w:tcPr>
            <w:tcW w:w="1430" w:type="dxa"/>
            <w:vAlign w:val="center"/>
          </w:tcPr>
          <w:p w14:paraId="24560634">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b w:val="0"/>
                <w:bCs/>
                <w:color w:val="auto"/>
                <w:kern w:val="2"/>
                <w:sz w:val="21"/>
                <w:szCs w:val="21"/>
                <w:lang w:val="en-US" w:eastAsia="zh-CN" w:bidi="ar-SA"/>
              </w:rPr>
              <w:t>0.01</w:t>
            </w:r>
          </w:p>
        </w:tc>
      </w:tr>
      <w:tr w14:paraId="6A9B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9D5966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220E1C0A">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次品</w:t>
            </w:r>
          </w:p>
        </w:tc>
        <w:tc>
          <w:tcPr>
            <w:tcW w:w="1701" w:type="dxa"/>
            <w:vAlign w:val="center"/>
          </w:tcPr>
          <w:p w14:paraId="793FB393">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9F18E50">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27FB2B3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6903194F">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3.9</w:t>
            </w:r>
          </w:p>
        </w:tc>
        <w:tc>
          <w:tcPr>
            <w:tcW w:w="1427" w:type="dxa"/>
            <w:vAlign w:val="center"/>
          </w:tcPr>
          <w:p w14:paraId="3390F45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6F4E264C">
            <w:pPr>
              <w:adjustRightInd w:val="0"/>
              <w:snapToGrid w:val="0"/>
              <w:jc w:val="center"/>
              <w:rPr>
                <w:rFonts w:hint="eastAsia" w:cs="Times New Roman"/>
                <w:bCs/>
                <w:color w:val="auto"/>
                <w:kern w:val="2"/>
                <w:sz w:val="21"/>
                <w:szCs w:val="21"/>
                <w:lang w:val="en-US" w:eastAsia="zh-CN" w:bidi="ar-SA"/>
              </w:rPr>
            </w:pPr>
            <w:r>
              <w:rPr>
                <w:rFonts w:hint="eastAsia" w:cs="Times New Roman"/>
                <w:b w:val="0"/>
                <w:bCs/>
                <w:color w:val="auto"/>
                <w:kern w:val="2"/>
                <w:sz w:val="21"/>
                <w:szCs w:val="21"/>
                <w:lang w:val="en-US" w:eastAsia="zh-CN" w:bidi="ar-SA"/>
              </w:rPr>
              <w:t>3.9</w:t>
            </w:r>
          </w:p>
        </w:tc>
        <w:tc>
          <w:tcPr>
            <w:tcW w:w="1430" w:type="dxa"/>
            <w:vAlign w:val="center"/>
          </w:tcPr>
          <w:p w14:paraId="5EF44AE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eastAsia" w:cs="Times New Roman"/>
                <w:b w:val="0"/>
                <w:bCs/>
                <w:color w:val="auto"/>
                <w:kern w:val="2"/>
                <w:sz w:val="21"/>
                <w:szCs w:val="21"/>
                <w:lang w:val="en-US" w:eastAsia="zh-CN" w:bidi="ar-SA"/>
              </w:rPr>
              <w:t>3.9</w:t>
            </w:r>
          </w:p>
        </w:tc>
      </w:tr>
      <w:tr w14:paraId="7AF3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6098022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296D117E">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废包材</w:t>
            </w:r>
          </w:p>
        </w:tc>
        <w:tc>
          <w:tcPr>
            <w:tcW w:w="1701" w:type="dxa"/>
            <w:vAlign w:val="center"/>
          </w:tcPr>
          <w:p w14:paraId="43FD099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6D7A01BE">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E70E84">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4750D99A">
            <w:pPr>
              <w:adjustRightInd w:val="0"/>
              <w:snapToGrid w:val="0"/>
              <w:jc w:val="center"/>
              <w:rPr>
                <w:rFonts w:hint="eastAsia" w:cs="Times New Roman"/>
                <w:b w:val="0"/>
                <w:bCs/>
                <w:color w:val="auto"/>
                <w:sz w:val="21"/>
                <w:szCs w:val="21"/>
                <w:lang w:val="en-US" w:eastAsia="zh-CN"/>
              </w:rPr>
            </w:pPr>
            <w:r>
              <w:rPr>
                <w:rFonts w:hint="eastAsia" w:cs="Times New Roman"/>
                <w:color w:val="auto"/>
                <w:sz w:val="21"/>
                <w:szCs w:val="21"/>
                <w:highlight w:val="none"/>
                <w:lang w:val="en-US" w:eastAsia="zh-CN"/>
              </w:rPr>
              <w:t>1</w:t>
            </w:r>
          </w:p>
        </w:tc>
        <w:tc>
          <w:tcPr>
            <w:tcW w:w="1427" w:type="dxa"/>
            <w:vAlign w:val="center"/>
          </w:tcPr>
          <w:p w14:paraId="42F98361">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550D7F27">
            <w:pPr>
              <w:adjustRightInd w:val="0"/>
              <w:snapToGrid w:val="0"/>
              <w:jc w:val="center"/>
              <w:rPr>
                <w:rFonts w:hint="eastAsia" w:cs="Times New Roman"/>
                <w:b w:val="0"/>
                <w:bCs/>
                <w:color w:val="auto"/>
                <w:sz w:val="21"/>
                <w:szCs w:val="21"/>
                <w:lang w:val="en-US" w:eastAsia="zh-CN"/>
              </w:rPr>
            </w:pPr>
            <w:r>
              <w:rPr>
                <w:rFonts w:hint="eastAsia" w:cs="Times New Roman"/>
                <w:color w:val="auto"/>
                <w:sz w:val="21"/>
                <w:szCs w:val="21"/>
                <w:highlight w:val="none"/>
                <w:lang w:val="en-US" w:eastAsia="zh-CN"/>
              </w:rPr>
              <w:t>1</w:t>
            </w:r>
          </w:p>
        </w:tc>
        <w:tc>
          <w:tcPr>
            <w:tcW w:w="1430" w:type="dxa"/>
            <w:vAlign w:val="center"/>
          </w:tcPr>
          <w:p w14:paraId="71AE7A9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eastAsia" w:cs="Times New Roman"/>
                <w:color w:val="auto"/>
                <w:sz w:val="21"/>
                <w:szCs w:val="21"/>
                <w:highlight w:val="none"/>
                <w:lang w:val="en-US" w:eastAsia="zh-CN"/>
              </w:rPr>
              <w:t>1</w:t>
            </w:r>
          </w:p>
        </w:tc>
      </w:tr>
      <w:tr w14:paraId="38B5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E3CC7B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21DDA28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收尘</w:t>
            </w:r>
          </w:p>
        </w:tc>
        <w:tc>
          <w:tcPr>
            <w:tcW w:w="1701" w:type="dxa"/>
            <w:vAlign w:val="center"/>
          </w:tcPr>
          <w:p w14:paraId="75416DBD">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08B33357">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ABA7EBB">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37038F73">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0.003</w:t>
            </w:r>
          </w:p>
        </w:tc>
        <w:tc>
          <w:tcPr>
            <w:tcW w:w="1427" w:type="dxa"/>
            <w:vAlign w:val="center"/>
          </w:tcPr>
          <w:p w14:paraId="611B0D5A">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26B38434">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kern w:val="2"/>
                <w:sz w:val="21"/>
                <w:szCs w:val="21"/>
                <w:lang w:val="en-US" w:eastAsia="zh-CN" w:bidi="ar-SA"/>
              </w:rPr>
              <w:t>0.003</w:t>
            </w:r>
          </w:p>
        </w:tc>
        <w:tc>
          <w:tcPr>
            <w:tcW w:w="1430" w:type="dxa"/>
            <w:vAlign w:val="center"/>
          </w:tcPr>
          <w:p w14:paraId="627192E1">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eastAsia" w:cs="Times New Roman"/>
                <w:b w:val="0"/>
                <w:bCs/>
                <w:color w:val="auto"/>
                <w:kern w:val="2"/>
                <w:sz w:val="21"/>
                <w:szCs w:val="21"/>
                <w:lang w:val="en-US" w:eastAsia="zh-CN" w:bidi="ar-SA"/>
              </w:rPr>
              <w:t>0.003</w:t>
            </w:r>
          </w:p>
        </w:tc>
      </w:tr>
      <w:tr w14:paraId="7B6E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2D1432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901" w:type="dxa"/>
            <w:vAlign w:val="center"/>
          </w:tcPr>
          <w:p w14:paraId="1B3C00D1">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废布袋</w:t>
            </w:r>
          </w:p>
        </w:tc>
        <w:tc>
          <w:tcPr>
            <w:tcW w:w="1701" w:type="dxa"/>
            <w:vAlign w:val="center"/>
          </w:tcPr>
          <w:p w14:paraId="0CF6D81F">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14A485E2">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6175B71C">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BE5A46">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1427" w:type="dxa"/>
            <w:vAlign w:val="center"/>
          </w:tcPr>
          <w:p w14:paraId="68F937CE">
            <w:pPr>
              <w:adjustRightInd w:val="0"/>
              <w:snapToGrid w:val="0"/>
              <w:spacing w:line="280" w:lineRule="exact"/>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76A0BBAE">
            <w:pPr>
              <w:adjustRightInd w:val="0"/>
              <w:snapToGrid w:val="0"/>
              <w:jc w:val="center"/>
              <w:rPr>
                <w:rFonts w:hint="default" w:cs="Times New Roman"/>
                <w:b w:val="0"/>
                <w:bCs/>
                <w:color w:val="auto"/>
                <w:sz w:val="21"/>
                <w:szCs w:val="21"/>
                <w:lang w:val="en-US" w:eastAsia="zh-CN"/>
              </w:rPr>
            </w:pPr>
            <w:r>
              <w:rPr>
                <w:rFonts w:hint="eastAsia" w:cs="Times New Roman"/>
                <w:b w:val="0"/>
                <w:bCs/>
                <w:color w:val="auto"/>
                <w:sz w:val="21"/>
                <w:szCs w:val="21"/>
                <w:lang w:val="en-US" w:eastAsia="zh-CN"/>
              </w:rPr>
              <w:t>0.1</w:t>
            </w:r>
          </w:p>
        </w:tc>
        <w:tc>
          <w:tcPr>
            <w:tcW w:w="1430" w:type="dxa"/>
            <w:vAlign w:val="center"/>
          </w:tcPr>
          <w:p w14:paraId="7832529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eastAsia" w:cs="Times New Roman"/>
                <w:b w:val="0"/>
                <w:bCs/>
                <w:color w:val="auto"/>
                <w:sz w:val="21"/>
                <w:szCs w:val="21"/>
                <w:lang w:val="en-US" w:eastAsia="zh-CN"/>
              </w:rPr>
              <w:t>0.1</w:t>
            </w:r>
          </w:p>
        </w:tc>
      </w:tr>
      <w:tr w14:paraId="2976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Align w:val="center"/>
          </w:tcPr>
          <w:p w14:paraId="056A4C2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901" w:type="dxa"/>
            <w:vAlign w:val="center"/>
          </w:tcPr>
          <w:p w14:paraId="7C80D3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废塑料桶</w:t>
            </w:r>
          </w:p>
        </w:tc>
        <w:tc>
          <w:tcPr>
            <w:tcW w:w="1701" w:type="dxa"/>
            <w:vAlign w:val="center"/>
          </w:tcPr>
          <w:p w14:paraId="05CF8CBF">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3E5170B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49B22C0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1889FFCB">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0.018</w:t>
            </w:r>
          </w:p>
        </w:tc>
        <w:tc>
          <w:tcPr>
            <w:tcW w:w="1427" w:type="dxa"/>
            <w:vAlign w:val="center"/>
          </w:tcPr>
          <w:p w14:paraId="3F282F93">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1E2C1512">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sz w:val="21"/>
                <w:szCs w:val="21"/>
                <w:lang w:val="en-US" w:eastAsia="zh-CN"/>
              </w:rPr>
              <w:t>0.018</w:t>
            </w:r>
          </w:p>
        </w:tc>
        <w:tc>
          <w:tcPr>
            <w:tcW w:w="1430" w:type="dxa"/>
            <w:vAlign w:val="center"/>
          </w:tcPr>
          <w:p w14:paraId="3554BB96">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b w:val="0"/>
                <w:bCs/>
                <w:color w:val="auto"/>
                <w:sz w:val="21"/>
                <w:szCs w:val="21"/>
                <w:lang w:val="en-US" w:eastAsia="zh-CN"/>
              </w:rPr>
              <w:t>0.018</w:t>
            </w:r>
          </w:p>
        </w:tc>
      </w:tr>
      <w:tr w14:paraId="7C3A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7985EDD5">
            <w:pPr>
              <w:pStyle w:val="6"/>
              <w:adjustRightInd w:val="0"/>
              <w:snapToGrid w:val="0"/>
              <w:ind w:firstLine="0"/>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kern w:val="21"/>
                <w:sz w:val="21"/>
                <w:szCs w:val="21"/>
              </w:rPr>
              <w:t>生活垃圾</w:t>
            </w:r>
          </w:p>
        </w:tc>
        <w:tc>
          <w:tcPr>
            <w:tcW w:w="1701" w:type="dxa"/>
            <w:vAlign w:val="center"/>
          </w:tcPr>
          <w:p w14:paraId="33B2498B">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23" w:type="dxa"/>
            <w:vAlign w:val="center"/>
          </w:tcPr>
          <w:p w14:paraId="03859982">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454" w:type="dxa"/>
            <w:vAlign w:val="center"/>
          </w:tcPr>
          <w:p w14:paraId="5531F6D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559" w:type="dxa"/>
            <w:vAlign w:val="center"/>
          </w:tcPr>
          <w:p w14:paraId="5A4B553D">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1427" w:type="dxa"/>
            <w:vAlign w:val="center"/>
          </w:tcPr>
          <w:p w14:paraId="6C2FC0A6">
            <w:pPr>
              <w:adjustRightInd w:val="0"/>
              <w:snapToGrid w:val="0"/>
              <w:spacing w:line="280" w:lineRule="exact"/>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color w:val="auto"/>
                <w:kern w:val="0"/>
                <w:sz w:val="21"/>
                <w:szCs w:val="21"/>
                <w:lang w:val="en-US" w:eastAsia="zh-CN" w:bidi="ar-SA"/>
              </w:rPr>
              <w:t>0</w:t>
            </w:r>
          </w:p>
        </w:tc>
        <w:tc>
          <w:tcPr>
            <w:tcW w:w="1639" w:type="dxa"/>
            <w:vAlign w:val="center"/>
          </w:tcPr>
          <w:p w14:paraId="065037FF">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4.5</w:t>
            </w:r>
          </w:p>
        </w:tc>
        <w:tc>
          <w:tcPr>
            <w:tcW w:w="1430" w:type="dxa"/>
            <w:vAlign w:val="center"/>
          </w:tcPr>
          <w:p w14:paraId="39674DF5">
            <w:pPr>
              <w:adjustRightInd w:val="0"/>
              <w:snapToGrid w:val="0"/>
              <w:jc w:val="center"/>
              <w:rPr>
                <w:rFonts w:hint="default" w:ascii="Times New Roman" w:hAnsi="Times New Roman" w:eastAsia="仿宋" w:cs="Times New Roman"/>
                <w:b w:val="0"/>
                <w:bCs/>
                <w:color w:val="auto"/>
                <w:kern w:val="2"/>
                <w:sz w:val="21"/>
                <w:szCs w:val="21"/>
                <w:lang w:val="en-US" w:eastAsia="zh-CN" w:bidi="ar-SA"/>
              </w:rPr>
            </w:pPr>
            <w:r>
              <w:rPr>
                <w:rFonts w:hint="eastAsia" w:ascii="Times New Roman" w:hAnsi="Times New Roman" w:cs="Times New Roman"/>
                <w:color w:val="auto"/>
                <w:sz w:val="21"/>
                <w:szCs w:val="21"/>
                <w:lang w:val="en-US" w:eastAsia="zh-CN"/>
              </w:rPr>
              <w:t>+</w:t>
            </w:r>
            <w:r>
              <w:rPr>
                <w:rFonts w:hint="eastAsia" w:cs="Times New Roman"/>
                <w:b w:val="0"/>
                <w:bCs/>
                <w:color w:val="auto"/>
                <w:kern w:val="2"/>
                <w:sz w:val="21"/>
                <w:szCs w:val="21"/>
                <w:lang w:val="en-US" w:eastAsia="zh-CN" w:bidi="ar-SA"/>
              </w:rPr>
              <w:t>4.5</w:t>
            </w:r>
          </w:p>
        </w:tc>
      </w:tr>
    </w:tbl>
    <w:p w14:paraId="43A19614">
      <w:pPr>
        <w:keepNext w:val="0"/>
        <w:keepLines w:val="0"/>
        <w:pageBreakBefore w:val="0"/>
        <w:widowControl/>
        <w:kinsoku/>
        <w:wordWrap/>
        <w:overflowPunct/>
        <w:topLinePunct w:val="0"/>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62C6C6C8">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黑体" w:cs="Times New Roman"/>
          <w:color w:val="auto"/>
          <w:sz w:val="10"/>
          <w:szCs w:val="10"/>
        </w:rPr>
      </w:pPr>
    </w:p>
    <w:p w14:paraId="51194F4D">
      <w:pPr>
        <w:rPr>
          <w:rFonts w:hint="default"/>
          <w:color w:val="auto"/>
        </w:rPr>
      </w:pPr>
    </w:p>
    <w:sectPr>
      <w:footerReference r:id="rId10" w:type="default"/>
      <w:pgSz w:w="16838" w:h="11906" w:orient="landscape"/>
      <w:pgMar w:top="1134" w:right="1417" w:bottom="1134" w:left="1417"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CIDFont">
    <w:altName w:val="Calibri"/>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82A5">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326D5">
                          <w:pPr>
                            <w:pStyle w:val="17"/>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DkHskBAACa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vqGEsctTvzy4/vl5+/Lr29k&#10;m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gOQeyQEAAJoDAAAOAAAAAAAAAAEAIAAAAB4BAABkcnMvZTJvRG9j&#10;LnhtbFBLBQYAAAAABgAGAFkBAABZBQAAAAA=&#10;">
              <v:fill on="f" focussize="0,0"/>
              <v:stroke on="f"/>
              <v:imagedata o:title=""/>
              <o:lock v:ext="edit" aspectratio="f"/>
              <v:textbox inset="0mm,0mm,0mm,0mm" style="mso-fit-shape-to-text:t;">
                <w:txbxContent>
                  <w:p w14:paraId="673326D5">
                    <w:pPr>
                      <w:pStyle w:val="1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7DF09">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C010D5">
                          <w:pPr>
                            <w:pStyle w:val="17"/>
                          </w:pPr>
                          <w:r>
                            <w:fldChar w:fldCharType="begin"/>
                          </w:r>
                          <w:r>
                            <w:instrText xml:space="preserve"> PAGE  \* MERGEFORMAT </w:instrText>
                          </w:r>
                          <w:r>
                            <w:fldChar w:fldCharType="separate"/>
                          </w:r>
                          <w:r>
                            <w:t>17</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44C010D5">
                    <w:pPr>
                      <w:pStyle w:val="1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ECF7">
    <w:pPr>
      <w:pStyle w:val="1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84E86E">
                          <w:pPr>
                            <w:pStyle w:val="17"/>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2484E86E">
                    <w:pPr>
                      <w:pStyle w:val="1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B2339">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C246A">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38D2A">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819A">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5AA">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E9AB2"/>
    <w:multiLevelType w:val="singleLevel"/>
    <w:tmpl w:val="9EFE9AB2"/>
    <w:lvl w:ilvl="0" w:tentative="0">
      <w:start w:val="2"/>
      <w:numFmt w:val="decimal"/>
      <w:suff w:val="nothing"/>
      <w:lvlText w:val="%1、"/>
      <w:lvlJc w:val="left"/>
    </w:lvl>
  </w:abstractNum>
  <w:abstractNum w:abstractNumId="1">
    <w:nsid w:val="A9E15E38"/>
    <w:multiLevelType w:val="singleLevel"/>
    <w:tmpl w:val="A9E15E38"/>
    <w:lvl w:ilvl="0" w:tentative="0">
      <w:start w:val="6"/>
      <w:numFmt w:val="decimal"/>
      <w:suff w:val="nothing"/>
      <w:lvlText w:val="%1、"/>
      <w:lvlJc w:val="left"/>
    </w:lvl>
  </w:abstractNum>
  <w:abstractNum w:abstractNumId="2">
    <w:nsid w:val="167C3218"/>
    <w:multiLevelType w:val="singleLevel"/>
    <w:tmpl w:val="167C3218"/>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3">
    <w:nsid w:val="73469145"/>
    <w:multiLevelType w:val="singleLevel"/>
    <w:tmpl w:val="73469145"/>
    <w:lvl w:ilvl="0" w:tentative="0">
      <w:start w:val="6"/>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3ccef7d2-cd31-4280-99fd-d8110a6b49bf"/>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3D68"/>
    <w:rsid w:val="00123E26"/>
    <w:rsid w:val="001249D0"/>
    <w:rsid w:val="00127570"/>
    <w:rsid w:val="001276EF"/>
    <w:rsid w:val="00131F42"/>
    <w:rsid w:val="00132086"/>
    <w:rsid w:val="00132234"/>
    <w:rsid w:val="001341F0"/>
    <w:rsid w:val="001342D4"/>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21B2"/>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37BA"/>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703CD"/>
    <w:rsid w:val="0087135F"/>
    <w:rsid w:val="00872D94"/>
    <w:rsid w:val="00874F0E"/>
    <w:rsid w:val="0087700F"/>
    <w:rsid w:val="00877EF2"/>
    <w:rsid w:val="00880106"/>
    <w:rsid w:val="0088018F"/>
    <w:rsid w:val="00880364"/>
    <w:rsid w:val="0088047C"/>
    <w:rsid w:val="00880A8B"/>
    <w:rsid w:val="00881208"/>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0750"/>
    <w:rsid w:val="009213E2"/>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327"/>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27C1C"/>
    <w:rsid w:val="00D308ED"/>
    <w:rsid w:val="00D32A25"/>
    <w:rsid w:val="00D32D58"/>
    <w:rsid w:val="00D3374E"/>
    <w:rsid w:val="00D33FCC"/>
    <w:rsid w:val="00D34640"/>
    <w:rsid w:val="00D34F0F"/>
    <w:rsid w:val="00D354E2"/>
    <w:rsid w:val="00D358F9"/>
    <w:rsid w:val="00D36C9E"/>
    <w:rsid w:val="00D36D86"/>
    <w:rsid w:val="00D373F3"/>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2A9B"/>
    <w:rsid w:val="00F54EEA"/>
    <w:rsid w:val="00F550E6"/>
    <w:rsid w:val="00F567CA"/>
    <w:rsid w:val="00F56C72"/>
    <w:rsid w:val="00F61F72"/>
    <w:rsid w:val="00F61FED"/>
    <w:rsid w:val="00F62921"/>
    <w:rsid w:val="00F62B4E"/>
    <w:rsid w:val="00F64077"/>
    <w:rsid w:val="00F641DD"/>
    <w:rsid w:val="00F64E3E"/>
    <w:rsid w:val="00F65838"/>
    <w:rsid w:val="00F66CBB"/>
    <w:rsid w:val="00F67244"/>
    <w:rsid w:val="00F705B3"/>
    <w:rsid w:val="00F71B2C"/>
    <w:rsid w:val="00F739B5"/>
    <w:rsid w:val="00F73FB1"/>
    <w:rsid w:val="00F74345"/>
    <w:rsid w:val="00F74BC3"/>
    <w:rsid w:val="00F76CF8"/>
    <w:rsid w:val="00F77856"/>
    <w:rsid w:val="00F779DD"/>
    <w:rsid w:val="00F80A0A"/>
    <w:rsid w:val="00F81A46"/>
    <w:rsid w:val="00F82505"/>
    <w:rsid w:val="00F82B19"/>
    <w:rsid w:val="00F830A4"/>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E7B94"/>
    <w:rsid w:val="00FF0B53"/>
    <w:rsid w:val="00FF0B77"/>
    <w:rsid w:val="00FF2676"/>
    <w:rsid w:val="00FF37BE"/>
    <w:rsid w:val="00FF60D7"/>
    <w:rsid w:val="010B5592"/>
    <w:rsid w:val="01117A34"/>
    <w:rsid w:val="01290F7E"/>
    <w:rsid w:val="012A4E2C"/>
    <w:rsid w:val="01385D77"/>
    <w:rsid w:val="015D1E09"/>
    <w:rsid w:val="016C090A"/>
    <w:rsid w:val="01735414"/>
    <w:rsid w:val="018A73B0"/>
    <w:rsid w:val="018D1931"/>
    <w:rsid w:val="019D759C"/>
    <w:rsid w:val="01A56261"/>
    <w:rsid w:val="01D027EB"/>
    <w:rsid w:val="01E4322D"/>
    <w:rsid w:val="01EE04AE"/>
    <w:rsid w:val="0204742C"/>
    <w:rsid w:val="02146517"/>
    <w:rsid w:val="022641C2"/>
    <w:rsid w:val="022E3E2F"/>
    <w:rsid w:val="02532D0C"/>
    <w:rsid w:val="025C30E2"/>
    <w:rsid w:val="02630935"/>
    <w:rsid w:val="02697903"/>
    <w:rsid w:val="026D3223"/>
    <w:rsid w:val="028A2D40"/>
    <w:rsid w:val="02900702"/>
    <w:rsid w:val="02931E56"/>
    <w:rsid w:val="0298594A"/>
    <w:rsid w:val="02A46519"/>
    <w:rsid w:val="02B60FA7"/>
    <w:rsid w:val="02C1045F"/>
    <w:rsid w:val="02D52B76"/>
    <w:rsid w:val="02F96569"/>
    <w:rsid w:val="030B1A7E"/>
    <w:rsid w:val="030C7685"/>
    <w:rsid w:val="03155B55"/>
    <w:rsid w:val="031C67B3"/>
    <w:rsid w:val="03407427"/>
    <w:rsid w:val="03451FBF"/>
    <w:rsid w:val="0347397E"/>
    <w:rsid w:val="034C1790"/>
    <w:rsid w:val="035B1DDE"/>
    <w:rsid w:val="036964FC"/>
    <w:rsid w:val="03843986"/>
    <w:rsid w:val="038E07EA"/>
    <w:rsid w:val="03921D99"/>
    <w:rsid w:val="039960EC"/>
    <w:rsid w:val="03A8129D"/>
    <w:rsid w:val="03B20EA7"/>
    <w:rsid w:val="03B73B02"/>
    <w:rsid w:val="03BE3AD0"/>
    <w:rsid w:val="03D8291E"/>
    <w:rsid w:val="03EA7B21"/>
    <w:rsid w:val="03EC1FC7"/>
    <w:rsid w:val="04015589"/>
    <w:rsid w:val="043F2B55"/>
    <w:rsid w:val="04461F09"/>
    <w:rsid w:val="04536D05"/>
    <w:rsid w:val="04554A98"/>
    <w:rsid w:val="04B97507"/>
    <w:rsid w:val="04C82992"/>
    <w:rsid w:val="04D46F81"/>
    <w:rsid w:val="04E82021"/>
    <w:rsid w:val="050B3749"/>
    <w:rsid w:val="05353DA0"/>
    <w:rsid w:val="05431265"/>
    <w:rsid w:val="057523EE"/>
    <w:rsid w:val="05790131"/>
    <w:rsid w:val="057B0CF5"/>
    <w:rsid w:val="05865D5D"/>
    <w:rsid w:val="05D9472B"/>
    <w:rsid w:val="05EC4085"/>
    <w:rsid w:val="05F83EAE"/>
    <w:rsid w:val="05FA6F1D"/>
    <w:rsid w:val="060A0903"/>
    <w:rsid w:val="06127C3D"/>
    <w:rsid w:val="063E7D85"/>
    <w:rsid w:val="06532730"/>
    <w:rsid w:val="0659586C"/>
    <w:rsid w:val="067712B3"/>
    <w:rsid w:val="067B63A1"/>
    <w:rsid w:val="0685789D"/>
    <w:rsid w:val="06A62BA9"/>
    <w:rsid w:val="06C2658B"/>
    <w:rsid w:val="06D65BE8"/>
    <w:rsid w:val="06EE1A11"/>
    <w:rsid w:val="06FC79F9"/>
    <w:rsid w:val="0706063A"/>
    <w:rsid w:val="071255C4"/>
    <w:rsid w:val="071D4AEC"/>
    <w:rsid w:val="07293586"/>
    <w:rsid w:val="07295285"/>
    <w:rsid w:val="0753364C"/>
    <w:rsid w:val="07571D9E"/>
    <w:rsid w:val="07636392"/>
    <w:rsid w:val="07690BEE"/>
    <w:rsid w:val="076F7ED3"/>
    <w:rsid w:val="07770C56"/>
    <w:rsid w:val="07C5243B"/>
    <w:rsid w:val="07DD49A7"/>
    <w:rsid w:val="07EA02AB"/>
    <w:rsid w:val="07F804B6"/>
    <w:rsid w:val="07FD7DEB"/>
    <w:rsid w:val="084120E9"/>
    <w:rsid w:val="08514A4D"/>
    <w:rsid w:val="08571D21"/>
    <w:rsid w:val="08616C16"/>
    <w:rsid w:val="086334B4"/>
    <w:rsid w:val="0865674A"/>
    <w:rsid w:val="086E1AA3"/>
    <w:rsid w:val="08780E2D"/>
    <w:rsid w:val="087B5F6E"/>
    <w:rsid w:val="08856DEC"/>
    <w:rsid w:val="08865476"/>
    <w:rsid w:val="08900CB2"/>
    <w:rsid w:val="089164A2"/>
    <w:rsid w:val="089B6044"/>
    <w:rsid w:val="08B03E69"/>
    <w:rsid w:val="08BF68A7"/>
    <w:rsid w:val="08D32B0B"/>
    <w:rsid w:val="08D4742C"/>
    <w:rsid w:val="08E25FED"/>
    <w:rsid w:val="08FD6A61"/>
    <w:rsid w:val="090E6DE2"/>
    <w:rsid w:val="092217DD"/>
    <w:rsid w:val="093078A1"/>
    <w:rsid w:val="093A7294"/>
    <w:rsid w:val="093F045B"/>
    <w:rsid w:val="094D16F1"/>
    <w:rsid w:val="097314F5"/>
    <w:rsid w:val="09756E61"/>
    <w:rsid w:val="09797DD4"/>
    <w:rsid w:val="099472E7"/>
    <w:rsid w:val="09A81073"/>
    <w:rsid w:val="09C6146A"/>
    <w:rsid w:val="09E70F8B"/>
    <w:rsid w:val="09EF539F"/>
    <w:rsid w:val="09FC0C0E"/>
    <w:rsid w:val="09FE178A"/>
    <w:rsid w:val="0A263993"/>
    <w:rsid w:val="0A2D3AC2"/>
    <w:rsid w:val="0A4C7BC2"/>
    <w:rsid w:val="0A617D3D"/>
    <w:rsid w:val="0A696B96"/>
    <w:rsid w:val="0AA2474B"/>
    <w:rsid w:val="0AA755DF"/>
    <w:rsid w:val="0AC0235E"/>
    <w:rsid w:val="0ACC239D"/>
    <w:rsid w:val="0ACF4FB3"/>
    <w:rsid w:val="0AF67C54"/>
    <w:rsid w:val="0AF76FEA"/>
    <w:rsid w:val="0AFD0EBC"/>
    <w:rsid w:val="0AFF46F4"/>
    <w:rsid w:val="0AFF4C34"/>
    <w:rsid w:val="0B120D44"/>
    <w:rsid w:val="0B1B7A70"/>
    <w:rsid w:val="0B311469"/>
    <w:rsid w:val="0B54466A"/>
    <w:rsid w:val="0B6269AF"/>
    <w:rsid w:val="0B68658B"/>
    <w:rsid w:val="0B892750"/>
    <w:rsid w:val="0B9F2076"/>
    <w:rsid w:val="0BAC19CD"/>
    <w:rsid w:val="0BCA3494"/>
    <w:rsid w:val="0BD27BF6"/>
    <w:rsid w:val="0BDA3FD4"/>
    <w:rsid w:val="0BF4069F"/>
    <w:rsid w:val="0C036D14"/>
    <w:rsid w:val="0C381612"/>
    <w:rsid w:val="0C3B3C7D"/>
    <w:rsid w:val="0C4A0131"/>
    <w:rsid w:val="0C547201"/>
    <w:rsid w:val="0C59200B"/>
    <w:rsid w:val="0C5E5EFE"/>
    <w:rsid w:val="0C665DD1"/>
    <w:rsid w:val="0C6C350D"/>
    <w:rsid w:val="0C903EED"/>
    <w:rsid w:val="0CAB2EAE"/>
    <w:rsid w:val="0CC02231"/>
    <w:rsid w:val="0CCE0D62"/>
    <w:rsid w:val="0CEC32A8"/>
    <w:rsid w:val="0CF32EA4"/>
    <w:rsid w:val="0D1D3CF3"/>
    <w:rsid w:val="0D2B61B4"/>
    <w:rsid w:val="0D2F50B7"/>
    <w:rsid w:val="0D305579"/>
    <w:rsid w:val="0D4373D3"/>
    <w:rsid w:val="0D47341C"/>
    <w:rsid w:val="0D621C7D"/>
    <w:rsid w:val="0D9E11E4"/>
    <w:rsid w:val="0DBF7CD2"/>
    <w:rsid w:val="0DED16BC"/>
    <w:rsid w:val="0DF76096"/>
    <w:rsid w:val="0DFD3997"/>
    <w:rsid w:val="0E142835"/>
    <w:rsid w:val="0E526F19"/>
    <w:rsid w:val="0E5D6EA0"/>
    <w:rsid w:val="0E5E7EC3"/>
    <w:rsid w:val="0E5F13EE"/>
    <w:rsid w:val="0E6C5F86"/>
    <w:rsid w:val="0E73034D"/>
    <w:rsid w:val="0E80608C"/>
    <w:rsid w:val="0EB42DE4"/>
    <w:rsid w:val="0EB75395"/>
    <w:rsid w:val="0F083607"/>
    <w:rsid w:val="0F13775A"/>
    <w:rsid w:val="0F1517C2"/>
    <w:rsid w:val="0F386966"/>
    <w:rsid w:val="0F3B1FB3"/>
    <w:rsid w:val="0F4B4695"/>
    <w:rsid w:val="0F5F45FE"/>
    <w:rsid w:val="0F76723D"/>
    <w:rsid w:val="0F902AE7"/>
    <w:rsid w:val="0F9A112B"/>
    <w:rsid w:val="0F9C1A87"/>
    <w:rsid w:val="0FB03A9F"/>
    <w:rsid w:val="0FB54AE7"/>
    <w:rsid w:val="0FC10487"/>
    <w:rsid w:val="0FD50659"/>
    <w:rsid w:val="0FF24D67"/>
    <w:rsid w:val="0FF860F6"/>
    <w:rsid w:val="0FFF56D6"/>
    <w:rsid w:val="100A5921"/>
    <w:rsid w:val="101231B6"/>
    <w:rsid w:val="1017513A"/>
    <w:rsid w:val="10372E26"/>
    <w:rsid w:val="1039189F"/>
    <w:rsid w:val="104D60AB"/>
    <w:rsid w:val="10563295"/>
    <w:rsid w:val="106C4C87"/>
    <w:rsid w:val="106D2F64"/>
    <w:rsid w:val="106F4735"/>
    <w:rsid w:val="10726ACE"/>
    <w:rsid w:val="10880C6B"/>
    <w:rsid w:val="10964C08"/>
    <w:rsid w:val="10987EED"/>
    <w:rsid w:val="10B262A5"/>
    <w:rsid w:val="10B60B86"/>
    <w:rsid w:val="10B63710"/>
    <w:rsid w:val="10BC7123"/>
    <w:rsid w:val="10C20F6D"/>
    <w:rsid w:val="10D76532"/>
    <w:rsid w:val="10DD6559"/>
    <w:rsid w:val="10E42765"/>
    <w:rsid w:val="10E85D69"/>
    <w:rsid w:val="10F10820"/>
    <w:rsid w:val="11071A15"/>
    <w:rsid w:val="111C2F7A"/>
    <w:rsid w:val="114474B7"/>
    <w:rsid w:val="11501512"/>
    <w:rsid w:val="115D4462"/>
    <w:rsid w:val="11665CA1"/>
    <w:rsid w:val="1169441B"/>
    <w:rsid w:val="11967974"/>
    <w:rsid w:val="11A65A30"/>
    <w:rsid w:val="11CE0C2B"/>
    <w:rsid w:val="11D0732A"/>
    <w:rsid w:val="1209283C"/>
    <w:rsid w:val="121028B6"/>
    <w:rsid w:val="12163CE1"/>
    <w:rsid w:val="12217476"/>
    <w:rsid w:val="1223332E"/>
    <w:rsid w:val="12317D70"/>
    <w:rsid w:val="123959CD"/>
    <w:rsid w:val="12421618"/>
    <w:rsid w:val="125C69A1"/>
    <w:rsid w:val="12677A45"/>
    <w:rsid w:val="12706417"/>
    <w:rsid w:val="12802AFE"/>
    <w:rsid w:val="128402E9"/>
    <w:rsid w:val="12840907"/>
    <w:rsid w:val="12975FD1"/>
    <w:rsid w:val="12AB5A1E"/>
    <w:rsid w:val="12B51DEE"/>
    <w:rsid w:val="12C3749A"/>
    <w:rsid w:val="12DF6902"/>
    <w:rsid w:val="12F459DB"/>
    <w:rsid w:val="12FF4CC4"/>
    <w:rsid w:val="13187787"/>
    <w:rsid w:val="1319260B"/>
    <w:rsid w:val="13300448"/>
    <w:rsid w:val="133A4152"/>
    <w:rsid w:val="135D43F8"/>
    <w:rsid w:val="138F10FE"/>
    <w:rsid w:val="13951726"/>
    <w:rsid w:val="13AB57BF"/>
    <w:rsid w:val="13B660AC"/>
    <w:rsid w:val="13C95DDF"/>
    <w:rsid w:val="13CB7DA9"/>
    <w:rsid w:val="140D629E"/>
    <w:rsid w:val="14257B5E"/>
    <w:rsid w:val="142962DD"/>
    <w:rsid w:val="142F3C34"/>
    <w:rsid w:val="14377928"/>
    <w:rsid w:val="14396509"/>
    <w:rsid w:val="14634486"/>
    <w:rsid w:val="14771D21"/>
    <w:rsid w:val="14CD2209"/>
    <w:rsid w:val="14D700F7"/>
    <w:rsid w:val="14DD2C3C"/>
    <w:rsid w:val="14EB174E"/>
    <w:rsid w:val="14F90946"/>
    <w:rsid w:val="14FC201D"/>
    <w:rsid w:val="15206278"/>
    <w:rsid w:val="1525173B"/>
    <w:rsid w:val="1528122B"/>
    <w:rsid w:val="153C6003"/>
    <w:rsid w:val="154F0566"/>
    <w:rsid w:val="15673B02"/>
    <w:rsid w:val="156C4E3E"/>
    <w:rsid w:val="15763D45"/>
    <w:rsid w:val="157D50D3"/>
    <w:rsid w:val="15A120AC"/>
    <w:rsid w:val="15AA0868"/>
    <w:rsid w:val="15AA7E92"/>
    <w:rsid w:val="15AE5ACD"/>
    <w:rsid w:val="15E63943"/>
    <w:rsid w:val="15EC6D4C"/>
    <w:rsid w:val="16087E1D"/>
    <w:rsid w:val="16094BB9"/>
    <w:rsid w:val="160C46A9"/>
    <w:rsid w:val="160F2880"/>
    <w:rsid w:val="162C08A7"/>
    <w:rsid w:val="162E0FED"/>
    <w:rsid w:val="163C0AC6"/>
    <w:rsid w:val="16695657"/>
    <w:rsid w:val="1677009D"/>
    <w:rsid w:val="16796819"/>
    <w:rsid w:val="16821794"/>
    <w:rsid w:val="168D3A3C"/>
    <w:rsid w:val="168D7598"/>
    <w:rsid w:val="1699565E"/>
    <w:rsid w:val="16F4453F"/>
    <w:rsid w:val="16FE0813"/>
    <w:rsid w:val="17384862"/>
    <w:rsid w:val="173A37E4"/>
    <w:rsid w:val="174F1860"/>
    <w:rsid w:val="17701D14"/>
    <w:rsid w:val="17735226"/>
    <w:rsid w:val="1784744F"/>
    <w:rsid w:val="1788427F"/>
    <w:rsid w:val="17CE6D57"/>
    <w:rsid w:val="17E4768B"/>
    <w:rsid w:val="17E624B1"/>
    <w:rsid w:val="17EB7A4D"/>
    <w:rsid w:val="1808230B"/>
    <w:rsid w:val="183A07EC"/>
    <w:rsid w:val="185B4F76"/>
    <w:rsid w:val="185E7C51"/>
    <w:rsid w:val="186F34B2"/>
    <w:rsid w:val="188D3F2D"/>
    <w:rsid w:val="189F624C"/>
    <w:rsid w:val="18D63049"/>
    <w:rsid w:val="18FE38BD"/>
    <w:rsid w:val="190478B9"/>
    <w:rsid w:val="190E6D59"/>
    <w:rsid w:val="190F3767"/>
    <w:rsid w:val="19377EED"/>
    <w:rsid w:val="19427C2C"/>
    <w:rsid w:val="19486A34"/>
    <w:rsid w:val="19566367"/>
    <w:rsid w:val="1957088A"/>
    <w:rsid w:val="195775C3"/>
    <w:rsid w:val="19B33439"/>
    <w:rsid w:val="19F9531E"/>
    <w:rsid w:val="19FC3140"/>
    <w:rsid w:val="1A023DF9"/>
    <w:rsid w:val="1A1C66C0"/>
    <w:rsid w:val="1A402B73"/>
    <w:rsid w:val="1A42393B"/>
    <w:rsid w:val="1A7C5F3D"/>
    <w:rsid w:val="1A7D4307"/>
    <w:rsid w:val="1A807DD1"/>
    <w:rsid w:val="1A817E7E"/>
    <w:rsid w:val="1A864953"/>
    <w:rsid w:val="1A8C1DD9"/>
    <w:rsid w:val="1A923BA0"/>
    <w:rsid w:val="1AAD45DE"/>
    <w:rsid w:val="1AD104D1"/>
    <w:rsid w:val="1ADD0B94"/>
    <w:rsid w:val="1AE6196C"/>
    <w:rsid w:val="1AF40C41"/>
    <w:rsid w:val="1AFF2A2E"/>
    <w:rsid w:val="1B046F80"/>
    <w:rsid w:val="1B1107D6"/>
    <w:rsid w:val="1B2606DC"/>
    <w:rsid w:val="1B2908B7"/>
    <w:rsid w:val="1B3267B5"/>
    <w:rsid w:val="1B3F40A1"/>
    <w:rsid w:val="1B40161D"/>
    <w:rsid w:val="1B441859"/>
    <w:rsid w:val="1B6606B1"/>
    <w:rsid w:val="1B6D18C5"/>
    <w:rsid w:val="1B733202"/>
    <w:rsid w:val="1B75684C"/>
    <w:rsid w:val="1B8B4E82"/>
    <w:rsid w:val="1B9D672E"/>
    <w:rsid w:val="1BA50634"/>
    <w:rsid w:val="1BA979E5"/>
    <w:rsid w:val="1BB92BDD"/>
    <w:rsid w:val="1BB93EB8"/>
    <w:rsid w:val="1C0A168B"/>
    <w:rsid w:val="1C2344FA"/>
    <w:rsid w:val="1C2D14AB"/>
    <w:rsid w:val="1C363C6B"/>
    <w:rsid w:val="1C4D2EEC"/>
    <w:rsid w:val="1C4F16D7"/>
    <w:rsid w:val="1C5E7925"/>
    <w:rsid w:val="1C6030CE"/>
    <w:rsid w:val="1C7F42FD"/>
    <w:rsid w:val="1C927E45"/>
    <w:rsid w:val="1C99656B"/>
    <w:rsid w:val="1C9D0174"/>
    <w:rsid w:val="1CA66DBA"/>
    <w:rsid w:val="1CC23D13"/>
    <w:rsid w:val="1CCF709F"/>
    <w:rsid w:val="1CD032BA"/>
    <w:rsid w:val="1CD75A11"/>
    <w:rsid w:val="1CE26164"/>
    <w:rsid w:val="1CFD070F"/>
    <w:rsid w:val="1D0E0D07"/>
    <w:rsid w:val="1D1F4CC2"/>
    <w:rsid w:val="1D202672"/>
    <w:rsid w:val="1D4A4435"/>
    <w:rsid w:val="1D5F6196"/>
    <w:rsid w:val="1D6132A5"/>
    <w:rsid w:val="1D67661D"/>
    <w:rsid w:val="1D6C357F"/>
    <w:rsid w:val="1D737D0F"/>
    <w:rsid w:val="1D7F3913"/>
    <w:rsid w:val="1D8D2B80"/>
    <w:rsid w:val="1D8E56D5"/>
    <w:rsid w:val="1D90796E"/>
    <w:rsid w:val="1DA06B03"/>
    <w:rsid w:val="1DB7139E"/>
    <w:rsid w:val="1DCC1D71"/>
    <w:rsid w:val="1DEB01B8"/>
    <w:rsid w:val="1DED6B6E"/>
    <w:rsid w:val="1DF0665E"/>
    <w:rsid w:val="1E0075F0"/>
    <w:rsid w:val="1E036392"/>
    <w:rsid w:val="1E162B7D"/>
    <w:rsid w:val="1E262080"/>
    <w:rsid w:val="1E2D1C4F"/>
    <w:rsid w:val="1E2F68D5"/>
    <w:rsid w:val="1E370533"/>
    <w:rsid w:val="1E621476"/>
    <w:rsid w:val="1E747D2D"/>
    <w:rsid w:val="1E7A43DA"/>
    <w:rsid w:val="1E7D6144"/>
    <w:rsid w:val="1E9A6CF6"/>
    <w:rsid w:val="1EA81514"/>
    <w:rsid w:val="1ED06A9D"/>
    <w:rsid w:val="1F2D0591"/>
    <w:rsid w:val="1F3B254F"/>
    <w:rsid w:val="1F4E622E"/>
    <w:rsid w:val="1F78151A"/>
    <w:rsid w:val="1F881CE0"/>
    <w:rsid w:val="1F933643"/>
    <w:rsid w:val="1FAC5C31"/>
    <w:rsid w:val="1FB355EB"/>
    <w:rsid w:val="1FB715AB"/>
    <w:rsid w:val="1FCD3B59"/>
    <w:rsid w:val="1FD04999"/>
    <w:rsid w:val="1FE7539E"/>
    <w:rsid w:val="1FEF4E1F"/>
    <w:rsid w:val="1FFE0318"/>
    <w:rsid w:val="200F54C2"/>
    <w:rsid w:val="20231FB8"/>
    <w:rsid w:val="204727BE"/>
    <w:rsid w:val="20573441"/>
    <w:rsid w:val="20671BE0"/>
    <w:rsid w:val="207558D8"/>
    <w:rsid w:val="20784E15"/>
    <w:rsid w:val="208732AA"/>
    <w:rsid w:val="209029D8"/>
    <w:rsid w:val="20963CB8"/>
    <w:rsid w:val="209E65E7"/>
    <w:rsid w:val="20A17CD4"/>
    <w:rsid w:val="20A81A1B"/>
    <w:rsid w:val="20A84338"/>
    <w:rsid w:val="20B07FB6"/>
    <w:rsid w:val="20B646FB"/>
    <w:rsid w:val="20CA3197"/>
    <w:rsid w:val="20CE2C87"/>
    <w:rsid w:val="20D858B3"/>
    <w:rsid w:val="212E7BF8"/>
    <w:rsid w:val="213B2595"/>
    <w:rsid w:val="213B74B1"/>
    <w:rsid w:val="215417A8"/>
    <w:rsid w:val="215A2310"/>
    <w:rsid w:val="215E3D90"/>
    <w:rsid w:val="21603961"/>
    <w:rsid w:val="21A5198C"/>
    <w:rsid w:val="21B416CC"/>
    <w:rsid w:val="21D02A2F"/>
    <w:rsid w:val="21DA38AD"/>
    <w:rsid w:val="21DE318A"/>
    <w:rsid w:val="21DF4849"/>
    <w:rsid w:val="21EF5B80"/>
    <w:rsid w:val="21F65A60"/>
    <w:rsid w:val="21FC6962"/>
    <w:rsid w:val="22235683"/>
    <w:rsid w:val="224D3971"/>
    <w:rsid w:val="22556C63"/>
    <w:rsid w:val="22576990"/>
    <w:rsid w:val="22645EEA"/>
    <w:rsid w:val="2272773F"/>
    <w:rsid w:val="228850B7"/>
    <w:rsid w:val="228A52D3"/>
    <w:rsid w:val="2298325A"/>
    <w:rsid w:val="22CF0F38"/>
    <w:rsid w:val="22D319D0"/>
    <w:rsid w:val="22D510D2"/>
    <w:rsid w:val="22D87B1C"/>
    <w:rsid w:val="22EE2033"/>
    <w:rsid w:val="22F47480"/>
    <w:rsid w:val="22F56643"/>
    <w:rsid w:val="22FD1C51"/>
    <w:rsid w:val="23507F7E"/>
    <w:rsid w:val="2351421E"/>
    <w:rsid w:val="23763F4C"/>
    <w:rsid w:val="23985FD7"/>
    <w:rsid w:val="23993C5A"/>
    <w:rsid w:val="239F0AB2"/>
    <w:rsid w:val="23BB6BBF"/>
    <w:rsid w:val="23C60157"/>
    <w:rsid w:val="23C71516"/>
    <w:rsid w:val="23D613AE"/>
    <w:rsid w:val="23DE1C48"/>
    <w:rsid w:val="23FF7385"/>
    <w:rsid w:val="240210CD"/>
    <w:rsid w:val="24526729"/>
    <w:rsid w:val="24613EA2"/>
    <w:rsid w:val="24681644"/>
    <w:rsid w:val="24747FE9"/>
    <w:rsid w:val="24773635"/>
    <w:rsid w:val="247B0214"/>
    <w:rsid w:val="247C629F"/>
    <w:rsid w:val="247E3C8E"/>
    <w:rsid w:val="247E76DD"/>
    <w:rsid w:val="248D4EF2"/>
    <w:rsid w:val="249B7F2C"/>
    <w:rsid w:val="24B13C82"/>
    <w:rsid w:val="24BE3012"/>
    <w:rsid w:val="24BF09F7"/>
    <w:rsid w:val="24C74FB8"/>
    <w:rsid w:val="24D4041D"/>
    <w:rsid w:val="24D66E91"/>
    <w:rsid w:val="24FE5B05"/>
    <w:rsid w:val="2503311B"/>
    <w:rsid w:val="25174F24"/>
    <w:rsid w:val="251C178F"/>
    <w:rsid w:val="252D53FE"/>
    <w:rsid w:val="25351150"/>
    <w:rsid w:val="255B416F"/>
    <w:rsid w:val="25877244"/>
    <w:rsid w:val="25B56323"/>
    <w:rsid w:val="25CB19DA"/>
    <w:rsid w:val="25DB28FA"/>
    <w:rsid w:val="25E76599"/>
    <w:rsid w:val="25EC2D81"/>
    <w:rsid w:val="26065BCC"/>
    <w:rsid w:val="260809E9"/>
    <w:rsid w:val="262477ED"/>
    <w:rsid w:val="263C7598"/>
    <w:rsid w:val="263F7ABD"/>
    <w:rsid w:val="266059D5"/>
    <w:rsid w:val="26686113"/>
    <w:rsid w:val="26757AAC"/>
    <w:rsid w:val="26C2534E"/>
    <w:rsid w:val="26CA0327"/>
    <w:rsid w:val="26D11723"/>
    <w:rsid w:val="26D42FC1"/>
    <w:rsid w:val="270D0281"/>
    <w:rsid w:val="2720370E"/>
    <w:rsid w:val="275773C6"/>
    <w:rsid w:val="27633147"/>
    <w:rsid w:val="27663B81"/>
    <w:rsid w:val="277057A2"/>
    <w:rsid w:val="27796570"/>
    <w:rsid w:val="279369D8"/>
    <w:rsid w:val="27BA2BD8"/>
    <w:rsid w:val="27BF4138"/>
    <w:rsid w:val="27FF0087"/>
    <w:rsid w:val="28013942"/>
    <w:rsid w:val="280772B0"/>
    <w:rsid w:val="280E2503"/>
    <w:rsid w:val="282633A8"/>
    <w:rsid w:val="282F7010"/>
    <w:rsid w:val="283933A9"/>
    <w:rsid w:val="28414686"/>
    <w:rsid w:val="28694363"/>
    <w:rsid w:val="286E33A7"/>
    <w:rsid w:val="288822B5"/>
    <w:rsid w:val="288B18E3"/>
    <w:rsid w:val="28A56F26"/>
    <w:rsid w:val="28F2659B"/>
    <w:rsid w:val="29153267"/>
    <w:rsid w:val="29206EB8"/>
    <w:rsid w:val="29332221"/>
    <w:rsid w:val="2939144B"/>
    <w:rsid w:val="2943504D"/>
    <w:rsid w:val="294978E1"/>
    <w:rsid w:val="29595666"/>
    <w:rsid w:val="295B3526"/>
    <w:rsid w:val="29622D86"/>
    <w:rsid w:val="29657F00"/>
    <w:rsid w:val="29874881"/>
    <w:rsid w:val="298C055B"/>
    <w:rsid w:val="299A22A0"/>
    <w:rsid w:val="29D37560"/>
    <w:rsid w:val="29DD02BE"/>
    <w:rsid w:val="29E325E0"/>
    <w:rsid w:val="29F8703B"/>
    <w:rsid w:val="2A266AD9"/>
    <w:rsid w:val="2A2B114A"/>
    <w:rsid w:val="2A377BD6"/>
    <w:rsid w:val="2A3A0527"/>
    <w:rsid w:val="2A452503"/>
    <w:rsid w:val="2A4915D0"/>
    <w:rsid w:val="2A582DE2"/>
    <w:rsid w:val="2A583058"/>
    <w:rsid w:val="2A5E4242"/>
    <w:rsid w:val="2A6102E1"/>
    <w:rsid w:val="2A7C0B78"/>
    <w:rsid w:val="2A7E3970"/>
    <w:rsid w:val="2A8E16D9"/>
    <w:rsid w:val="2A9C3E4A"/>
    <w:rsid w:val="2AAA5685"/>
    <w:rsid w:val="2AD96DF8"/>
    <w:rsid w:val="2AEF75E6"/>
    <w:rsid w:val="2AF676B8"/>
    <w:rsid w:val="2AFB4FC0"/>
    <w:rsid w:val="2AFF1807"/>
    <w:rsid w:val="2B010C4A"/>
    <w:rsid w:val="2B0A6FB1"/>
    <w:rsid w:val="2B163DB4"/>
    <w:rsid w:val="2B4B1C94"/>
    <w:rsid w:val="2B527E57"/>
    <w:rsid w:val="2B8A3EC7"/>
    <w:rsid w:val="2B940F71"/>
    <w:rsid w:val="2BA56CDA"/>
    <w:rsid w:val="2BA936A8"/>
    <w:rsid w:val="2BAC7BFB"/>
    <w:rsid w:val="2BB71400"/>
    <w:rsid w:val="2BBC5615"/>
    <w:rsid w:val="2BE71791"/>
    <w:rsid w:val="2C0B2FE1"/>
    <w:rsid w:val="2C1E7C10"/>
    <w:rsid w:val="2C275941"/>
    <w:rsid w:val="2C2E7758"/>
    <w:rsid w:val="2C315A5A"/>
    <w:rsid w:val="2C3E69A1"/>
    <w:rsid w:val="2C4B1C25"/>
    <w:rsid w:val="2C55425C"/>
    <w:rsid w:val="2C57338F"/>
    <w:rsid w:val="2C760D0B"/>
    <w:rsid w:val="2C967313"/>
    <w:rsid w:val="2C994A91"/>
    <w:rsid w:val="2C9B105B"/>
    <w:rsid w:val="2CA972A9"/>
    <w:rsid w:val="2CBA6B82"/>
    <w:rsid w:val="2CBF1EDA"/>
    <w:rsid w:val="2CBF62EA"/>
    <w:rsid w:val="2CC13E88"/>
    <w:rsid w:val="2CCA30ED"/>
    <w:rsid w:val="2CCD4E38"/>
    <w:rsid w:val="2CDA7F1A"/>
    <w:rsid w:val="2CEF78CA"/>
    <w:rsid w:val="2CFC6DCE"/>
    <w:rsid w:val="2D012636"/>
    <w:rsid w:val="2D233FE0"/>
    <w:rsid w:val="2D246F51"/>
    <w:rsid w:val="2D271494"/>
    <w:rsid w:val="2D2D51D9"/>
    <w:rsid w:val="2D2E06FF"/>
    <w:rsid w:val="2D4A7B39"/>
    <w:rsid w:val="2D4F60C0"/>
    <w:rsid w:val="2D542766"/>
    <w:rsid w:val="2D7D6852"/>
    <w:rsid w:val="2D8172D3"/>
    <w:rsid w:val="2D9E56F5"/>
    <w:rsid w:val="2DAC7B67"/>
    <w:rsid w:val="2DB304BB"/>
    <w:rsid w:val="2DC828C4"/>
    <w:rsid w:val="2DDE0ED0"/>
    <w:rsid w:val="2E007139"/>
    <w:rsid w:val="2E075163"/>
    <w:rsid w:val="2E156399"/>
    <w:rsid w:val="2E585DC2"/>
    <w:rsid w:val="2E5B2EA9"/>
    <w:rsid w:val="2E6115DE"/>
    <w:rsid w:val="2E667F96"/>
    <w:rsid w:val="2E8226AB"/>
    <w:rsid w:val="2E8D7F49"/>
    <w:rsid w:val="2E923DEF"/>
    <w:rsid w:val="2E933762"/>
    <w:rsid w:val="2EA65243"/>
    <w:rsid w:val="2EA94D33"/>
    <w:rsid w:val="2EC97183"/>
    <w:rsid w:val="2ECE479A"/>
    <w:rsid w:val="2EDC5AA0"/>
    <w:rsid w:val="2EFF2BA5"/>
    <w:rsid w:val="2F4C0517"/>
    <w:rsid w:val="2F7E397D"/>
    <w:rsid w:val="2F827A5E"/>
    <w:rsid w:val="2F84187D"/>
    <w:rsid w:val="2F927575"/>
    <w:rsid w:val="2FA3568B"/>
    <w:rsid w:val="2FA61BBB"/>
    <w:rsid w:val="2FAE0FC6"/>
    <w:rsid w:val="2FB35E69"/>
    <w:rsid w:val="2FD065E6"/>
    <w:rsid w:val="2FD96870"/>
    <w:rsid w:val="2FEF49C8"/>
    <w:rsid w:val="30021656"/>
    <w:rsid w:val="30547245"/>
    <w:rsid w:val="30580BC9"/>
    <w:rsid w:val="306929CC"/>
    <w:rsid w:val="30A0640D"/>
    <w:rsid w:val="30A6777C"/>
    <w:rsid w:val="30AA5742"/>
    <w:rsid w:val="30C020C1"/>
    <w:rsid w:val="30C23E8A"/>
    <w:rsid w:val="30C37274"/>
    <w:rsid w:val="30C61666"/>
    <w:rsid w:val="30E43759"/>
    <w:rsid w:val="30FD39D4"/>
    <w:rsid w:val="310B5831"/>
    <w:rsid w:val="311E2ED7"/>
    <w:rsid w:val="31405FEE"/>
    <w:rsid w:val="315619EE"/>
    <w:rsid w:val="315C449C"/>
    <w:rsid w:val="31821B16"/>
    <w:rsid w:val="31991D77"/>
    <w:rsid w:val="31B82709"/>
    <w:rsid w:val="31CB34FB"/>
    <w:rsid w:val="31CF4AB1"/>
    <w:rsid w:val="31D05482"/>
    <w:rsid w:val="31DD5420"/>
    <w:rsid w:val="31FD007E"/>
    <w:rsid w:val="31FE46EF"/>
    <w:rsid w:val="31FE65A8"/>
    <w:rsid w:val="321772A1"/>
    <w:rsid w:val="321D40D5"/>
    <w:rsid w:val="322E6E8A"/>
    <w:rsid w:val="323056F7"/>
    <w:rsid w:val="323E301A"/>
    <w:rsid w:val="32400B34"/>
    <w:rsid w:val="32485E37"/>
    <w:rsid w:val="324E146B"/>
    <w:rsid w:val="326D3B9B"/>
    <w:rsid w:val="3279207D"/>
    <w:rsid w:val="327F4353"/>
    <w:rsid w:val="32815A6F"/>
    <w:rsid w:val="32997358"/>
    <w:rsid w:val="329E6876"/>
    <w:rsid w:val="32A80A7D"/>
    <w:rsid w:val="32B12408"/>
    <w:rsid w:val="32C75788"/>
    <w:rsid w:val="32D3412D"/>
    <w:rsid w:val="32FC2BC8"/>
    <w:rsid w:val="33032CB6"/>
    <w:rsid w:val="33122395"/>
    <w:rsid w:val="332C4A18"/>
    <w:rsid w:val="333015F2"/>
    <w:rsid w:val="333252F7"/>
    <w:rsid w:val="334B6320"/>
    <w:rsid w:val="337124F0"/>
    <w:rsid w:val="33AD2FC4"/>
    <w:rsid w:val="33AD64C3"/>
    <w:rsid w:val="33B94C82"/>
    <w:rsid w:val="33D934D4"/>
    <w:rsid w:val="33F6261A"/>
    <w:rsid w:val="33FB3D4A"/>
    <w:rsid w:val="33FE2F6A"/>
    <w:rsid w:val="340824FC"/>
    <w:rsid w:val="340E07E5"/>
    <w:rsid w:val="341D61C9"/>
    <w:rsid w:val="34235BF7"/>
    <w:rsid w:val="34297C85"/>
    <w:rsid w:val="34396275"/>
    <w:rsid w:val="34576805"/>
    <w:rsid w:val="34B556B5"/>
    <w:rsid w:val="34C37D1E"/>
    <w:rsid w:val="34CE54F3"/>
    <w:rsid w:val="34D01CEF"/>
    <w:rsid w:val="34D20A5B"/>
    <w:rsid w:val="34F36D08"/>
    <w:rsid w:val="350047B4"/>
    <w:rsid w:val="35043AF2"/>
    <w:rsid w:val="355E0625"/>
    <w:rsid w:val="35763EBD"/>
    <w:rsid w:val="35817C74"/>
    <w:rsid w:val="358C5FA8"/>
    <w:rsid w:val="35AB07CE"/>
    <w:rsid w:val="35AE0533"/>
    <w:rsid w:val="35B77D36"/>
    <w:rsid w:val="35C15DF1"/>
    <w:rsid w:val="35CD57CD"/>
    <w:rsid w:val="35D8162A"/>
    <w:rsid w:val="35E17369"/>
    <w:rsid w:val="35F25212"/>
    <w:rsid w:val="35F920FC"/>
    <w:rsid w:val="36074A7F"/>
    <w:rsid w:val="36214A2E"/>
    <w:rsid w:val="36333195"/>
    <w:rsid w:val="36394BEF"/>
    <w:rsid w:val="364F325A"/>
    <w:rsid w:val="365732C7"/>
    <w:rsid w:val="36582B23"/>
    <w:rsid w:val="365F613D"/>
    <w:rsid w:val="367A7B72"/>
    <w:rsid w:val="3683427B"/>
    <w:rsid w:val="36923549"/>
    <w:rsid w:val="36974BA7"/>
    <w:rsid w:val="36A02F26"/>
    <w:rsid w:val="36B75FBF"/>
    <w:rsid w:val="36BB50CB"/>
    <w:rsid w:val="36BD0C45"/>
    <w:rsid w:val="36D81A68"/>
    <w:rsid w:val="36E022FF"/>
    <w:rsid w:val="36E32978"/>
    <w:rsid w:val="36FF7BE6"/>
    <w:rsid w:val="37001BE1"/>
    <w:rsid w:val="37040CD0"/>
    <w:rsid w:val="37080180"/>
    <w:rsid w:val="372E0CF4"/>
    <w:rsid w:val="372F77E4"/>
    <w:rsid w:val="378305A9"/>
    <w:rsid w:val="378A63DB"/>
    <w:rsid w:val="37902F95"/>
    <w:rsid w:val="37963E29"/>
    <w:rsid w:val="37976071"/>
    <w:rsid w:val="37A71FAA"/>
    <w:rsid w:val="37CB5724"/>
    <w:rsid w:val="37D3697D"/>
    <w:rsid w:val="37E00298"/>
    <w:rsid w:val="38130C12"/>
    <w:rsid w:val="38173AC6"/>
    <w:rsid w:val="383107CC"/>
    <w:rsid w:val="3833314B"/>
    <w:rsid w:val="383638C8"/>
    <w:rsid w:val="3837726B"/>
    <w:rsid w:val="385B0E4C"/>
    <w:rsid w:val="385C4BC4"/>
    <w:rsid w:val="387E3538"/>
    <w:rsid w:val="388A508E"/>
    <w:rsid w:val="38A650A1"/>
    <w:rsid w:val="38A722E3"/>
    <w:rsid w:val="38A8605B"/>
    <w:rsid w:val="38B302F9"/>
    <w:rsid w:val="38DA1581"/>
    <w:rsid w:val="38DE4426"/>
    <w:rsid w:val="38F12CD3"/>
    <w:rsid w:val="38F94775"/>
    <w:rsid w:val="391F00CC"/>
    <w:rsid w:val="392971ED"/>
    <w:rsid w:val="392C27E9"/>
    <w:rsid w:val="39325651"/>
    <w:rsid w:val="393A2BBF"/>
    <w:rsid w:val="393D4B4A"/>
    <w:rsid w:val="394F0285"/>
    <w:rsid w:val="39610C12"/>
    <w:rsid w:val="39695A15"/>
    <w:rsid w:val="396B5912"/>
    <w:rsid w:val="39916AF0"/>
    <w:rsid w:val="39C329C3"/>
    <w:rsid w:val="39CF468B"/>
    <w:rsid w:val="39D42485"/>
    <w:rsid w:val="39DE3610"/>
    <w:rsid w:val="39F34670"/>
    <w:rsid w:val="39F52A1B"/>
    <w:rsid w:val="3A1C383B"/>
    <w:rsid w:val="3A330E70"/>
    <w:rsid w:val="3A3F7873"/>
    <w:rsid w:val="3A415444"/>
    <w:rsid w:val="3A452C42"/>
    <w:rsid w:val="3A825EC0"/>
    <w:rsid w:val="3A872856"/>
    <w:rsid w:val="3A97532C"/>
    <w:rsid w:val="3AAD7959"/>
    <w:rsid w:val="3AB40CE8"/>
    <w:rsid w:val="3AC01DBC"/>
    <w:rsid w:val="3ADB77F2"/>
    <w:rsid w:val="3AE43D43"/>
    <w:rsid w:val="3AE559A4"/>
    <w:rsid w:val="3AFC677B"/>
    <w:rsid w:val="3B0260D3"/>
    <w:rsid w:val="3B1A14A3"/>
    <w:rsid w:val="3B2C4D22"/>
    <w:rsid w:val="3B3763D1"/>
    <w:rsid w:val="3B427E5C"/>
    <w:rsid w:val="3B457B92"/>
    <w:rsid w:val="3B7010B2"/>
    <w:rsid w:val="3B742FF2"/>
    <w:rsid w:val="3B8567E1"/>
    <w:rsid w:val="3BA40D5C"/>
    <w:rsid w:val="3BB07701"/>
    <w:rsid w:val="3BBD0467"/>
    <w:rsid w:val="3BDD601C"/>
    <w:rsid w:val="3C081B09"/>
    <w:rsid w:val="3C0B4DD9"/>
    <w:rsid w:val="3C1C0565"/>
    <w:rsid w:val="3C2F6E1E"/>
    <w:rsid w:val="3C394C36"/>
    <w:rsid w:val="3C3C71E7"/>
    <w:rsid w:val="3C3D6ABB"/>
    <w:rsid w:val="3C406845"/>
    <w:rsid w:val="3C4B11D8"/>
    <w:rsid w:val="3C4D13F4"/>
    <w:rsid w:val="3C4F64BA"/>
    <w:rsid w:val="3C526A0A"/>
    <w:rsid w:val="3C6109FB"/>
    <w:rsid w:val="3C7324DC"/>
    <w:rsid w:val="3C7B4680"/>
    <w:rsid w:val="3CAC4B61"/>
    <w:rsid w:val="3CBC3E83"/>
    <w:rsid w:val="3CDA245A"/>
    <w:rsid w:val="3CF26C23"/>
    <w:rsid w:val="3CFD7124"/>
    <w:rsid w:val="3D02190C"/>
    <w:rsid w:val="3D0E7A18"/>
    <w:rsid w:val="3D1305E8"/>
    <w:rsid w:val="3D1E06B7"/>
    <w:rsid w:val="3D1E1A76"/>
    <w:rsid w:val="3D2C1009"/>
    <w:rsid w:val="3D2F1E5D"/>
    <w:rsid w:val="3D4A4FA9"/>
    <w:rsid w:val="3D51281E"/>
    <w:rsid w:val="3D634693"/>
    <w:rsid w:val="3D7B789B"/>
    <w:rsid w:val="3D7F6BA9"/>
    <w:rsid w:val="3DA61A25"/>
    <w:rsid w:val="3DA83C1E"/>
    <w:rsid w:val="3DB42DAD"/>
    <w:rsid w:val="3DC93344"/>
    <w:rsid w:val="3DCB5E8A"/>
    <w:rsid w:val="3DDF7E2A"/>
    <w:rsid w:val="3DF11955"/>
    <w:rsid w:val="3E0922D3"/>
    <w:rsid w:val="3E22661F"/>
    <w:rsid w:val="3E8A41C2"/>
    <w:rsid w:val="3EA6303D"/>
    <w:rsid w:val="3EB53D7D"/>
    <w:rsid w:val="3EBE0387"/>
    <w:rsid w:val="3ECD5369"/>
    <w:rsid w:val="3ED01E68"/>
    <w:rsid w:val="3EDA0523"/>
    <w:rsid w:val="3EE940A2"/>
    <w:rsid w:val="3EF142B8"/>
    <w:rsid w:val="3EFA7FC6"/>
    <w:rsid w:val="3EFB0C93"/>
    <w:rsid w:val="3EFC4EF7"/>
    <w:rsid w:val="3F0F3D1E"/>
    <w:rsid w:val="3F140532"/>
    <w:rsid w:val="3F1D32FF"/>
    <w:rsid w:val="3F4C3337"/>
    <w:rsid w:val="3FAD4136"/>
    <w:rsid w:val="3FB82EB6"/>
    <w:rsid w:val="3FBB2933"/>
    <w:rsid w:val="3FD8425A"/>
    <w:rsid w:val="3FDC26AA"/>
    <w:rsid w:val="3FF81CEA"/>
    <w:rsid w:val="3FFE1D6B"/>
    <w:rsid w:val="400929E9"/>
    <w:rsid w:val="401526BF"/>
    <w:rsid w:val="40244591"/>
    <w:rsid w:val="405C176B"/>
    <w:rsid w:val="4066403F"/>
    <w:rsid w:val="4071000B"/>
    <w:rsid w:val="407A6407"/>
    <w:rsid w:val="407D392A"/>
    <w:rsid w:val="4089597C"/>
    <w:rsid w:val="409741EB"/>
    <w:rsid w:val="409B0664"/>
    <w:rsid w:val="409D33F8"/>
    <w:rsid w:val="40A435AC"/>
    <w:rsid w:val="40A86BF9"/>
    <w:rsid w:val="40BB6C9A"/>
    <w:rsid w:val="40D3171C"/>
    <w:rsid w:val="40FF6EBE"/>
    <w:rsid w:val="41044264"/>
    <w:rsid w:val="410F0A26"/>
    <w:rsid w:val="4117496F"/>
    <w:rsid w:val="412A13B6"/>
    <w:rsid w:val="41421D5F"/>
    <w:rsid w:val="41452A7E"/>
    <w:rsid w:val="4147403D"/>
    <w:rsid w:val="41487C37"/>
    <w:rsid w:val="41687DA8"/>
    <w:rsid w:val="41834359"/>
    <w:rsid w:val="41A872D6"/>
    <w:rsid w:val="41AB6823"/>
    <w:rsid w:val="41BF26DA"/>
    <w:rsid w:val="41D025F0"/>
    <w:rsid w:val="41E57306"/>
    <w:rsid w:val="41EF57BD"/>
    <w:rsid w:val="4200449D"/>
    <w:rsid w:val="4206515C"/>
    <w:rsid w:val="422229DB"/>
    <w:rsid w:val="422C63EB"/>
    <w:rsid w:val="423A3BCC"/>
    <w:rsid w:val="424219C4"/>
    <w:rsid w:val="424E57D2"/>
    <w:rsid w:val="42572AFB"/>
    <w:rsid w:val="42672AE3"/>
    <w:rsid w:val="426E45CA"/>
    <w:rsid w:val="42703746"/>
    <w:rsid w:val="427712E5"/>
    <w:rsid w:val="42781771"/>
    <w:rsid w:val="42881AA6"/>
    <w:rsid w:val="429038F8"/>
    <w:rsid w:val="429852FF"/>
    <w:rsid w:val="429A7734"/>
    <w:rsid w:val="42A71CF6"/>
    <w:rsid w:val="42B26C49"/>
    <w:rsid w:val="42C2423B"/>
    <w:rsid w:val="42CE4911"/>
    <w:rsid w:val="433557CD"/>
    <w:rsid w:val="43394480"/>
    <w:rsid w:val="433A6FE6"/>
    <w:rsid w:val="43476CB6"/>
    <w:rsid w:val="43480868"/>
    <w:rsid w:val="434E3DD4"/>
    <w:rsid w:val="4350713C"/>
    <w:rsid w:val="4356566F"/>
    <w:rsid w:val="435F0C7D"/>
    <w:rsid w:val="436653E0"/>
    <w:rsid w:val="43716024"/>
    <w:rsid w:val="43730CC1"/>
    <w:rsid w:val="439C7F9A"/>
    <w:rsid w:val="43AF32DF"/>
    <w:rsid w:val="43AF6E6A"/>
    <w:rsid w:val="43C4431A"/>
    <w:rsid w:val="43E24223"/>
    <w:rsid w:val="441647C1"/>
    <w:rsid w:val="44330ECF"/>
    <w:rsid w:val="44370CBF"/>
    <w:rsid w:val="44437BC7"/>
    <w:rsid w:val="4454372B"/>
    <w:rsid w:val="44715D6A"/>
    <w:rsid w:val="448E3D1D"/>
    <w:rsid w:val="449D459A"/>
    <w:rsid w:val="44B951CC"/>
    <w:rsid w:val="44CD14E0"/>
    <w:rsid w:val="44D47A4A"/>
    <w:rsid w:val="44E93A5D"/>
    <w:rsid w:val="44F168F2"/>
    <w:rsid w:val="44F20B0B"/>
    <w:rsid w:val="450E5003"/>
    <w:rsid w:val="4523044E"/>
    <w:rsid w:val="452E5F4C"/>
    <w:rsid w:val="45374A76"/>
    <w:rsid w:val="4543180A"/>
    <w:rsid w:val="455A0335"/>
    <w:rsid w:val="45612018"/>
    <w:rsid w:val="456908BB"/>
    <w:rsid w:val="4570698B"/>
    <w:rsid w:val="457E1CB3"/>
    <w:rsid w:val="45833790"/>
    <w:rsid w:val="458946E9"/>
    <w:rsid w:val="458D0AB3"/>
    <w:rsid w:val="458F5039"/>
    <w:rsid w:val="459B4B29"/>
    <w:rsid w:val="45A47C0E"/>
    <w:rsid w:val="45B24076"/>
    <w:rsid w:val="45BE0C6C"/>
    <w:rsid w:val="45C80314"/>
    <w:rsid w:val="45E06E35"/>
    <w:rsid w:val="45EC43C4"/>
    <w:rsid w:val="46053443"/>
    <w:rsid w:val="46153825"/>
    <w:rsid w:val="46186134"/>
    <w:rsid w:val="46192BC4"/>
    <w:rsid w:val="46207231"/>
    <w:rsid w:val="46385EE9"/>
    <w:rsid w:val="464F5D68"/>
    <w:rsid w:val="46537E03"/>
    <w:rsid w:val="46562663"/>
    <w:rsid w:val="46577FD6"/>
    <w:rsid w:val="465A72B1"/>
    <w:rsid w:val="4669507C"/>
    <w:rsid w:val="46712460"/>
    <w:rsid w:val="46731974"/>
    <w:rsid w:val="469770BD"/>
    <w:rsid w:val="46B42853"/>
    <w:rsid w:val="46D955A7"/>
    <w:rsid w:val="46DA3884"/>
    <w:rsid w:val="46EC04F8"/>
    <w:rsid w:val="46FE4680"/>
    <w:rsid w:val="47094169"/>
    <w:rsid w:val="47133957"/>
    <w:rsid w:val="472162E4"/>
    <w:rsid w:val="474A246F"/>
    <w:rsid w:val="47541888"/>
    <w:rsid w:val="476B4E24"/>
    <w:rsid w:val="477B5F15"/>
    <w:rsid w:val="478D6B48"/>
    <w:rsid w:val="479C322F"/>
    <w:rsid w:val="47A07E0C"/>
    <w:rsid w:val="47C5192B"/>
    <w:rsid w:val="47D93B3C"/>
    <w:rsid w:val="47DC50FD"/>
    <w:rsid w:val="48030BB8"/>
    <w:rsid w:val="4813052E"/>
    <w:rsid w:val="48166B3E"/>
    <w:rsid w:val="482245B9"/>
    <w:rsid w:val="4870272E"/>
    <w:rsid w:val="487148FF"/>
    <w:rsid w:val="488E7654"/>
    <w:rsid w:val="48911A8A"/>
    <w:rsid w:val="48975774"/>
    <w:rsid w:val="489B5B0A"/>
    <w:rsid w:val="48A24875"/>
    <w:rsid w:val="48CC18F2"/>
    <w:rsid w:val="48DC100B"/>
    <w:rsid w:val="48E5096A"/>
    <w:rsid w:val="48E705C4"/>
    <w:rsid w:val="48F00CFF"/>
    <w:rsid w:val="48F549A5"/>
    <w:rsid w:val="49014AED"/>
    <w:rsid w:val="49117305"/>
    <w:rsid w:val="49137521"/>
    <w:rsid w:val="49320E3E"/>
    <w:rsid w:val="498530BE"/>
    <w:rsid w:val="498F38BE"/>
    <w:rsid w:val="49B54BA8"/>
    <w:rsid w:val="49B67CA8"/>
    <w:rsid w:val="49D767A1"/>
    <w:rsid w:val="49DC7715"/>
    <w:rsid w:val="49E05097"/>
    <w:rsid w:val="49EF5898"/>
    <w:rsid w:val="4A023139"/>
    <w:rsid w:val="4A5716F8"/>
    <w:rsid w:val="4A5A3051"/>
    <w:rsid w:val="4A743FEF"/>
    <w:rsid w:val="4A7B576F"/>
    <w:rsid w:val="4A8F4DF6"/>
    <w:rsid w:val="4A981C28"/>
    <w:rsid w:val="4A983CDB"/>
    <w:rsid w:val="4AE170C4"/>
    <w:rsid w:val="4AE45B2B"/>
    <w:rsid w:val="4AF55B4A"/>
    <w:rsid w:val="4AF561A9"/>
    <w:rsid w:val="4AFA031C"/>
    <w:rsid w:val="4AFC2B80"/>
    <w:rsid w:val="4B056603"/>
    <w:rsid w:val="4B0E78FD"/>
    <w:rsid w:val="4B1B446B"/>
    <w:rsid w:val="4B53129C"/>
    <w:rsid w:val="4B7A0E8F"/>
    <w:rsid w:val="4B894B82"/>
    <w:rsid w:val="4BB453FF"/>
    <w:rsid w:val="4BB862E6"/>
    <w:rsid w:val="4BCA036B"/>
    <w:rsid w:val="4BD415B0"/>
    <w:rsid w:val="4BDC5725"/>
    <w:rsid w:val="4BEC745B"/>
    <w:rsid w:val="4BEF39E7"/>
    <w:rsid w:val="4BF962AD"/>
    <w:rsid w:val="4C0F51A9"/>
    <w:rsid w:val="4C1E7726"/>
    <w:rsid w:val="4C3A4765"/>
    <w:rsid w:val="4C4A0649"/>
    <w:rsid w:val="4C6D61F7"/>
    <w:rsid w:val="4C7A26F4"/>
    <w:rsid w:val="4C7D53DD"/>
    <w:rsid w:val="4C7E5ECA"/>
    <w:rsid w:val="4C7F0446"/>
    <w:rsid w:val="4C856040"/>
    <w:rsid w:val="4C876AA5"/>
    <w:rsid w:val="4C8E3E9B"/>
    <w:rsid w:val="4CB71CDB"/>
    <w:rsid w:val="4CBC51DD"/>
    <w:rsid w:val="4CF57C64"/>
    <w:rsid w:val="4CF6725C"/>
    <w:rsid w:val="4D035956"/>
    <w:rsid w:val="4D08244C"/>
    <w:rsid w:val="4D0E00FB"/>
    <w:rsid w:val="4D176606"/>
    <w:rsid w:val="4D2546D0"/>
    <w:rsid w:val="4D29163E"/>
    <w:rsid w:val="4D3D5F9A"/>
    <w:rsid w:val="4D6445F1"/>
    <w:rsid w:val="4D7367E0"/>
    <w:rsid w:val="4D886B44"/>
    <w:rsid w:val="4D9508EF"/>
    <w:rsid w:val="4D9F3131"/>
    <w:rsid w:val="4DAA338D"/>
    <w:rsid w:val="4DD059E1"/>
    <w:rsid w:val="4DEC4FB0"/>
    <w:rsid w:val="4E075D8A"/>
    <w:rsid w:val="4E09200C"/>
    <w:rsid w:val="4E0F6EDA"/>
    <w:rsid w:val="4E125518"/>
    <w:rsid w:val="4E157897"/>
    <w:rsid w:val="4E1E04FA"/>
    <w:rsid w:val="4E3E4D42"/>
    <w:rsid w:val="4E473EF5"/>
    <w:rsid w:val="4E4D2213"/>
    <w:rsid w:val="4E4F2A50"/>
    <w:rsid w:val="4E83397C"/>
    <w:rsid w:val="4E83548F"/>
    <w:rsid w:val="4E8A40BE"/>
    <w:rsid w:val="4E902622"/>
    <w:rsid w:val="4EC00FAD"/>
    <w:rsid w:val="4EF52F4C"/>
    <w:rsid w:val="4F007B20"/>
    <w:rsid w:val="4F1F4AFF"/>
    <w:rsid w:val="4F6939F7"/>
    <w:rsid w:val="4F876A67"/>
    <w:rsid w:val="4F927E37"/>
    <w:rsid w:val="4F9843DC"/>
    <w:rsid w:val="4FAD422B"/>
    <w:rsid w:val="4FB96E6B"/>
    <w:rsid w:val="4FC62A8C"/>
    <w:rsid w:val="4FE20F0D"/>
    <w:rsid w:val="4FE51552"/>
    <w:rsid w:val="4FED4628"/>
    <w:rsid w:val="4FFE5101"/>
    <w:rsid w:val="501674B0"/>
    <w:rsid w:val="50245B70"/>
    <w:rsid w:val="503E5ED5"/>
    <w:rsid w:val="5040654F"/>
    <w:rsid w:val="50504C4B"/>
    <w:rsid w:val="50662B74"/>
    <w:rsid w:val="5083312A"/>
    <w:rsid w:val="50901457"/>
    <w:rsid w:val="509166B3"/>
    <w:rsid w:val="5099030C"/>
    <w:rsid w:val="509B22D6"/>
    <w:rsid w:val="509C6E7C"/>
    <w:rsid w:val="50B514C6"/>
    <w:rsid w:val="50CE392A"/>
    <w:rsid w:val="50FD540C"/>
    <w:rsid w:val="51002FBB"/>
    <w:rsid w:val="51054824"/>
    <w:rsid w:val="51157B6D"/>
    <w:rsid w:val="512C2345"/>
    <w:rsid w:val="513A7409"/>
    <w:rsid w:val="5140693D"/>
    <w:rsid w:val="515E44AE"/>
    <w:rsid w:val="5162104E"/>
    <w:rsid w:val="5165658D"/>
    <w:rsid w:val="518279A9"/>
    <w:rsid w:val="51873098"/>
    <w:rsid w:val="51972CF4"/>
    <w:rsid w:val="51CF07E9"/>
    <w:rsid w:val="51DC193F"/>
    <w:rsid w:val="51F003FF"/>
    <w:rsid w:val="52052D1F"/>
    <w:rsid w:val="52311D3F"/>
    <w:rsid w:val="52320A18"/>
    <w:rsid w:val="523C53F3"/>
    <w:rsid w:val="5249422C"/>
    <w:rsid w:val="524E4C50"/>
    <w:rsid w:val="5253273C"/>
    <w:rsid w:val="525F49CC"/>
    <w:rsid w:val="52694EC1"/>
    <w:rsid w:val="52907045"/>
    <w:rsid w:val="52A0301F"/>
    <w:rsid w:val="52AA2CA4"/>
    <w:rsid w:val="52B96E6E"/>
    <w:rsid w:val="52D675F5"/>
    <w:rsid w:val="52E340AB"/>
    <w:rsid w:val="52F67C97"/>
    <w:rsid w:val="52FB3500"/>
    <w:rsid w:val="52FD1026"/>
    <w:rsid w:val="52FE6B4C"/>
    <w:rsid w:val="532E0F86"/>
    <w:rsid w:val="532F30EC"/>
    <w:rsid w:val="5334256E"/>
    <w:rsid w:val="53A039CC"/>
    <w:rsid w:val="53A1505A"/>
    <w:rsid w:val="53A95FD1"/>
    <w:rsid w:val="53DA5AFE"/>
    <w:rsid w:val="54022FCE"/>
    <w:rsid w:val="54063E08"/>
    <w:rsid w:val="54181E8F"/>
    <w:rsid w:val="541C372E"/>
    <w:rsid w:val="54280325"/>
    <w:rsid w:val="54326EA4"/>
    <w:rsid w:val="54342435"/>
    <w:rsid w:val="543437E8"/>
    <w:rsid w:val="543C654A"/>
    <w:rsid w:val="54890159"/>
    <w:rsid w:val="54A674F1"/>
    <w:rsid w:val="54B707B4"/>
    <w:rsid w:val="54D933CD"/>
    <w:rsid w:val="54DE2F24"/>
    <w:rsid w:val="54E2107C"/>
    <w:rsid w:val="54F621D1"/>
    <w:rsid w:val="54F70F79"/>
    <w:rsid w:val="54F73313"/>
    <w:rsid w:val="54F80955"/>
    <w:rsid w:val="54FF2AFB"/>
    <w:rsid w:val="550A7804"/>
    <w:rsid w:val="552E7C91"/>
    <w:rsid w:val="55361F11"/>
    <w:rsid w:val="55483836"/>
    <w:rsid w:val="554F7B33"/>
    <w:rsid w:val="555170A7"/>
    <w:rsid w:val="55574CCF"/>
    <w:rsid w:val="556E7FB9"/>
    <w:rsid w:val="558660AA"/>
    <w:rsid w:val="5587536D"/>
    <w:rsid w:val="558F7DC5"/>
    <w:rsid w:val="559B174B"/>
    <w:rsid w:val="55A7171D"/>
    <w:rsid w:val="55BE254A"/>
    <w:rsid w:val="55CE0CF4"/>
    <w:rsid w:val="55E40DAC"/>
    <w:rsid w:val="55E738C7"/>
    <w:rsid w:val="55F03B15"/>
    <w:rsid w:val="56060BDC"/>
    <w:rsid w:val="56150435"/>
    <w:rsid w:val="56393B78"/>
    <w:rsid w:val="563E2BBB"/>
    <w:rsid w:val="56633896"/>
    <w:rsid w:val="56717635"/>
    <w:rsid w:val="567322BA"/>
    <w:rsid w:val="56755377"/>
    <w:rsid w:val="56884FC8"/>
    <w:rsid w:val="569D6149"/>
    <w:rsid w:val="56AD10C8"/>
    <w:rsid w:val="56B22A9C"/>
    <w:rsid w:val="56D67B97"/>
    <w:rsid w:val="572C3F3F"/>
    <w:rsid w:val="574F7505"/>
    <w:rsid w:val="57563CB6"/>
    <w:rsid w:val="575E6FFD"/>
    <w:rsid w:val="576E3DB8"/>
    <w:rsid w:val="57863EE4"/>
    <w:rsid w:val="57982E9C"/>
    <w:rsid w:val="57B72A76"/>
    <w:rsid w:val="57B7532A"/>
    <w:rsid w:val="57C3426C"/>
    <w:rsid w:val="57CE1F93"/>
    <w:rsid w:val="57D0621E"/>
    <w:rsid w:val="57D95BB1"/>
    <w:rsid w:val="57DD4959"/>
    <w:rsid w:val="57E14298"/>
    <w:rsid w:val="57FF139C"/>
    <w:rsid w:val="580A773B"/>
    <w:rsid w:val="580C3AB9"/>
    <w:rsid w:val="58160494"/>
    <w:rsid w:val="581B5AAA"/>
    <w:rsid w:val="58584F50"/>
    <w:rsid w:val="586F5D6C"/>
    <w:rsid w:val="588743D1"/>
    <w:rsid w:val="5887701A"/>
    <w:rsid w:val="589D2963"/>
    <w:rsid w:val="58A8054E"/>
    <w:rsid w:val="58AF094F"/>
    <w:rsid w:val="58C114B4"/>
    <w:rsid w:val="58F96265"/>
    <w:rsid w:val="58FB75DE"/>
    <w:rsid w:val="58FF28DE"/>
    <w:rsid w:val="590B22B6"/>
    <w:rsid w:val="590F7FA3"/>
    <w:rsid w:val="59203EBC"/>
    <w:rsid w:val="592B4067"/>
    <w:rsid w:val="595B0854"/>
    <w:rsid w:val="59676679"/>
    <w:rsid w:val="59817DB2"/>
    <w:rsid w:val="59883613"/>
    <w:rsid w:val="598D6A8B"/>
    <w:rsid w:val="598E6955"/>
    <w:rsid w:val="599B6EA3"/>
    <w:rsid w:val="59B2573B"/>
    <w:rsid w:val="59B84AA4"/>
    <w:rsid w:val="59BB5797"/>
    <w:rsid w:val="59BD150F"/>
    <w:rsid w:val="59C0439F"/>
    <w:rsid w:val="59C55518"/>
    <w:rsid w:val="59D14FBA"/>
    <w:rsid w:val="59D36007"/>
    <w:rsid w:val="5A0A5FE9"/>
    <w:rsid w:val="5A1A3FE3"/>
    <w:rsid w:val="5A2151EA"/>
    <w:rsid w:val="5A467CA8"/>
    <w:rsid w:val="5A542060"/>
    <w:rsid w:val="5A5B363C"/>
    <w:rsid w:val="5A766A68"/>
    <w:rsid w:val="5A767910"/>
    <w:rsid w:val="5A781B28"/>
    <w:rsid w:val="5A816250"/>
    <w:rsid w:val="5A8E79AB"/>
    <w:rsid w:val="5A9E57BB"/>
    <w:rsid w:val="5AA846AB"/>
    <w:rsid w:val="5AB34587"/>
    <w:rsid w:val="5AB86ED3"/>
    <w:rsid w:val="5ABE2233"/>
    <w:rsid w:val="5AC1330B"/>
    <w:rsid w:val="5AD3413E"/>
    <w:rsid w:val="5AE139C7"/>
    <w:rsid w:val="5AF00494"/>
    <w:rsid w:val="5AF0321E"/>
    <w:rsid w:val="5AFD593B"/>
    <w:rsid w:val="5B083913"/>
    <w:rsid w:val="5B18348D"/>
    <w:rsid w:val="5B1C1AF7"/>
    <w:rsid w:val="5B512782"/>
    <w:rsid w:val="5B7C6694"/>
    <w:rsid w:val="5B9D14DA"/>
    <w:rsid w:val="5BA32FE4"/>
    <w:rsid w:val="5BAF4E87"/>
    <w:rsid w:val="5BB478E2"/>
    <w:rsid w:val="5BBD57F6"/>
    <w:rsid w:val="5BBF6F1B"/>
    <w:rsid w:val="5BC0241E"/>
    <w:rsid w:val="5BC07095"/>
    <w:rsid w:val="5BC1147D"/>
    <w:rsid w:val="5BC158FB"/>
    <w:rsid w:val="5BCC74AF"/>
    <w:rsid w:val="5BCF536E"/>
    <w:rsid w:val="5BDF5D95"/>
    <w:rsid w:val="5BFE7528"/>
    <w:rsid w:val="5C007CAF"/>
    <w:rsid w:val="5C0827EA"/>
    <w:rsid w:val="5C1B2D56"/>
    <w:rsid w:val="5C2F7D76"/>
    <w:rsid w:val="5C6E6AF1"/>
    <w:rsid w:val="5C7A49B3"/>
    <w:rsid w:val="5C7B120D"/>
    <w:rsid w:val="5C7D52E9"/>
    <w:rsid w:val="5CAC586B"/>
    <w:rsid w:val="5CB306AB"/>
    <w:rsid w:val="5CBB2094"/>
    <w:rsid w:val="5CBC5AAE"/>
    <w:rsid w:val="5CD61820"/>
    <w:rsid w:val="5CD943F7"/>
    <w:rsid w:val="5CDE7648"/>
    <w:rsid w:val="5D2101B1"/>
    <w:rsid w:val="5D270949"/>
    <w:rsid w:val="5D347D3A"/>
    <w:rsid w:val="5D3715D8"/>
    <w:rsid w:val="5D485594"/>
    <w:rsid w:val="5D4930BA"/>
    <w:rsid w:val="5D5418FE"/>
    <w:rsid w:val="5D604B0B"/>
    <w:rsid w:val="5D606C47"/>
    <w:rsid w:val="5D7B180B"/>
    <w:rsid w:val="5D8875C1"/>
    <w:rsid w:val="5D9B1B67"/>
    <w:rsid w:val="5DA16CAF"/>
    <w:rsid w:val="5DA402F0"/>
    <w:rsid w:val="5DB54270"/>
    <w:rsid w:val="5DD22096"/>
    <w:rsid w:val="5DD5494D"/>
    <w:rsid w:val="5E004BFD"/>
    <w:rsid w:val="5E0C1350"/>
    <w:rsid w:val="5E1915F9"/>
    <w:rsid w:val="5E195734"/>
    <w:rsid w:val="5E1F4A20"/>
    <w:rsid w:val="5E2467F1"/>
    <w:rsid w:val="5E3D49CC"/>
    <w:rsid w:val="5E435999"/>
    <w:rsid w:val="5E4D3610"/>
    <w:rsid w:val="5E654344"/>
    <w:rsid w:val="5E856BD1"/>
    <w:rsid w:val="5E8E347A"/>
    <w:rsid w:val="5EBB7FE7"/>
    <w:rsid w:val="5EC70711"/>
    <w:rsid w:val="5EE57575"/>
    <w:rsid w:val="5EFD5F0A"/>
    <w:rsid w:val="5F0B0627"/>
    <w:rsid w:val="5F1527E7"/>
    <w:rsid w:val="5F153A04"/>
    <w:rsid w:val="5F1A2B43"/>
    <w:rsid w:val="5F322E09"/>
    <w:rsid w:val="5F323EEB"/>
    <w:rsid w:val="5F367F01"/>
    <w:rsid w:val="5F3C6B9F"/>
    <w:rsid w:val="5F6B7317"/>
    <w:rsid w:val="5F750471"/>
    <w:rsid w:val="5F907B68"/>
    <w:rsid w:val="5FB76A00"/>
    <w:rsid w:val="5FB837BB"/>
    <w:rsid w:val="5FC16118"/>
    <w:rsid w:val="5FCF5AF8"/>
    <w:rsid w:val="5FD90725"/>
    <w:rsid w:val="5FE13A7D"/>
    <w:rsid w:val="6009355C"/>
    <w:rsid w:val="600E7F5D"/>
    <w:rsid w:val="60376447"/>
    <w:rsid w:val="607466A0"/>
    <w:rsid w:val="60827C38"/>
    <w:rsid w:val="6099704E"/>
    <w:rsid w:val="609A4358"/>
    <w:rsid w:val="60A96349"/>
    <w:rsid w:val="60BC500A"/>
    <w:rsid w:val="60C70EC5"/>
    <w:rsid w:val="60CC028A"/>
    <w:rsid w:val="60CC405A"/>
    <w:rsid w:val="60DB6099"/>
    <w:rsid w:val="60FB691F"/>
    <w:rsid w:val="61025A59"/>
    <w:rsid w:val="61343CE2"/>
    <w:rsid w:val="615158B3"/>
    <w:rsid w:val="616E2D5E"/>
    <w:rsid w:val="61715597"/>
    <w:rsid w:val="61850577"/>
    <w:rsid w:val="6197270E"/>
    <w:rsid w:val="619A0388"/>
    <w:rsid w:val="61A11716"/>
    <w:rsid w:val="61D04CEA"/>
    <w:rsid w:val="61E215D8"/>
    <w:rsid w:val="61F8684D"/>
    <w:rsid w:val="621B3775"/>
    <w:rsid w:val="622720EB"/>
    <w:rsid w:val="62364782"/>
    <w:rsid w:val="624A317C"/>
    <w:rsid w:val="625A2EEB"/>
    <w:rsid w:val="625A3B56"/>
    <w:rsid w:val="6263077A"/>
    <w:rsid w:val="62645BED"/>
    <w:rsid w:val="628202AE"/>
    <w:rsid w:val="62897021"/>
    <w:rsid w:val="628F5A13"/>
    <w:rsid w:val="629D0130"/>
    <w:rsid w:val="62A25746"/>
    <w:rsid w:val="62CB609F"/>
    <w:rsid w:val="62CB6B38"/>
    <w:rsid w:val="62DA4EE0"/>
    <w:rsid w:val="62F87FB3"/>
    <w:rsid w:val="62FB72E3"/>
    <w:rsid w:val="631657EC"/>
    <w:rsid w:val="63247F09"/>
    <w:rsid w:val="632F0827"/>
    <w:rsid w:val="634A0DD6"/>
    <w:rsid w:val="634B1DCB"/>
    <w:rsid w:val="635D233B"/>
    <w:rsid w:val="6373518F"/>
    <w:rsid w:val="63835FBF"/>
    <w:rsid w:val="6394356A"/>
    <w:rsid w:val="63950E07"/>
    <w:rsid w:val="63AF5C83"/>
    <w:rsid w:val="63C065F8"/>
    <w:rsid w:val="63C61B2C"/>
    <w:rsid w:val="63D40BE9"/>
    <w:rsid w:val="63D53B77"/>
    <w:rsid w:val="63D94EDB"/>
    <w:rsid w:val="63E63605"/>
    <w:rsid w:val="63E80775"/>
    <w:rsid w:val="63FA72E8"/>
    <w:rsid w:val="64102431"/>
    <w:rsid w:val="64223BEF"/>
    <w:rsid w:val="64301754"/>
    <w:rsid w:val="6445221C"/>
    <w:rsid w:val="6472739A"/>
    <w:rsid w:val="64831199"/>
    <w:rsid w:val="64A12DA7"/>
    <w:rsid w:val="64A347E8"/>
    <w:rsid w:val="64A5243A"/>
    <w:rsid w:val="64D8391C"/>
    <w:rsid w:val="64E57735"/>
    <w:rsid w:val="64F531DE"/>
    <w:rsid w:val="650376BA"/>
    <w:rsid w:val="6516562F"/>
    <w:rsid w:val="651A5A67"/>
    <w:rsid w:val="65247215"/>
    <w:rsid w:val="65256B3E"/>
    <w:rsid w:val="65373578"/>
    <w:rsid w:val="654A67B3"/>
    <w:rsid w:val="655068C5"/>
    <w:rsid w:val="656F460A"/>
    <w:rsid w:val="657F3B1C"/>
    <w:rsid w:val="65AE58D2"/>
    <w:rsid w:val="65B42E1D"/>
    <w:rsid w:val="65BD1F06"/>
    <w:rsid w:val="65D5198E"/>
    <w:rsid w:val="65E9368C"/>
    <w:rsid w:val="65FA31A3"/>
    <w:rsid w:val="66020B4E"/>
    <w:rsid w:val="660C498C"/>
    <w:rsid w:val="660D2ED6"/>
    <w:rsid w:val="662E109F"/>
    <w:rsid w:val="662E277A"/>
    <w:rsid w:val="664D3C1B"/>
    <w:rsid w:val="667C1434"/>
    <w:rsid w:val="668B2FD9"/>
    <w:rsid w:val="66AD0763"/>
    <w:rsid w:val="66B141AA"/>
    <w:rsid w:val="66D449CF"/>
    <w:rsid w:val="66E71A47"/>
    <w:rsid w:val="671F124A"/>
    <w:rsid w:val="67446533"/>
    <w:rsid w:val="675016AD"/>
    <w:rsid w:val="676254A4"/>
    <w:rsid w:val="67727B30"/>
    <w:rsid w:val="677A33C6"/>
    <w:rsid w:val="67D363A2"/>
    <w:rsid w:val="67D95381"/>
    <w:rsid w:val="67E57B10"/>
    <w:rsid w:val="67EB5240"/>
    <w:rsid w:val="67EF2937"/>
    <w:rsid w:val="67F45FB1"/>
    <w:rsid w:val="67F85E08"/>
    <w:rsid w:val="68025295"/>
    <w:rsid w:val="68026250"/>
    <w:rsid w:val="681F6961"/>
    <w:rsid w:val="683A6742"/>
    <w:rsid w:val="68594AF9"/>
    <w:rsid w:val="68610A2F"/>
    <w:rsid w:val="686F6420"/>
    <w:rsid w:val="68701E42"/>
    <w:rsid w:val="68805514"/>
    <w:rsid w:val="689C6793"/>
    <w:rsid w:val="68C83A2C"/>
    <w:rsid w:val="68DB2B28"/>
    <w:rsid w:val="68EE1667"/>
    <w:rsid w:val="68F14DB5"/>
    <w:rsid w:val="69070247"/>
    <w:rsid w:val="69140A20"/>
    <w:rsid w:val="691517E4"/>
    <w:rsid w:val="691F1760"/>
    <w:rsid w:val="691F3B13"/>
    <w:rsid w:val="692D19E3"/>
    <w:rsid w:val="69316E2F"/>
    <w:rsid w:val="6933534A"/>
    <w:rsid w:val="69414646"/>
    <w:rsid w:val="694E2071"/>
    <w:rsid w:val="696574CD"/>
    <w:rsid w:val="69766163"/>
    <w:rsid w:val="697802E0"/>
    <w:rsid w:val="697A3B33"/>
    <w:rsid w:val="699E714C"/>
    <w:rsid w:val="699F0B6B"/>
    <w:rsid w:val="69A43F48"/>
    <w:rsid w:val="69C73CE4"/>
    <w:rsid w:val="69D44760"/>
    <w:rsid w:val="69E50B3A"/>
    <w:rsid w:val="69EB029B"/>
    <w:rsid w:val="6A0445F0"/>
    <w:rsid w:val="6A520EC7"/>
    <w:rsid w:val="6A5710F3"/>
    <w:rsid w:val="6A68712F"/>
    <w:rsid w:val="6A8D05A0"/>
    <w:rsid w:val="6AB00852"/>
    <w:rsid w:val="6ABE4573"/>
    <w:rsid w:val="6AC85B5D"/>
    <w:rsid w:val="6AE8261D"/>
    <w:rsid w:val="6AF57C8C"/>
    <w:rsid w:val="6AF87E20"/>
    <w:rsid w:val="6AFC176B"/>
    <w:rsid w:val="6B0B1692"/>
    <w:rsid w:val="6B105BD0"/>
    <w:rsid w:val="6B166CD1"/>
    <w:rsid w:val="6B170F37"/>
    <w:rsid w:val="6B2A63D6"/>
    <w:rsid w:val="6B322639"/>
    <w:rsid w:val="6B4C4AE6"/>
    <w:rsid w:val="6B535628"/>
    <w:rsid w:val="6B535D1B"/>
    <w:rsid w:val="6B6D6D93"/>
    <w:rsid w:val="6B797C97"/>
    <w:rsid w:val="6B9D4CFC"/>
    <w:rsid w:val="6B9F6CC6"/>
    <w:rsid w:val="6BA51E03"/>
    <w:rsid w:val="6BAF228A"/>
    <w:rsid w:val="6BC50FDA"/>
    <w:rsid w:val="6BCF02CD"/>
    <w:rsid w:val="6BDF5315"/>
    <w:rsid w:val="6C25069C"/>
    <w:rsid w:val="6C381594"/>
    <w:rsid w:val="6C636C38"/>
    <w:rsid w:val="6C9C2E87"/>
    <w:rsid w:val="6CA248BD"/>
    <w:rsid w:val="6CBA1C8C"/>
    <w:rsid w:val="6CBA6410"/>
    <w:rsid w:val="6CC268D7"/>
    <w:rsid w:val="6CD23F50"/>
    <w:rsid w:val="6D176D30"/>
    <w:rsid w:val="6D293E7A"/>
    <w:rsid w:val="6D2F7BD6"/>
    <w:rsid w:val="6D374CDD"/>
    <w:rsid w:val="6D4C4C2C"/>
    <w:rsid w:val="6DA2542F"/>
    <w:rsid w:val="6DB34098"/>
    <w:rsid w:val="6DB545B6"/>
    <w:rsid w:val="6DC52143"/>
    <w:rsid w:val="6DD212A7"/>
    <w:rsid w:val="6DE02FB4"/>
    <w:rsid w:val="6DF24B25"/>
    <w:rsid w:val="6DF260F8"/>
    <w:rsid w:val="6DFA6436"/>
    <w:rsid w:val="6E1B015A"/>
    <w:rsid w:val="6E2E57DF"/>
    <w:rsid w:val="6E3D4902"/>
    <w:rsid w:val="6E455F22"/>
    <w:rsid w:val="6E4B4084"/>
    <w:rsid w:val="6E514CED"/>
    <w:rsid w:val="6E6828A9"/>
    <w:rsid w:val="6E9E061F"/>
    <w:rsid w:val="6EB563D5"/>
    <w:rsid w:val="6EBA4CB3"/>
    <w:rsid w:val="6EC73688"/>
    <w:rsid w:val="6EC9320D"/>
    <w:rsid w:val="6ED5083E"/>
    <w:rsid w:val="6ED924EF"/>
    <w:rsid w:val="6ED92677"/>
    <w:rsid w:val="6EEB2223"/>
    <w:rsid w:val="6F1156CC"/>
    <w:rsid w:val="6F214FC3"/>
    <w:rsid w:val="6F225983"/>
    <w:rsid w:val="6F2B261F"/>
    <w:rsid w:val="6F2C5207"/>
    <w:rsid w:val="6F2E288E"/>
    <w:rsid w:val="6F3B2D3A"/>
    <w:rsid w:val="6F3C63C0"/>
    <w:rsid w:val="6F5F3EE0"/>
    <w:rsid w:val="6F676472"/>
    <w:rsid w:val="6F6B4AB9"/>
    <w:rsid w:val="6F74473E"/>
    <w:rsid w:val="6F886237"/>
    <w:rsid w:val="6F9E1043"/>
    <w:rsid w:val="6FA521ED"/>
    <w:rsid w:val="6FC0545D"/>
    <w:rsid w:val="6FD03FAE"/>
    <w:rsid w:val="6FFC5590"/>
    <w:rsid w:val="700B4014"/>
    <w:rsid w:val="701C726D"/>
    <w:rsid w:val="702D7E69"/>
    <w:rsid w:val="703462F3"/>
    <w:rsid w:val="703A0AFE"/>
    <w:rsid w:val="706D1DD0"/>
    <w:rsid w:val="707D2EED"/>
    <w:rsid w:val="70856B87"/>
    <w:rsid w:val="70860455"/>
    <w:rsid w:val="708E2E66"/>
    <w:rsid w:val="70AD5763"/>
    <w:rsid w:val="70BB7EBB"/>
    <w:rsid w:val="70CD02BD"/>
    <w:rsid w:val="70CD659C"/>
    <w:rsid w:val="70D527EE"/>
    <w:rsid w:val="70DC68F1"/>
    <w:rsid w:val="70E129EA"/>
    <w:rsid w:val="71080E6A"/>
    <w:rsid w:val="710D6480"/>
    <w:rsid w:val="71162540"/>
    <w:rsid w:val="715B5300"/>
    <w:rsid w:val="715B7BFD"/>
    <w:rsid w:val="716562BC"/>
    <w:rsid w:val="71797903"/>
    <w:rsid w:val="717E2EDA"/>
    <w:rsid w:val="71916308"/>
    <w:rsid w:val="71956476"/>
    <w:rsid w:val="719D0AE2"/>
    <w:rsid w:val="71C40F54"/>
    <w:rsid w:val="71C86406"/>
    <w:rsid w:val="71D27F8A"/>
    <w:rsid w:val="71D65C41"/>
    <w:rsid w:val="71E511AB"/>
    <w:rsid w:val="71E83933"/>
    <w:rsid w:val="71F3502F"/>
    <w:rsid w:val="72093243"/>
    <w:rsid w:val="720D3028"/>
    <w:rsid w:val="720F447A"/>
    <w:rsid w:val="724716A0"/>
    <w:rsid w:val="72553024"/>
    <w:rsid w:val="72581B15"/>
    <w:rsid w:val="725B146D"/>
    <w:rsid w:val="72605A1C"/>
    <w:rsid w:val="726245AA"/>
    <w:rsid w:val="727E6F0A"/>
    <w:rsid w:val="728A3B01"/>
    <w:rsid w:val="729A3797"/>
    <w:rsid w:val="729D55E2"/>
    <w:rsid w:val="729E0A00"/>
    <w:rsid w:val="72A81BF6"/>
    <w:rsid w:val="72AC5DEC"/>
    <w:rsid w:val="72B55021"/>
    <w:rsid w:val="72BE1FC1"/>
    <w:rsid w:val="72E96A79"/>
    <w:rsid w:val="73122968"/>
    <w:rsid w:val="731B42E8"/>
    <w:rsid w:val="731F5D5E"/>
    <w:rsid w:val="73260050"/>
    <w:rsid w:val="73364680"/>
    <w:rsid w:val="7366593F"/>
    <w:rsid w:val="737E5715"/>
    <w:rsid w:val="738A6720"/>
    <w:rsid w:val="73A40BF2"/>
    <w:rsid w:val="73B372FF"/>
    <w:rsid w:val="73BA34B3"/>
    <w:rsid w:val="73BD51B3"/>
    <w:rsid w:val="73C51AD5"/>
    <w:rsid w:val="73D62EFE"/>
    <w:rsid w:val="73E16E49"/>
    <w:rsid w:val="73EB45F0"/>
    <w:rsid w:val="740B4F9D"/>
    <w:rsid w:val="740F6E0E"/>
    <w:rsid w:val="741E793C"/>
    <w:rsid w:val="744065B0"/>
    <w:rsid w:val="74514836"/>
    <w:rsid w:val="745E3944"/>
    <w:rsid w:val="746731C5"/>
    <w:rsid w:val="746A386C"/>
    <w:rsid w:val="748163B3"/>
    <w:rsid w:val="74842BFC"/>
    <w:rsid w:val="748A428C"/>
    <w:rsid w:val="748E414E"/>
    <w:rsid w:val="74985A20"/>
    <w:rsid w:val="7499627D"/>
    <w:rsid w:val="74B675E5"/>
    <w:rsid w:val="74E05E61"/>
    <w:rsid w:val="75046BAE"/>
    <w:rsid w:val="752E0831"/>
    <w:rsid w:val="753B54F0"/>
    <w:rsid w:val="756040C4"/>
    <w:rsid w:val="756C0561"/>
    <w:rsid w:val="757D25B4"/>
    <w:rsid w:val="75800C68"/>
    <w:rsid w:val="75A923CE"/>
    <w:rsid w:val="75B42D5B"/>
    <w:rsid w:val="75BC41FA"/>
    <w:rsid w:val="75D05CCE"/>
    <w:rsid w:val="75EF20B7"/>
    <w:rsid w:val="75EF7FE9"/>
    <w:rsid w:val="76114604"/>
    <w:rsid w:val="7635099D"/>
    <w:rsid w:val="763628A7"/>
    <w:rsid w:val="763B04FD"/>
    <w:rsid w:val="763C0D8D"/>
    <w:rsid w:val="763E2648"/>
    <w:rsid w:val="76583251"/>
    <w:rsid w:val="765A3416"/>
    <w:rsid w:val="76716610"/>
    <w:rsid w:val="76A16046"/>
    <w:rsid w:val="76B25651"/>
    <w:rsid w:val="76BF3E0E"/>
    <w:rsid w:val="76D76D80"/>
    <w:rsid w:val="76F459ED"/>
    <w:rsid w:val="770D1C71"/>
    <w:rsid w:val="77181CE9"/>
    <w:rsid w:val="771F416D"/>
    <w:rsid w:val="7723445D"/>
    <w:rsid w:val="77477567"/>
    <w:rsid w:val="774F4C86"/>
    <w:rsid w:val="77762421"/>
    <w:rsid w:val="77830DDA"/>
    <w:rsid w:val="778D7494"/>
    <w:rsid w:val="77955421"/>
    <w:rsid w:val="77980A6E"/>
    <w:rsid w:val="77A10A1D"/>
    <w:rsid w:val="77B56B1F"/>
    <w:rsid w:val="77C17FC5"/>
    <w:rsid w:val="77C71A27"/>
    <w:rsid w:val="77C71BAD"/>
    <w:rsid w:val="77D01900"/>
    <w:rsid w:val="77D5581E"/>
    <w:rsid w:val="77D978CD"/>
    <w:rsid w:val="77E029D6"/>
    <w:rsid w:val="780F09F4"/>
    <w:rsid w:val="78146346"/>
    <w:rsid w:val="78147BBF"/>
    <w:rsid w:val="7824158D"/>
    <w:rsid w:val="78283BA0"/>
    <w:rsid w:val="782C48FF"/>
    <w:rsid w:val="78615304"/>
    <w:rsid w:val="78986F77"/>
    <w:rsid w:val="78A90480"/>
    <w:rsid w:val="78AE7C3D"/>
    <w:rsid w:val="78CD7E33"/>
    <w:rsid w:val="78E26444"/>
    <w:rsid w:val="790463BB"/>
    <w:rsid w:val="79125C43"/>
    <w:rsid w:val="79202912"/>
    <w:rsid w:val="79233D2D"/>
    <w:rsid w:val="792478CA"/>
    <w:rsid w:val="79272AC6"/>
    <w:rsid w:val="792F71B0"/>
    <w:rsid w:val="7975442E"/>
    <w:rsid w:val="798D58F3"/>
    <w:rsid w:val="79B5100C"/>
    <w:rsid w:val="79B577B4"/>
    <w:rsid w:val="79D375E5"/>
    <w:rsid w:val="79D70EA4"/>
    <w:rsid w:val="79F24465"/>
    <w:rsid w:val="79F3642F"/>
    <w:rsid w:val="79F5163C"/>
    <w:rsid w:val="79F933FD"/>
    <w:rsid w:val="7A044C7C"/>
    <w:rsid w:val="7A0B6A0F"/>
    <w:rsid w:val="7A0F01B1"/>
    <w:rsid w:val="7A1845EE"/>
    <w:rsid w:val="7A24370C"/>
    <w:rsid w:val="7A2C0B6E"/>
    <w:rsid w:val="7A364017"/>
    <w:rsid w:val="7A39347C"/>
    <w:rsid w:val="7A3A38FF"/>
    <w:rsid w:val="7A563F72"/>
    <w:rsid w:val="7A5A025C"/>
    <w:rsid w:val="7A813A3B"/>
    <w:rsid w:val="7A8265E1"/>
    <w:rsid w:val="7AC027B5"/>
    <w:rsid w:val="7ACC376D"/>
    <w:rsid w:val="7B0E374B"/>
    <w:rsid w:val="7B162E21"/>
    <w:rsid w:val="7B3A4316"/>
    <w:rsid w:val="7B4909FD"/>
    <w:rsid w:val="7B512E8E"/>
    <w:rsid w:val="7B59095D"/>
    <w:rsid w:val="7B5A6766"/>
    <w:rsid w:val="7B686D42"/>
    <w:rsid w:val="7B841746"/>
    <w:rsid w:val="7B8C602F"/>
    <w:rsid w:val="7B94601E"/>
    <w:rsid w:val="7B965ED6"/>
    <w:rsid w:val="7BB36ED2"/>
    <w:rsid w:val="7BD5403F"/>
    <w:rsid w:val="7BE74D01"/>
    <w:rsid w:val="7BF17930"/>
    <w:rsid w:val="7C2E3131"/>
    <w:rsid w:val="7C49114F"/>
    <w:rsid w:val="7C624EA2"/>
    <w:rsid w:val="7C66650D"/>
    <w:rsid w:val="7C6C5AC7"/>
    <w:rsid w:val="7C7B3F5E"/>
    <w:rsid w:val="7CA87DEB"/>
    <w:rsid w:val="7CC21985"/>
    <w:rsid w:val="7CC6544B"/>
    <w:rsid w:val="7CCB1F54"/>
    <w:rsid w:val="7CD82038"/>
    <w:rsid w:val="7CE41794"/>
    <w:rsid w:val="7D0239FF"/>
    <w:rsid w:val="7D052A0C"/>
    <w:rsid w:val="7D0831F9"/>
    <w:rsid w:val="7D171AF4"/>
    <w:rsid w:val="7D1F73D2"/>
    <w:rsid w:val="7D28155C"/>
    <w:rsid w:val="7D3A4FDA"/>
    <w:rsid w:val="7D3D1598"/>
    <w:rsid w:val="7D4067C0"/>
    <w:rsid w:val="7D5D5C27"/>
    <w:rsid w:val="7D5E40CD"/>
    <w:rsid w:val="7D6438CC"/>
    <w:rsid w:val="7D6F6351"/>
    <w:rsid w:val="7D735F23"/>
    <w:rsid w:val="7D7B2B9E"/>
    <w:rsid w:val="7D823D52"/>
    <w:rsid w:val="7D8E0949"/>
    <w:rsid w:val="7D9D40C2"/>
    <w:rsid w:val="7DBB54B6"/>
    <w:rsid w:val="7DCD56F2"/>
    <w:rsid w:val="7DE411E5"/>
    <w:rsid w:val="7DE95B7F"/>
    <w:rsid w:val="7DF0493A"/>
    <w:rsid w:val="7DFC1A33"/>
    <w:rsid w:val="7E09208C"/>
    <w:rsid w:val="7E1A01D8"/>
    <w:rsid w:val="7E2127BA"/>
    <w:rsid w:val="7E2B263C"/>
    <w:rsid w:val="7E380949"/>
    <w:rsid w:val="7E4422CE"/>
    <w:rsid w:val="7E4A3282"/>
    <w:rsid w:val="7E5259DD"/>
    <w:rsid w:val="7E6873EC"/>
    <w:rsid w:val="7E780003"/>
    <w:rsid w:val="7E9A755F"/>
    <w:rsid w:val="7EA26FD4"/>
    <w:rsid w:val="7EAC5EA4"/>
    <w:rsid w:val="7EB97C47"/>
    <w:rsid w:val="7EBB27AA"/>
    <w:rsid w:val="7EE60311"/>
    <w:rsid w:val="7EFA6281"/>
    <w:rsid w:val="7F001CE7"/>
    <w:rsid w:val="7F2738DA"/>
    <w:rsid w:val="7F583B5A"/>
    <w:rsid w:val="7F62208D"/>
    <w:rsid w:val="7F626C29"/>
    <w:rsid w:val="7F7E679B"/>
    <w:rsid w:val="7F840255"/>
    <w:rsid w:val="7F842003"/>
    <w:rsid w:val="7F8E2E82"/>
    <w:rsid w:val="7F8F09A8"/>
    <w:rsid w:val="7F91249E"/>
    <w:rsid w:val="7F9F1504"/>
    <w:rsid w:val="7FB16B71"/>
    <w:rsid w:val="7FBA2305"/>
    <w:rsid w:val="7FC71EF0"/>
    <w:rsid w:val="7FE47E50"/>
    <w:rsid w:val="7FEC0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3"/>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5">
    <w:name w:val="Note Heading"/>
    <w:basedOn w:val="1"/>
    <w:next w:val="1"/>
    <w:autoRedefine/>
    <w:qFormat/>
    <w:locked/>
    <w:uiPriority w:val="0"/>
    <w:pPr>
      <w:adjustRightInd w:val="0"/>
      <w:spacing w:line="360" w:lineRule="auto"/>
      <w:jc w:val="center"/>
    </w:pPr>
    <w:rPr>
      <w:szCs w:val="24"/>
    </w:rPr>
  </w:style>
  <w:style w:type="paragraph" w:styleId="6">
    <w:name w:val="Normal Indent"/>
    <w:basedOn w:val="1"/>
    <w:next w:val="1"/>
    <w:link w:val="61"/>
    <w:autoRedefine/>
    <w:qFormat/>
    <w:locked/>
    <w:uiPriority w:val="0"/>
    <w:pPr>
      <w:ind w:firstLine="420"/>
    </w:pPr>
    <w:rPr>
      <w:rFonts w:ascii="Calibri" w:hAnsi="Calibri"/>
      <w:szCs w:val="20"/>
    </w:rPr>
  </w:style>
  <w:style w:type="paragraph" w:styleId="7">
    <w:name w:val="annotation text"/>
    <w:basedOn w:val="1"/>
    <w:link w:val="43"/>
    <w:autoRedefine/>
    <w:qFormat/>
    <w:uiPriority w:val="0"/>
    <w:pPr>
      <w:jc w:val="left"/>
    </w:pPr>
    <w:rPr>
      <w:kern w:val="0"/>
      <w:sz w:val="24"/>
      <w:szCs w:val="20"/>
    </w:rPr>
  </w:style>
  <w:style w:type="paragraph" w:styleId="8">
    <w:name w:val="Body Text"/>
    <w:basedOn w:val="1"/>
    <w:next w:val="1"/>
    <w:link w:val="42"/>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6"/>
    <w:link w:val="52"/>
    <w:autoRedefine/>
    <w:qFormat/>
    <w:uiPriority w:val="0"/>
    <w:pPr>
      <w:spacing w:after="120"/>
      <w:ind w:left="420" w:leftChars="200"/>
    </w:pPr>
    <w:rPr>
      <w:kern w:val="0"/>
      <w:sz w:val="24"/>
      <w:szCs w:val="20"/>
    </w:rPr>
  </w:style>
  <w:style w:type="paragraph" w:styleId="10">
    <w:name w:val="Block Text"/>
    <w:basedOn w:val="1"/>
    <w:autoRedefine/>
    <w:qFormat/>
    <w:locked/>
    <w:uiPriority w:val="0"/>
    <w:pPr>
      <w:spacing w:after="120"/>
      <w:ind w:left="1440" w:leftChars="700" w:right="1440" w:rightChars="700"/>
    </w:pPr>
    <w:rPr>
      <w:rFonts w:ascii="Calibri" w:hAnsi="Calibri"/>
      <w:szCs w:val="20"/>
    </w:rPr>
  </w:style>
  <w:style w:type="paragraph" w:styleId="11">
    <w:name w:val="Plain Text"/>
    <w:basedOn w:val="1"/>
    <w:next w:val="12"/>
    <w:link w:val="64"/>
    <w:autoRedefine/>
    <w:qFormat/>
    <w:locked/>
    <w:uiPriority w:val="0"/>
    <w:rPr>
      <w:rFonts w:ascii="宋体" w:hAnsi="Courier New"/>
      <w:szCs w:val="20"/>
    </w:rPr>
  </w:style>
  <w:style w:type="paragraph" w:styleId="12">
    <w:name w:val="toc 1"/>
    <w:basedOn w:val="1"/>
    <w:next w:val="1"/>
    <w:autoRedefine/>
    <w:qFormat/>
    <w:locked/>
    <w:uiPriority w:val="39"/>
    <w:pPr>
      <w:spacing w:before="120" w:after="120"/>
      <w:jc w:val="left"/>
    </w:pPr>
    <w:rPr>
      <w:rFonts w:ascii="Calibri" w:hAnsi="Calibri"/>
      <w:b/>
      <w:bCs/>
      <w:caps/>
      <w:sz w:val="20"/>
      <w:szCs w:val="20"/>
    </w:rPr>
  </w:style>
  <w:style w:type="paragraph" w:styleId="13">
    <w:name w:val="List Bullet 5"/>
    <w:basedOn w:val="1"/>
    <w:autoRedefine/>
    <w:qFormat/>
    <w:locked/>
    <w:uiPriority w:val="0"/>
    <w:pPr>
      <w:numPr>
        <w:ilvl w:val="0"/>
        <w:numId w:val="1"/>
      </w:numPr>
    </w:pPr>
  </w:style>
  <w:style w:type="paragraph" w:styleId="14">
    <w:name w:val="Date"/>
    <w:basedOn w:val="1"/>
    <w:next w:val="1"/>
    <w:link w:val="38"/>
    <w:autoRedefine/>
    <w:qFormat/>
    <w:uiPriority w:val="0"/>
    <w:pPr>
      <w:ind w:left="100" w:leftChars="2500"/>
    </w:pPr>
    <w:rPr>
      <w:kern w:val="0"/>
      <w:sz w:val="24"/>
      <w:szCs w:val="20"/>
    </w:rPr>
  </w:style>
  <w:style w:type="paragraph" w:styleId="15">
    <w:name w:val="Body Text Indent 2"/>
    <w:basedOn w:val="1"/>
    <w:link w:val="65"/>
    <w:autoRedefine/>
    <w:qFormat/>
    <w:locked/>
    <w:uiPriority w:val="0"/>
    <w:pPr>
      <w:spacing w:line="500" w:lineRule="exact"/>
      <w:ind w:firstLine="480" w:firstLineChars="200"/>
    </w:pPr>
    <w:rPr>
      <w:rFonts w:ascii="宋体" w:hAnsi="Calibri"/>
      <w:bCs/>
      <w:sz w:val="24"/>
      <w:szCs w:val="20"/>
    </w:rPr>
  </w:style>
  <w:style w:type="paragraph" w:styleId="16">
    <w:name w:val="Balloon Text"/>
    <w:basedOn w:val="1"/>
    <w:link w:val="48"/>
    <w:autoRedefine/>
    <w:qFormat/>
    <w:uiPriority w:val="0"/>
    <w:rPr>
      <w:kern w:val="0"/>
      <w:sz w:val="18"/>
      <w:szCs w:val="20"/>
    </w:rPr>
  </w:style>
  <w:style w:type="paragraph" w:styleId="17">
    <w:name w:val="footer"/>
    <w:basedOn w:val="1"/>
    <w:link w:val="37"/>
    <w:autoRedefine/>
    <w:qFormat/>
    <w:uiPriority w:val="99"/>
    <w:pPr>
      <w:tabs>
        <w:tab w:val="center" w:pos="4153"/>
        <w:tab w:val="right" w:pos="8306"/>
      </w:tabs>
      <w:snapToGrid w:val="0"/>
      <w:jc w:val="left"/>
    </w:pPr>
    <w:rPr>
      <w:kern w:val="0"/>
      <w:sz w:val="18"/>
      <w:szCs w:val="20"/>
    </w:rPr>
  </w:style>
  <w:style w:type="paragraph" w:styleId="18">
    <w:name w:val="header"/>
    <w:basedOn w:val="1"/>
    <w:link w:val="50"/>
    <w:autoRedefine/>
    <w:qFormat/>
    <w:uiPriority w:val="0"/>
    <w:pPr>
      <w:tabs>
        <w:tab w:val="center" w:pos="4153"/>
        <w:tab w:val="right" w:pos="8306"/>
      </w:tabs>
      <w:snapToGrid w:val="0"/>
      <w:jc w:val="center"/>
    </w:pPr>
    <w:rPr>
      <w:kern w:val="0"/>
      <w:sz w:val="18"/>
      <w:szCs w:val="20"/>
    </w:rPr>
  </w:style>
  <w:style w:type="paragraph" w:styleId="19">
    <w:name w:val="List"/>
    <w:basedOn w:val="1"/>
    <w:autoRedefine/>
    <w:qFormat/>
    <w:locked/>
    <w:uiPriority w:val="0"/>
    <w:pPr>
      <w:spacing w:line="320" w:lineRule="exact"/>
      <w:jc w:val="center"/>
    </w:pPr>
    <w:rPr>
      <w:sz w:val="20"/>
    </w:rPr>
  </w:style>
  <w:style w:type="paragraph" w:styleId="20">
    <w:name w:val="Body Text Indent 3"/>
    <w:basedOn w:val="1"/>
    <w:link w:val="66"/>
    <w:autoRedefine/>
    <w:qFormat/>
    <w:locked/>
    <w:uiPriority w:val="0"/>
    <w:pPr>
      <w:spacing w:line="360" w:lineRule="auto"/>
      <w:ind w:firstLine="471" w:firstLineChars="200"/>
    </w:pPr>
    <w:rPr>
      <w:rFonts w:ascii="宋体" w:hAnsi="宋体"/>
      <w:sz w:val="24"/>
      <w:szCs w:val="20"/>
    </w:rPr>
  </w:style>
  <w:style w:type="paragraph" w:styleId="21">
    <w:name w:val="toc 2"/>
    <w:basedOn w:val="1"/>
    <w:next w:val="1"/>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2">
    <w:name w:val="Body Text 2"/>
    <w:basedOn w:val="1"/>
    <w:link w:val="56"/>
    <w:autoRedefine/>
    <w:qFormat/>
    <w:locked/>
    <w:uiPriority w:val="0"/>
    <w:pPr>
      <w:spacing w:after="120" w:line="480" w:lineRule="auto"/>
    </w:pPr>
  </w:style>
  <w:style w:type="paragraph" w:styleId="23">
    <w:name w:val="Normal (Web)"/>
    <w:basedOn w:val="1"/>
    <w:link w:val="40"/>
    <w:autoRedefine/>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7"/>
    <w:next w:val="7"/>
    <w:link w:val="49"/>
    <w:autoRedefine/>
    <w:qFormat/>
    <w:uiPriority w:val="0"/>
    <w:rPr>
      <w:b/>
    </w:rPr>
  </w:style>
  <w:style w:type="paragraph" w:styleId="25">
    <w:name w:val="Body Text First Indent 2"/>
    <w:basedOn w:val="9"/>
    <w:next w:val="26"/>
    <w:link w:val="67"/>
    <w:autoRedefine/>
    <w:qFormat/>
    <w:locked/>
    <w:uiPriority w:val="0"/>
    <w:pPr>
      <w:ind w:firstLine="420" w:firstLineChars="200"/>
    </w:pPr>
    <w:rPr>
      <w:rFonts w:ascii="Calibri" w:hAnsi="Calibri" w:eastAsia="楷体_GB2312"/>
      <w:color w:val="000000"/>
      <w:kern w:val="2"/>
      <w:sz w:val="21"/>
    </w:rPr>
  </w:style>
  <w:style w:type="paragraph" w:customStyle="1" w:styleId="26">
    <w:name w:val="Default"/>
    <w:basedOn w:val="27"/>
    <w:autoRedefine/>
    <w:qFormat/>
    <w:uiPriority w:val="0"/>
    <w:pPr>
      <w:widowControl w:val="0"/>
      <w:autoSpaceDE w:val="0"/>
      <w:autoSpaceDN w:val="0"/>
      <w:adjustRightInd w:val="0"/>
    </w:pPr>
    <w:rPr>
      <w:rFonts w:ascii=".." w:hAnsi="Times New Roman" w:eastAsia=".." w:cs=".."/>
      <w:color w:val="000000"/>
      <w:sz w:val="24"/>
      <w:szCs w:val="24"/>
      <w:lang w:val="en-US" w:eastAsia="zh-CN" w:bidi="ar-SA"/>
    </w:rPr>
  </w:style>
  <w:style w:type="paragraph" w:customStyle="1" w:styleId="2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locked/>
    <w:uiPriority w:val="0"/>
    <w:rPr>
      <w:rFonts w:ascii="Times New Roman" w:hAnsi="Times New Roman" w:eastAsia="宋体" w:cs="Times New Roman"/>
      <w:b/>
      <w:bCs/>
    </w:rPr>
  </w:style>
  <w:style w:type="character" w:styleId="32">
    <w:name w:val="page number"/>
    <w:basedOn w:val="30"/>
    <w:autoRedefine/>
    <w:qFormat/>
    <w:locked/>
    <w:uiPriority w:val="0"/>
  </w:style>
  <w:style w:type="character" w:styleId="33">
    <w:name w:val="Emphasis"/>
    <w:basedOn w:val="30"/>
    <w:autoRedefine/>
    <w:qFormat/>
    <w:locked/>
    <w:uiPriority w:val="0"/>
    <w:rPr>
      <w:i/>
    </w:rPr>
  </w:style>
  <w:style w:type="character" w:styleId="34">
    <w:name w:val="Hyperlink"/>
    <w:basedOn w:val="30"/>
    <w:autoRedefine/>
    <w:unhideWhenUsed/>
    <w:qFormat/>
    <w:locked/>
    <w:uiPriority w:val="99"/>
    <w:rPr>
      <w:color w:val="0000FF"/>
      <w:u w:val="single"/>
    </w:rPr>
  </w:style>
  <w:style w:type="character" w:styleId="35">
    <w:name w:val="annotation reference"/>
    <w:autoRedefine/>
    <w:qFormat/>
    <w:uiPriority w:val="0"/>
    <w:rPr>
      <w:sz w:val="21"/>
    </w:rPr>
  </w:style>
  <w:style w:type="paragraph" w:customStyle="1" w:styleId="36">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7">
    <w:name w:val="页脚 字符1"/>
    <w:link w:val="17"/>
    <w:autoRedefine/>
    <w:qFormat/>
    <w:locked/>
    <w:uiPriority w:val="99"/>
    <w:rPr>
      <w:sz w:val="18"/>
    </w:rPr>
  </w:style>
  <w:style w:type="character" w:customStyle="1" w:styleId="38">
    <w:name w:val="日期 字符1"/>
    <w:link w:val="14"/>
    <w:autoRedefine/>
    <w:qFormat/>
    <w:locked/>
    <w:uiPriority w:val="0"/>
    <w:rPr>
      <w:rFonts w:ascii="Times New Roman" w:hAnsi="Times New Roman" w:eastAsia="宋体"/>
      <w:sz w:val="24"/>
    </w:rPr>
  </w:style>
  <w:style w:type="character" w:customStyle="1" w:styleId="39">
    <w:name w:val="页脚 字符"/>
    <w:basedOn w:val="30"/>
    <w:autoRedefine/>
    <w:qFormat/>
    <w:uiPriority w:val="99"/>
  </w:style>
  <w:style w:type="character" w:customStyle="1" w:styleId="40">
    <w:name w:val="普通(网站) 字符"/>
    <w:link w:val="23"/>
    <w:autoRedefine/>
    <w:qFormat/>
    <w:locked/>
    <w:uiPriority w:val="0"/>
    <w:rPr>
      <w:rFonts w:ascii="宋体" w:hAnsi="宋体" w:eastAsia="宋体"/>
      <w:sz w:val="24"/>
    </w:rPr>
  </w:style>
  <w:style w:type="character" w:customStyle="1" w:styleId="41">
    <w:name w:val="正文文本 字符1"/>
    <w:autoRedefine/>
    <w:semiHidden/>
    <w:qFormat/>
    <w:uiPriority w:val="0"/>
    <w:rPr>
      <w:rFonts w:ascii="Times New Roman" w:hAnsi="Times New Roman" w:eastAsia="宋体"/>
      <w:sz w:val="24"/>
    </w:rPr>
  </w:style>
  <w:style w:type="character" w:customStyle="1" w:styleId="42">
    <w:name w:val="正文文本 字符"/>
    <w:link w:val="8"/>
    <w:autoRedefine/>
    <w:qFormat/>
    <w:locked/>
    <w:uiPriority w:val="0"/>
    <w:rPr>
      <w:sz w:val="18"/>
    </w:rPr>
  </w:style>
  <w:style w:type="character" w:customStyle="1" w:styleId="43">
    <w:name w:val="批注文字 字符"/>
    <w:link w:val="7"/>
    <w:autoRedefine/>
    <w:qFormat/>
    <w:locked/>
    <w:uiPriority w:val="0"/>
    <w:rPr>
      <w:rFonts w:ascii="Times New Roman" w:hAnsi="Times New Roman" w:eastAsia="宋体"/>
      <w:sz w:val="24"/>
    </w:rPr>
  </w:style>
  <w:style w:type="character" w:customStyle="1" w:styleId="44">
    <w:name w:val="表格 Char"/>
    <w:link w:val="45"/>
    <w:autoRedefine/>
    <w:qFormat/>
    <w:locked/>
    <w:uiPriority w:val="0"/>
    <w:rPr>
      <w:rFonts w:ascii="宋体"/>
      <w:sz w:val="21"/>
    </w:rPr>
  </w:style>
  <w:style w:type="paragraph" w:customStyle="1" w:styleId="45">
    <w:name w:val="表格"/>
    <w:basedOn w:val="46"/>
    <w:next w:val="1"/>
    <w:link w:val="44"/>
    <w:autoRedefine/>
    <w:qFormat/>
    <w:uiPriority w:val="0"/>
    <w:pPr>
      <w:adjustRightInd w:val="0"/>
      <w:snapToGrid w:val="0"/>
      <w:spacing w:beforeLines="10" w:afterLines="10" w:line="259" w:lineRule="auto"/>
      <w:jc w:val="center"/>
    </w:pPr>
    <w:rPr>
      <w:rFonts w:ascii="宋体"/>
      <w:kern w:val="0"/>
      <w:szCs w:val="20"/>
    </w:rPr>
  </w:style>
  <w:style w:type="paragraph" w:customStyle="1" w:styleId="46">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character" w:customStyle="1" w:styleId="47">
    <w:name w:val="日期 字符"/>
    <w:autoRedefine/>
    <w:semiHidden/>
    <w:qFormat/>
    <w:uiPriority w:val="0"/>
    <w:rPr>
      <w:rFonts w:ascii="Times New Roman" w:hAnsi="Times New Roman" w:eastAsia="宋体"/>
      <w:sz w:val="24"/>
    </w:rPr>
  </w:style>
  <w:style w:type="character" w:customStyle="1" w:styleId="48">
    <w:name w:val="批注框文本 字符"/>
    <w:link w:val="16"/>
    <w:autoRedefine/>
    <w:semiHidden/>
    <w:qFormat/>
    <w:locked/>
    <w:uiPriority w:val="0"/>
    <w:rPr>
      <w:rFonts w:ascii="Times New Roman" w:hAnsi="Times New Roman" w:eastAsia="宋体"/>
      <w:sz w:val="18"/>
    </w:rPr>
  </w:style>
  <w:style w:type="character" w:customStyle="1" w:styleId="49">
    <w:name w:val="批注主题 字符"/>
    <w:link w:val="24"/>
    <w:autoRedefine/>
    <w:semiHidden/>
    <w:qFormat/>
    <w:locked/>
    <w:uiPriority w:val="0"/>
    <w:rPr>
      <w:rFonts w:ascii="Times New Roman" w:hAnsi="Times New Roman" w:eastAsia="宋体"/>
      <w:b/>
      <w:kern w:val="2"/>
      <w:sz w:val="24"/>
    </w:rPr>
  </w:style>
  <w:style w:type="character" w:customStyle="1" w:styleId="50">
    <w:name w:val="页眉 字符"/>
    <w:link w:val="18"/>
    <w:autoRedefine/>
    <w:qFormat/>
    <w:locked/>
    <w:uiPriority w:val="0"/>
    <w:rPr>
      <w:sz w:val="18"/>
    </w:rPr>
  </w:style>
  <w:style w:type="character" w:customStyle="1" w:styleId="51">
    <w:name w:val="批注文字 字符1"/>
    <w:autoRedefine/>
    <w:semiHidden/>
    <w:qFormat/>
    <w:uiPriority w:val="0"/>
    <w:rPr>
      <w:rFonts w:ascii="Times New Roman" w:hAnsi="Times New Roman" w:eastAsia="宋体"/>
      <w:sz w:val="24"/>
    </w:rPr>
  </w:style>
  <w:style w:type="character" w:customStyle="1" w:styleId="52">
    <w:name w:val="正文文本缩进 字符"/>
    <w:link w:val="9"/>
    <w:autoRedefine/>
    <w:semiHidden/>
    <w:qFormat/>
    <w:locked/>
    <w:uiPriority w:val="0"/>
    <w:rPr>
      <w:rFonts w:ascii="Times New Roman" w:hAnsi="Times New Roman" w:eastAsia="宋体"/>
      <w:sz w:val="24"/>
    </w:rPr>
  </w:style>
  <w:style w:type="paragraph" w:customStyle="1" w:styleId="5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5">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6">
    <w:name w:val="正文文本 2 字符"/>
    <w:basedOn w:val="30"/>
    <w:link w:val="22"/>
    <w:autoRedefine/>
    <w:qFormat/>
    <w:uiPriority w:val="0"/>
    <w:rPr>
      <w:kern w:val="2"/>
      <w:sz w:val="21"/>
      <w:szCs w:val="24"/>
    </w:rPr>
  </w:style>
  <w:style w:type="character" w:customStyle="1" w:styleId="57">
    <w:name w:val="批注文字 Char"/>
    <w:basedOn w:val="30"/>
    <w:autoRedefine/>
    <w:qFormat/>
    <w:uiPriority w:val="0"/>
    <w:rPr>
      <w:rFonts w:ascii="Calibri" w:hAnsi="Calibri"/>
      <w:kern w:val="2"/>
      <w:sz w:val="21"/>
    </w:rPr>
  </w:style>
  <w:style w:type="paragraph" w:customStyle="1" w:styleId="58">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59">
    <w:name w:val="图表文字"/>
    <w:basedOn w:val="1"/>
    <w:link w:val="62"/>
    <w:autoRedefine/>
    <w:qFormat/>
    <w:uiPriority w:val="0"/>
    <w:pPr>
      <w:spacing w:line="300" w:lineRule="exact"/>
      <w:jc w:val="center"/>
    </w:pPr>
    <w:rPr>
      <w:rFonts w:ascii="Calibri" w:hAnsi="Calibri"/>
      <w:bCs/>
      <w:szCs w:val="20"/>
    </w:rPr>
  </w:style>
  <w:style w:type="paragraph" w:customStyle="1" w:styleId="60">
    <w:name w:val="我的样式（正文）"/>
    <w:basedOn w:val="1"/>
    <w:autoRedefine/>
    <w:qFormat/>
    <w:uiPriority w:val="0"/>
    <w:pPr>
      <w:spacing w:line="440" w:lineRule="exact"/>
    </w:pPr>
    <w:rPr>
      <w:rFonts w:ascii="宋体" w:hAnsi="Calibri"/>
      <w:sz w:val="28"/>
    </w:rPr>
  </w:style>
  <w:style w:type="character" w:customStyle="1" w:styleId="61">
    <w:name w:val="正文缩进 字符"/>
    <w:basedOn w:val="30"/>
    <w:link w:val="6"/>
    <w:autoRedefine/>
    <w:qFormat/>
    <w:uiPriority w:val="0"/>
    <w:rPr>
      <w:rFonts w:ascii="Calibri" w:hAnsi="Calibri"/>
      <w:kern w:val="2"/>
      <w:sz w:val="21"/>
    </w:rPr>
  </w:style>
  <w:style w:type="character" w:customStyle="1" w:styleId="62">
    <w:name w:val="图表文字 Char"/>
    <w:link w:val="59"/>
    <w:autoRedefine/>
    <w:qFormat/>
    <w:uiPriority w:val="0"/>
    <w:rPr>
      <w:rFonts w:ascii="Calibri" w:hAnsi="Calibri"/>
      <w:bCs/>
      <w:kern w:val="2"/>
      <w:sz w:val="21"/>
    </w:rPr>
  </w:style>
  <w:style w:type="character" w:customStyle="1" w:styleId="63">
    <w:name w:val="标题 2 字符"/>
    <w:basedOn w:val="30"/>
    <w:link w:val="3"/>
    <w:autoRedefine/>
    <w:semiHidden/>
    <w:qFormat/>
    <w:uiPriority w:val="0"/>
    <w:rPr>
      <w:rFonts w:asciiTheme="majorHAnsi" w:hAnsiTheme="majorHAnsi" w:eastAsiaTheme="majorEastAsia" w:cstheme="majorBidi"/>
      <w:b/>
      <w:bCs/>
      <w:kern w:val="2"/>
      <w:sz w:val="32"/>
      <w:szCs w:val="32"/>
    </w:rPr>
  </w:style>
  <w:style w:type="character" w:customStyle="1" w:styleId="64">
    <w:name w:val="纯文本 字符"/>
    <w:basedOn w:val="30"/>
    <w:link w:val="11"/>
    <w:autoRedefine/>
    <w:qFormat/>
    <w:uiPriority w:val="0"/>
    <w:rPr>
      <w:rFonts w:ascii="宋体" w:hAnsi="Courier New"/>
      <w:kern w:val="2"/>
      <w:sz w:val="21"/>
    </w:rPr>
  </w:style>
  <w:style w:type="character" w:customStyle="1" w:styleId="65">
    <w:name w:val="正文文本缩进 2 字符"/>
    <w:basedOn w:val="30"/>
    <w:link w:val="15"/>
    <w:autoRedefine/>
    <w:qFormat/>
    <w:uiPriority w:val="0"/>
    <w:rPr>
      <w:rFonts w:ascii="宋体" w:hAnsi="Calibri"/>
      <w:bCs/>
      <w:kern w:val="2"/>
      <w:sz w:val="24"/>
    </w:rPr>
  </w:style>
  <w:style w:type="character" w:customStyle="1" w:styleId="66">
    <w:name w:val="正文文本缩进 3 字符"/>
    <w:basedOn w:val="30"/>
    <w:link w:val="20"/>
    <w:autoRedefine/>
    <w:qFormat/>
    <w:uiPriority w:val="0"/>
    <w:rPr>
      <w:rFonts w:ascii="宋体" w:hAnsi="宋体"/>
      <w:kern w:val="2"/>
      <w:sz w:val="24"/>
    </w:rPr>
  </w:style>
  <w:style w:type="character" w:customStyle="1" w:styleId="67">
    <w:name w:val="正文文本首行缩进 2 字符"/>
    <w:basedOn w:val="52"/>
    <w:link w:val="25"/>
    <w:autoRedefine/>
    <w:qFormat/>
    <w:uiPriority w:val="0"/>
    <w:rPr>
      <w:rFonts w:ascii="Calibri" w:hAnsi="Calibri" w:eastAsia="楷体_GB2312"/>
      <w:color w:val="000000"/>
      <w:kern w:val="2"/>
      <w:sz w:val="21"/>
    </w:rPr>
  </w:style>
  <w:style w:type="paragraph" w:customStyle="1" w:styleId="68">
    <w:name w:val="Body Text 21"/>
    <w:basedOn w:val="1"/>
    <w:autoRedefine/>
    <w:qFormat/>
    <w:uiPriority w:val="0"/>
    <w:pPr>
      <w:textAlignment w:val="baseline"/>
    </w:pPr>
    <w:rPr>
      <w:rFonts w:ascii="Calibri" w:hAnsi="Calibri"/>
      <w:color w:val="000000"/>
      <w:sz w:val="24"/>
      <w:szCs w:val="20"/>
    </w:rPr>
  </w:style>
  <w:style w:type="paragraph" w:customStyle="1" w:styleId="69">
    <w:name w:val="图文框"/>
    <w:basedOn w:val="1"/>
    <w:autoRedefine/>
    <w:qFormat/>
    <w:uiPriority w:val="0"/>
    <w:pPr>
      <w:adjustRightInd w:val="0"/>
      <w:snapToGrid w:val="0"/>
      <w:jc w:val="center"/>
    </w:pPr>
    <w:rPr>
      <w:rFonts w:ascii="宋体" w:hAnsi="宋体"/>
      <w:color w:val="000000"/>
      <w:sz w:val="18"/>
    </w:rPr>
  </w:style>
  <w:style w:type="paragraph" w:customStyle="1" w:styleId="70">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1">
    <w:name w:val="p0"/>
    <w:basedOn w:val="1"/>
    <w:autoRedefine/>
    <w:qFormat/>
    <w:uiPriority w:val="0"/>
    <w:pPr>
      <w:widowControl/>
    </w:pPr>
    <w:rPr>
      <w:rFonts w:ascii="Calibri" w:hAnsi="Calibri"/>
      <w:kern w:val="0"/>
      <w:szCs w:val="21"/>
    </w:rPr>
  </w:style>
  <w:style w:type="paragraph" w:customStyle="1" w:styleId="72">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3">
    <w:name w:val="文本框样式"/>
    <w:basedOn w:val="1"/>
    <w:autoRedefine/>
    <w:qFormat/>
    <w:uiPriority w:val="0"/>
    <w:pPr>
      <w:jc w:val="center"/>
    </w:pPr>
    <w:rPr>
      <w:rFonts w:ascii="Calibri" w:hAnsi="Calibri"/>
      <w:szCs w:val="21"/>
    </w:rPr>
  </w:style>
  <w:style w:type="paragraph" w:customStyle="1" w:styleId="74">
    <w:name w:val="图标题"/>
    <w:basedOn w:val="1"/>
    <w:autoRedefine/>
    <w:qFormat/>
    <w:uiPriority w:val="0"/>
    <w:pPr>
      <w:spacing w:line="300" w:lineRule="exact"/>
    </w:pPr>
    <w:rPr>
      <w:rFonts w:ascii="仿宋_GB2312" w:hAnsi="Calibri" w:eastAsia="仿宋_GB2312"/>
      <w:b/>
      <w:bCs/>
      <w:sz w:val="24"/>
    </w:rPr>
  </w:style>
  <w:style w:type="character" w:customStyle="1" w:styleId="75">
    <w:name w:val="font11"/>
    <w:basedOn w:val="30"/>
    <w:autoRedefine/>
    <w:qFormat/>
    <w:uiPriority w:val="0"/>
    <w:rPr>
      <w:rFonts w:hint="eastAsia" w:ascii="宋体" w:hAnsi="宋体" w:eastAsia="宋体" w:cs="宋体"/>
      <w:color w:val="000000"/>
      <w:sz w:val="18"/>
      <w:szCs w:val="18"/>
      <w:u w:val="none"/>
    </w:rPr>
  </w:style>
  <w:style w:type="character" w:customStyle="1" w:styleId="76">
    <w:name w:val="font21"/>
    <w:basedOn w:val="30"/>
    <w:autoRedefine/>
    <w:qFormat/>
    <w:uiPriority w:val="0"/>
    <w:rPr>
      <w:rFonts w:hint="default" w:ascii="TimesNewRomanPSMT" w:hAnsi="TimesNewRomanPSMT" w:eastAsia="TimesNewRomanPSMT" w:cs="TimesNewRomanPSMT"/>
      <w:color w:val="000000"/>
      <w:sz w:val="18"/>
      <w:szCs w:val="18"/>
      <w:u w:val="none"/>
    </w:rPr>
  </w:style>
  <w:style w:type="paragraph" w:customStyle="1" w:styleId="77">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8">
    <w:name w:val="Other|1"/>
    <w:basedOn w:val="1"/>
    <w:autoRedefine/>
    <w:qFormat/>
    <w:uiPriority w:val="0"/>
    <w:rPr>
      <w:rFonts w:ascii="MingLiU" w:hAnsi="MingLiU" w:eastAsia="MingLiU" w:cs="MingLiU"/>
      <w:sz w:val="19"/>
      <w:szCs w:val="19"/>
      <w:lang w:val="zh-TW" w:eastAsia="zh-TW" w:bidi="zh-TW"/>
    </w:rPr>
  </w:style>
  <w:style w:type="paragraph" w:customStyle="1" w:styleId="79">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0">
    <w:name w:val="Table caption|1"/>
    <w:basedOn w:val="1"/>
    <w:autoRedefine/>
    <w:qFormat/>
    <w:uiPriority w:val="0"/>
    <w:rPr>
      <w:rFonts w:ascii="MingLiU" w:hAnsi="MingLiU" w:eastAsia="MingLiU" w:cs="MingLiU"/>
      <w:sz w:val="19"/>
      <w:szCs w:val="19"/>
      <w:lang w:val="zh-TW" w:eastAsia="zh-TW" w:bidi="zh-TW"/>
    </w:rPr>
  </w:style>
  <w:style w:type="character" w:customStyle="1" w:styleId="81">
    <w:name w:val="批注框文本 Char"/>
    <w:basedOn w:val="30"/>
    <w:autoRedefine/>
    <w:qFormat/>
    <w:uiPriority w:val="0"/>
    <w:rPr>
      <w:rFonts w:ascii="Calibri" w:hAnsi="Calibri"/>
      <w:kern w:val="2"/>
      <w:sz w:val="18"/>
      <w:szCs w:val="18"/>
    </w:rPr>
  </w:style>
  <w:style w:type="character" w:styleId="82">
    <w:name w:val="Placeholder Text"/>
    <w:basedOn w:val="30"/>
    <w:autoRedefine/>
    <w:unhideWhenUsed/>
    <w:qFormat/>
    <w:uiPriority w:val="99"/>
    <w:rPr>
      <w:color w:val="808080"/>
    </w:rPr>
  </w:style>
  <w:style w:type="paragraph" w:styleId="83">
    <w:name w:val="List Paragraph"/>
    <w:basedOn w:val="1"/>
    <w:autoRedefine/>
    <w:unhideWhenUsed/>
    <w:qFormat/>
    <w:uiPriority w:val="99"/>
    <w:pPr>
      <w:ind w:firstLine="420" w:firstLineChars="200"/>
    </w:pPr>
    <w:rPr>
      <w:rFonts w:ascii="Calibri" w:hAnsi="Calibri"/>
      <w:szCs w:val="20"/>
    </w:rPr>
  </w:style>
  <w:style w:type="character" w:customStyle="1" w:styleId="84">
    <w:name w:val="批注主题 Char"/>
    <w:basedOn w:val="57"/>
    <w:autoRedefine/>
    <w:qFormat/>
    <w:uiPriority w:val="0"/>
    <w:rPr>
      <w:rFonts w:ascii="Calibri" w:hAnsi="Calibri"/>
      <w:kern w:val="2"/>
      <w:sz w:val="21"/>
    </w:rPr>
  </w:style>
  <w:style w:type="character" w:customStyle="1" w:styleId="85">
    <w:name w:val="页眉 Char"/>
    <w:basedOn w:val="30"/>
    <w:autoRedefine/>
    <w:qFormat/>
    <w:uiPriority w:val="0"/>
    <w:rPr>
      <w:rFonts w:ascii="Calibri" w:hAnsi="Calibri"/>
      <w:kern w:val="2"/>
      <w:sz w:val="18"/>
      <w:szCs w:val="24"/>
    </w:rPr>
  </w:style>
  <w:style w:type="paragraph" w:customStyle="1" w:styleId="86">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7">
    <w:name w:val="+正文"/>
    <w:basedOn w:val="1"/>
    <w:autoRedefine/>
    <w:qFormat/>
    <w:uiPriority w:val="0"/>
    <w:pPr>
      <w:spacing w:line="360" w:lineRule="auto"/>
      <w:ind w:firstLine="200" w:firstLineChars="200"/>
    </w:pPr>
    <w:rPr>
      <w:sz w:val="24"/>
      <w:szCs w:val="22"/>
    </w:rPr>
  </w:style>
  <w:style w:type="paragraph" w:customStyle="1" w:styleId="88">
    <w:name w:val="1  正文"/>
    <w:basedOn w:val="1"/>
    <w:autoRedefine/>
    <w:qFormat/>
    <w:uiPriority w:val="0"/>
    <w:pPr>
      <w:spacing w:line="360" w:lineRule="auto"/>
      <w:ind w:firstLine="480" w:firstLineChars="200"/>
    </w:pPr>
    <w:rPr>
      <w:sz w:val="24"/>
    </w:rPr>
  </w:style>
  <w:style w:type="paragraph" w:customStyle="1" w:styleId="89">
    <w:name w:val="列出段落1"/>
    <w:basedOn w:val="1"/>
    <w:autoRedefine/>
    <w:qFormat/>
    <w:uiPriority w:val="0"/>
    <w:pPr>
      <w:ind w:firstLine="420" w:firstLineChars="200"/>
    </w:pPr>
    <w:rPr>
      <w:szCs w:val="20"/>
    </w:rPr>
  </w:style>
  <w:style w:type="paragraph" w:customStyle="1" w:styleId="90">
    <w:name w:val="表内文字"/>
    <w:basedOn w:val="1"/>
    <w:autoRedefine/>
    <w:qFormat/>
    <w:uiPriority w:val="0"/>
    <w:pPr>
      <w:jc w:val="center"/>
    </w:pPr>
    <w:rPr>
      <w:sz w:val="24"/>
    </w:rPr>
  </w:style>
  <w:style w:type="paragraph" w:customStyle="1" w:styleId="91">
    <w:name w:val="报告表正文"/>
    <w:basedOn w:val="92"/>
    <w:autoRedefine/>
    <w:qFormat/>
    <w:uiPriority w:val="0"/>
    <w:pPr>
      <w:ind w:firstLine="200" w:firstLineChars="200"/>
      <w:jc w:val="left"/>
    </w:pPr>
    <w:rPr>
      <w:rFonts w:ascii="Times New Roman" w:hAnsi="Times New Roman"/>
      <w:szCs w:val="24"/>
    </w:rPr>
  </w:style>
  <w:style w:type="paragraph" w:customStyle="1" w:styleId="92">
    <w:name w:val="列表1"/>
    <w:basedOn w:val="1"/>
    <w:autoRedefine/>
    <w:qFormat/>
    <w:uiPriority w:val="0"/>
    <w:pPr>
      <w:spacing w:line="400" w:lineRule="exact"/>
      <w:jc w:val="center"/>
    </w:pPr>
    <w:rPr>
      <w:rFonts w:ascii="宋体" w:hAnsi="宋体" w:eastAsia="仿宋_GB2312"/>
      <w:sz w:val="24"/>
      <w:szCs w:val="20"/>
    </w:rPr>
  </w:style>
  <w:style w:type="character" w:customStyle="1" w:styleId="93">
    <w:name w:val="font31"/>
    <w:basedOn w:val="30"/>
    <w:autoRedefine/>
    <w:qFormat/>
    <w:uiPriority w:val="0"/>
    <w:rPr>
      <w:rFonts w:hint="eastAsia" w:ascii="宋体" w:hAnsi="宋体" w:eastAsia="宋体" w:cs="宋体"/>
      <w:color w:val="000000"/>
      <w:sz w:val="24"/>
      <w:szCs w:val="24"/>
      <w:u w:val="none"/>
    </w:rPr>
  </w:style>
  <w:style w:type="paragraph" w:customStyle="1" w:styleId="94">
    <w:name w:val="3表格正文"/>
    <w:basedOn w:val="1"/>
    <w:autoRedefine/>
    <w:qFormat/>
    <w:uiPriority w:val="0"/>
    <w:pPr>
      <w:widowControl w:val="0"/>
      <w:adjustRightInd w:val="0"/>
      <w:snapToGrid w:val="0"/>
      <w:jc w:val="center"/>
    </w:pPr>
    <w:rPr>
      <w:rFonts w:ascii="Times New Roman" w:hAnsi="Times New Roman" w:eastAsia="宋体" w:cs="Times New Roman"/>
      <w:bCs/>
      <w:color w:val="FF0000"/>
      <w:kern w:val="2"/>
      <w:sz w:val="21"/>
      <w:szCs w:val="21"/>
    </w:rPr>
  </w:style>
  <w:style w:type="paragraph" w:customStyle="1" w:styleId="95">
    <w:name w:val="正文11"/>
    <w:basedOn w:val="1"/>
    <w:autoRedefine/>
    <w:qFormat/>
    <w:uiPriority w:val="0"/>
    <w:pPr>
      <w:widowControl w:val="0"/>
      <w:autoSpaceDE w:val="0"/>
      <w:autoSpaceDN w:val="0"/>
      <w:snapToGrid w:val="0"/>
      <w:spacing w:before="240" w:line="520" w:lineRule="atLeast"/>
      <w:ind w:firstLine="510"/>
      <w:jc w:val="both"/>
    </w:pPr>
    <w:rPr>
      <w:rFonts w:cs="Times New Roman"/>
      <w:szCs w:val="20"/>
    </w:rPr>
  </w:style>
  <w:style w:type="paragraph" w:customStyle="1" w:styleId="96">
    <w:name w:val="第一、五章 表格正文"/>
    <w:basedOn w:val="7"/>
    <w:autoRedefine/>
    <w:qFormat/>
    <w:uiPriority w:val="0"/>
    <w:pPr>
      <w:jc w:val="center"/>
    </w:pPr>
    <w:rPr>
      <w:rFonts w:eastAsia="仿宋_GB2312"/>
    </w:rPr>
  </w:style>
  <w:style w:type="paragraph" w:customStyle="1" w:styleId="97">
    <w:name w:val="Z嵌套表格内容"/>
    <w:basedOn w:val="1"/>
    <w:autoRedefine/>
    <w:qFormat/>
    <w:uiPriority w:val="0"/>
    <w:pPr>
      <w:jc w:val="center"/>
    </w:pPr>
  </w:style>
  <w:style w:type="paragraph" w:customStyle="1" w:styleId="98">
    <w:name w:val="Z表格标题"/>
    <w:basedOn w:val="1"/>
    <w:next w:val="1"/>
    <w:autoRedefine/>
    <w:qFormat/>
    <w:uiPriority w:val="0"/>
    <w:pPr>
      <w:widowControl/>
      <w:spacing w:line="490" w:lineRule="exact"/>
      <w:jc w:val="center"/>
    </w:pPr>
    <w:rPr>
      <w:rFonts w:ascii="Times New Roman" w:hAnsi="Times New Roman" w:cs="宋体"/>
      <w:b/>
      <w:kern w:val="0"/>
      <w:sz w:val="24"/>
      <w:szCs w:val="24"/>
    </w:rPr>
  </w:style>
  <w:style w:type="paragraph" w:customStyle="1" w:styleId="99">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0">
    <w:name w:val="无间隔11"/>
    <w:autoRedefine/>
    <w:qFormat/>
    <w:uiPriority w:val="0"/>
    <w:pPr>
      <w:widowControl w:val="0"/>
    </w:pPr>
    <w:rPr>
      <w:rFonts w:ascii="宋体" w:hAnsi="Courier New" w:eastAsia="仿宋_GB2312" w:cs="Times New Roman"/>
      <w:kern w:val="2"/>
      <w:sz w:val="24"/>
      <w:lang w:val="en-US" w:eastAsia="zh-CN" w:bidi="ar-SA"/>
    </w:rPr>
  </w:style>
  <w:style w:type="paragraph" w:customStyle="1" w:styleId="101">
    <w:name w:val="a四级标题"/>
    <w:basedOn w:val="1"/>
    <w:autoRedefine/>
    <w:qFormat/>
    <w:uiPriority w:val="0"/>
    <w:pPr>
      <w:spacing w:line="360" w:lineRule="auto"/>
    </w:pPr>
    <w:rPr>
      <w:rFonts w:ascii="Times New Roman"/>
      <w:b/>
    </w:rPr>
  </w:style>
  <w:style w:type="paragraph" w:customStyle="1" w:styleId="102">
    <w:name w:val="陈表格标题"/>
    <w:basedOn w:val="1"/>
    <w:next w:val="20"/>
    <w:autoRedefine/>
    <w:qFormat/>
    <w:uiPriority w:val="0"/>
    <w:pPr>
      <w:adjustRightInd w:val="0"/>
      <w:snapToGrid w:val="0"/>
      <w:spacing w:line="240" w:lineRule="auto"/>
      <w:ind w:firstLine="720"/>
      <w:jc w:val="center"/>
    </w:pPr>
    <w:rPr>
      <w:b/>
      <w:kern w:val="0"/>
      <w:szCs w:val="20"/>
    </w:rPr>
  </w:style>
  <w:style w:type="paragraph" w:customStyle="1" w:styleId="103">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104">
    <w:name w:val="表头"/>
    <w:basedOn w:val="1"/>
    <w:autoRedefine/>
    <w:qFormat/>
    <w:uiPriority w:val="0"/>
    <w:pPr>
      <w:adjustRightInd w:val="0"/>
      <w:spacing w:line="240" w:lineRule="auto"/>
      <w:ind w:firstLine="0" w:firstLineChars="0"/>
      <w:jc w:val="center"/>
    </w:pPr>
    <w:rPr>
      <w:b/>
    </w:rPr>
  </w:style>
  <w:style w:type="paragraph" w:customStyle="1" w:styleId="105">
    <w:name w:val="a表"/>
    <w:basedOn w:val="1"/>
    <w:autoRedefine/>
    <w:qFormat/>
    <w:uiPriority w:val="0"/>
    <w:pPr>
      <w:snapToGrid w:val="0"/>
      <w:spacing w:line="240" w:lineRule="auto"/>
      <w:ind w:firstLine="0" w:firstLineChars="0"/>
      <w:jc w:val="center"/>
    </w:pPr>
    <w:rPr>
      <w:spacing w:val="2"/>
      <w:szCs w:val="22"/>
    </w:rPr>
  </w:style>
  <w:style w:type="paragraph" w:customStyle="1" w:styleId="106">
    <w:name w:val="表格内容"/>
    <w:basedOn w:val="1"/>
    <w:next w:val="1"/>
    <w:autoRedefine/>
    <w:qFormat/>
    <w:uiPriority w:val="0"/>
    <w:pPr>
      <w:widowControl/>
      <w:snapToGrid/>
      <w:spacing w:line="240" w:lineRule="auto"/>
      <w:ind w:firstLine="0" w:firstLineChars="0"/>
      <w:jc w:val="center"/>
    </w:pPr>
    <w:rPr>
      <w:rFonts w:eastAsia="楷体" w:cs="宋体"/>
      <w:color w:val="00000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10833</Words>
  <Characters>11297</Characters>
  <Lines>393</Lines>
  <Paragraphs>110</Paragraphs>
  <TotalTime>0</TotalTime>
  <ScaleCrop>false</ScaleCrop>
  <LinksUpToDate>false</LinksUpToDate>
  <CharactersWithSpaces>11337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2025-04-27T00:39:00Z</cp:lastPrinted>
  <dcterms:modified xsi:type="dcterms:W3CDTF">2025-05-19T07:57:41Z</dcterms:modified>
  <dc:title>附件2</dc:title>
  <cp:revision>958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55890C15BDD647239AE8F86BFB75E25B</vt:lpwstr>
  </property>
  <property fmtid="{D5CDD505-2E9C-101B-9397-08002B2CF9AE}" pid="4" name="KSOTemplateDocerSaveRecord">
    <vt:lpwstr>eyJoZGlkIjoiYWZhMzA0MTE2MGQ3ODcwOTgyMWY3NzY0ZDhkYzQxODciLCJ1c2VySWQiOiIzODk2NzQyOTcifQ==</vt:lpwstr>
  </property>
</Properties>
</file>