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629B18">
      <w:pPr>
        <w:rPr>
          <w:rFonts w:eastAsia="仿宋"/>
          <w:color w:val="000000" w:themeColor="text1"/>
          <w:sz w:val="36"/>
          <w:szCs w:val="36"/>
          <w14:textFill>
            <w14:solidFill>
              <w14:schemeClr w14:val="tx1"/>
            </w14:solidFill>
          </w14:textFill>
        </w:rPr>
      </w:pPr>
      <w:r>
        <w:rPr>
          <w:rFonts w:eastAsia="仿宋"/>
          <w:color w:val="000000" w:themeColor="text1"/>
          <w:sz w:val="36"/>
          <w:szCs w:val="36"/>
          <w14:textFill>
            <w14:solidFill>
              <w14:schemeClr w14:val="tx1"/>
            </w14:solidFill>
          </w14:textFill>
        </w:rPr>
        <w:drawing>
          <wp:inline distT="0" distB="0" distL="0" distR="0">
            <wp:extent cx="5615940" cy="7491095"/>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615940" cy="7491095"/>
                    </a:xfrm>
                    <a:prstGeom prst="rect">
                      <a:avLst/>
                    </a:prstGeom>
                    <a:noFill/>
                    <a:ln>
                      <a:noFill/>
                    </a:ln>
                  </pic:spPr>
                </pic:pic>
              </a:graphicData>
            </a:graphic>
          </wp:inline>
        </w:drawing>
      </w:r>
    </w:p>
    <w:p w14:paraId="754A5A7E">
      <w:pPr>
        <w:rPr>
          <w:rFonts w:eastAsia="仿宋"/>
          <w:color w:val="000000" w:themeColor="text1"/>
          <w:sz w:val="36"/>
          <w:szCs w:val="36"/>
          <w14:textFill>
            <w14:solidFill>
              <w14:schemeClr w14:val="tx1"/>
            </w14:solidFill>
          </w14:textFill>
        </w:rPr>
      </w:pPr>
    </w:p>
    <w:p w14:paraId="51DD5CB4">
      <w:pPr>
        <w:rPr>
          <w:rFonts w:eastAsia="仿宋"/>
          <w:color w:val="000000" w:themeColor="text1"/>
          <w:sz w:val="36"/>
          <w:szCs w:val="36"/>
          <w14:textFill>
            <w14:solidFill>
              <w14:schemeClr w14:val="tx1"/>
            </w14:solidFill>
          </w14:textFill>
        </w:rPr>
      </w:pPr>
    </w:p>
    <w:p w14:paraId="2662595E">
      <w:pPr>
        <w:rPr>
          <w:rFonts w:eastAsia="仿宋"/>
          <w:color w:val="000000" w:themeColor="text1"/>
          <w:sz w:val="36"/>
          <w:szCs w:val="36"/>
          <w14:textFill>
            <w14:solidFill>
              <w14:schemeClr w14:val="tx1"/>
            </w14:solidFill>
          </w14:textFill>
        </w:rPr>
        <w:sectPr>
          <w:footerReference r:id="rId3" w:type="default"/>
          <w:footerReference r:id="rId4" w:type="even"/>
          <w:pgSz w:w="11906" w:h="16838"/>
          <w:pgMar w:top="1701" w:right="1531" w:bottom="1701" w:left="1531" w:header="851" w:footer="1077" w:gutter="0"/>
          <w:pgNumType w:chapStyle="1"/>
          <w:cols w:space="720" w:num="1"/>
          <w:docGrid w:linePitch="312" w:charSpace="0"/>
        </w:sectPr>
      </w:pPr>
    </w:p>
    <w:p w14:paraId="201201F7">
      <w:pPr>
        <w:rPr>
          <w:rFonts w:eastAsia="仿宋"/>
          <w:color w:val="000000" w:themeColor="text1"/>
          <w:sz w:val="36"/>
          <w:szCs w:val="36"/>
          <w14:textFill>
            <w14:solidFill>
              <w14:schemeClr w14:val="tx1"/>
            </w14:solidFill>
          </w14:textFill>
        </w:rPr>
      </w:pPr>
      <w:r>
        <w:rPr>
          <w:rFonts w:eastAsia="仿宋"/>
          <w:color w:val="000000" w:themeColor="text1"/>
          <w:sz w:val="36"/>
          <w:szCs w:val="36"/>
          <w14:textFill>
            <w14:solidFill>
              <w14:schemeClr w14:val="tx1"/>
            </w14:solidFill>
          </w14:textFill>
        </w:rPr>
        <w:drawing>
          <wp:inline distT="0" distB="0" distL="0" distR="0">
            <wp:extent cx="5615940" cy="770001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615940" cy="7700010"/>
                    </a:xfrm>
                    <a:prstGeom prst="rect">
                      <a:avLst/>
                    </a:prstGeom>
                    <a:noFill/>
                    <a:ln>
                      <a:noFill/>
                    </a:ln>
                  </pic:spPr>
                </pic:pic>
              </a:graphicData>
            </a:graphic>
          </wp:inline>
        </w:drawing>
      </w:r>
    </w:p>
    <w:p w14:paraId="166D1893">
      <w:pPr>
        <w:rPr>
          <w:rFonts w:eastAsia="仿宋"/>
          <w:color w:val="000000" w:themeColor="text1"/>
          <w:sz w:val="36"/>
          <w:szCs w:val="36"/>
          <w14:textFill>
            <w14:solidFill>
              <w14:schemeClr w14:val="tx1"/>
            </w14:solidFill>
          </w14:textFill>
        </w:rPr>
      </w:pPr>
    </w:p>
    <w:p w14:paraId="5CA2A9A5">
      <w:pPr>
        <w:rPr>
          <w:rFonts w:eastAsia="仿宋"/>
          <w:color w:val="000000" w:themeColor="text1"/>
          <w:sz w:val="36"/>
          <w:szCs w:val="36"/>
          <w14:textFill>
            <w14:solidFill>
              <w14:schemeClr w14:val="tx1"/>
            </w14:solidFill>
          </w14:textFill>
        </w:rPr>
        <w:sectPr>
          <w:pgSz w:w="11906" w:h="16838"/>
          <w:pgMar w:top="1701" w:right="1531" w:bottom="1701" w:left="1531" w:header="851" w:footer="1077" w:gutter="0"/>
          <w:pgNumType w:chapStyle="1"/>
          <w:cols w:space="720" w:num="1"/>
          <w:docGrid w:linePitch="312" w:charSpace="0"/>
        </w:sectPr>
      </w:pPr>
    </w:p>
    <w:p w14:paraId="79BF2D0B">
      <w:pPr>
        <w:spacing w:before="960" w:beforeLines="400"/>
        <w:jc w:val="center"/>
        <w:rPr>
          <w:rFonts w:eastAsia="仿宋"/>
          <w:color w:val="000000" w:themeColor="text1"/>
          <w:sz w:val="36"/>
          <w:szCs w:val="36"/>
          <w14:textFill>
            <w14:solidFill>
              <w14:schemeClr w14:val="tx1"/>
            </w14:solidFill>
          </w14:textFill>
        </w:rPr>
      </w:pPr>
      <w:r>
        <w:drawing>
          <wp:inline distT="0" distB="0" distL="0" distR="0">
            <wp:extent cx="4234815" cy="5974080"/>
            <wp:effectExtent l="6668" t="0" r="952" b="953"/>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rot="5400000">
                      <a:off x="0" y="0"/>
                      <a:ext cx="4243321" cy="5985852"/>
                    </a:xfrm>
                    <a:prstGeom prst="rect">
                      <a:avLst/>
                    </a:prstGeom>
                  </pic:spPr>
                </pic:pic>
              </a:graphicData>
            </a:graphic>
          </wp:inline>
        </w:drawing>
      </w:r>
    </w:p>
    <w:p w14:paraId="68D16B1E">
      <w:pPr>
        <w:rPr>
          <w:rFonts w:eastAsia="仿宋"/>
          <w:color w:val="000000" w:themeColor="text1"/>
          <w:sz w:val="36"/>
          <w:szCs w:val="36"/>
          <w14:textFill>
            <w14:solidFill>
              <w14:schemeClr w14:val="tx1"/>
            </w14:solidFill>
          </w14:textFill>
        </w:rPr>
      </w:pPr>
    </w:p>
    <w:p w14:paraId="3C967668">
      <w:pPr>
        <w:rPr>
          <w:rFonts w:eastAsia="仿宋"/>
          <w:color w:val="000000" w:themeColor="text1"/>
          <w:sz w:val="36"/>
          <w:szCs w:val="36"/>
          <w14:textFill>
            <w14:solidFill>
              <w14:schemeClr w14:val="tx1"/>
            </w14:solidFill>
          </w14:textFill>
        </w:rPr>
        <w:sectPr>
          <w:pgSz w:w="11906" w:h="16838"/>
          <w:pgMar w:top="1701" w:right="1531" w:bottom="1701" w:left="1531" w:header="851" w:footer="1077" w:gutter="0"/>
          <w:pgNumType w:chapStyle="1"/>
          <w:cols w:space="720" w:num="1"/>
          <w:docGrid w:linePitch="312" w:charSpace="0"/>
        </w:sectPr>
      </w:pPr>
    </w:p>
    <w:p w14:paraId="5DE05092">
      <w:pPr>
        <w:spacing w:before="960" w:beforeLines="400"/>
        <w:jc w:val="center"/>
        <w:rPr>
          <w:rFonts w:eastAsia="仿宋"/>
          <w:color w:val="000000" w:themeColor="text1"/>
          <w:sz w:val="36"/>
          <w:szCs w:val="36"/>
          <w14:textFill>
            <w14:solidFill>
              <w14:schemeClr w14:val="tx1"/>
            </w14:solidFill>
          </w14:textFill>
        </w:rPr>
      </w:pPr>
      <w:r>
        <w:drawing>
          <wp:inline distT="0" distB="0" distL="0" distR="0">
            <wp:extent cx="4279900" cy="5935980"/>
            <wp:effectExtent l="0" t="889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rot="5400000">
                      <a:off x="0" y="0"/>
                      <a:ext cx="4286838" cy="5945527"/>
                    </a:xfrm>
                    <a:prstGeom prst="rect">
                      <a:avLst/>
                    </a:prstGeom>
                  </pic:spPr>
                </pic:pic>
              </a:graphicData>
            </a:graphic>
          </wp:inline>
        </w:drawing>
      </w:r>
    </w:p>
    <w:p w14:paraId="0FEF9AE7">
      <w:pPr>
        <w:rPr>
          <w:rFonts w:eastAsia="仿宋"/>
          <w:color w:val="000000" w:themeColor="text1"/>
          <w:sz w:val="36"/>
          <w:szCs w:val="36"/>
          <w14:textFill>
            <w14:solidFill>
              <w14:schemeClr w14:val="tx1"/>
            </w14:solidFill>
          </w14:textFill>
        </w:rPr>
        <w:sectPr>
          <w:pgSz w:w="11906" w:h="16838"/>
          <w:pgMar w:top="1701" w:right="1531" w:bottom="1701" w:left="1531" w:header="851" w:footer="1077" w:gutter="0"/>
          <w:pgNumType w:chapStyle="1"/>
          <w:cols w:space="720" w:num="1"/>
          <w:docGrid w:linePitch="312" w:charSpace="0"/>
        </w:sectPr>
      </w:pPr>
    </w:p>
    <w:p w14:paraId="1E7A2CB5">
      <w:pPr>
        <w:rPr>
          <w:rFonts w:eastAsia="仿宋"/>
          <w:color w:val="000000" w:themeColor="text1"/>
          <w:sz w:val="36"/>
          <w:szCs w:val="36"/>
          <w14:textFill>
            <w14:solidFill>
              <w14:schemeClr w14:val="tx1"/>
            </w14:solidFill>
          </w14:textFill>
        </w:rPr>
      </w:pPr>
    </w:p>
    <w:p w14:paraId="504C5E0B">
      <w:pPr>
        <w:rPr>
          <w:rFonts w:eastAsia="仿宋"/>
          <w:color w:val="000000" w:themeColor="text1"/>
          <w:sz w:val="36"/>
          <w:szCs w:val="36"/>
          <w14:textFill>
            <w14:solidFill>
              <w14:schemeClr w14:val="tx1"/>
            </w14:solidFill>
          </w14:textFill>
        </w:rPr>
      </w:pPr>
      <w:r>
        <w:drawing>
          <wp:inline distT="0" distB="0" distL="0" distR="0">
            <wp:extent cx="5553075" cy="68294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553075" cy="6829425"/>
                    </a:xfrm>
                    <a:prstGeom prst="rect">
                      <a:avLst/>
                    </a:prstGeom>
                  </pic:spPr>
                </pic:pic>
              </a:graphicData>
            </a:graphic>
          </wp:inline>
        </w:drawing>
      </w:r>
    </w:p>
    <w:p w14:paraId="56A3E378">
      <w:pPr>
        <w:rPr>
          <w:rFonts w:eastAsia="仿宋"/>
          <w:color w:val="000000" w:themeColor="text1"/>
          <w:sz w:val="36"/>
          <w:szCs w:val="36"/>
          <w14:textFill>
            <w14:solidFill>
              <w14:schemeClr w14:val="tx1"/>
            </w14:solidFill>
          </w14:textFill>
        </w:rPr>
      </w:pPr>
    </w:p>
    <w:p w14:paraId="4C004809">
      <w:pPr>
        <w:rPr>
          <w:rFonts w:eastAsia="仿宋"/>
          <w:color w:val="000000" w:themeColor="text1"/>
          <w:sz w:val="36"/>
          <w:szCs w:val="36"/>
          <w14:textFill>
            <w14:solidFill>
              <w14:schemeClr w14:val="tx1"/>
            </w14:solidFill>
          </w14:textFill>
        </w:rPr>
        <w:sectPr>
          <w:pgSz w:w="11906" w:h="16838"/>
          <w:pgMar w:top="1701" w:right="1531" w:bottom="1701" w:left="1531" w:header="851" w:footer="1077" w:gutter="0"/>
          <w:pgNumType w:chapStyle="1"/>
          <w:cols w:space="720" w:num="1"/>
          <w:docGrid w:linePitch="312" w:charSpace="0"/>
        </w:sectPr>
      </w:pPr>
    </w:p>
    <w:p w14:paraId="2D9672C0">
      <w:pPr>
        <w:pStyle w:val="21"/>
        <w:rPr>
          <w:color w:val="000000" w:themeColor="text1"/>
          <w14:textFill>
            <w14:solidFill>
              <w14:schemeClr w14:val="tx1"/>
            </w14:solidFill>
          </w14:textFill>
        </w:rPr>
      </w:pPr>
      <w:r>
        <w:rPr>
          <w:color w:val="000000" w:themeColor="text1"/>
          <w14:textFill>
            <w14:solidFill>
              <w14:schemeClr w14:val="tx1"/>
            </w14:solidFill>
          </w14:textFill>
        </w:rPr>
        <w:t>一、建设项目基本情况</w:t>
      </w:r>
    </w:p>
    <w:tbl>
      <w:tblPr>
        <w:tblStyle w:val="24"/>
        <w:tblW w:w="97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50"/>
        <w:gridCol w:w="2725"/>
        <w:gridCol w:w="2126"/>
        <w:gridCol w:w="3337"/>
      </w:tblGrid>
      <w:tr w14:paraId="702C6A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4" w:hRule="atLeast"/>
          <w:jc w:val="center"/>
        </w:trPr>
        <w:tc>
          <w:tcPr>
            <w:tcW w:w="1550" w:type="dxa"/>
            <w:tcMar>
              <w:top w:w="16" w:type="dxa"/>
              <w:left w:w="16" w:type="dxa"/>
              <w:right w:w="16" w:type="dxa"/>
            </w:tcMar>
            <w:vAlign w:val="center"/>
          </w:tcPr>
          <w:p w14:paraId="7FBCEC37">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建设项目名称</w:t>
            </w:r>
          </w:p>
        </w:tc>
        <w:tc>
          <w:tcPr>
            <w:tcW w:w="8188" w:type="dxa"/>
            <w:gridSpan w:val="3"/>
            <w:vAlign w:val="center"/>
          </w:tcPr>
          <w:p w14:paraId="0DBEEA3A">
            <w:pPr>
              <w:adjustRightInd w:val="0"/>
              <w:snapToGrid w:val="0"/>
              <w:jc w:val="center"/>
              <w:rPr>
                <w:rFonts w:eastAsia="仿宋"/>
                <w:color w:val="000000" w:themeColor="text1"/>
                <w:sz w:val="24"/>
                <w14:textFill>
                  <w14:solidFill>
                    <w14:schemeClr w14:val="tx1"/>
                  </w14:solidFill>
                </w14:textFill>
              </w:rPr>
            </w:pPr>
            <w:bookmarkStart w:id="0" w:name="_Hlk193960285"/>
            <w:r>
              <w:rPr>
                <w:rFonts w:hint="eastAsia" w:eastAsia="仿宋"/>
                <w:color w:val="000000" w:themeColor="text1"/>
                <w:sz w:val="24"/>
                <w14:textFill>
                  <w14:solidFill>
                    <w14:schemeClr w14:val="tx1"/>
                  </w14:solidFill>
                </w14:textFill>
              </w:rPr>
              <w:t>医疗诊断用Ge68/Ga68发生器设备生产项目（非辐射部分）</w:t>
            </w:r>
            <w:bookmarkEnd w:id="0"/>
          </w:p>
        </w:tc>
      </w:tr>
      <w:tr w14:paraId="7812A6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7" w:hRule="atLeast"/>
          <w:jc w:val="center"/>
        </w:trPr>
        <w:tc>
          <w:tcPr>
            <w:tcW w:w="1550" w:type="dxa"/>
            <w:tcMar>
              <w:top w:w="16" w:type="dxa"/>
              <w:left w:w="16" w:type="dxa"/>
              <w:right w:w="16" w:type="dxa"/>
            </w:tcMar>
            <w:vAlign w:val="center"/>
          </w:tcPr>
          <w:p w14:paraId="72FC53CE">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项目代码</w:t>
            </w:r>
          </w:p>
        </w:tc>
        <w:tc>
          <w:tcPr>
            <w:tcW w:w="8188" w:type="dxa"/>
            <w:gridSpan w:val="3"/>
            <w:vAlign w:val="center"/>
          </w:tcPr>
          <w:p w14:paraId="5527EF42">
            <w:pPr>
              <w:adjustRightInd w:val="0"/>
              <w:snapToGrid w:val="0"/>
              <w:jc w:val="center"/>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2</w:t>
            </w:r>
            <w:r>
              <w:rPr>
                <w:rFonts w:eastAsia="仿宋"/>
                <w:color w:val="000000" w:themeColor="text1"/>
                <w:sz w:val="24"/>
                <w14:textFill>
                  <w14:solidFill>
                    <w14:schemeClr w14:val="tx1"/>
                  </w14:solidFill>
                </w14:textFill>
              </w:rPr>
              <w:t>209-320458-89-05-181331</w:t>
            </w:r>
          </w:p>
        </w:tc>
      </w:tr>
      <w:tr w14:paraId="3176DD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50" w:type="dxa"/>
            <w:tcMar>
              <w:top w:w="16" w:type="dxa"/>
              <w:left w:w="16" w:type="dxa"/>
              <w:right w:w="16" w:type="dxa"/>
            </w:tcMar>
            <w:vAlign w:val="center"/>
          </w:tcPr>
          <w:p w14:paraId="7E91CDD5">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建设单位联系人</w:t>
            </w:r>
          </w:p>
        </w:tc>
        <w:tc>
          <w:tcPr>
            <w:tcW w:w="2725" w:type="dxa"/>
            <w:vAlign w:val="center"/>
          </w:tcPr>
          <w:p w14:paraId="3A925632">
            <w:pPr>
              <w:adjustRightInd w:val="0"/>
              <w:snapToGrid w:val="0"/>
              <w:jc w:val="center"/>
              <w:rPr>
                <w:rFonts w:eastAsia="仿宋"/>
                <w:color w:val="000000" w:themeColor="text1"/>
                <w:sz w:val="24"/>
                <w14:textFill>
                  <w14:solidFill>
                    <w14:schemeClr w14:val="tx1"/>
                  </w14:solidFill>
                </w14:textFill>
              </w:rPr>
            </w:pPr>
            <w:bookmarkStart w:id="1" w:name="OLE_LINK35"/>
            <w:bookmarkStart w:id="2" w:name="OLE_LINK36"/>
            <w:r>
              <w:rPr>
                <w:rFonts w:hint="eastAsia" w:eastAsia="仿宋"/>
                <w:color w:val="000000" w:themeColor="text1"/>
                <w:sz w:val="24"/>
                <w14:textFill>
                  <w14:solidFill>
                    <w14:schemeClr w14:val="tx1"/>
                  </w14:solidFill>
                </w14:textFill>
              </w:rPr>
              <w:t>*</w:t>
            </w:r>
            <w:r>
              <w:rPr>
                <w:rFonts w:eastAsia="仿宋"/>
                <w:color w:val="000000" w:themeColor="text1"/>
                <w:sz w:val="24"/>
                <w14:textFill>
                  <w14:solidFill>
                    <w14:schemeClr w14:val="tx1"/>
                  </w14:solidFill>
                </w14:textFill>
              </w:rPr>
              <w:t>****</w:t>
            </w:r>
            <w:bookmarkEnd w:id="1"/>
            <w:bookmarkEnd w:id="2"/>
          </w:p>
        </w:tc>
        <w:tc>
          <w:tcPr>
            <w:tcW w:w="2126" w:type="dxa"/>
            <w:vAlign w:val="center"/>
          </w:tcPr>
          <w:p w14:paraId="1B0192B5">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联系方式</w:t>
            </w:r>
          </w:p>
        </w:tc>
        <w:tc>
          <w:tcPr>
            <w:tcW w:w="3337" w:type="dxa"/>
            <w:vAlign w:val="center"/>
          </w:tcPr>
          <w:p w14:paraId="2665FBBA">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w:t>
            </w:r>
          </w:p>
        </w:tc>
      </w:tr>
      <w:tr w14:paraId="4C1710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50" w:type="dxa"/>
            <w:tcMar>
              <w:top w:w="16" w:type="dxa"/>
              <w:left w:w="16" w:type="dxa"/>
              <w:right w:w="16" w:type="dxa"/>
            </w:tcMar>
            <w:vAlign w:val="center"/>
          </w:tcPr>
          <w:p w14:paraId="381B28B3">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建设地点</w:t>
            </w:r>
          </w:p>
        </w:tc>
        <w:tc>
          <w:tcPr>
            <w:tcW w:w="8188" w:type="dxa"/>
            <w:gridSpan w:val="3"/>
            <w:vAlign w:val="center"/>
          </w:tcPr>
          <w:p w14:paraId="04F52848">
            <w:pPr>
              <w:adjustRightInd w:val="0"/>
              <w:snapToGrid w:val="0"/>
              <w:jc w:val="center"/>
              <w:rPr>
                <w:rFonts w:eastAsia="仿宋"/>
                <w:color w:val="000000" w:themeColor="text1"/>
                <w:sz w:val="24"/>
                <w14:textFill>
                  <w14:solidFill>
                    <w14:schemeClr w14:val="tx1"/>
                  </w14:solidFill>
                </w14:textFill>
              </w:rPr>
            </w:pPr>
            <w:bookmarkStart w:id="3" w:name="OLE_LINK1"/>
            <w:r>
              <w:rPr>
                <w:rFonts w:eastAsia="仿宋"/>
                <w:color w:val="000000" w:themeColor="text1"/>
                <w:sz w:val="24"/>
                <w14:textFill>
                  <w14:solidFill>
                    <w14:schemeClr w14:val="tx1"/>
                  </w14:solidFill>
                </w14:textFill>
              </w:rPr>
              <w:t>江苏省常州市</w:t>
            </w:r>
            <w:r>
              <w:rPr>
                <w:rFonts w:hint="eastAsia" w:eastAsia="仿宋"/>
                <w:color w:val="000000" w:themeColor="text1"/>
                <w:sz w:val="24"/>
                <w14:textFill>
                  <w14:solidFill>
                    <w14:schemeClr w14:val="tx1"/>
                  </w14:solidFill>
                </w14:textFill>
              </w:rPr>
              <w:t>江苏金坛经济开发区</w:t>
            </w:r>
            <w:bookmarkEnd w:id="3"/>
            <w:r>
              <w:rPr>
                <w:rFonts w:hint="eastAsia" w:eastAsia="仿宋"/>
                <w:color w:val="000000" w:themeColor="text1"/>
                <w:sz w:val="24"/>
                <w14:textFill>
                  <w14:solidFill>
                    <w14:schemeClr w14:val="tx1"/>
                  </w14:solidFill>
                </w14:textFill>
              </w:rPr>
              <w:t>汇福路东侧，珠山路南侧</w:t>
            </w:r>
            <w:r>
              <w:rPr>
                <w:rFonts w:eastAsia="仿宋"/>
                <w:color w:val="000000" w:themeColor="text1"/>
                <w:sz w:val="24"/>
                <w14:textFill>
                  <w14:solidFill>
                    <w14:schemeClr w14:val="tx1"/>
                  </w14:solidFill>
                </w14:textFill>
              </w:rPr>
              <w:t>（不属于国控站点3公里范围内）</w:t>
            </w:r>
          </w:p>
        </w:tc>
      </w:tr>
      <w:tr w14:paraId="55FC73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50" w:type="dxa"/>
            <w:tcMar>
              <w:top w:w="16" w:type="dxa"/>
              <w:left w:w="16" w:type="dxa"/>
              <w:right w:w="16" w:type="dxa"/>
            </w:tcMar>
            <w:vAlign w:val="center"/>
          </w:tcPr>
          <w:p w14:paraId="2BCF778C">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地理坐标</w:t>
            </w:r>
          </w:p>
        </w:tc>
        <w:tc>
          <w:tcPr>
            <w:tcW w:w="8188" w:type="dxa"/>
            <w:gridSpan w:val="3"/>
            <w:vAlign w:val="center"/>
          </w:tcPr>
          <w:p w14:paraId="512A11DF">
            <w:pPr>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w:t>
            </w:r>
            <w:r>
              <w:rPr>
                <w:rFonts w:eastAsia="仿宋"/>
                <w:color w:val="000000" w:themeColor="text1"/>
                <w:sz w:val="24"/>
                <w:u w:val="single"/>
                <w14:textFill>
                  <w14:solidFill>
                    <w14:schemeClr w14:val="tx1"/>
                  </w14:solidFill>
                </w14:textFill>
              </w:rPr>
              <w:t>119</w:t>
            </w:r>
            <w:r>
              <w:rPr>
                <w:rFonts w:eastAsia="仿宋"/>
                <w:color w:val="000000" w:themeColor="text1"/>
                <w:sz w:val="24"/>
                <w14:textFill>
                  <w14:solidFill>
                    <w14:schemeClr w14:val="tx1"/>
                  </w14:solidFill>
                </w14:textFill>
              </w:rPr>
              <w:t>度</w:t>
            </w:r>
            <w:r>
              <w:rPr>
                <w:rFonts w:eastAsia="仿宋"/>
                <w:color w:val="000000" w:themeColor="text1"/>
                <w:sz w:val="24"/>
                <w:u w:val="single"/>
                <w14:textFill>
                  <w14:solidFill>
                    <w14:schemeClr w14:val="tx1"/>
                  </w14:solidFill>
                </w14:textFill>
              </w:rPr>
              <w:t>38</w:t>
            </w:r>
            <w:r>
              <w:rPr>
                <w:rFonts w:eastAsia="仿宋"/>
                <w:color w:val="000000" w:themeColor="text1"/>
                <w:sz w:val="24"/>
                <w14:textFill>
                  <w14:solidFill>
                    <w14:schemeClr w14:val="tx1"/>
                  </w14:solidFill>
                </w14:textFill>
              </w:rPr>
              <w:t>分</w:t>
            </w:r>
            <w:r>
              <w:rPr>
                <w:rFonts w:eastAsia="仿宋"/>
                <w:color w:val="000000" w:themeColor="text1"/>
                <w:sz w:val="24"/>
                <w:u w:val="single"/>
                <w14:textFill>
                  <w14:solidFill>
                    <w14:schemeClr w14:val="tx1"/>
                  </w14:solidFill>
                </w14:textFill>
              </w:rPr>
              <w:t>51.832</w:t>
            </w:r>
            <w:r>
              <w:rPr>
                <w:rFonts w:eastAsia="仿宋"/>
                <w:color w:val="000000" w:themeColor="text1"/>
                <w:sz w:val="24"/>
                <w14:textFill>
                  <w14:solidFill>
                    <w14:schemeClr w14:val="tx1"/>
                  </w14:solidFill>
                </w14:textFill>
              </w:rPr>
              <w:t>秒，</w:t>
            </w:r>
            <w:r>
              <w:rPr>
                <w:rFonts w:eastAsia="仿宋"/>
                <w:color w:val="000000" w:themeColor="text1"/>
                <w:sz w:val="24"/>
                <w:u w:val="single"/>
                <w14:textFill>
                  <w14:solidFill>
                    <w14:schemeClr w14:val="tx1"/>
                  </w14:solidFill>
                </w14:textFill>
              </w:rPr>
              <w:t>31</w:t>
            </w:r>
            <w:r>
              <w:rPr>
                <w:rFonts w:eastAsia="仿宋"/>
                <w:color w:val="000000" w:themeColor="text1"/>
                <w:sz w:val="24"/>
                <w14:textFill>
                  <w14:solidFill>
                    <w14:schemeClr w14:val="tx1"/>
                  </w14:solidFill>
                </w14:textFill>
              </w:rPr>
              <w:t>度</w:t>
            </w:r>
            <w:r>
              <w:rPr>
                <w:rFonts w:eastAsia="仿宋"/>
                <w:color w:val="000000" w:themeColor="text1"/>
                <w:sz w:val="24"/>
                <w:u w:val="single"/>
                <w14:textFill>
                  <w14:solidFill>
                    <w14:schemeClr w14:val="tx1"/>
                  </w14:solidFill>
                </w14:textFill>
              </w:rPr>
              <w:t>43</w:t>
            </w:r>
            <w:r>
              <w:rPr>
                <w:rFonts w:eastAsia="仿宋"/>
                <w:color w:val="000000" w:themeColor="text1"/>
                <w:sz w:val="24"/>
                <w14:textFill>
                  <w14:solidFill>
                    <w14:schemeClr w14:val="tx1"/>
                  </w14:solidFill>
                </w14:textFill>
              </w:rPr>
              <w:t>分</w:t>
            </w:r>
            <w:r>
              <w:rPr>
                <w:rFonts w:eastAsia="仿宋"/>
                <w:color w:val="000000" w:themeColor="text1"/>
                <w:sz w:val="24"/>
                <w:u w:val="single"/>
                <w14:textFill>
                  <w14:solidFill>
                    <w14:schemeClr w14:val="tx1"/>
                  </w14:solidFill>
                </w14:textFill>
              </w:rPr>
              <w:t>49.393</w:t>
            </w:r>
            <w:r>
              <w:rPr>
                <w:rFonts w:eastAsia="仿宋"/>
                <w:color w:val="000000" w:themeColor="text1"/>
                <w:sz w:val="24"/>
                <w14:textFill>
                  <w14:solidFill>
                    <w14:schemeClr w14:val="tx1"/>
                  </w14:solidFill>
                </w14:textFill>
              </w:rPr>
              <w:t>秒）</w:t>
            </w:r>
          </w:p>
        </w:tc>
      </w:tr>
      <w:tr w14:paraId="5B7EB4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50" w:type="dxa"/>
            <w:tcMar>
              <w:top w:w="16" w:type="dxa"/>
              <w:left w:w="16" w:type="dxa"/>
              <w:right w:w="16" w:type="dxa"/>
            </w:tcMar>
            <w:vAlign w:val="center"/>
          </w:tcPr>
          <w:p w14:paraId="50F9063F">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国民经济</w:t>
            </w:r>
          </w:p>
          <w:p w14:paraId="7C7177F9">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行业类别</w:t>
            </w:r>
          </w:p>
        </w:tc>
        <w:tc>
          <w:tcPr>
            <w:tcW w:w="2725" w:type="dxa"/>
            <w:vAlign w:val="center"/>
          </w:tcPr>
          <w:p w14:paraId="28148A8A">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C3581</w:t>
            </w:r>
            <w:r>
              <w:rPr>
                <w:rFonts w:hint="eastAsia" w:eastAsia="仿宋"/>
                <w:color w:val="000000" w:themeColor="text1"/>
                <w:sz w:val="24"/>
                <w14:textFill>
                  <w14:solidFill>
                    <w14:schemeClr w14:val="tx1"/>
                  </w14:solidFill>
                </w14:textFill>
              </w:rPr>
              <w:t>医疗诊断、监护及治疗设备制造</w:t>
            </w:r>
          </w:p>
        </w:tc>
        <w:tc>
          <w:tcPr>
            <w:tcW w:w="2126" w:type="dxa"/>
            <w:vAlign w:val="center"/>
          </w:tcPr>
          <w:p w14:paraId="37138602">
            <w:pPr>
              <w:adjustRightInd w:val="0"/>
              <w:snapToGrid w:val="0"/>
              <w:jc w:val="center"/>
              <w:rPr>
                <w:rFonts w:eastAsia="仿宋"/>
                <w:color w:val="000000" w:themeColor="text1"/>
                <w:sz w:val="24"/>
                <w14:textFill>
                  <w14:solidFill>
                    <w14:schemeClr w14:val="tx1"/>
                  </w14:solidFill>
                </w14:textFill>
              </w:rPr>
            </w:pPr>
            <w:bookmarkStart w:id="4" w:name="_Hlk49843745"/>
            <w:r>
              <w:rPr>
                <w:rFonts w:eastAsia="仿宋"/>
                <w:color w:val="000000" w:themeColor="text1"/>
                <w:sz w:val="24"/>
                <w14:textFill>
                  <w14:solidFill>
                    <w14:schemeClr w14:val="tx1"/>
                  </w14:solidFill>
                </w14:textFill>
              </w:rPr>
              <w:t>建设项目</w:t>
            </w:r>
          </w:p>
          <w:p w14:paraId="0308C536">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行业类别</w:t>
            </w:r>
            <w:bookmarkEnd w:id="4"/>
          </w:p>
        </w:tc>
        <w:tc>
          <w:tcPr>
            <w:tcW w:w="3337" w:type="dxa"/>
            <w:vAlign w:val="center"/>
          </w:tcPr>
          <w:p w14:paraId="02824ADD">
            <w:pPr>
              <w:jc w:val="center"/>
              <w:rPr>
                <w:rFonts w:eastAsia="仿宋"/>
                <w:color w:val="000000" w:themeColor="text1"/>
                <w:szCs w:val="21"/>
                <w14:textFill>
                  <w14:solidFill>
                    <w14:schemeClr w14:val="tx1"/>
                  </w14:solidFill>
                </w14:textFill>
              </w:rPr>
            </w:pPr>
            <w:r>
              <w:rPr>
                <w:rFonts w:eastAsia="仿宋"/>
                <w:color w:val="000000" w:themeColor="text1"/>
                <w:sz w:val="24"/>
                <w14:textFill>
                  <w14:solidFill>
                    <w14:schemeClr w14:val="tx1"/>
                  </w14:solidFill>
                </w14:textFill>
              </w:rPr>
              <w:t>70、医疗仪器设备及器械制造358</w:t>
            </w:r>
          </w:p>
        </w:tc>
      </w:tr>
      <w:tr w14:paraId="03C90B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50" w:type="dxa"/>
            <w:tcMar>
              <w:top w:w="16" w:type="dxa"/>
              <w:left w:w="16" w:type="dxa"/>
              <w:right w:w="16" w:type="dxa"/>
            </w:tcMar>
            <w:vAlign w:val="center"/>
          </w:tcPr>
          <w:p w14:paraId="26D187DD">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建设性质</w:t>
            </w:r>
          </w:p>
        </w:tc>
        <w:tc>
          <w:tcPr>
            <w:tcW w:w="2725" w:type="dxa"/>
            <w:vAlign w:val="center"/>
          </w:tcPr>
          <w:p w14:paraId="4F5603B9">
            <w:pP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sym w:font="Wingdings 2" w:char="0052"/>
            </w:r>
            <w:r>
              <w:rPr>
                <w:rFonts w:eastAsia="仿宋"/>
                <w:color w:val="000000" w:themeColor="text1"/>
                <w:sz w:val="24"/>
                <w14:textFill>
                  <w14:solidFill>
                    <w14:schemeClr w14:val="tx1"/>
                  </w14:solidFill>
                </w14:textFill>
              </w:rPr>
              <w:t>新建（迁建）</w:t>
            </w:r>
          </w:p>
          <w:p w14:paraId="31D9B343">
            <w:pP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□改建</w:t>
            </w:r>
          </w:p>
          <w:p w14:paraId="07BEF021">
            <w:pP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□扩建</w:t>
            </w:r>
          </w:p>
          <w:p w14:paraId="430ECCD9">
            <w:pP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□技术改造</w:t>
            </w:r>
          </w:p>
        </w:tc>
        <w:tc>
          <w:tcPr>
            <w:tcW w:w="2126" w:type="dxa"/>
            <w:vAlign w:val="center"/>
          </w:tcPr>
          <w:p w14:paraId="29D576C7">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建设项目</w:t>
            </w:r>
          </w:p>
          <w:p w14:paraId="7D3A70E1">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申报情形</w:t>
            </w:r>
          </w:p>
        </w:tc>
        <w:tc>
          <w:tcPr>
            <w:tcW w:w="3337" w:type="dxa"/>
            <w:vAlign w:val="center"/>
          </w:tcPr>
          <w:p w14:paraId="4609579B">
            <w:pP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√首次申报项目</w:t>
            </w:r>
          </w:p>
          <w:p w14:paraId="6F72B67D">
            <w:pP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□不予批准后再次申报项目</w:t>
            </w:r>
          </w:p>
          <w:p w14:paraId="1ECFC9CE">
            <w:pP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□超五年重新审核项目</w:t>
            </w:r>
          </w:p>
          <w:p w14:paraId="247DA8FF">
            <w:pP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□重大变动重新报批项目</w:t>
            </w:r>
          </w:p>
        </w:tc>
      </w:tr>
      <w:tr w14:paraId="192646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50" w:type="dxa"/>
            <w:tcMar>
              <w:top w:w="16" w:type="dxa"/>
              <w:left w:w="16" w:type="dxa"/>
              <w:right w:w="16" w:type="dxa"/>
            </w:tcMar>
            <w:vAlign w:val="center"/>
          </w:tcPr>
          <w:p w14:paraId="52C008E2">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项目审批</w:t>
            </w:r>
          </w:p>
          <w:p w14:paraId="2C21A004">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（核准/备案）部门（选填）</w:t>
            </w:r>
          </w:p>
        </w:tc>
        <w:tc>
          <w:tcPr>
            <w:tcW w:w="2725" w:type="dxa"/>
            <w:vAlign w:val="center"/>
          </w:tcPr>
          <w:p w14:paraId="21049218">
            <w:pPr>
              <w:adjustRightInd w:val="0"/>
              <w:snapToGrid w:val="0"/>
              <w:jc w:val="center"/>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常州市金坛区生态环境局</w:t>
            </w:r>
          </w:p>
        </w:tc>
        <w:tc>
          <w:tcPr>
            <w:tcW w:w="2126" w:type="dxa"/>
            <w:vAlign w:val="center"/>
          </w:tcPr>
          <w:p w14:paraId="476577FD">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项目审批</w:t>
            </w:r>
          </w:p>
          <w:p w14:paraId="1AB8F383">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（核准/备案）文号（选填）</w:t>
            </w:r>
          </w:p>
        </w:tc>
        <w:tc>
          <w:tcPr>
            <w:tcW w:w="3337" w:type="dxa"/>
            <w:vAlign w:val="center"/>
          </w:tcPr>
          <w:p w14:paraId="4462B0D2">
            <w:pPr>
              <w:adjustRightInd w:val="0"/>
              <w:snapToGrid w:val="0"/>
              <w:jc w:val="center"/>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坛开经发备字[</w:t>
            </w:r>
            <w:r>
              <w:rPr>
                <w:rFonts w:eastAsia="仿宋"/>
                <w:color w:val="000000" w:themeColor="text1"/>
                <w:sz w:val="24"/>
                <w14:textFill>
                  <w14:solidFill>
                    <w14:schemeClr w14:val="tx1"/>
                  </w14:solidFill>
                </w14:textFill>
              </w:rPr>
              <w:t>2024</w:t>
            </w:r>
            <w:r>
              <w:rPr>
                <w:rFonts w:hint="eastAsia" w:eastAsia="仿宋"/>
                <w:color w:val="000000" w:themeColor="text1"/>
                <w:sz w:val="24"/>
                <w14:textFill>
                  <w14:solidFill>
                    <w14:schemeClr w14:val="tx1"/>
                  </w14:solidFill>
                </w14:textFill>
              </w:rPr>
              <w:t>]</w:t>
            </w:r>
            <w:r>
              <w:rPr>
                <w:rFonts w:eastAsia="仿宋"/>
                <w:color w:val="000000" w:themeColor="text1"/>
                <w:sz w:val="24"/>
                <w14:textFill>
                  <w14:solidFill>
                    <w14:schemeClr w14:val="tx1"/>
                  </w14:solidFill>
                </w14:textFill>
              </w:rPr>
              <w:t>222</w:t>
            </w:r>
            <w:r>
              <w:rPr>
                <w:rFonts w:hint="eastAsia" w:eastAsia="仿宋"/>
                <w:color w:val="000000" w:themeColor="text1"/>
                <w:sz w:val="24"/>
                <w14:textFill>
                  <w14:solidFill>
                    <w14:schemeClr w14:val="tx1"/>
                  </w14:solidFill>
                </w14:textFill>
              </w:rPr>
              <w:t>号</w:t>
            </w:r>
          </w:p>
        </w:tc>
      </w:tr>
      <w:tr w14:paraId="34D16A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50" w:type="dxa"/>
            <w:tcMar>
              <w:top w:w="16" w:type="dxa"/>
              <w:left w:w="16" w:type="dxa"/>
              <w:right w:w="16" w:type="dxa"/>
            </w:tcMar>
            <w:vAlign w:val="center"/>
          </w:tcPr>
          <w:p w14:paraId="6C5936EF">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总投资（万元）</w:t>
            </w:r>
          </w:p>
        </w:tc>
        <w:tc>
          <w:tcPr>
            <w:tcW w:w="2725" w:type="dxa"/>
            <w:vAlign w:val="center"/>
          </w:tcPr>
          <w:p w14:paraId="359D5819">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1050</w:t>
            </w:r>
            <w:r>
              <w:rPr>
                <w:rFonts w:hint="eastAsia" w:eastAsia="仿宋"/>
                <w:color w:val="000000" w:themeColor="text1"/>
                <w:sz w:val="24"/>
                <w14:textFill>
                  <w14:solidFill>
                    <w14:schemeClr w14:val="tx1"/>
                  </w14:solidFill>
                </w14:textFill>
              </w:rPr>
              <w:t>（非辐射部分）</w:t>
            </w:r>
          </w:p>
        </w:tc>
        <w:tc>
          <w:tcPr>
            <w:tcW w:w="2126" w:type="dxa"/>
            <w:tcMar>
              <w:top w:w="16" w:type="dxa"/>
              <w:left w:w="16" w:type="dxa"/>
              <w:right w:w="16" w:type="dxa"/>
            </w:tcMar>
            <w:vAlign w:val="center"/>
          </w:tcPr>
          <w:p w14:paraId="704998DC">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环保投资（万元）</w:t>
            </w:r>
          </w:p>
        </w:tc>
        <w:tc>
          <w:tcPr>
            <w:tcW w:w="3337" w:type="dxa"/>
            <w:vAlign w:val="center"/>
          </w:tcPr>
          <w:p w14:paraId="527A31B2">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63</w:t>
            </w:r>
            <w:r>
              <w:rPr>
                <w:rFonts w:hint="eastAsia" w:eastAsia="仿宋"/>
                <w:color w:val="000000" w:themeColor="text1"/>
                <w:sz w:val="24"/>
                <w14:textFill>
                  <w14:solidFill>
                    <w14:schemeClr w14:val="tx1"/>
                  </w14:solidFill>
                </w14:textFill>
              </w:rPr>
              <w:t>（非辐射部分）</w:t>
            </w:r>
          </w:p>
        </w:tc>
      </w:tr>
      <w:tr w14:paraId="1A2F7E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50" w:type="dxa"/>
            <w:tcMar>
              <w:top w:w="16" w:type="dxa"/>
              <w:left w:w="16" w:type="dxa"/>
              <w:right w:w="16" w:type="dxa"/>
            </w:tcMar>
            <w:vAlign w:val="center"/>
          </w:tcPr>
          <w:p w14:paraId="60F2A5B3">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环保投资占比（%）</w:t>
            </w:r>
          </w:p>
        </w:tc>
        <w:tc>
          <w:tcPr>
            <w:tcW w:w="2725" w:type="dxa"/>
            <w:vAlign w:val="center"/>
          </w:tcPr>
          <w:p w14:paraId="57CBC07B">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6</w:t>
            </w:r>
          </w:p>
        </w:tc>
        <w:tc>
          <w:tcPr>
            <w:tcW w:w="2126" w:type="dxa"/>
            <w:tcMar>
              <w:top w:w="16" w:type="dxa"/>
              <w:left w:w="16" w:type="dxa"/>
              <w:right w:w="16" w:type="dxa"/>
            </w:tcMar>
            <w:vAlign w:val="center"/>
          </w:tcPr>
          <w:p w14:paraId="3EA42392">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施工工期</w:t>
            </w:r>
          </w:p>
        </w:tc>
        <w:tc>
          <w:tcPr>
            <w:tcW w:w="3337" w:type="dxa"/>
            <w:vAlign w:val="center"/>
          </w:tcPr>
          <w:p w14:paraId="39F57FAA">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10个月</w:t>
            </w:r>
          </w:p>
        </w:tc>
      </w:tr>
      <w:tr w14:paraId="482324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50" w:type="dxa"/>
            <w:tcMar>
              <w:top w:w="16" w:type="dxa"/>
              <w:left w:w="16" w:type="dxa"/>
              <w:right w:w="16" w:type="dxa"/>
            </w:tcMar>
            <w:vAlign w:val="center"/>
          </w:tcPr>
          <w:p w14:paraId="2B192F6B">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是否开工建设</w:t>
            </w:r>
          </w:p>
        </w:tc>
        <w:tc>
          <w:tcPr>
            <w:tcW w:w="2725" w:type="dxa"/>
            <w:vAlign w:val="center"/>
          </w:tcPr>
          <w:p w14:paraId="003CE24F">
            <w:pPr>
              <w:adjustRightInd w:val="0"/>
              <w:snapToGrid w:val="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√否</w:t>
            </w:r>
          </w:p>
          <w:p w14:paraId="3AC29A49">
            <w:pPr>
              <w:adjustRightInd w:val="0"/>
              <w:snapToGrid w:val="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□是：</w:t>
            </w:r>
          </w:p>
        </w:tc>
        <w:tc>
          <w:tcPr>
            <w:tcW w:w="2126" w:type="dxa"/>
            <w:tcMar>
              <w:top w:w="16" w:type="dxa"/>
              <w:left w:w="16" w:type="dxa"/>
              <w:right w:w="16" w:type="dxa"/>
            </w:tcMar>
            <w:vAlign w:val="center"/>
          </w:tcPr>
          <w:p w14:paraId="56A5B517">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pacing w:val="-6"/>
                <w:sz w:val="24"/>
                <w14:textFill>
                  <w14:solidFill>
                    <w14:schemeClr w14:val="tx1"/>
                  </w14:solidFill>
                </w14:textFill>
              </w:rPr>
              <w:t>用地面积（m</w:t>
            </w:r>
            <w:r>
              <w:rPr>
                <w:rFonts w:eastAsia="仿宋"/>
                <w:color w:val="000000" w:themeColor="text1"/>
                <w:spacing w:val="-6"/>
                <w:sz w:val="24"/>
                <w:vertAlign w:val="superscript"/>
                <w14:textFill>
                  <w14:solidFill>
                    <w14:schemeClr w14:val="tx1"/>
                  </w14:solidFill>
                </w14:textFill>
              </w:rPr>
              <w:t>2</w:t>
            </w:r>
            <w:r>
              <w:rPr>
                <w:rFonts w:eastAsia="仿宋"/>
                <w:color w:val="000000" w:themeColor="text1"/>
                <w:spacing w:val="-6"/>
                <w:sz w:val="24"/>
                <w14:textFill>
                  <w14:solidFill>
                    <w14:schemeClr w14:val="tx1"/>
                  </w14:solidFill>
                </w14:textFill>
              </w:rPr>
              <w:t>）</w:t>
            </w:r>
          </w:p>
        </w:tc>
        <w:tc>
          <w:tcPr>
            <w:tcW w:w="3337" w:type="dxa"/>
            <w:vAlign w:val="center"/>
          </w:tcPr>
          <w:p w14:paraId="2E212207">
            <w:pPr>
              <w:adjustRightInd w:val="0"/>
              <w:snapToGrid w:val="0"/>
              <w:jc w:val="center"/>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6603（依托）</w:t>
            </w:r>
          </w:p>
        </w:tc>
      </w:tr>
      <w:tr w14:paraId="325BC7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550" w:type="dxa"/>
            <w:vAlign w:val="center"/>
          </w:tcPr>
          <w:p w14:paraId="074AD0BD">
            <w:pPr>
              <w:autoSpaceDE w:val="0"/>
              <w:autoSpaceDN w:val="0"/>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专项评价</w:t>
            </w:r>
          </w:p>
          <w:p w14:paraId="5C36A5F2">
            <w:pPr>
              <w:autoSpaceDE w:val="0"/>
              <w:autoSpaceDN w:val="0"/>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设置情况</w:t>
            </w:r>
          </w:p>
        </w:tc>
        <w:tc>
          <w:tcPr>
            <w:tcW w:w="8188" w:type="dxa"/>
            <w:gridSpan w:val="3"/>
            <w:vAlign w:val="center"/>
          </w:tcPr>
          <w:p w14:paraId="3789131A">
            <w:pPr>
              <w:spacing w:line="480" w:lineRule="exact"/>
              <w:ind w:firstLine="480" w:firstLineChars="200"/>
              <w:rPr>
                <w:rFonts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根据《建设项目环境影响报告表编制技术指南（污染影响类）（试行）》</w:t>
            </w:r>
            <w:r>
              <w:rPr>
                <w:rFonts w:hint="eastAsia" w:ascii="仿宋" w:hAnsi="仿宋" w:eastAsia="仿宋"/>
                <w:color w:val="000000" w:themeColor="text1"/>
                <w:sz w:val="24"/>
                <w14:textFill>
                  <w14:solidFill>
                    <w14:schemeClr w14:val="tx1"/>
                  </w14:solidFill>
                </w14:textFill>
              </w:rPr>
              <w:t>中专项评价设置原则，本项目需设置大气专项，</w:t>
            </w:r>
            <w:r>
              <w:rPr>
                <w:rFonts w:ascii="仿宋" w:hAnsi="仿宋" w:eastAsia="仿宋"/>
                <w:color w:val="000000" w:themeColor="text1"/>
                <w:sz w:val="24"/>
                <w14:textFill>
                  <w14:solidFill>
                    <w14:schemeClr w14:val="tx1"/>
                  </w14:solidFill>
                </w14:textFill>
              </w:rPr>
              <w:t>对照情况见下表。</w:t>
            </w:r>
          </w:p>
          <w:p w14:paraId="20AE8C49">
            <w:pPr>
              <w:snapToGrid w:val="0"/>
              <w:spacing w:line="480" w:lineRule="exact"/>
              <w:jc w:val="center"/>
              <w:rPr>
                <w:rFonts w:ascii="仿宋" w:hAnsi="仿宋" w:eastAsia="仿宋"/>
                <w:b/>
                <w:bCs/>
                <w:color w:val="000000" w:themeColor="text1"/>
                <w:szCs w:val="21"/>
                <w14:textFill>
                  <w14:solidFill>
                    <w14:schemeClr w14:val="tx1"/>
                  </w14:solidFill>
                </w14:textFill>
              </w:rPr>
            </w:pPr>
            <w:r>
              <w:rPr>
                <w:rFonts w:hint="eastAsia" w:ascii="仿宋" w:hAnsi="仿宋" w:eastAsia="仿宋"/>
                <w:b/>
                <w:bCs/>
                <w:color w:val="000000" w:themeColor="text1"/>
                <w:szCs w:val="21"/>
                <w14:textFill>
                  <w14:solidFill>
                    <w14:schemeClr w14:val="tx1"/>
                  </w14:solidFill>
                </w14:textFill>
              </w:rPr>
              <w:t>表1</w:t>
            </w:r>
            <w:r>
              <w:rPr>
                <w:rFonts w:ascii="仿宋" w:hAnsi="仿宋" w:eastAsia="仿宋"/>
                <w:b/>
                <w:bCs/>
                <w:color w:val="000000" w:themeColor="text1"/>
                <w:szCs w:val="21"/>
                <w14:textFill>
                  <w14:solidFill>
                    <w14:schemeClr w14:val="tx1"/>
                  </w14:solidFill>
                </w14:textFill>
              </w:rPr>
              <w:t>-1 建设项目专项评价设置对照表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103"/>
              <w:gridCol w:w="2815"/>
              <w:gridCol w:w="2822"/>
              <w:gridCol w:w="1222"/>
            </w:tblGrid>
            <w:tr w14:paraId="4D2D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4" w:hRule="atLeast"/>
                <w:jc w:val="center"/>
              </w:trPr>
              <w:tc>
                <w:tcPr>
                  <w:tcW w:w="1099" w:type="dxa"/>
                  <w:tcBorders>
                    <w:top w:val="single" w:color="auto" w:sz="4" w:space="0"/>
                    <w:left w:val="single" w:color="auto" w:sz="4" w:space="0"/>
                    <w:bottom w:val="single" w:color="auto" w:sz="4" w:space="0"/>
                    <w:right w:val="single" w:color="auto" w:sz="4" w:space="0"/>
                  </w:tcBorders>
                  <w:vAlign w:val="center"/>
                </w:tcPr>
                <w:p w14:paraId="63489D11">
                  <w:pPr>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专项评价的类别</w:t>
                  </w:r>
                </w:p>
              </w:tc>
              <w:tc>
                <w:tcPr>
                  <w:tcW w:w="2804" w:type="dxa"/>
                  <w:tcBorders>
                    <w:top w:val="single" w:color="auto" w:sz="4" w:space="0"/>
                    <w:left w:val="single" w:color="auto" w:sz="4" w:space="0"/>
                    <w:bottom w:val="single" w:color="auto" w:sz="4" w:space="0"/>
                    <w:right w:val="single" w:color="auto" w:sz="4" w:space="0"/>
                  </w:tcBorders>
                  <w:vAlign w:val="center"/>
                </w:tcPr>
                <w:p w14:paraId="73BE7921">
                  <w:pPr>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设置原则</w:t>
                  </w:r>
                </w:p>
              </w:tc>
              <w:tc>
                <w:tcPr>
                  <w:tcW w:w="2811" w:type="dxa"/>
                  <w:tcBorders>
                    <w:top w:val="single" w:color="auto" w:sz="4" w:space="0"/>
                    <w:left w:val="single" w:color="auto" w:sz="4" w:space="0"/>
                    <w:bottom w:val="single" w:color="auto" w:sz="4" w:space="0"/>
                    <w:right w:val="single" w:color="auto" w:sz="4" w:space="0"/>
                  </w:tcBorders>
                  <w:vAlign w:val="center"/>
                </w:tcPr>
                <w:p w14:paraId="6D39CCAA">
                  <w:pPr>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本项目对照情况</w:t>
                  </w:r>
                </w:p>
              </w:tc>
              <w:tc>
                <w:tcPr>
                  <w:tcW w:w="1217" w:type="dxa"/>
                  <w:tcBorders>
                    <w:top w:val="single" w:color="auto" w:sz="4" w:space="0"/>
                    <w:left w:val="single" w:color="auto" w:sz="4" w:space="0"/>
                    <w:bottom w:val="single" w:color="auto" w:sz="4" w:space="0"/>
                    <w:right w:val="single" w:color="auto" w:sz="4" w:space="0"/>
                  </w:tcBorders>
                  <w:vAlign w:val="center"/>
                </w:tcPr>
                <w:p w14:paraId="5D6D8254">
                  <w:pPr>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本项目专项设置情况</w:t>
                  </w:r>
                </w:p>
              </w:tc>
            </w:tr>
            <w:tr w14:paraId="059F7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55" w:hRule="atLeast"/>
                <w:jc w:val="center"/>
              </w:trPr>
              <w:tc>
                <w:tcPr>
                  <w:tcW w:w="1099" w:type="dxa"/>
                  <w:tcBorders>
                    <w:top w:val="single" w:color="auto" w:sz="4" w:space="0"/>
                    <w:left w:val="single" w:color="auto" w:sz="4" w:space="0"/>
                    <w:bottom w:val="single" w:color="auto" w:sz="4" w:space="0"/>
                    <w:right w:val="single" w:color="auto" w:sz="4" w:space="0"/>
                  </w:tcBorders>
                  <w:vAlign w:val="center"/>
                </w:tcPr>
                <w:p w14:paraId="6D126989">
                  <w:pPr>
                    <w:jc w:val="center"/>
                    <w:rPr>
                      <w:rFonts w:eastAsia="仿宋"/>
                      <w:bCs/>
                      <w:color w:val="000000" w:themeColor="text1"/>
                      <w:szCs w:val="21"/>
                      <w14:textFill>
                        <w14:solidFill>
                          <w14:schemeClr w14:val="tx1"/>
                        </w14:solidFill>
                      </w14:textFill>
                    </w:rPr>
                  </w:pPr>
                  <w:r>
                    <w:rPr>
                      <w:rFonts w:ascii="仿宋" w:hAnsi="仿宋" w:eastAsia="仿宋"/>
                      <w:bCs/>
                      <w:color w:val="000000" w:themeColor="text1"/>
                      <w:szCs w:val="21"/>
                      <w14:textFill>
                        <w14:solidFill>
                          <w14:schemeClr w14:val="tx1"/>
                        </w14:solidFill>
                      </w14:textFill>
                    </w:rPr>
                    <w:t>大气</w:t>
                  </w:r>
                </w:p>
              </w:tc>
              <w:tc>
                <w:tcPr>
                  <w:tcW w:w="2804" w:type="dxa"/>
                  <w:tcBorders>
                    <w:top w:val="single" w:color="auto" w:sz="4" w:space="0"/>
                    <w:left w:val="single" w:color="auto" w:sz="4" w:space="0"/>
                    <w:bottom w:val="single" w:color="auto" w:sz="4" w:space="0"/>
                    <w:right w:val="single" w:color="auto" w:sz="4" w:space="0"/>
                  </w:tcBorders>
                  <w:vAlign w:val="center"/>
                </w:tcPr>
                <w:p w14:paraId="7667AE2B">
                  <w:pPr>
                    <w:jc w:val="center"/>
                    <w:rPr>
                      <w:rFonts w:eastAsia="仿宋"/>
                      <w:bCs/>
                      <w:color w:val="000000" w:themeColor="text1"/>
                      <w:szCs w:val="21"/>
                      <w14:textFill>
                        <w14:solidFill>
                          <w14:schemeClr w14:val="tx1"/>
                        </w14:solidFill>
                      </w14:textFill>
                    </w:rPr>
                  </w:pPr>
                  <w:r>
                    <w:rPr>
                      <w:rFonts w:ascii="仿宋" w:hAnsi="仿宋" w:eastAsia="仿宋"/>
                      <w:bCs/>
                      <w:color w:val="000000" w:themeColor="text1"/>
                      <w:szCs w:val="21"/>
                      <w14:textFill>
                        <w14:solidFill>
                          <w14:schemeClr w14:val="tx1"/>
                        </w14:solidFill>
                      </w14:textFill>
                    </w:rPr>
                    <w:t>排放废气含有毒有害污染物</w:t>
                  </w:r>
                  <w:r>
                    <w:rPr>
                      <w:rFonts w:eastAsia="仿宋"/>
                      <w:bCs/>
                      <w:color w:val="000000" w:themeColor="text1"/>
                      <w:szCs w:val="21"/>
                      <w:vertAlign w:val="superscript"/>
                      <w14:textFill>
                        <w14:solidFill>
                          <w14:schemeClr w14:val="tx1"/>
                        </w14:solidFill>
                      </w14:textFill>
                    </w:rPr>
                    <w:t>1</w:t>
                  </w:r>
                  <w:r>
                    <w:rPr>
                      <w:rFonts w:ascii="仿宋" w:hAnsi="仿宋" w:eastAsia="仿宋"/>
                      <w:bCs/>
                      <w:color w:val="000000" w:themeColor="text1"/>
                      <w:szCs w:val="21"/>
                      <w14:textFill>
                        <w14:solidFill>
                          <w14:schemeClr w14:val="tx1"/>
                        </w14:solidFill>
                      </w14:textFill>
                    </w:rPr>
                    <w:t>、</w:t>
                  </w:r>
                  <w:r>
                    <w:rPr>
                      <w:rFonts w:hint="eastAsia" w:ascii="仿宋" w:hAnsi="仿宋" w:eastAsia="仿宋"/>
                      <w:bCs/>
                      <w:color w:val="000000" w:themeColor="text1"/>
                      <w:szCs w:val="21"/>
                      <w14:textFill>
                        <w14:solidFill>
                          <w14:schemeClr w14:val="tx1"/>
                        </w14:solidFill>
                      </w14:textFill>
                    </w:rPr>
                    <w:t>二噁英</w:t>
                  </w:r>
                  <w:r>
                    <w:rPr>
                      <w:rFonts w:ascii="仿宋" w:hAnsi="仿宋" w:eastAsia="仿宋"/>
                      <w:bCs/>
                      <w:color w:val="000000" w:themeColor="text1"/>
                      <w:szCs w:val="21"/>
                      <w14:textFill>
                        <w14:solidFill>
                          <w14:schemeClr w14:val="tx1"/>
                        </w14:solidFill>
                      </w14:textFill>
                    </w:rPr>
                    <w:t>、苯并</w:t>
                  </w:r>
                  <w:r>
                    <w:rPr>
                      <w:rFonts w:eastAsia="仿宋"/>
                      <w:bCs/>
                      <w:color w:val="000000" w:themeColor="text1"/>
                      <w:szCs w:val="21"/>
                      <w14:textFill>
                        <w14:solidFill>
                          <w14:schemeClr w14:val="tx1"/>
                        </w14:solidFill>
                      </w14:textFill>
                    </w:rPr>
                    <w:t>[a]</w:t>
                  </w:r>
                  <w:r>
                    <w:rPr>
                      <w:rFonts w:ascii="仿宋" w:hAnsi="仿宋" w:eastAsia="仿宋"/>
                      <w:bCs/>
                      <w:color w:val="000000" w:themeColor="text1"/>
                      <w:szCs w:val="21"/>
                      <w14:textFill>
                        <w14:solidFill>
                          <w14:schemeClr w14:val="tx1"/>
                        </w14:solidFill>
                      </w14:textFill>
                    </w:rPr>
                    <w:t>芘、氰化物、氯气且厂界外</w:t>
                  </w:r>
                  <w:r>
                    <w:rPr>
                      <w:rFonts w:eastAsia="仿宋"/>
                      <w:bCs/>
                      <w:color w:val="000000" w:themeColor="text1"/>
                      <w:szCs w:val="21"/>
                      <w14:textFill>
                        <w14:solidFill>
                          <w14:schemeClr w14:val="tx1"/>
                        </w14:solidFill>
                      </w14:textFill>
                    </w:rPr>
                    <w:t>500</w:t>
                  </w:r>
                  <w:r>
                    <w:rPr>
                      <w:rFonts w:ascii="仿宋" w:hAnsi="仿宋" w:eastAsia="仿宋"/>
                      <w:bCs/>
                      <w:color w:val="000000" w:themeColor="text1"/>
                      <w:szCs w:val="21"/>
                      <w14:textFill>
                        <w14:solidFill>
                          <w14:schemeClr w14:val="tx1"/>
                        </w14:solidFill>
                      </w14:textFill>
                    </w:rPr>
                    <w:t>米范围内有环境空气保护目标</w:t>
                  </w:r>
                  <w:r>
                    <w:rPr>
                      <w:rFonts w:eastAsia="仿宋"/>
                      <w:bCs/>
                      <w:color w:val="000000" w:themeColor="text1"/>
                      <w:szCs w:val="21"/>
                      <w:vertAlign w:val="superscript"/>
                      <w14:textFill>
                        <w14:solidFill>
                          <w14:schemeClr w14:val="tx1"/>
                        </w14:solidFill>
                      </w14:textFill>
                    </w:rPr>
                    <w:t>2</w:t>
                  </w:r>
                  <w:r>
                    <w:rPr>
                      <w:rFonts w:ascii="仿宋" w:hAnsi="仿宋" w:eastAsia="仿宋"/>
                      <w:bCs/>
                      <w:color w:val="000000" w:themeColor="text1"/>
                      <w:szCs w:val="21"/>
                      <w14:textFill>
                        <w14:solidFill>
                          <w14:schemeClr w14:val="tx1"/>
                        </w14:solidFill>
                      </w14:textFill>
                    </w:rPr>
                    <w:t>的建设项目</w:t>
                  </w:r>
                </w:p>
              </w:tc>
              <w:tc>
                <w:tcPr>
                  <w:tcW w:w="2811" w:type="dxa"/>
                  <w:tcBorders>
                    <w:top w:val="single" w:color="auto" w:sz="4" w:space="0"/>
                    <w:left w:val="single" w:color="auto" w:sz="4" w:space="0"/>
                    <w:bottom w:val="single" w:color="auto" w:sz="4" w:space="0"/>
                    <w:right w:val="single" w:color="auto" w:sz="4" w:space="0"/>
                  </w:tcBorders>
                  <w:vAlign w:val="center"/>
                </w:tcPr>
                <w:p w14:paraId="02919C23">
                  <w:pPr>
                    <w:jc w:val="center"/>
                    <w:rPr>
                      <w:rFonts w:eastAsia="仿宋"/>
                      <w:bCs/>
                      <w:color w:val="000000" w:themeColor="text1"/>
                      <w:szCs w:val="21"/>
                      <w14:textFill>
                        <w14:solidFill>
                          <w14:schemeClr w14:val="tx1"/>
                        </w14:solidFill>
                      </w14:textFill>
                    </w:rPr>
                  </w:pPr>
                  <w:r>
                    <w:rPr>
                      <w:rFonts w:ascii="仿宋" w:hAnsi="仿宋" w:eastAsia="仿宋"/>
                      <w:bCs/>
                      <w:color w:val="000000" w:themeColor="text1"/>
                      <w:szCs w:val="21"/>
                      <w14:textFill>
                        <w14:solidFill>
                          <w14:schemeClr w14:val="tx1"/>
                        </w14:solidFill>
                      </w14:textFill>
                    </w:rPr>
                    <w:t>本</w:t>
                  </w:r>
                  <w:r>
                    <w:rPr>
                      <w:rFonts w:eastAsia="仿宋_GB2312"/>
                      <w:bCs/>
                      <w:color w:val="000000" w:themeColor="text1"/>
                      <w:szCs w:val="21"/>
                      <w14:textFill>
                        <w14:solidFill>
                          <w14:schemeClr w14:val="tx1"/>
                        </w14:solidFill>
                      </w14:textFill>
                    </w:rPr>
                    <w:t>项目废气不涉及排放有毒有害污染物</w:t>
                  </w:r>
                  <w:r>
                    <w:rPr>
                      <w:rFonts w:eastAsia="仿宋_GB2312"/>
                      <w:bCs/>
                      <w:color w:val="000000" w:themeColor="text1"/>
                      <w:szCs w:val="21"/>
                      <w:vertAlign w:val="superscript"/>
                      <w14:textFill>
                        <w14:solidFill>
                          <w14:schemeClr w14:val="tx1"/>
                        </w14:solidFill>
                      </w14:textFill>
                    </w:rPr>
                    <w:t>1</w:t>
                  </w:r>
                  <w:r>
                    <w:rPr>
                      <w:rFonts w:eastAsia="仿宋_GB2312"/>
                      <w:bCs/>
                      <w:color w:val="000000" w:themeColor="text1"/>
                      <w:szCs w:val="21"/>
                      <w14:textFill>
                        <w14:solidFill>
                          <w14:schemeClr w14:val="tx1"/>
                        </w14:solidFill>
                      </w14:textFill>
                    </w:rPr>
                    <w:t>、二</w:t>
                  </w:r>
                  <w:r>
                    <w:rPr>
                      <w:rFonts w:ascii="仿宋" w:hAnsi="仿宋" w:eastAsia="仿宋"/>
                      <w:bCs/>
                      <w:color w:val="000000" w:themeColor="text1"/>
                      <w:szCs w:val="21"/>
                      <w14:textFill>
                        <w14:solidFill>
                          <w14:schemeClr w14:val="tx1"/>
                        </w14:solidFill>
                      </w14:textFill>
                    </w:rPr>
                    <w:t>噁</w:t>
                  </w:r>
                  <w:r>
                    <w:rPr>
                      <w:rFonts w:eastAsia="仿宋_GB2312"/>
                      <w:bCs/>
                      <w:color w:val="000000" w:themeColor="text1"/>
                      <w:szCs w:val="21"/>
                      <w14:textFill>
                        <w14:solidFill>
                          <w14:schemeClr w14:val="tx1"/>
                        </w14:solidFill>
                      </w14:textFill>
                    </w:rPr>
                    <w:t>英、苯并[a]芘、氯气，涉及氰化物的排放，但厂界500米范围内无环境空气保护目标，因此无需设置大气专项评价</w:t>
                  </w:r>
                </w:p>
              </w:tc>
              <w:tc>
                <w:tcPr>
                  <w:tcW w:w="1217" w:type="dxa"/>
                  <w:tcBorders>
                    <w:top w:val="single" w:color="auto" w:sz="4" w:space="0"/>
                    <w:left w:val="single" w:color="auto" w:sz="4" w:space="0"/>
                    <w:bottom w:val="single" w:color="auto" w:sz="4" w:space="0"/>
                    <w:right w:val="single" w:color="auto" w:sz="4" w:space="0"/>
                  </w:tcBorders>
                  <w:vAlign w:val="center"/>
                </w:tcPr>
                <w:p w14:paraId="271FAF93">
                  <w:pPr>
                    <w:jc w:val="center"/>
                    <w:rPr>
                      <w:rFonts w:eastAsia="仿宋"/>
                      <w:bCs/>
                      <w:color w:val="000000" w:themeColor="text1"/>
                      <w:szCs w:val="21"/>
                      <w14:textFill>
                        <w14:solidFill>
                          <w14:schemeClr w14:val="tx1"/>
                        </w14:solidFill>
                      </w14:textFill>
                    </w:rPr>
                  </w:pPr>
                  <w:r>
                    <w:rPr>
                      <w:rFonts w:hint="eastAsia" w:ascii="仿宋" w:hAnsi="仿宋" w:eastAsia="仿宋"/>
                      <w:bCs/>
                      <w:color w:val="000000" w:themeColor="text1"/>
                      <w:szCs w:val="21"/>
                      <w14:textFill>
                        <w14:solidFill>
                          <w14:schemeClr w14:val="tx1"/>
                        </w14:solidFill>
                      </w14:textFill>
                    </w:rPr>
                    <w:t>不</w:t>
                  </w:r>
                  <w:r>
                    <w:rPr>
                      <w:rFonts w:ascii="仿宋" w:hAnsi="仿宋" w:eastAsia="仿宋"/>
                      <w:bCs/>
                      <w:color w:val="000000" w:themeColor="text1"/>
                      <w:szCs w:val="21"/>
                      <w14:textFill>
                        <w14:solidFill>
                          <w14:schemeClr w14:val="tx1"/>
                        </w14:solidFill>
                      </w14:textFill>
                    </w:rPr>
                    <w:t>设置</w:t>
                  </w:r>
                </w:p>
              </w:tc>
            </w:tr>
            <w:tr w14:paraId="679C7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6" w:hRule="atLeast"/>
                <w:jc w:val="center"/>
              </w:trPr>
              <w:tc>
                <w:tcPr>
                  <w:tcW w:w="1099" w:type="dxa"/>
                  <w:tcBorders>
                    <w:top w:val="single" w:color="auto" w:sz="4" w:space="0"/>
                    <w:left w:val="single" w:color="auto" w:sz="4" w:space="0"/>
                    <w:bottom w:val="single" w:color="auto" w:sz="4" w:space="0"/>
                    <w:right w:val="single" w:color="auto" w:sz="4" w:space="0"/>
                  </w:tcBorders>
                  <w:vAlign w:val="center"/>
                </w:tcPr>
                <w:p w14:paraId="50D0FBFC">
                  <w:pPr>
                    <w:jc w:val="center"/>
                    <w:rPr>
                      <w:rFonts w:eastAsia="仿宋"/>
                      <w:bCs/>
                      <w:color w:val="000000" w:themeColor="text1"/>
                      <w:szCs w:val="21"/>
                      <w14:textFill>
                        <w14:solidFill>
                          <w14:schemeClr w14:val="tx1"/>
                        </w14:solidFill>
                      </w14:textFill>
                    </w:rPr>
                  </w:pPr>
                  <w:r>
                    <w:rPr>
                      <w:rFonts w:ascii="仿宋" w:hAnsi="仿宋" w:eastAsia="仿宋"/>
                      <w:bCs/>
                      <w:color w:val="000000" w:themeColor="text1"/>
                      <w:szCs w:val="21"/>
                      <w14:textFill>
                        <w14:solidFill>
                          <w14:schemeClr w14:val="tx1"/>
                        </w14:solidFill>
                      </w14:textFill>
                    </w:rPr>
                    <w:t>地表水</w:t>
                  </w:r>
                </w:p>
              </w:tc>
              <w:tc>
                <w:tcPr>
                  <w:tcW w:w="2804" w:type="dxa"/>
                  <w:tcBorders>
                    <w:top w:val="single" w:color="auto" w:sz="4" w:space="0"/>
                    <w:left w:val="single" w:color="auto" w:sz="4" w:space="0"/>
                    <w:bottom w:val="single" w:color="auto" w:sz="4" w:space="0"/>
                    <w:right w:val="single" w:color="auto" w:sz="4" w:space="0"/>
                  </w:tcBorders>
                  <w:vAlign w:val="center"/>
                </w:tcPr>
                <w:p w14:paraId="7C5FC1E5">
                  <w:pPr>
                    <w:jc w:val="center"/>
                    <w:rPr>
                      <w:rFonts w:eastAsia="仿宋"/>
                      <w:bCs/>
                      <w:color w:val="000000" w:themeColor="text1"/>
                      <w:szCs w:val="21"/>
                      <w14:textFill>
                        <w14:solidFill>
                          <w14:schemeClr w14:val="tx1"/>
                        </w14:solidFill>
                      </w14:textFill>
                    </w:rPr>
                  </w:pPr>
                  <w:r>
                    <w:rPr>
                      <w:rFonts w:ascii="仿宋" w:hAnsi="仿宋" w:eastAsia="仿宋"/>
                      <w:bCs/>
                      <w:color w:val="000000" w:themeColor="text1"/>
                      <w:szCs w:val="21"/>
                      <w14:textFill>
                        <w14:solidFill>
                          <w14:schemeClr w14:val="tx1"/>
                        </w14:solidFill>
                      </w14:textFill>
                    </w:rPr>
                    <w:t>新增工业废水直排建设项目（槽罐车外送污水处理厂的除外）：新增废水直排的污水集中处理厂</w:t>
                  </w:r>
                </w:p>
              </w:tc>
              <w:tc>
                <w:tcPr>
                  <w:tcW w:w="2811" w:type="dxa"/>
                  <w:tcBorders>
                    <w:top w:val="single" w:color="auto" w:sz="4" w:space="0"/>
                    <w:left w:val="single" w:color="auto" w:sz="4" w:space="0"/>
                    <w:bottom w:val="single" w:color="auto" w:sz="4" w:space="0"/>
                    <w:right w:val="single" w:color="auto" w:sz="4" w:space="0"/>
                  </w:tcBorders>
                  <w:vAlign w:val="center"/>
                </w:tcPr>
                <w:p w14:paraId="009E55BF">
                  <w:pPr>
                    <w:jc w:val="center"/>
                    <w:rPr>
                      <w:rFonts w:eastAsia="仿宋"/>
                      <w:bCs/>
                      <w:color w:val="000000" w:themeColor="text1"/>
                      <w:szCs w:val="21"/>
                      <w14:textFill>
                        <w14:solidFill>
                          <w14:schemeClr w14:val="tx1"/>
                        </w14:solidFill>
                      </w14:textFill>
                    </w:rPr>
                  </w:pPr>
                  <w:r>
                    <w:rPr>
                      <w:rFonts w:ascii="仿宋" w:hAnsi="仿宋" w:eastAsia="仿宋"/>
                      <w:bCs/>
                      <w:color w:val="000000" w:themeColor="text1"/>
                      <w:szCs w:val="21"/>
                      <w14:textFill>
                        <w14:solidFill>
                          <w14:schemeClr w14:val="tx1"/>
                        </w14:solidFill>
                      </w14:textFill>
                    </w:rPr>
                    <w:t>本项目不涉及污水直排</w:t>
                  </w:r>
                </w:p>
              </w:tc>
              <w:tc>
                <w:tcPr>
                  <w:tcW w:w="1217" w:type="dxa"/>
                  <w:tcBorders>
                    <w:top w:val="single" w:color="auto" w:sz="4" w:space="0"/>
                    <w:left w:val="single" w:color="auto" w:sz="4" w:space="0"/>
                    <w:bottom w:val="single" w:color="auto" w:sz="4" w:space="0"/>
                    <w:right w:val="single" w:color="auto" w:sz="4" w:space="0"/>
                  </w:tcBorders>
                  <w:vAlign w:val="center"/>
                </w:tcPr>
                <w:p w14:paraId="554C350F">
                  <w:pPr>
                    <w:jc w:val="center"/>
                    <w:rPr>
                      <w:rFonts w:eastAsia="仿宋"/>
                      <w:b/>
                      <w:bCs/>
                      <w:color w:val="000000" w:themeColor="text1"/>
                      <w:szCs w:val="21"/>
                      <w14:textFill>
                        <w14:solidFill>
                          <w14:schemeClr w14:val="tx1"/>
                        </w14:solidFill>
                      </w14:textFill>
                    </w:rPr>
                  </w:pPr>
                  <w:r>
                    <w:rPr>
                      <w:rFonts w:ascii="仿宋" w:hAnsi="仿宋" w:eastAsia="仿宋"/>
                      <w:bCs/>
                      <w:color w:val="000000" w:themeColor="text1"/>
                      <w:szCs w:val="21"/>
                      <w14:textFill>
                        <w14:solidFill>
                          <w14:schemeClr w14:val="tx1"/>
                        </w14:solidFill>
                      </w14:textFill>
                    </w:rPr>
                    <w:t>不设置</w:t>
                  </w:r>
                </w:p>
              </w:tc>
            </w:tr>
            <w:tr w14:paraId="0DEBC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46" w:hRule="atLeast"/>
                <w:jc w:val="center"/>
              </w:trPr>
              <w:tc>
                <w:tcPr>
                  <w:tcW w:w="1099" w:type="dxa"/>
                  <w:tcBorders>
                    <w:top w:val="single" w:color="auto" w:sz="4" w:space="0"/>
                    <w:left w:val="single" w:color="auto" w:sz="4" w:space="0"/>
                    <w:bottom w:val="single" w:color="auto" w:sz="4" w:space="0"/>
                    <w:right w:val="single" w:color="auto" w:sz="4" w:space="0"/>
                  </w:tcBorders>
                  <w:vAlign w:val="center"/>
                </w:tcPr>
                <w:p w14:paraId="783D181B">
                  <w:pPr>
                    <w:jc w:val="center"/>
                    <w:rPr>
                      <w:rFonts w:eastAsia="仿宋"/>
                      <w:bCs/>
                      <w:color w:val="000000" w:themeColor="text1"/>
                      <w:szCs w:val="21"/>
                      <w14:textFill>
                        <w14:solidFill>
                          <w14:schemeClr w14:val="tx1"/>
                        </w14:solidFill>
                      </w14:textFill>
                    </w:rPr>
                  </w:pPr>
                  <w:r>
                    <w:rPr>
                      <w:rFonts w:ascii="仿宋" w:hAnsi="仿宋" w:eastAsia="仿宋"/>
                      <w:bCs/>
                      <w:color w:val="000000" w:themeColor="text1"/>
                      <w:szCs w:val="21"/>
                      <w14:textFill>
                        <w14:solidFill>
                          <w14:schemeClr w14:val="tx1"/>
                        </w14:solidFill>
                      </w14:textFill>
                    </w:rPr>
                    <w:t>环境风险</w:t>
                  </w:r>
                </w:p>
              </w:tc>
              <w:tc>
                <w:tcPr>
                  <w:tcW w:w="2804" w:type="dxa"/>
                  <w:tcBorders>
                    <w:top w:val="single" w:color="auto" w:sz="4" w:space="0"/>
                    <w:left w:val="single" w:color="auto" w:sz="4" w:space="0"/>
                    <w:bottom w:val="single" w:color="auto" w:sz="4" w:space="0"/>
                    <w:right w:val="single" w:color="auto" w:sz="4" w:space="0"/>
                  </w:tcBorders>
                  <w:vAlign w:val="center"/>
                </w:tcPr>
                <w:p w14:paraId="5AD2B65F">
                  <w:pPr>
                    <w:jc w:val="center"/>
                    <w:rPr>
                      <w:rFonts w:eastAsia="仿宋"/>
                      <w:bCs/>
                      <w:color w:val="000000" w:themeColor="text1"/>
                      <w:szCs w:val="21"/>
                      <w14:textFill>
                        <w14:solidFill>
                          <w14:schemeClr w14:val="tx1"/>
                        </w14:solidFill>
                      </w14:textFill>
                    </w:rPr>
                  </w:pPr>
                  <w:r>
                    <w:rPr>
                      <w:rFonts w:ascii="仿宋" w:hAnsi="仿宋" w:eastAsia="仿宋"/>
                      <w:bCs/>
                      <w:color w:val="000000" w:themeColor="text1"/>
                      <w:szCs w:val="21"/>
                      <w14:textFill>
                        <w14:solidFill>
                          <w14:schemeClr w14:val="tx1"/>
                        </w14:solidFill>
                      </w14:textFill>
                    </w:rPr>
                    <w:t>有毒有害和易燃易爆危险物质存储量超过临界量的建设项目</w:t>
                  </w:r>
                  <w:r>
                    <w:rPr>
                      <w:rFonts w:eastAsia="仿宋"/>
                      <w:bCs/>
                      <w:color w:val="000000" w:themeColor="text1"/>
                      <w:szCs w:val="21"/>
                      <w:vertAlign w:val="superscript"/>
                      <w14:textFill>
                        <w14:solidFill>
                          <w14:schemeClr w14:val="tx1"/>
                        </w14:solidFill>
                      </w14:textFill>
                    </w:rPr>
                    <w:t>3</w:t>
                  </w:r>
                </w:p>
              </w:tc>
              <w:tc>
                <w:tcPr>
                  <w:tcW w:w="2811" w:type="dxa"/>
                  <w:tcBorders>
                    <w:top w:val="single" w:color="auto" w:sz="4" w:space="0"/>
                    <w:left w:val="single" w:color="auto" w:sz="4" w:space="0"/>
                    <w:bottom w:val="single" w:color="auto" w:sz="4" w:space="0"/>
                    <w:right w:val="single" w:color="auto" w:sz="4" w:space="0"/>
                  </w:tcBorders>
                  <w:vAlign w:val="center"/>
                </w:tcPr>
                <w:p w14:paraId="60AB505F">
                  <w:pPr>
                    <w:jc w:val="center"/>
                    <w:rPr>
                      <w:rFonts w:eastAsia="仿宋"/>
                      <w:bCs/>
                      <w:color w:val="000000" w:themeColor="text1"/>
                      <w:szCs w:val="21"/>
                      <w14:textFill>
                        <w14:solidFill>
                          <w14:schemeClr w14:val="tx1"/>
                        </w14:solidFill>
                      </w14:textFill>
                    </w:rPr>
                  </w:pPr>
                  <w:r>
                    <w:rPr>
                      <w:rFonts w:ascii="仿宋" w:hAnsi="仿宋" w:eastAsia="仿宋"/>
                      <w:bCs/>
                      <w:color w:val="000000" w:themeColor="text1"/>
                      <w:szCs w:val="21"/>
                      <w14:textFill>
                        <w14:solidFill>
                          <w14:schemeClr w14:val="tx1"/>
                        </w14:solidFill>
                      </w14:textFill>
                    </w:rPr>
                    <w:t>根据计算本项目危险物质存储量</w:t>
                  </w:r>
                  <w:r>
                    <w:rPr>
                      <w:rFonts w:hint="eastAsia" w:ascii="仿宋" w:hAnsi="仿宋" w:eastAsia="仿宋"/>
                      <w:bCs/>
                      <w:color w:val="000000" w:themeColor="text1"/>
                      <w:szCs w:val="21"/>
                      <w14:textFill>
                        <w14:solidFill>
                          <w14:schemeClr w14:val="tx1"/>
                        </w14:solidFill>
                      </w14:textFill>
                    </w:rPr>
                    <w:t>未</w:t>
                  </w:r>
                  <w:r>
                    <w:rPr>
                      <w:rFonts w:ascii="仿宋" w:hAnsi="仿宋" w:eastAsia="仿宋"/>
                      <w:bCs/>
                      <w:color w:val="000000" w:themeColor="text1"/>
                      <w:szCs w:val="21"/>
                      <w14:textFill>
                        <w14:solidFill>
                          <w14:schemeClr w14:val="tx1"/>
                        </w14:solidFill>
                      </w14:textFill>
                    </w:rPr>
                    <w:t>超过临界量</w:t>
                  </w:r>
                </w:p>
              </w:tc>
              <w:tc>
                <w:tcPr>
                  <w:tcW w:w="1217" w:type="dxa"/>
                  <w:tcBorders>
                    <w:top w:val="single" w:color="auto" w:sz="4" w:space="0"/>
                    <w:left w:val="single" w:color="auto" w:sz="4" w:space="0"/>
                    <w:bottom w:val="single" w:color="auto" w:sz="4" w:space="0"/>
                    <w:right w:val="single" w:color="auto" w:sz="4" w:space="0"/>
                  </w:tcBorders>
                  <w:vAlign w:val="center"/>
                </w:tcPr>
                <w:p w14:paraId="27374200">
                  <w:pPr>
                    <w:jc w:val="center"/>
                    <w:rPr>
                      <w:rFonts w:eastAsia="仿宋"/>
                      <w:b/>
                      <w:bCs/>
                      <w:color w:val="000000" w:themeColor="text1"/>
                      <w:szCs w:val="21"/>
                      <w14:textFill>
                        <w14:solidFill>
                          <w14:schemeClr w14:val="tx1"/>
                        </w14:solidFill>
                      </w14:textFill>
                    </w:rPr>
                  </w:pPr>
                  <w:r>
                    <w:rPr>
                      <w:rFonts w:hint="eastAsia" w:ascii="仿宋" w:hAnsi="仿宋" w:eastAsia="仿宋"/>
                      <w:bCs/>
                      <w:color w:val="000000" w:themeColor="text1"/>
                      <w:szCs w:val="21"/>
                      <w14:textFill>
                        <w14:solidFill>
                          <w14:schemeClr w14:val="tx1"/>
                        </w14:solidFill>
                      </w14:textFill>
                    </w:rPr>
                    <w:t>不</w:t>
                  </w:r>
                  <w:r>
                    <w:rPr>
                      <w:rFonts w:ascii="仿宋" w:hAnsi="仿宋" w:eastAsia="仿宋"/>
                      <w:bCs/>
                      <w:color w:val="000000" w:themeColor="text1"/>
                      <w:szCs w:val="21"/>
                      <w14:textFill>
                        <w14:solidFill>
                          <w14:schemeClr w14:val="tx1"/>
                        </w14:solidFill>
                      </w14:textFill>
                    </w:rPr>
                    <w:t>设置</w:t>
                  </w:r>
                </w:p>
              </w:tc>
            </w:tr>
            <w:tr w14:paraId="5D09E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7" w:hRule="atLeast"/>
                <w:jc w:val="center"/>
              </w:trPr>
              <w:tc>
                <w:tcPr>
                  <w:tcW w:w="1099" w:type="dxa"/>
                  <w:tcBorders>
                    <w:top w:val="single" w:color="auto" w:sz="4" w:space="0"/>
                    <w:left w:val="single" w:color="auto" w:sz="4" w:space="0"/>
                    <w:bottom w:val="single" w:color="auto" w:sz="4" w:space="0"/>
                    <w:right w:val="single" w:color="auto" w:sz="4" w:space="0"/>
                  </w:tcBorders>
                  <w:vAlign w:val="center"/>
                </w:tcPr>
                <w:p w14:paraId="2A16BD32">
                  <w:pPr>
                    <w:jc w:val="center"/>
                    <w:rPr>
                      <w:rFonts w:eastAsia="仿宋"/>
                      <w:bCs/>
                      <w:color w:val="000000" w:themeColor="text1"/>
                      <w:szCs w:val="21"/>
                      <w14:textFill>
                        <w14:solidFill>
                          <w14:schemeClr w14:val="tx1"/>
                        </w14:solidFill>
                      </w14:textFill>
                    </w:rPr>
                  </w:pPr>
                  <w:r>
                    <w:rPr>
                      <w:rFonts w:ascii="仿宋" w:hAnsi="仿宋" w:eastAsia="仿宋"/>
                      <w:bCs/>
                      <w:color w:val="000000" w:themeColor="text1"/>
                      <w:szCs w:val="21"/>
                      <w14:textFill>
                        <w14:solidFill>
                          <w14:schemeClr w14:val="tx1"/>
                        </w14:solidFill>
                      </w14:textFill>
                    </w:rPr>
                    <w:t>生态</w:t>
                  </w:r>
                </w:p>
              </w:tc>
              <w:tc>
                <w:tcPr>
                  <w:tcW w:w="2804" w:type="dxa"/>
                  <w:tcBorders>
                    <w:top w:val="single" w:color="auto" w:sz="4" w:space="0"/>
                    <w:left w:val="single" w:color="auto" w:sz="4" w:space="0"/>
                    <w:bottom w:val="single" w:color="auto" w:sz="4" w:space="0"/>
                    <w:right w:val="single" w:color="auto" w:sz="4" w:space="0"/>
                  </w:tcBorders>
                  <w:vAlign w:val="center"/>
                </w:tcPr>
                <w:p w14:paraId="4564E62E">
                  <w:pPr>
                    <w:jc w:val="center"/>
                    <w:rPr>
                      <w:rFonts w:eastAsia="仿宋"/>
                      <w:bCs/>
                      <w:color w:val="000000" w:themeColor="text1"/>
                      <w:szCs w:val="21"/>
                      <w14:textFill>
                        <w14:solidFill>
                          <w14:schemeClr w14:val="tx1"/>
                        </w14:solidFill>
                      </w14:textFill>
                    </w:rPr>
                  </w:pPr>
                  <w:r>
                    <w:rPr>
                      <w:rFonts w:ascii="仿宋" w:hAnsi="仿宋" w:eastAsia="仿宋"/>
                      <w:bCs/>
                      <w:color w:val="000000" w:themeColor="text1"/>
                      <w:szCs w:val="21"/>
                      <w14:textFill>
                        <w14:solidFill>
                          <w14:schemeClr w14:val="tx1"/>
                        </w14:solidFill>
                      </w14:textFill>
                    </w:rPr>
                    <w:t>取水口下游</w:t>
                  </w:r>
                  <w:r>
                    <w:rPr>
                      <w:rFonts w:eastAsia="仿宋"/>
                      <w:bCs/>
                      <w:color w:val="000000" w:themeColor="text1"/>
                      <w:szCs w:val="21"/>
                      <w14:textFill>
                        <w14:solidFill>
                          <w14:schemeClr w14:val="tx1"/>
                        </w14:solidFill>
                      </w14:textFill>
                    </w:rPr>
                    <w:t>500</w:t>
                  </w:r>
                  <w:r>
                    <w:rPr>
                      <w:rFonts w:ascii="仿宋" w:hAnsi="仿宋" w:eastAsia="仿宋"/>
                      <w:bCs/>
                      <w:color w:val="000000" w:themeColor="text1"/>
                      <w:szCs w:val="21"/>
                      <w14:textFill>
                        <w14:solidFill>
                          <w14:schemeClr w14:val="tx1"/>
                        </w14:solidFill>
                      </w14:textFill>
                    </w:rPr>
                    <w:t>米范围内有重要水生生物的自然产卵场、索饵场、越冬场和洄游通道的新增河道取水的污染类建设项目</w:t>
                  </w:r>
                </w:p>
              </w:tc>
              <w:tc>
                <w:tcPr>
                  <w:tcW w:w="2811" w:type="dxa"/>
                  <w:tcBorders>
                    <w:top w:val="single" w:color="auto" w:sz="4" w:space="0"/>
                    <w:left w:val="single" w:color="auto" w:sz="4" w:space="0"/>
                    <w:bottom w:val="single" w:color="auto" w:sz="4" w:space="0"/>
                    <w:right w:val="single" w:color="auto" w:sz="4" w:space="0"/>
                  </w:tcBorders>
                  <w:vAlign w:val="center"/>
                </w:tcPr>
                <w:p w14:paraId="4ADF4355">
                  <w:pPr>
                    <w:jc w:val="center"/>
                    <w:rPr>
                      <w:rFonts w:eastAsia="仿宋"/>
                      <w:bCs/>
                      <w:color w:val="000000" w:themeColor="text1"/>
                      <w:szCs w:val="21"/>
                      <w14:textFill>
                        <w14:solidFill>
                          <w14:schemeClr w14:val="tx1"/>
                        </w14:solidFill>
                      </w14:textFill>
                    </w:rPr>
                  </w:pPr>
                  <w:r>
                    <w:rPr>
                      <w:rFonts w:ascii="仿宋" w:hAnsi="仿宋" w:eastAsia="仿宋"/>
                      <w:bCs/>
                      <w:color w:val="000000" w:themeColor="text1"/>
                      <w:szCs w:val="21"/>
                      <w14:textFill>
                        <w14:solidFill>
                          <w14:schemeClr w14:val="tx1"/>
                        </w14:solidFill>
                      </w14:textFill>
                    </w:rPr>
                    <w:t>本项目不涉及河道取水</w:t>
                  </w:r>
                </w:p>
              </w:tc>
              <w:tc>
                <w:tcPr>
                  <w:tcW w:w="1217" w:type="dxa"/>
                  <w:tcBorders>
                    <w:top w:val="single" w:color="auto" w:sz="4" w:space="0"/>
                    <w:left w:val="single" w:color="auto" w:sz="4" w:space="0"/>
                    <w:bottom w:val="single" w:color="auto" w:sz="4" w:space="0"/>
                    <w:right w:val="single" w:color="auto" w:sz="4" w:space="0"/>
                  </w:tcBorders>
                  <w:vAlign w:val="center"/>
                </w:tcPr>
                <w:p w14:paraId="7226FECD">
                  <w:pPr>
                    <w:jc w:val="center"/>
                    <w:rPr>
                      <w:rFonts w:eastAsia="仿宋"/>
                      <w:b/>
                      <w:bCs/>
                      <w:color w:val="000000" w:themeColor="text1"/>
                      <w:szCs w:val="21"/>
                      <w14:textFill>
                        <w14:solidFill>
                          <w14:schemeClr w14:val="tx1"/>
                        </w14:solidFill>
                      </w14:textFill>
                    </w:rPr>
                  </w:pPr>
                  <w:r>
                    <w:rPr>
                      <w:rFonts w:ascii="仿宋" w:hAnsi="仿宋" w:eastAsia="仿宋"/>
                      <w:bCs/>
                      <w:color w:val="000000" w:themeColor="text1"/>
                      <w:szCs w:val="21"/>
                      <w14:textFill>
                        <w14:solidFill>
                          <w14:schemeClr w14:val="tx1"/>
                        </w14:solidFill>
                      </w14:textFill>
                    </w:rPr>
                    <w:t>不设置</w:t>
                  </w:r>
                </w:p>
              </w:tc>
            </w:tr>
            <w:tr w14:paraId="3F1D7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7" w:hRule="atLeast"/>
                <w:jc w:val="center"/>
              </w:trPr>
              <w:tc>
                <w:tcPr>
                  <w:tcW w:w="1099" w:type="dxa"/>
                  <w:tcBorders>
                    <w:top w:val="single" w:color="auto" w:sz="4" w:space="0"/>
                    <w:left w:val="single" w:color="auto" w:sz="4" w:space="0"/>
                    <w:bottom w:val="single" w:color="auto" w:sz="4" w:space="0"/>
                    <w:right w:val="single" w:color="auto" w:sz="4" w:space="0"/>
                  </w:tcBorders>
                  <w:vAlign w:val="center"/>
                </w:tcPr>
                <w:p w14:paraId="5EE45990">
                  <w:pPr>
                    <w:jc w:val="center"/>
                    <w:rPr>
                      <w:rFonts w:eastAsia="仿宋"/>
                      <w:bCs/>
                      <w:color w:val="000000" w:themeColor="text1"/>
                      <w:szCs w:val="21"/>
                      <w14:textFill>
                        <w14:solidFill>
                          <w14:schemeClr w14:val="tx1"/>
                        </w14:solidFill>
                      </w14:textFill>
                    </w:rPr>
                  </w:pPr>
                  <w:r>
                    <w:rPr>
                      <w:rFonts w:ascii="仿宋" w:hAnsi="仿宋" w:eastAsia="仿宋"/>
                      <w:bCs/>
                      <w:color w:val="000000" w:themeColor="text1"/>
                      <w:szCs w:val="21"/>
                      <w14:textFill>
                        <w14:solidFill>
                          <w14:schemeClr w14:val="tx1"/>
                        </w14:solidFill>
                      </w14:textFill>
                    </w:rPr>
                    <w:t>海洋</w:t>
                  </w:r>
                </w:p>
              </w:tc>
              <w:tc>
                <w:tcPr>
                  <w:tcW w:w="2804" w:type="dxa"/>
                  <w:tcBorders>
                    <w:top w:val="single" w:color="auto" w:sz="4" w:space="0"/>
                    <w:left w:val="single" w:color="auto" w:sz="4" w:space="0"/>
                    <w:bottom w:val="single" w:color="auto" w:sz="4" w:space="0"/>
                    <w:right w:val="single" w:color="auto" w:sz="4" w:space="0"/>
                  </w:tcBorders>
                  <w:vAlign w:val="center"/>
                </w:tcPr>
                <w:p w14:paraId="794CCE2A">
                  <w:pPr>
                    <w:jc w:val="center"/>
                    <w:rPr>
                      <w:rFonts w:eastAsia="仿宋"/>
                      <w:bCs/>
                      <w:color w:val="000000" w:themeColor="text1"/>
                      <w:szCs w:val="21"/>
                      <w14:textFill>
                        <w14:solidFill>
                          <w14:schemeClr w14:val="tx1"/>
                        </w14:solidFill>
                      </w14:textFill>
                    </w:rPr>
                  </w:pPr>
                  <w:r>
                    <w:rPr>
                      <w:rFonts w:ascii="仿宋" w:hAnsi="仿宋" w:eastAsia="仿宋"/>
                      <w:bCs/>
                      <w:color w:val="000000" w:themeColor="text1"/>
                      <w:szCs w:val="21"/>
                      <w14:textFill>
                        <w14:solidFill>
                          <w14:schemeClr w14:val="tx1"/>
                        </w14:solidFill>
                      </w14:textFill>
                    </w:rPr>
                    <w:t>直接向海排放污染物的海洋工程建设项目</w:t>
                  </w:r>
                </w:p>
              </w:tc>
              <w:tc>
                <w:tcPr>
                  <w:tcW w:w="2811" w:type="dxa"/>
                  <w:tcBorders>
                    <w:top w:val="single" w:color="auto" w:sz="4" w:space="0"/>
                    <w:left w:val="single" w:color="auto" w:sz="4" w:space="0"/>
                    <w:bottom w:val="single" w:color="auto" w:sz="4" w:space="0"/>
                    <w:right w:val="single" w:color="auto" w:sz="4" w:space="0"/>
                  </w:tcBorders>
                  <w:vAlign w:val="center"/>
                </w:tcPr>
                <w:p w14:paraId="128E0DD5">
                  <w:pPr>
                    <w:jc w:val="center"/>
                    <w:rPr>
                      <w:rFonts w:eastAsia="仿宋"/>
                      <w:bCs/>
                      <w:color w:val="000000" w:themeColor="text1"/>
                      <w:szCs w:val="21"/>
                      <w14:textFill>
                        <w14:solidFill>
                          <w14:schemeClr w14:val="tx1"/>
                        </w14:solidFill>
                      </w14:textFill>
                    </w:rPr>
                  </w:pPr>
                  <w:r>
                    <w:rPr>
                      <w:rFonts w:ascii="仿宋" w:hAnsi="仿宋" w:eastAsia="仿宋"/>
                      <w:bCs/>
                      <w:color w:val="000000" w:themeColor="text1"/>
                      <w:szCs w:val="21"/>
                      <w14:textFill>
                        <w14:solidFill>
                          <w14:schemeClr w14:val="tx1"/>
                        </w14:solidFill>
                      </w14:textFill>
                    </w:rPr>
                    <w:t>本项目不涉及向海洋排放污染物</w:t>
                  </w:r>
                </w:p>
              </w:tc>
              <w:tc>
                <w:tcPr>
                  <w:tcW w:w="1217" w:type="dxa"/>
                  <w:tcBorders>
                    <w:top w:val="single" w:color="auto" w:sz="4" w:space="0"/>
                    <w:left w:val="single" w:color="auto" w:sz="4" w:space="0"/>
                    <w:bottom w:val="single" w:color="auto" w:sz="4" w:space="0"/>
                    <w:right w:val="single" w:color="auto" w:sz="4" w:space="0"/>
                  </w:tcBorders>
                  <w:vAlign w:val="center"/>
                </w:tcPr>
                <w:p w14:paraId="6EB55F7F">
                  <w:pPr>
                    <w:jc w:val="center"/>
                    <w:rPr>
                      <w:rFonts w:eastAsia="仿宋"/>
                      <w:b/>
                      <w:bCs/>
                      <w:color w:val="000000" w:themeColor="text1"/>
                      <w:szCs w:val="21"/>
                      <w14:textFill>
                        <w14:solidFill>
                          <w14:schemeClr w14:val="tx1"/>
                        </w14:solidFill>
                      </w14:textFill>
                    </w:rPr>
                  </w:pPr>
                  <w:r>
                    <w:rPr>
                      <w:rFonts w:ascii="仿宋" w:hAnsi="仿宋" w:eastAsia="仿宋"/>
                      <w:bCs/>
                      <w:color w:val="000000" w:themeColor="text1"/>
                      <w:szCs w:val="21"/>
                      <w14:textFill>
                        <w14:solidFill>
                          <w14:schemeClr w14:val="tx1"/>
                        </w14:solidFill>
                      </w14:textFill>
                    </w:rPr>
                    <w:t>不设置</w:t>
                  </w:r>
                </w:p>
              </w:tc>
            </w:tr>
          </w:tbl>
          <w:p w14:paraId="678667AB">
            <w:pPr>
              <w:spacing w:line="320" w:lineRule="exact"/>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注</w:t>
            </w:r>
            <w:r>
              <w:rPr>
                <w:rFonts w:hint="eastAsia" w:ascii="仿宋" w:hAnsi="仿宋" w:eastAsia="仿宋"/>
                <w:b/>
                <w:bCs/>
                <w:color w:val="000000" w:themeColor="text1"/>
                <w:szCs w:val="21"/>
                <w14:textFill>
                  <w14:solidFill>
                    <w14:schemeClr w14:val="tx1"/>
                  </w14:solidFill>
                </w14:textFill>
              </w:rPr>
              <w:t>：</w:t>
            </w:r>
            <w:r>
              <w:rPr>
                <w:rFonts w:eastAsia="仿宋"/>
                <w:b/>
                <w:bCs/>
                <w:color w:val="000000" w:themeColor="text1"/>
                <w:szCs w:val="21"/>
                <w14:textFill>
                  <w14:solidFill>
                    <w14:schemeClr w14:val="tx1"/>
                  </w14:solidFill>
                </w14:textFill>
              </w:rPr>
              <w:t>1.</w:t>
            </w:r>
            <w:r>
              <w:rPr>
                <w:rFonts w:ascii="仿宋" w:hAnsi="仿宋" w:eastAsia="仿宋"/>
                <w:b/>
                <w:bCs/>
                <w:color w:val="000000" w:themeColor="text1"/>
                <w:szCs w:val="21"/>
                <w14:textFill>
                  <w14:solidFill>
                    <w14:schemeClr w14:val="tx1"/>
                  </w14:solidFill>
                </w14:textFill>
              </w:rPr>
              <w:t>废气中有毒有害污染物指纳入《有毒有害大气污染物名录》的污染物</w:t>
            </w:r>
            <w:r>
              <w:rPr>
                <w:rFonts w:eastAsia="仿宋"/>
                <w:b/>
                <w:bCs/>
                <w:color w:val="000000" w:themeColor="text1"/>
                <w:szCs w:val="21"/>
                <w14:textFill>
                  <w14:solidFill>
                    <w14:schemeClr w14:val="tx1"/>
                  </w14:solidFill>
                </w14:textFill>
              </w:rPr>
              <w:t>(</w:t>
            </w:r>
            <w:r>
              <w:rPr>
                <w:rFonts w:ascii="仿宋" w:hAnsi="仿宋" w:eastAsia="仿宋"/>
                <w:b/>
                <w:bCs/>
                <w:color w:val="000000" w:themeColor="text1"/>
                <w:szCs w:val="21"/>
                <w14:textFill>
                  <w14:solidFill>
                    <w14:schemeClr w14:val="tx1"/>
                  </w14:solidFill>
                </w14:textFill>
              </w:rPr>
              <w:t>不包括无排放标准的污染物</w:t>
            </w:r>
            <w:r>
              <w:rPr>
                <w:rFonts w:eastAsia="仿宋"/>
                <w:b/>
                <w:bCs/>
                <w:color w:val="000000" w:themeColor="text1"/>
                <w:szCs w:val="21"/>
                <w14:textFill>
                  <w14:solidFill>
                    <w14:schemeClr w14:val="tx1"/>
                  </w14:solidFill>
                </w14:textFill>
              </w:rPr>
              <w:t>)</w:t>
            </w:r>
            <w:r>
              <w:rPr>
                <w:rFonts w:ascii="仿宋" w:hAnsi="仿宋" w:eastAsia="仿宋"/>
                <w:b/>
                <w:bCs/>
                <w:color w:val="000000" w:themeColor="text1"/>
                <w:szCs w:val="21"/>
                <w14:textFill>
                  <w14:solidFill>
                    <w14:schemeClr w14:val="tx1"/>
                  </w14:solidFill>
                </w14:textFill>
              </w:rPr>
              <w:t>。</w:t>
            </w:r>
          </w:p>
          <w:p w14:paraId="2A43FF90">
            <w:pPr>
              <w:spacing w:line="320" w:lineRule="exact"/>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2.</w:t>
            </w:r>
            <w:r>
              <w:rPr>
                <w:rFonts w:ascii="仿宋" w:hAnsi="仿宋" w:eastAsia="仿宋"/>
                <w:b/>
                <w:bCs/>
                <w:color w:val="000000" w:themeColor="text1"/>
                <w:szCs w:val="21"/>
                <w14:textFill>
                  <w14:solidFill>
                    <w14:schemeClr w14:val="tx1"/>
                  </w14:solidFill>
                </w14:textFill>
              </w:rPr>
              <w:t>环境空气保护目标指自然保护区、风景名胜区、居住区、文化区和农村地区中人群较集中的区域。</w:t>
            </w:r>
          </w:p>
          <w:p w14:paraId="0DAFF522">
            <w:pPr>
              <w:rPr>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3.</w:t>
            </w:r>
            <w:r>
              <w:rPr>
                <w:rFonts w:ascii="仿宋" w:hAnsi="仿宋" w:eastAsia="仿宋"/>
                <w:b/>
                <w:bCs/>
                <w:color w:val="000000" w:themeColor="text1"/>
                <w:szCs w:val="21"/>
                <w14:textFill>
                  <w14:solidFill>
                    <w14:schemeClr w14:val="tx1"/>
                  </w14:solidFill>
                </w14:textFill>
              </w:rPr>
              <w:t>临界量及其计算方法可参考《建设项目环境风险评价技术导则》</w:t>
            </w:r>
            <w:r>
              <w:rPr>
                <w:rFonts w:eastAsia="仿宋"/>
                <w:b/>
                <w:bCs/>
                <w:color w:val="000000" w:themeColor="text1"/>
                <w:szCs w:val="21"/>
                <w14:textFill>
                  <w14:solidFill>
                    <w14:schemeClr w14:val="tx1"/>
                  </w14:solidFill>
                </w14:textFill>
              </w:rPr>
              <w:t>(HJ 169)</w:t>
            </w:r>
            <w:r>
              <w:rPr>
                <w:rFonts w:ascii="仿宋" w:hAnsi="仿宋" w:eastAsia="仿宋"/>
                <w:b/>
                <w:bCs/>
                <w:color w:val="000000" w:themeColor="text1"/>
                <w:szCs w:val="21"/>
                <w14:textFill>
                  <w14:solidFill>
                    <w14:schemeClr w14:val="tx1"/>
                  </w14:solidFill>
                </w14:textFill>
              </w:rPr>
              <w:t>附录</w:t>
            </w:r>
            <w:r>
              <w:rPr>
                <w:rFonts w:eastAsia="仿宋"/>
                <w:b/>
                <w:bCs/>
                <w:color w:val="000000" w:themeColor="text1"/>
                <w:szCs w:val="21"/>
                <w14:textFill>
                  <w14:solidFill>
                    <w14:schemeClr w14:val="tx1"/>
                  </w14:solidFill>
                </w14:textFill>
              </w:rPr>
              <w:t>B</w:t>
            </w:r>
            <w:r>
              <w:rPr>
                <w:rFonts w:ascii="仿宋" w:hAnsi="仿宋" w:eastAsia="仿宋"/>
                <w:b/>
                <w:bCs/>
                <w:color w:val="000000" w:themeColor="text1"/>
                <w:szCs w:val="21"/>
                <w14:textFill>
                  <w14:solidFill>
                    <w14:schemeClr w14:val="tx1"/>
                  </w14:solidFill>
                </w14:textFill>
              </w:rPr>
              <w:t>、附录</w:t>
            </w:r>
            <w:r>
              <w:rPr>
                <w:rFonts w:eastAsia="仿宋"/>
                <w:b/>
                <w:bCs/>
                <w:color w:val="000000" w:themeColor="text1"/>
                <w:szCs w:val="21"/>
                <w14:textFill>
                  <w14:solidFill>
                    <w14:schemeClr w14:val="tx1"/>
                  </w14:solidFill>
                </w14:textFill>
              </w:rPr>
              <w:t>C</w:t>
            </w:r>
            <w:r>
              <w:rPr>
                <w:rFonts w:ascii="仿宋" w:hAnsi="仿宋" w:eastAsia="仿宋"/>
                <w:b/>
                <w:bCs/>
                <w:color w:val="000000" w:themeColor="text1"/>
                <w:szCs w:val="21"/>
                <w14:textFill>
                  <w14:solidFill>
                    <w14:schemeClr w14:val="tx1"/>
                  </w14:solidFill>
                </w14:textFill>
              </w:rPr>
              <w:t>。</w:t>
            </w:r>
          </w:p>
        </w:tc>
      </w:tr>
      <w:tr w14:paraId="3CE6AB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550" w:type="dxa"/>
            <w:vAlign w:val="center"/>
          </w:tcPr>
          <w:p w14:paraId="05F61C64">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规划情况</w:t>
            </w:r>
          </w:p>
        </w:tc>
        <w:tc>
          <w:tcPr>
            <w:tcW w:w="8188" w:type="dxa"/>
            <w:gridSpan w:val="3"/>
            <w:vAlign w:val="center"/>
          </w:tcPr>
          <w:p w14:paraId="4DABDD87">
            <w:pPr>
              <w:adjustRightInd w:val="0"/>
              <w:snapToGrid w:val="0"/>
              <w:rPr>
                <w:rFonts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名称：《金坛经济开发区发展规划》</w:t>
            </w:r>
          </w:p>
          <w:p w14:paraId="555E5C88">
            <w:pPr>
              <w:adjustRightInd w:val="0"/>
              <w:snapToGrid w:val="0"/>
              <w:rPr>
                <w:rFonts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审批机关：江苏省人民政府</w:t>
            </w:r>
          </w:p>
          <w:p w14:paraId="2010BB1B">
            <w:pPr>
              <w:rPr>
                <w:color w:val="000000" w:themeColor="text1"/>
                <w:szCs w:val="21"/>
                <w14:textFill>
                  <w14:solidFill>
                    <w14:schemeClr w14:val="tx1"/>
                  </w14:solidFill>
                </w14:textFill>
              </w:rPr>
            </w:pPr>
            <w:r>
              <w:rPr>
                <w:rFonts w:ascii="仿宋" w:hAnsi="仿宋" w:eastAsia="仿宋"/>
                <w:color w:val="000000" w:themeColor="text1"/>
                <w:sz w:val="24"/>
                <w14:textFill>
                  <w14:solidFill>
                    <w14:schemeClr w14:val="tx1"/>
                  </w14:solidFill>
                </w14:textFill>
              </w:rPr>
              <w:t>审批文件名称及文号：《省政府关于同意设立海门经济开发区等</w:t>
            </w:r>
            <w:r>
              <w:rPr>
                <w:rFonts w:eastAsia="仿宋"/>
                <w:color w:val="000000" w:themeColor="text1"/>
                <w:sz w:val="24"/>
                <w14:textFill>
                  <w14:solidFill>
                    <w14:schemeClr w14:val="tx1"/>
                  </w14:solidFill>
                </w14:textFill>
              </w:rPr>
              <w:t>13</w:t>
            </w:r>
            <w:r>
              <w:rPr>
                <w:rFonts w:ascii="仿宋" w:hAnsi="仿宋" w:eastAsia="仿宋"/>
                <w:color w:val="000000" w:themeColor="text1"/>
                <w:sz w:val="24"/>
                <w14:textFill>
                  <w14:solidFill>
                    <w14:schemeClr w14:val="tx1"/>
                  </w14:solidFill>
                </w14:textFill>
              </w:rPr>
              <w:t>家省级开发区的批复》（苏政复〔</w:t>
            </w:r>
            <w:r>
              <w:rPr>
                <w:rFonts w:eastAsia="仿宋"/>
                <w:color w:val="000000" w:themeColor="text1"/>
                <w:sz w:val="24"/>
                <w14:textFill>
                  <w14:solidFill>
                    <w14:schemeClr w14:val="tx1"/>
                  </w14:solidFill>
                </w14:textFill>
              </w:rPr>
              <w:t>1993</w:t>
            </w:r>
            <w:r>
              <w:rPr>
                <w:rFonts w:ascii="仿宋" w:hAnsi="仿宋" w:eastAsia="仿宋"/>
                <w:color w:val="000000" w:themeColor="text1"/>
                <w:sz w:val="24"/>
                <w14:textFill>
                  <w14:solidFill>
                    <w14:schemeClr w14:val="tx1"/>
                  </w14:solidFill>
                </w14:textFill>
              </w:rPr>
              <w:t>〕</w:t>
            </w:r>
            <w:r>
              <w:rPr>
                <w:rFonts w:eastAsia="仿宋"/>
                <w:color w:val="000000" w:themeColor="text1"/>
                <w:sz w:val="24"/>
                <w14:textFill>
                  <w14:solidFill>
                    <w14:schemeClr w14:val="tx1"/>
                  </w14:solidFill>
                </w14:textFill>
              </w:rPr>
              <w:t>60</w:t>
            </w:r>
            <w:r>
              <w:rPr>
                <w:rFonts w:ascii="仿宋" w:hAnsi="仿宋" w:eastAsia="仿宋"/>
                <w:color w:val="000000" w:themeColor="text1"/>
                <w:sz w:val="24"/>
                <w14:textFill>
                  <w14:solidFill>
                    <w14:schemeClr w14:val="tx1"/>
                  </w14:solidFill>
                </w14:textFill>
              </w:rPr>
              <w:t>号）</w:t>
            </w:r>
          </w:p>
        </w:tc>
      </w:tr>
      <w:tr w14:paraId="0BF0A7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550" w:type="dxa"/>
            <w:vAlign w:val="center"/>
          </w:tcPr>
          <w:p w14:paraId="7845FD5C">
            <w:pPr>
              <w:adjustRightInd w:val="0"/>
              <w:snapToGrid w:val="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规划环境影响评价情况</w:t>
            </w:r>
          </w:p>
        </w:tc>
        <w:tc>
          <w:tcPr>
            <w:tcW w:w="8188" w:type="dxa"/>
            <w:gridSpan w:val="3"/>
            <w:vAlign w:val="center"/>
          </w:tcPr>
          <w:p w14:paraId="3015BD91">
            <w:pPr>
              <w:adjustRightInd w:val="0"/>
              <w:snapToGrid w:val="0"/>
              <w:rPr>
                <w:rFonts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名称：《金坛经济开发区发展规划环境影响报告书》</w:t>
            </w:r>
          </w:p>
          <w:p w14:paraId="4D1622FD">
            <w:pPr>
              <w:adjustRightInd w:val="0"/>
              <w:snapToGrid w:val="0"/>
              <w:rPr>
                <w:rFonts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审批机关：江苏省环境保护厅</w:t>
            </w:r>
          </w:p>
          <w:p w14:paraId="65493068">
            <w:pPr>
              <w:adjustRightInd w:val="0"/>
              <w:snapToGrid w:val="0"/>
              <w:rPr>
                <w:rFonts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审批文件名称及文号：《关于金坛经济开发区发展规划环境影响评价审查意见》（苏环审〔</w:t>
            </w:r>
            <w:r>
              <w:rPr>
                <w:rFonts w:eastAsia="仿宋"/>
                <w:color w:val="000000" w:themeColor="text1"/>
                <w:sz w:val="24"/>
                <w14:textFill>
                  <w14:solidFill>
                    <w14:schemeClr w14:val="tx1"/>
                  </w14:solidFill>
                </w14:textFill>
              </w:rPr>
              <w:t>2015</w:t>
            </w:r>
            <w:r>
              <w:rPr>
                <w:rFonts w:ascii="仿宋" w:hAnsi="仿宋" w:eastAsia="仿宋"/>
                <w:color w:val="000000" w:themeColor="text1"/>
                <w:sz w:val="24"/>
                <w14:textFill>
                  <w14:solidFill>
                    <w14:schemeClr w14:val="tx1"/>
                  </w14:solidFill>
                </w14:textFill>
              </w:rPr>
              <w:t>〕</w:t>
            </w:r>
            <w:r>
              <w:rPr>
                <w:rFonts w:eastAsia="仿宋"/>
                <w:color w:val="000000" w:themeColor="text1"/>
                <w:sz w:val="24"/>
                <w14:textFill>
                  <w14:solidFill>
                    <w14:schemeClr w14:val="tx1"/>
                  </w14:solidFill>
                </w14:textFill>
              </w:rPr>
              <w:t>52</w:t>
            </w:r>
            <w:r>
              <w:rPr>
                <w:rFonts w:ascii="仿宋" w:hAnsi="仿宋" w:eastAsia="仿宋"/>
                <w:color w:val="000000" w:themeColor="text1"/>
                <w:sz w:val="24"/>
                <w14:textFill>
                  <w14:solidFill>
                    <w14:schemeClr w14:val="tx1"/>
                  </w14:solidFill>
                </w14:textFill>
              </w:rPr>
              <w:t>号）</w:t>
            </w:r>
          </w:p>
          <w:p w14:paraId="43D2E038">
            <w:pPr>
              <w:rPr>
                <w:color w:val="000000" w:themeColor="text1"/>
                <w:szCs w:val="21"/>
                <w14:textFill>
                  <w14:solidFill>
                    <w14:schemeClr w14:val="tx1"/>
                  </w14:solidFill>
                </w14:textFill>
              </w:rPr>
            </w:pPr>
            <w:r>
              <w:rPr>
                <w:rFonts w:ascii="仿宋" w:hAnsi="仿宋" w:eastAsia="仿宋"/>
                <w:color w:val="000000" w:themeColor="text1"/>
                <w:sz w:val="24"/>
                <w14:textFill>
                  <w14:solidFill>
                    <w14:schemeClr w14:val="tx1"/>
                  </w14:solidFill>
                </w14:textFill>
              </w:rPr>
              <w:t>最新的《江苏金坛经济开发区发展规划环境影响评价》正在委托江苏龙环环境科技有限公司更新编制中</w:t>
            </w:r>
          </w:p>
        </w:tc>
      </w:tr>
      <w:tr w14:paraId="028949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550" w:type="dxa"/>
            <w:vAlign w:val="center"/>
          </w:tcPr>
          <w:p w14:paraId="2A52D2D7">
            <w:pPr>
              <w:autoSpaceDE w:val="0"/>
              <w:autoSpaceDN w:val="0"/>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规划及规划环境影响评价符合性分析</w:t>
            </w:r>
          </w:p>
        </w:tc>
        <w:tc>
          <w:tcPr>
            <w:tcW w:w="8188" w:type="dxa"/>
            <w:gridSpan w:val="3"/>
            <w:vAlign w:val="center"/>
          </w:tcPr>
          <w:p w14:paraId="466F5354">
            <w:pPr>
              <w:spacing w:line="480" w:lineRule="exact"/>
              <w:ind w:firstLine="482" w:firstLineChars="200"/>
              <w:rPr>
                <w:rFonts w:eastAsia="仿宋"/>
                <w:b/>
                <w:bCs/>
                <w:color w:val="000000" w:themeColor="text1"/>
                <w:sz w:val="24"/>
                <w14:textFill>
                  <w14:solidFill>
                    <w14:schemeClr w14:val="tx1"/>
                  </w14:solidFill>
                </w14:textFill>
              </w:rPr>
            </w:pPr>
            <w:r>
              <w:rPr>
                <w:rFonts w:ascii="仿宋" w:hAnsi="仿宋" w:eastAsia="仿宋"/>
                <w:b/>
                <w:bCs/>
                <w:color w:val="000000" w:themeColor="text1"/>
                <w:sz w:val="24"/>
                <w14:textFill>
                  <w14:solidFill>
                    <w14:schemeClr w14:val="tx1"/>
                  </w14:solidFill>
                </w14:textFill>
              </w:rPr>
              <w:t>（一）与《金坛经济开发区发展规划》符合性分析</w:t>
            </w:r>
          </w:p>
          <w:p w14:paraId="37DC9376">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根据金坛经济开发区发展规划，金坛经济开发区规划范围为：东至在建省道</w:t>
            </w:r>
            <w:r>
              <w:rPr>
                <w:rFonts w:eastAsia="仿宋"/>
                <w:bCs/>
                <w:color w:val="000000" w:themeColor="text1"/>
                <w:sz w:val="24"/>
                <w14:textFill>
                  <w14:solidFill>
                    <w14:schemeClr w14:val="tx1"/>
                  </w14:solidFill>
                </w14:textFill>
              </w:rPr>
              <w:t>203</w:t>
            </w:r>
            <w:r>
              <w:rPr>
                <w:rFonts w:ascii="仿宋" w:hAnsi="仿宋" w:eastAsia="仿宋"/>
                <w:bCs/>
                <w:color w:val="000000" w:themeColor="text1"/>
                <w:sz w:val="24"/>
                <w14:textFill>
                  <w14:solidFill>
                    <w14:schemeClr w14:val="tx1"/>
                  </w14:solidFill>
                </w14:textFill>
              </w:rPr>
              <w:t>（东环路），南至规划沿江城际铁路，西至金湖路（金宜路）</w:t>
            </w:r>
            <w:r>
              <w:rPr>
                <w:rFonts w:eastAsia="仿宋"/>
                <w:bCs/>
                <w:color w:val="000000" w:themeColor="text1"/>
                <w:sz w:val="24"/>
                <w14:textFill>
                  <w14:solidFill>
                    <w14:schemeClr w14:val="tx1"/>
                  </w14:solidFill>
                </w14:textFill>
              </w:rPr>
              <w:t>-S340-</w:t>
            </w:r>
            <w:r>
              <w:rPr>
                <w:rFonts w:ascii="仿宋" w:hAnsi="仿宋" w:eastAsia="仿宋"/>
                <w:bCs/>
                <w:color w:val="000000" w:themeColor="text1"/>
                <w:sz w:val="24"/>
                <w14:textFill>
                  <w14:solidFill>
                    <w14:schemeClr w14:val="tx1"/>
                  </w14:solidFill>
                </w14:textFill>
              </w:rPr>
              <w:t>丹金溧漕河，北近开发区行政界线，距金坛和丹阳市界</w:t>
            </w:r>
            <w:r>
              <w:rPr>
                <w:rFonts w:eastAsia="仿宋"/>
                <w:bCs/>
                <w:color w:val="000000" w:themeColor="text1"/>
                <w:sz w:val="24"/>
                <w14:textFill>
                  <w14:solidFill>
                    <w14:schemeClr w14:val="tx1"/>
                  </w14:solidFill>
                </w14:textFill>
              </w:rPr>
              <w:t>500m</w:t>
            </w:r>
            <w:r>
              <w:rPr>
                <w:rFonts w:ascii="仿宋" w:hAnsi="仿宋" w:eastAsia="仿宋"/>
                <w:bCs/>
                <w:color w:val="000000" w:themeColor="text1"/>
                <w:sz w:val="24"/>
                <w14:textFill>
                  <w14:solidFill>
                    <w14:schemeClr w14:val="tx1"/>
                  </w14:solidFill>
                </w14:textFill>
              </w:rPr>
              <w:t>处，总面积</w:t>
            </w:r>
            <w:r>
              <w:rPr>
                <w:rFonts w:eastAsia="仿宋"/>
                <w:bCs/>
                <w:color w:val="000000" w:themeColor="text1"/>
                <w:sz w:val="24"/>
                <w14:textFill>
                  <w14:solidFill>
                    <w14:schemeClr w14:val="tx1"/>
                  </w14:solidFill>
                </w14:textFill>
              </w:rPr>
              <w:t>71.3km</w:t>
            </w:r>
            <w:r>
              <w:rPr>
                <w:rFonts w:eastAsia="仿宋"/>
                <w:bCs/>
                <w:color w:val="000000" w:themeColor="text1"/>
                <w:sz w:val="24"/>
                <w:vertAlign w:val="superscript"/>
                <w14:textFill>
                  <w14:solidFill>
                    <w14:schemeClr w14:val="tx1"/>
                  </w14:solidFill>
                </w14:textFill>
              </w:rPr>
              <w:t>2</w:t>
            </w:r>
            <w:r>
              <w:rPr>
                <w:rFonts w:ascii="仿宋" w:hAnsi="仿宋" w:eastAsia="仿宋"/>
                <w:bCs/>
                <w:color w:val="000000" w:themeColor="text1"/>
                <w:sz w:val="24"/>
                <w14:textFill>
                  <w14:solidFill>
                    <w14:schemeClr w14:val="tx1"/>
                  </w14:solidFill>
                </w14:textFill>
              </w:rPr>
              <w:t>。</w:t>
            </w:r>
          </w:p>
          <w:p w14:paraId="2411D675">
            <w:pPr>
              <w:spacing w:line="480" w:lineRule="exact"/>
              <w:ind w:firstLine="482" w:firstLineChars="200"/>
              <w:rPr>
                <w:rFonts w:ascii="仿宋" w:hAnsi="仿宋" w:eastAsia="仿宋"/>
                <w:b/>
                <w:bCs/>
                <w:color w:val="000000" w:themeColor="text1"/>
                <w:sz w:val="24"/>
                <w14:textFill>
                  <w14:solidFill>
                    <w14:schemeClr w14:val="tx1"/>
                  </w14:solidFill>
                </w14:textFill>
              </w:rPr>
            </w:pPr>
            <w:r>
              <w:rPr>
                <w:rFonts w:ascii="仿宋" w:hAnsi="仿宋" w:eastAsia="仿宋"/>
                <w:b/>
                <w:bCs/>
                <w:color w:val="000000" w:themeColor="text1"/>
                <w:sz w:val="24"/>
                <w14:textFill>
                  <w14:solidFill>
                    <w14:schemeClr w14:val="tx1"/>
                  </w14:solidFill>
                </w14:textFill>
              </w:rPr>
              <w:t>1、功能定位</w:t>
            </w:r>
          </w:p>
          <w:p w14:paraId="5B5D1002">
            <w:pPr>
              <w:spacing w:line="480" w:lineRule="exact"/>
              <w:ind w:firstLine="480" w:firstLineChars="200"/>
              <w:rPr>
                <w:color w:val="000000" w:themeColor="text1"/>
                <w:szCs w:val="21"/>
                <w14:textFill>
                  <w14:solidFill>
                    <w14:schemeClr w14:val="tx1"/>
                  </w14:solidFill>
                </w14:textFill>
              </w:rPr>
            </w:pPr>
            <w:r>
              <w:rPr>
                <w:rFonts w:eastAsia="仿宋"/>
                <w:bCs/>
                <w:color w:val="000000" w:themeColor="text1"/>
                <w:sz w:val="24"/>
                <w14:textFill>
                  <w14:solidFill>
                    <w14:schemeClr w14:val="tx1"/>
                  </w14:solidFill>
                </w14:textFill>
              </w:rPr>
              <w:t>金坛经济开发区又称华罗庚科技城，是1993年11月11日经江苏省人民政府批准设立的13个省级开发区之一。金坛经济开发区作为金坛城区的重要组成部分，是一个布局合理、功能齐全、环境优美的以高科技产业为导向的轻重工业并存的现代化花园式城市新区。</w:t>
            </w:r>
          </w:p>
          <w:p w14:paraId="1C3BFDD6">
            <w:pPr>
              <w:spacing w:line="48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2</w:t>
            </w:r>
            <w:r>
              <w:rPr>
                <w:rFonts w:ascii="仿宋" w:hAnsi="仿宋" w:eastAsia="仿宋"/>
                <w:b/>
                <w:bCs/>
                <w:color w:val="000000" w:themeColor="text1"/>
                <w:sz w:val="24"/>
                <w14:textFill>
                  <w14:solidFill>
                    <w14:schemeClr w14:val="tx1"/>
                  </w14:solidFill>
                </w14:textFill>
              </w:rPr>
              <w:t>、产业定位</w:t>
            </w:r>
          </w:p>
          <w:p w14:paraId="4485BDCE">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开发区的产业定位：以高科技产业为引导，大力发展盐化工及其延伸产业、机械电子、新材料、服装等无污染、轻污染、有良好效益的科技密集型或劳动密集型产业。</w:t>
            </w:r>
          </w:p>
          <w:p w14:paraId="59CF511D">
            <w:pPr>
              <w:spacing w:line="48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3</w:t>
            </w:r>
            <w:r>
              <w:rPr>
                <w:rFonts w:ascii="仿宋" w:hAnsi="仿宋" w:eastAsia="仿宋"/>
                <w:b/>
                <w:bCs/>
                <w:color w:val="000000" w:themeColor="text1"/>
                <w:sz w:val="24"/>
                <w14:textFill>
                  <w14:solidFill>
                    <w14:schemeClr w14:val="tx1"/>
                  </w14:solidFill>
                </w14:textFill>
              </w:rPr>
              <w:t>、空间布局</w:t>
            </w:r>
          </w:p>
          <w:p w14:paraId="0167B81B">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规划形成两条轴线、两个片区（新镇）中心和四大功能区的规划结构，其中四大功能区为华罗庚科技园区、生态居住片区、传统产业园区（产业北区）和创新型产业园区（产业南区）。</w:t>
            </w:r>
          </w:p>
          <w:p w14:paraId="030E8CE0">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华罗庚科技园区：金坛华科园成立于</w:t>
            </w:r>
            <w:r>
              <w:rPr>
                <w:rFonts w:eastAsia="仿宋"/>
                <w:bCs/>
                <w:color w:val="000000" w:themeColor="text1"/>
                <w:sz w:val="24"/>
                <w14:textFill>
                  <w14:solidFill>
                    <w14:schemeClr w14:val="tx1"/>
                  </w14:solidFill>
                </w14:textFill>
              </w:rPr>
              <w:t>2014</w:t>
            </w:r>
            <w:r>
              <w:rPr>
                <w:rFonts w:ascii="仿宋" w:hAnsi="仿宋" w:eastAsia="仿宋"/>
                <w:bCs/>
                <w:color w:val="000000" w:themeColor="text1"/>
                <w:sz w:val="24"/>
                <w14:textFill>
                  <w14:solidFill>
                    <w14:schemeClr w14:val="tx1"/>
                  </w14:solidFill>
                </w14:textFill>
              </w:rPr>
              <w:t>年，是金坛经济开发区的一个重要板块，</w:t>
            </w:r>
            <w:r>
              <w:rPr>
                <w:rFonts w:eastAsia="仿宋"/>
                <w:bCs/>
                <w:color w:val="000000" w:themeColor="text1"/>
                <w:sz w:val="24"/>
                <w14:textFill>
                  <w14:solidFill>
                    <w14:schemeClr w14:val="tx1"/>
                  </w14:solidFill>
                </w14:textFill>
              </w:rPr>
              <w:t>2016</w:t>
            </w:r>
            <w:r>
              <w:rPr>
                <w:rFonts w:ascii="仿宋" w:hAnsi="仿宋" w:eastAsia="仿宋"/>
                <w:bCs/>
                <w:color w:val="000000" w:themeColor="text1"/>
                <w:sz w:val="24"/>
                <w14:textFill>
                  <w14:solidFill>
                    <w14:schemeClr w14:val="tx1"/>
                  </w14:solidFill>
                </w14:textFill>
              </w:rPr>
              <w:t>年独立运行。该园区加快项目引进和建设，已初步构建成以新一代信息技术、新能源汽车为核心的特色产业体系，集聚了以信维通信、飞荣达为龙头的新一代信息技术产业企业</w:t>
            </w:r>
            <w:r>
              <w:rPr>
                <w:rFonts w:eastAsia="仿宋"/>
                <w:bCs/>
                <w:color w:val="000000" w:themeColor="text1"/>
                <w:sz w:val="24"/>
                <w14:textFill>
                  <w14:solidFill>
                    <w14:schemeClr w14:val="tx1"/>
                  </w14:solidFill>
                </w14:textFill>
              </w:rPr>
              <w:t>22</w:t>
            </w:r>
            <w:r>
              <w:rPr>
                <w:rFonts w:ascii="仿宋" w:hAnsi="仿宋" w:eastAsia="仿宋"/>
                <w:bCs/>
                <w:color w:val="000000" w:themeColor="text1"/>
                <w:sz w:val="24"/>
                <w14:textFill>
                  <w14:solidFill>
                    <w14:schemeClr w14:val="tx1"/>
                  </w14:solidFill>
                </w14:textFill>
              </w:rPr>
              <w:t>家，以中航锂电、贝特瑞为龙头的新能源汽车产业企业</w:t>
            </w:r>
            <w:r>
              <w:rPr>
                <w:rFonts w:eastAsia="仿宋"/>
                <w:bCs/>
                <w:color w:val="000000" w:themeColor="text1"/>
                <w:sz w:val="24"/>
                <w14:textFill>
                  <w14:solidFill>
                    <w14:schemeClr w14:val="tx1"/>
                  </w14:solidFill>
                </w14:textFill>
              </w:rPr>
              <w:t>41</w:t>
            </w:r>
            <w:r>
              <w:rPr>
                <w:rFonts w:ascii="仿宋" w:hAnsi="仿宋" w:eastAsia="仿宋"/>
                <w:bCs/>
                <w:color w:val="000000" w:themeColor="text1"/>
                <w:sz w:val="24"/>
                <w14:textFill>
                  <w14:solidFill>
                    <w14:schemeClr w14:val="tx1"/>
                  </w14:solidFill>
                </w14:textFill>
              </w:rPr>
              <w:t>家。目前，已规划建设河海大学科技园、金坛华罗庚产业科技创新中心、中日（金坛）产业园三大创新区域，已建成省级以上科技企业孵化器</w:t>
            </w:r>
            <w:r>
              <w:rPr>
                <w:rFonts w:eastAsia="仿宋"/>
                <w:bCs/>
                <w:color w:val="000000" w:themeColor="text1"/>
                <w:sz w:val="24"/>
                <w14:textFill>
                  <w14:solidFill>
                    <w14:schemeClr w14:val="tx1"/>
                  </w14:solidFill>
                </w14:textFill>
              </w:rPr>
              <w:t>2</w:t>
            </w:r>
            <w:r>
              <w:rPr>
                <w:rFonts w:ascii="仿宋" w:hAnsi="仿宋" w:eastAsia="仿宋"/>
                <w:bCs/>
                <w:color w:val="000000" w:themeColor="text1"/>
                <w:sz w:val="24"/>
                <w14:textFill>
                  <w14:solidFill>
                    <w14:schemeClr w14:val="tx1"/>
                  </w14:solidFill>
                </w14:textFill>
              </w:rPr>
              <w:t>个。升格后的华罗庚高新区，将瞄准新兴产业高端发展、科技创新引领未来、千亿元园区发展方向和目标，树立</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产业</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创新</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理念，围绕产业链部署创新链、围绕创新链布局产业链，形成项目带动、创新驱动</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双引擎</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发展格局，形成与金坛经济开发区、</w:t>
            </w:r>
            <w:r>
              <w:rPr>
                <w:rFonts w:eastAsia="仿宋"/>
                <w:bCs/>
                <w:color w:val="000000" w:themeColor="text1"/>
                <w:sz w:val="24"/>
                <w14:textFill>
                  <w14:solidFill>
                    <w14:schemeClr w14:val="tx1"/>
                  </w14:solidFill>
                </w14:textFill>
              </w:rPr>
              <w:t>5</w:t>
            </w:r>
            <w:r>
              <w:rPr>
                <w:rFonts w:ascii="仿宋" w:hAnsi="仿宋" w:eastAsia="仿宋"/>
                <w:bCs/>
                <w:color w:val="000000" w:themeColor="text1"/>
                <w:sz w:val="24"/>
                <w14:textFill>
                  <w14:solidFill>
                    <w14:schemeClr w14:val="tx1"/>
                  </w14:solidFill>
                </w14:textFill>
              </w:rPr>
              <w:t>镇现代产业园</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三驾马车</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齐头并进态势，共同推动区域经济高质量发展。</w:t>
            </w:r>
          </w:p>
          <w:p w14:paraId="603F0F2B">
            <w:pPr>
              <w:spacing w:line="480" w:lineRule="exact"/>
              <w:ind w:firstLine="482" w:firstLineChars="200"/>
              <w:rPr>
                <w:color w:val="000000" w:themeColor="text1"/>
                <w:szCs w:val="21"/>
                <w14:textFill>
                  <w14:solidFill>
                    <w14:schemeClr w14:val="tx1"/>
                  </w14:solidFill>
                </w14:textFill>
              </w:rPr>
            </w:pPr>
            <w:r>
              <w:rPr>
                <w:rFonts w:eastAsia="仿宋"/>
                <w:b/>
                <w:color w:val="000000" w:themeColor="text1"/>
                <w:sz w:val="24"/>
                <w14:textFill>
                  <w14:solidFill>
                    <w14:schemeClr w14:val="tx1"/>
                  </w14:solidFill>
                </w14:textFill>
              </w:rPr>
              <w:t>对照分析：</w:t>
            </w:r>
            <w:r>
              <w:rPr>
                <w:rFonts w:eastAsia="仿宋"/>
                <w:bCs/>
                <w:color w:val="000000" w:themeColor="text1"/>
                <w:sz w:val="24"/>
                <w14:textFill>
                  <w14:solidFill>
                    <w14:schemeClr w14:val="tx1"/>
                  </w14:solidFill>
                </w14:textFill>
              </w:rPr>
              <w:t>本项目位于江苏省常州市江苏金坛经济开发区</w:t>
            </w:r>
            <w:r>
              <w:rPr>
                <w:rFonts w:hint="eastAsia" w:eastAsia="仿宋"/>
                <w:bCs/>
                <w:color w:val="000000" w:themeColor="text1"/>
                <w:sz w:val="24"/>
                <w14:textFill>
                  <w14:solidFill>
                    <w14:schemeClr w14:val="tx1"/>
                  </w14:solidFill>
                </w14:textFill>
              </w:rPr>
              <w:t>汇福路东侧，珠山路南侧</w:t>
            </w:r>
            <w:r>
              <w:rPr>
                <w:rFonts w:eastAsia="仿宋"/>
                <w:bCs/>
                <w:color w:val="000000" w:themeColor="text1"/>
                <w:sz w:val="24"/>
                <w14:textFill>
                  <w14:solidFill>
                    <w14:schemeClr w14:val="tx1"/>
                  </w14:solidFill>
                </w14:textFill>
              </w:rPr>
              <w:t>，为</w:t>
            </w:r>
            <w:r>
              <w:rPr>
                <w:rFonts w:hint="eastAsia" w:eastAsia="仿宋"/>
                <w:bCs/>
                <w:color w:val="000000" w:themeColor="text1"/>
                <w:sz w:val="24"/>
                <w14:textFill>
                  <w14:solidFill>
                    <w14:schemeClr w14:val="tx1"/>
                  </w14:solidFill>
                </w14:textFill>
              </w:rPr>
              <w:t>医疗诊断用发生器设备制造</w:t>
            </w:r>
            <w:r>
              <w:rPr>
                <w:rFonts w:eastAsia="仿宋"/>
                <w:bCs/>
                <w:color w:val="000000" w:themeColor="text1"/>
                <w:sz w:val="24"/>
                <w14:textFill>
                  <w14:solidFill>
                    <w14:schemeClr w14:val="tx1"/>
                  </w14:solidFill>
                </w14:textFill>
              </w:rPr>
              <w:t>项目，国民经济行业类别属于“C3581</w:t>
            </w:r>
            <w:r>
              <w:rPr>
                <w:rFonts w:hint="eastAsia" w:eastAsia="仿宋"/>
                <w:bCs/>
                <w:color w:val="000000" w:themeColor="text1"/>
                <w:sz w:val="24"/>
                <w14:textFill>
                  <w14:solidFill>
                    <w14:schemeClr w14:val="tx1"/>
                  </w14:solidFill>
                </w14:textFill>
              </w:rPr>
              <w:t>医疗诊断、监护及治疗设备制造</w:t>
            </w:r>
            <w:r>
              <w:rPr>
                <w:rFonts w:eastAsia="仿宋"/>
                <w:bCs/>
                <w:color w:val="000000" w:themeColor="text1"/>
                <w:sz w:val="24"/>
                <w14:textFill>
                  <w14:solidFill>
                    <w14:schemeClr w14:val="tx1"/>
                  </w14:solidFill>
                </w14:textFill>
              </w:rPr>
              <w:t>”，满足开发区产业定位；企业现有厂房已获得不动产权证（苏（2021）金坛区不动产权第0046776号），</w:t>
            </w:r>
            <w:r>
              <w:rPr>
                <w:rFonts w:hint="eastAsia" w:eastAsia="仿宋"/>
                <w:bCs/>
                <w:color w:val="000000" w:themeColor="text1"/>
                <w:sz w:val="24"/>
                <w14:textFill>
                  <w14:solidFill>
                    <w14:schemeClr w14:val="tx1"/>
                  </w14:solidFill>
                </w14:textFill>
              </w:rPr>
              <w:t>根据《金坛经济开发区土地利用规划图》，项目所在地已规划为工业用地</w:t>
            </w:r>
            <w:r>
              <w:rPr>
                <w:rFonts w:eastAsia="仿宋"/>
                <w:bCs/>
                <w:color w:val="000000" w:themeColor="text1"/>
                <w:sz w:val="24"/>
                <w14:textFill>
                  <w14:solidFill>
                    <w14:schemeClr w14:val="tx1"/>
                  </w14:solidFill>
                </w14:textFill>
              </w:rPr>
              <w:t>，本项目用地性质符合要求。</w:t>
            </w:r>
          </w:p>
          <w:p w14:paraId="6E35C6E2">
            <w:pPr>
              <w:spacing w:line="480" w:lineRule="exact"/>
              <w:ind w:firstLine="482" w:firstLineChars="200"/>
              <w:rPr>
                <w:rFonts w:eastAsia="仿宋"/>
                <w:b/>
                <w:bCs/>
                <w:color w:val="000000" w:themeColor="text1"/>
                <w:sz w:val="24"/>
                <w14:textFill>
                  <w14:solidFill>
                    <w14:schemeClr w14:val="tx1"/>
                  </w14:solidFill>
                </w14:textFill>
              </w:rPr>
            </w:pPr>
            <w:r>
              <w:rPr>
                <w:rFonts w:ascii="仿宋" w:hAnsi="仿宋" w:eastAsia="仿宋"/>
                <w:b/>
                <w:bCs/>
                <w:color w:val="000000" w:themeColor="text1"/>
                <w:sz w:val="24"/>
                <w14:textFill>
                  <w14:solidFill>
                    <w14:schemeClr w14:val="tx1"/>
                  </w14:solidFill>
                </w14:textFill>
              </w:rPr>
              <w:t>（二）与《金坛经济开发区发展规划环境影响报告书》符合性分析</w:t>
            </w:r>
          </w:p>
          <w:p w14:paraId="201BD107">
            <w:pPr>
              <w:spacing w:line="48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1</w:t>
            </w:r>
            <w:r>
              <w:rPr>
                <w:rFonts w:ascii="仿宋" w:hAnsi="仿宋" w:eastAsia="仿宋"/>
                <w:b/>
                <w:bCs/>
                <w:color w:val="000000" w:themeColor="text1"/>
                <w:sz w:val="24"/>
                <w14:textFill>
                  <w14:solidFill>
                    <w14:schemeClr w14:val="tx1"/>
                  </w14:solidFill>
                </w14:textFill>
              </w:rPr>
              <w:t>、规划范围</w:t>
            </w:r>
          </w:p>
          <w:p w14:paraId="662EB602">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根据</w:t>
            </w:r>
            <w:r>
              <w:rPr>
                <w:rFonts w:ascii="仿宋" w:hAnsi="仿宋" w:eastAsia="仿宋"/>
                <w:color w:val="000000" w:themeColor="text1"/>
                <w:sz w:val="24"/>
                <w14:textFill>
                  <w14:solidFill>
                    <w14:schemeClr w14:val="tx1"/>
                  </w14:solidFill>
                </w14:textFill>
              </w:rPr>
              <w:t>《关于金坛经济开发区发展规划环境影响评价审查意见》（苏环审〔</w:t>
            </w:r>
            <w:r>
              <w:rPr>
                <w:rFonts w:eastAsia="仿宋"/>
                <w:color w:val="000000" w:themeColor="text1"/>
                <w:sz w:val="24"/>
                <w14:textFill>
                  <w14:solidFill>
                    <w14:schemeClr w14:val="tx1"/>
                  </w14:solidFill>
                </w14:textFill>
              </w:rPr>
              <w:t>2015</w:t>
            </w:r>
            <w:r>
              <w:rPr>
                <w:rFonts w:ascii="仿宋" w:hAnsi="仿宋" w:eastAsia="仿宋"/>
                <w:color w:val="000000" w:themeColor="text1"/>
                <w:sz w:val="24"/>
                <w14:textFill>
                  <w14:solidFill>
                    <w14:schemeClr w14:val="tx1"/>
                  </w14:solidFill>
                </w14:textFill>
              </w:rPr>
              <w:t>〕</w:t>
            </w:r>
            <w:r>
              <w:rPr>
                <w:rFonts w:eastAsia="仿宋"/>
                <w:color w:val="000000" w:themeColor="text1"/>
                <w:sz w:val="24"/>
                <w14:textFill>
                  <w14:solidFill>
                    <w14:schemeClr w14:val="tx1"/>
                  </w14:solidFill>
                </w14:textFill>
              </w:rPr>
              <w:t>52</w:t>
            </w:r>
            <w:r>
              <w:rPr>
                <w:rFonts w:ascii="仿宋" w:hAnsi="仿宋" w:eastAsia="仿宋"/>
                <w:color w:val="000000" w:themeColor="text1"/>
                <w:sz w:val="24"/>
                <w14:textFill>
                  <w14:solidFill>
                    <w14:schemeClr w14:val="tx1"/>
                  </w14:solidFill>
                </w14:textFill>
              </w:rPr>
              <w:t>号）</w:t>
            </w:r>
            <w:r>
              <w:rPr>
                <w:rFonts w:ascii="仿宋" w:hAnsi="仿宋" w:eastAsia="仿宋"/>
                <w:bCs/>
                <w:color w:val="000000" w:themeColor="text1"/>
                <w:sz w:val="24"/>
                <w14:textFill>
                  <w14:solidFill>
                    <w14:schemeClr w14:val="tx1"/>
                  </w14:solidFill>
                </w14:textFill>
              </w:rPr>
              <w:t>，金坛经济开发区具体范围为：东至规划在建省道</w:t>
            </w:r>
            <w:r>
              <w:rPr>
                <w:rFonts w:eastAsia="仿宋"/>
                <w:bCs/>
                <w:color w:val="000000" w:themeColor="text1"/>
                <w:sz w:val="24"/>
                <w14:textFill>
                  <w14:solidFill>
                    <w14:schemeClr w14:val="tx1"/>
                  </w14:solidFill>
                </w14:textFill>
              </w:rPr>
              <w:t>203</w:t>
            </w:r>
            <w:r>
              <w:rPr>
                <w:rFonts w:ascii="仿宋" w:hAnsi="仿宋" w:eastAsia="仿宋"/>
                <w:bCs/>
                <w:color w:val="000000" w:themeColor="text1"/>
                <w:sz w:val="24"/>
                <w14:textFill>
                  <w14:solidFill>
                    <w14:schemeClr w14:val="tx1"/>
                  </w14:solidFill>
                </w14:textFill>
              </w:rPr>
              <w:t>（东环路），南至规划沿江城际铁路，西至金湖路（金宜路）</w:t>
            </w:r>
            <w:r>
              <w:rPr>
                <w:rFonts w:eastAsia="仿宋"/>
                <w:bCs/>
                <w:color w:val="000000" w:themeColor="text1"/>
                <w:sz w:val="24"/>
                <w14:textFill>
                  <w14:solidFill>
                    <w14:schemeClr w14:val="tx1"/>
                  </w14:solidFill>
                </w14:textFill>
              </w:rPr>
              <w:t>-S340-</w:t>
            </w:r>
            <w:r>
              <w:rPr>
                <w:rFonts w:ascii="仿宋" w:hAnsi="仿宋" w:eastAsia="仿宋"/>
                <w:bCs/>
                <w:color w:val="000000" w:themeColor="text1"/>
                <w:sz w:val="24"/>
                <w14:textFill>
                  <w14:solidFill>
                    <w14:schemeClr w14:val="tx1"/>
                  </w14:solidFill>
                </w14:textFill>
              </w:rPr>
              <w:t>丹金溧漕河，北近开发区行政界线，距金坛和丹阳市界</w:t>
            </w:r>
            <w:r>
              <w:rPr>
                <w:rFonts w:eastAsia="仿宋"/>
                <w:bCs/>
                <w:color w:val="000000" w:themeColor="text1"/>
                <w:sz w:val="24"/>
                <w14:textFill>
                  <w14:solidFill>
                    <w14:schemeClr w14:val="tx1"/>
                  </w14:solidFill>
                </w14:textFill>
              </w:rPr>
              <w:t>500m</w:t>
            </w:r>
            <w:r>
              <w:rPr>
                <w:rFonts w:ascii="仿宋" w:hAnsi="仿宋" w:eastAsia="仿宋"/>
                <w:bCs/>
                <w:color w:val="000000" w:themeColor="text1"/>
                <w:sz w:val="24"/>
                <w14:textFill>
                  <w14:solidFill>
                    <w14:schemeClr w14:val="tx1"/>
                  </w14:solidFill>
                </w14:textFill>
              </w:rPr>
              <w:t>处，总面积为</w:t>
            </w:r>
            <w:r>
              <w:rPr>
                <w:rFonts w:eastAsia="仿宋"/>
                <w:bCs/>
                <w:color w:val="000000" w:themeColor="text1"/>
                <w:sz w:val="24"/>
                <w14:textFill>
                  <w14:solidFill>
                    <w14:schemeClr w14:val="tx1"/>
                  </w14:solidFill>
                </w14:textFill>
              </w:rPr>
              <w:t>71.3km</w:t>
            </w:r>
            <w:r>
              <w:rPr>
                <w:rFonts w:eastAsia="仿宋"/>
                <w:bCs/>
                <w:color w:val="000000" w:themeColor="text1"/>
                <w:sz w:val="24"/>
                <w:vertAlign w:val="superscript"/>
                <w14:textFill>
                  <w14:solidFill>
                    <w14:schemeClr w14:val="tx1"/>
                  </w14:solidFill>
                </w14:textFill>
              </w:rPr>
              <w:t>2</w:t>
            </w:r>
            <w:r>
              <w:rPr>
                <w:rFonts w:ascii="仿宋" w:hAnsi="仿宋" w:eastAsia="仿宋"/>
                <w:bCs/>
                <w:color w:val="000000" w:themeColor="text1"/>
                <w:sz w:val="24"/>
                <w14:textFill>
                  <w14:solidFill>
                    <w14:schemeClr w14:val="tx1"/>
                  </w14:solidFill>
                </w14:textFill>
              </w:rPr>
              <w:t>。其中盐化工区四至范围为：东至大柘荡、南至兴荣兆邦北厂界、西至丹金溧漕河、北至离金坛和丹阳市界</w:t>
            </w:r>
            <w:r>
              <w:rPr>
                <w:rFonts w:eastAsia="仿宋"/>
                <w:bCs/>
                <w:color w:val="000000" w:themeColor="text1"/>
                <w:sz w:val="24"/>
                <w14:textFill>
                  <w14:solidFill>
                    <w14:schemeClr w14:val="tx1"/>
                  </w14:solidFill>
                </w14:textFill>
              </w:rPr>
              <w:t>500m</w:t>
            </w:r>
            <w:r>
              <w:rPr>
                <w:rFonts w:ascii="仿宋" w:hAnsi="仿宋" w:eastAsia="仿宋"/>
                <w:bCs/>
                <w:color w:val="000000" w:themeColor="text1"/>
                <w:sz w:val="24"/>
                <w14:textFill>
                  <w14:solidFill>
                    <w14:schemeClr w14:val="tx1"/>
                  </w14:solidFill>
                </w14:textFill>
              </w:rPr>
              <w:t>处，面积为</w:t>
            </w:r>
            <w:r>
              <w:rPr>
                <w:rFonts w:eastAsia="仿宋"/>
                <w:bCs/>
                <w:color w:val="000000" w:themeColor="text1"/>
                <w:sz w:val="24"/>
                <w14:textFill>
                  <w14:solidFill>
                    <w14:schemeClr w14:val="tx1"/>
                  </w14:solidFill>
                </w14:textFill>
              </w:rPr>
              <w:t>3.55km</w:t>
            </w:r>
            <w:r>
              <w:rPr>
                <w:rFonts w:eastAsia="仿宋"/>
                <w:bCs/>
                <w:color w:val="000000" w:themeColor="text1"/>
                <w:sz w:val="24"/>
                <w:vertAlign w:val="superscript"/>
                <w14:textFill>
                  <w14:solidFill>
                    <w14:schemeClr w14:val="tx1"/>
                  </w14:solidFill>
                </w14:textFill>
              </w:rPr>
              <w:t>2</w:t>
            </w:r>
            <w:r>
              <w:rPr>
                <w:rFonts w:ascii="仿宋" w:hAnsi="仿宋" w:eastAsia="仿宋"/>
                <w:bCs/>
                <w:color w:val="000000" w:themeColor="text1"/>
                <w:sz w:val="24"/>
                <w14:textFill>
                  <w14:solidFill>
                    <w14:schemeClr w14:val="tx1"/>
                  </w14:solidFill>
                </w14:textFill>
              </w:rPr>
              <w:t>。</w:t>
            </w:r>
          </w:p>
          <w:p w14:paraId="29095AF9">
            <w:pPr>
              <w:spacing w:line="480" w:lineRule="exact"/>
              <w:ind w:firstLine="482" w:firstLineChars="200"/>
              <w:rPr>
                <w:rFonts w:eastAsia="仿宋"/>
                <w:bCs/>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对照分析：</w:t>
            </w:r>
            <w:r>
              <w:rPr>
                <w:rFonts w:hint="eastAsia" w:ascii="仿宋" w:hAnsi="仿宋" w:eastAsia="仿宋"/>
                <w:bCs/>
                <w:color w:val="000000" w:themeColor="text1"/>
                <w:sz w:val="24"/>
                <w14:textFill>
                  <w14:solidFill>
                    <w14:schemeClr w14:val="tx1"/>
                  </w14:solidFill>
                </w14:textFill>
              </w:rPr>
              <w:t>本项目厂址位于江苏省常州市江苏金坛经济开发区汇福路东侧，珠山路南侧</w:t>
            </w:r>
            <w:r>
              <w:rPr>
                <w:rFonts w:ascii="仿宋" w:hAnsi="仿宋" w:eastAsia="仿宋"/>
                <w:bCs/>
                <w:color w:val="000000" w:themeColor="text1"/>
                <w:sz w:val="24"/>
                <w14:textFill>
                  <w14:solidFill>
                    <w14:schemeClr w14:val="tx1"/>
                  </w14:solidFill>
                </w14:textFill>
              </w:rPr>
              <w:t>，</w:t>
            </w:r>
            <w:bookmarkStart w:id="5" w:name="OLE_LINK8"/>
            <w:r>
              <w:rPr>
                <w:rFonts w:ascii="仿宋" w:hAnsi="仿宋" w:eastAsia="仿宋"/>
                <w:bCs/>
                <w:color w:val="000000" w:themeColor="text1"/>
                <w:sz w:val="24"/>
                <w14:textFill>
                  <w14:solidFill>
                    <w14:schemeClr w14:val="tx1"/>
                  </w14:solidFill>
                </w14:textFill>
              </w:rPr>
              <w:t>根据《金坛经济开发区土地利用规划图》，项目所在地已规划为工业用地</w:t>
            </w:r>
            <w:bookmarkEnd w:id="5"/>
            <w:r>
              <w:rPr>
                <w:rFonts w:ascii="仿宋" w:hAnsi="仿宋" w:eastAsia="仿宋"/>
                <w:bCs/>
                <w:color w:val="000000" w:themeColor="text1"/>
                <w:sz w:val="24"/>
                <w14:textFill>
                  <w14:solidFill>
                    <w14:schemeClr w14:val="tx1"/>
                  </w14:solidFill>
                </w14:textFill>
              </w:rPr>
              <w:t>，本项目所在厂区已获得土地证，土地用途已规划为工业用地，本项目符合用地性质要求。</w:t>
            </w:r>
            <w:r>
              <w:rPr>
                <w:rFonts w:hint="eastAsia" w:ascii="仿宋" w:hAnsi="仿宋" w:eastAsia="仿宋"/>
                <w:bCs/>
                <w:color w:val="000000" w:themeColor="text1"/>
                <w:sz w:val="24"/>
                <w14:textFill>
                  <w14:solidFill>
                    <w14:schemeClr w14:val="tx1"/>
                  </w14:solidFill>
                </w14:textFill>
              </w:rPr>
              <w:t>本项目所在区域周边蒸汽管道未铺设到位，因此本项目需自建燃气锅炉及蒸汽发生器自产蒸汽。</w:t>
            </w:r>
          </w:p>
          <w:p w14:paraId="66F3B9AD">
            <w:pPr>
              <w:spacing w:line="48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2</w:t>
            </w:r>
            <w:r>
              <w:rPr>
                <w:rFonts w:ascii="仿宋" w:hAnsi="仿宋" w:eastAsia="仿宋"/>
                <w:b/>
                <w:bCs/>
                <w:color w:val="000000" w:themeColor="text1"/>
                <w:sz w:val="24"/>
                <w14:textFill>
                  <w14:solidFill>
                    <w14:schemeClr w14:val="tx1"/>
                  </w14:solidFill>
                </w14:textFill>
              </w:rPr>
              <w:t>、产业定位</w:t>
            </w:r>
          </w:p>
          <w:p w14:paraId="2F271D08">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金坛经济开发区将按照</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优化一产、提升二产、扩大三产</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的思路，加快发展创新型经济，改造提升传统产业，促进新兴产业向规模化方向发展、主导产业向高端化方向发展、传统产业向品牌化方向发展，构建具有开发区特色和优势的现代产业体系。具体产业为：纺织服装、机械电子、高端装备制造、盐化工、新能源、新材料、节能环保、新医药、研发服务。</w:t>
            </w:r>
          </w:p>
          <w:p w14:paraId="0A918710">
            <w:pPr>
              <w:spacing w:line="480" w:lineRule="exact"/>
              <w:ind w:firstLine="482" w:firstLineChars="200"/>
              <w:rPr>
                <w:rFonts w:eastAsia="仿宋"/>
                <w:bCs/>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对照分析：</w:t>
            </w:r>
            <w:r>
              <w:rPr>
                <w:rFonts w:eastAsia="仿宋"/>
                <w:bCs/>
                <w:color w:val="000000" w:themeColor="text1"/>
                <w:sz w:val="24"/>
                <w14:textFill>
                  <w14:solidFill>
                    <w14:schemeClr w14:val="tx1"/>
                  </w14:solidFill>
                </w14:textFill>
              </w:rPr>
              <w:t>本项目</w:t>
            </w:r>
            <w:r>
              <w:rPr>
                <w:rFonts w:hint="eastAsia" w:eastAsia="仿宋"/>
                <w:bCs/>
                <w:color w:val="000000" w:themeColor="text1"/>
                <w:sz w:val="24"/>
                <w14:textFill>
                  <w14:solidFill>
                    <w14:schemeClr w14:val="tx1"/>
                  </w14:solidFill>
                </w14:textFill>
              </w:rPr>
              <w:t>为医疗诊断用发生器设备制造项目</w:t>
            </w:r>
            <w:r>
              <w:rPr>
                <w:rFonts w:eastAsia="仿宋"/>
                <w:bCs/>
                <w:color w:val="000000" w:themeColor="text1"/>
                <w:sz w:val="24"/>
                <w14:textFill>
                  <w14:solidFill>
                    <w14:schemeClr w14:val="tx1"/>
                  </w14:solidFill>
                </w14:textFill>
              </w:rPr>
              <w:t>，属于“新医药”产业，</w:t>
            </w:r>
            <w:r>
              <w:rPr>
                <w:rFonts w:ascii="仿宋" w:hAnsi="仿宋" w:eastAsia="仿宋"/>
                <w:bCs/>
                <w:color w:val="000000" w:themeColor="text1"/>
                <w:sz w:val="24"/>
                <w14:textFill>
                  <w14:solidFill>
                    <w14:schemeClr w14:val="tx1"/>
                  </w14:solidFill>
                </w14:textFill>
              </w:rPr>
              <w:t>国民经济行业类别属于</w:t>
            </w:r>
            <w:r>
              <w:rPr>
                <w:rFonts w:eastAsia="仿宋"/>
                <w:bCs/>
                <w:color w:val="000000" w:themeColor="text1"/>
                <w:sz w:val="24"/>
                <w14:textFill>
                  <w14:solidFill>
                    <w14:schemeClr w14:val="tx1"/>
                  </w14:solidFill>
                </w14:textFill>
              </w:rPr>
              <w:t>“</w:t>
            </w:r>
            <w:r>
              <w:rPr>
                <w:rFonts w:hint="eastAsia" w:eastAsia="仿宋"/>
                <w:bCs/>
                <w:color w:val="000000" w:themeColor="text1"/>
                <w:sz w:val="24"/>
                <w14:textFill>
                  <w14:solidFill>
                    <w14:schemeClr w14:val="tx1"/>
                  </w14:solidFill>
                </w14:textFill>
              </w:rPr>
              <w:t>C3581医疗诊断、监护及治疗设备制造</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，运营期不排放含</w:t>
            </w:r>
            <w:r>
              <w:rPr>
                <w:rFonts w:eastAsia="仿宋"/>
                <w:bCs/>
                <w:color w:val="000000" w:themeColor="text1"/>
                <w:sz w:val="24"/>
                <w14:textFill>
                  <w14:solidFill>
                    <w14:schemeClr w14:val="tx1"/>
                  </w14:solidFill>
                </w14:textFill>
              </w:rPr>
              <w:t>N</w:t>
            </w:r>
            <w:r>
              <w:rPr>
                <w:rFonts w:ascii="仿宋" w:hAnsi="仿宋"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P</w:t>
            </w:r>
            <w:r>
              <w:rPr>
                <w:rFonts w:ascii="仿宋" w:hAnsi="仿宋" w:eastAsia="仿宋"/>
                <w:bCs/>
                <w:color w:val="000000" w:themeColor="text1"/>
                <w:sz w:val="24"/>
                <w14:textFill>
                  <w14:solidFill>
                    <w14:schemeClr w14:val="tx1"/>
                  </w14:solidFill>
                </w14:textFill>
              </w:rPr>
              <w:t>的生产废水，废水、废气、噪声、固废均配套相应污染防治措施，符合园区产业定位。</w:t>
            </w:r>
          </w:p>
          <w:p w14:paraId="24491045">
            <w:pPr>
              <w:spacing w:line="48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3</w:t>
            </w:r>
            <w:r>
              <w:rPr>
                <w:rFonts w:ascii="仿宋" w:hAnsi="仿宋" w:eastAsia="仿宋"/>
                <w:b/>
                <w:bCs/>
                <w:color w:val="000000" w:themeColor="text1"/>
                <w:sz w:val="24"/>
                <w14:textFill>
                  <w14:solidFill>
                    <w14:schemeClr w14:val="tx1"/>
                  </w14:solidFill>
                </w14:textFill>
              </w:rPr>
              <w:t>、环境准入</w:t>
            </w:r>
          </w:p>
          <w:p w14:paraId="2201F897">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入区项目必须与国家、江苏省及常州市、金坛市产业政策相符，必须与开发的产业导向相符。优先引进国家《产业结构调整目录》鼓励类项目，禁止引进限制类、淘汰类项目。属于《产业结构调整指导目录（</w:t>
            </w:r>
            <w:r>
              <w:rPr>
                <w:rFonts w:eastAsia="仿宋"/>
                <w:bCs/>
                <w:color w:val="000000" w:themeColor="text1"/>
                <w:sz w:val="24"/>
                <w14:textFill>
                  <w14:solidFill>
                    <w14:schemeClr w14:val="tx1"/>
                  </w14:solidFill>
                </w14:textFill>
              </w:rPr>
              <w:t>2011</w:t>
            </w:r>
            <w:r>
              <w:rPr>
                <w:rFonts w:ascii="仿宋" w:hAnsi="仿宋" w:eastAsia="仿宋"/>
                <w:bCs/>
                <w:color w:val="000000" w:themeColor="text1"/>
                <w:sz w:val="24"/>
                <w14:textFill>
                  <w14:solidFill>
                    <w14:schemeClr w14:val="tx1"/>
                  </w14:solidFill>
                </w14:textFill>
              </w:rPr>
              <w:t>年本）》（</w:t>
            </w:r>
            <w:r>
              <w:rPr>
                <w:rFonts w:eastAsia="仿宋"/>
                <w:bCs/>
                <w:color w:val="000000" w:themeColor="text1"/>
                <w:sz w:val="24"/>
                <w14:textFill>
                  <w14:solidFill>
                    <w14:schemeClr w14:val="tx1"/>
                  </w14:solidFill>
                </w14:textFill>
              </w:rPr>
              <w:t>2013</w:t>
            </w:r>
            <w:r>
              <w:rPr>
                <w:rFonts w:ascii="仿宋" w:hAnsi="仿宋" w:eastAsia="仿宋"/>
                <w:bCs/>
                <w:color w:val="000000" w:themeColor="text1"/>
                <w:sz w:val="24"/>
                <w14:textFill>
                  <w14:solidFill>
                    <w14:schemeClr w14:val="tx1"/>
                  </w14:solidFill>
                </w14:textFill>
              </w:rPr>
              <w:t>年修正，中华人民共和国国家发展和改革委员会令</w:t>
            </w:r>
            <w:r>
              <w:rPr>
                <w:rFonts w:eastAsia="仿宋"/>
                <w:bCs/>
                <w:color w:val="000000" w:themeColor="text1"/>
                <w:sz w:val="24"/>
                <w14:textFill>
                  <w14:solidFill>
                    <w14:schemeClr w14:val="tx1"/>
                  </w14:solidFill>
                </w14:textFill>
              </w:rPr>
              <w:t>2013</w:t>
            </w:r>
            <w:r>
              <w:rPr>
                <w:rFonts w:ascii="仿宋" w:hAnsi="仿宋" w:eastAsia="仿宋"/>
                <w:bCs/>
                <w:color w:val="000000" w:themeColor="text1"/>
                <w:sz w:val="24"/>
                <w14:textFill>
                  <w14:solidFill>
                    <w14:schemeClr w14:val="tx1"/>
                  </w14:solidFill>
                </w14:textFill>
              </w:rPr>
              <w:t>第</w:t>
            </w:r>
            <w:r>
              <w:rPr>
                <w:rFonts w:eastAsia="仿宋"/>
                <w:bCs/>
                <w:color w:val="000000" w:themeColor="text1"/>
                <w:sz w:val="24"/>
                <w14:textFill>
                  <w14:solidFill>
                    <w14:schemeClr w14:val="tx1"/>
                  </w14:solidFill>
                </w14:textFill>
              </w:rPr>
              <w:t>21</w:t>
            </w:r>
            <w:r>
              <w:rPr>
                <w:rFonts w:ascii="仿宋" w:hAnsi="仿宋" w:eastAsia="仿宋"/>
                <w:bCs/>
                <w:color w:val="000000" w:themeColor="text1"/>
                <w:sz w:val="24"/>
                <w14:textFill>
                  <w14:solidFill>
                    <w14:schemeClr w14:val="tx1"/>
                  </w14:solidFill>
                </w14:textFill>
              </w:rPr>
              <w:t>号）、《外商投资产业指导目录（</w:t>
            </w:r>
            <w:r>
              <w:rPr>
                <w:rFonts w:eastAsia="仿宋"/>
                <w:bCs/>
                <w:color w:val="000000" w:themeColor="text1"/>
                <w:sz w:val="24"/>
                <w14:textFill>
                  <w14:solidFill>
                    <w14:schemeClr w14:val="tx1"/>
                  </w14:solidFill>
                </w14:textFill>
              </w:rPr>
              <w:t>2011</w:t>
            </w:r>
            <w:r>
              <w:rPr>
                <w:rFonts w:ascii="仿宋" w:hAnsi="仿宋" w:eastAsia="仿宋"/>
                <w:bCs/>
                <w:color w:val="000000" w:themeColor="text1"/>
                <w:sz w:val="24"/>
                <w14:textFill>
                  <w14:solidFill>
                    <w14:schemeClr w14:val="tx1"/>
                  </w14:solidFill>
                </w14:textFill>
              </w:rPr>
              <w:t>年修订）》、及《江苏省工业和信息产业结构调整指导目录（</w:t>
            </w:r>
            <w:r>
              <w:rPr>
                <w:rFonts w:eastAsia="仿宋"/>
                <w:bCs/>
                <w:color w:val="000000" w:themeColor="text1"/>
                <w:sz w:val="24"/>
                <w14:textFill>
                  <w14:solidFill>
                    <w14:schemeClr w14:val="tx1"/>
                  </w14:solidFill>
                </w14:textFill>
              </w:rPr>
              <w:t>2012</w:t>
            </w:r>
            <w:r>
              <w:rPr>
                <w:rFonts w:ascii="仿宋" w:hAnsi="仿宋" w:eastAsia="仿宋"/>
                <w:bCs/>
                <w:color w:val="000000" w:themeColor="text1"/>
                <w:sz w:val="24"/>
                <w14:textFill>
                  <w14:solidFill>
                    <w14:schemeClr w14:val="tx1"/>
                  </w14:solidFill>
                </w14:textFill>
              </w:rPr>
              <w:t>年本）》及《关于修改</w:t>
            </w:r>
            <w:r>
              <w:rPr>
                <w:rFonts w:eastAsia="仿宋"/>
                <w:bCs/>
                <w:color w:val="000000" w:themeColor="text1"/>
                <w:sz w:val="24"/>
                <w14:textFill>
                  <w14:solidFill>
                    <w14:schemeClr w14:val="tx1"/>
                  </w14:solidFill>
                </w14:textFill>
              </w:rPr>
              <w:t>&lt;</w:t>
            </w:r>
            <w:r>
              <w:rPr>
                <w:rFonts w:ascii="仿宋" w:hAnsi="仿宋" w:eastAsia="仿宋"/>
                <w:bCs/>
                <w:color w:val="000000" w:themeColor="text1"/>
                <w:sz w:val="24"/>
                <w14:textFill>
                  <w14:solidFill>
                    <w14:schemeClr w14:val="tx1"/>
                  </w14:solidFill>
                </w14:textFill>
              </w:rPr>
              <w:t>江苏省工业和信息产业结构调整指导目录（</w:t>
            </w:r>
            <w:r>
              <w:rPr>
                <w:rFonts w:eastAsia="仿宋"/>
                <w:bCs/>
                <w:color w:val="000000" w:themeColor="text1"/>
                <w:sz w:val="24"/>
                <w14:textFill>
                  <w14:solidFill>
                    <w14:schemeClr w14:val="tx1"/>
                  </w14:solidFill>
                </w14:textFill>
              </w:rPr>
              <w:t>2012</w:t>
            </w:r>
            <w:r>
              <w:rPr>
                <w:rFonts w:ascii="仿宋" w:hAnsi="仿宋" w:eastAsia="仿宋"/>
                <w:bCs/>
                <w:color w:val="000000" w:themeColor="text1"/>
                <w:sz w:val="24"/>
                <w14:textFill>
                  <w14:solidFill>
                    <w14:schemeClr w14:val="tx1"/>
                  </w14:solidFill>
                </w14:textFill>
              </w:rPr>
              <w:t>年本）</w:t>
            </w:r>
            <w:r>
              <w:rPr>
                <w:rFonts w:eastAsia="仿宋"/>
                <w:bCs/>
                <w:color w:val="000000" w:themeColor="text1"/>
                <w:sz w:val="24"/>
                <w14:textFill>
                  <w14:solidFill>
                    <w14:schemeClr w14:val="tx1"/>
                  </w14:solidFill>
                </w14:textFill>
              </w:rPr>
              <w:t>&gt;</w:t>
            </w:r>
            <w:r>
              <w:rPr>
                <w:rFonts w:ascii="仿宋" w:hAnsi="仿宋" w:eastAsia="仿宋"/>
                <w:bCs/>
                <w:color w:val="000000" w:themeColor="text1"/>
                <w:sz w:val="24"/>
                <w14:textFill>
                  <w14:solidFill>
                    <w14:schemeClr w14:val="tx1"/>
                  </w14:solidFill>
                </w14:textFill>
              </w:rPr>
              <w:t>部分条目的通知》鼓励类且符合开发区产业规划的项目。</w:t>
            </w:r>
          </w:p>
          <w:p w14:paraId="40AA844F">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1</w:t>
            </w:r>
            <w:r>
              <w:rPr>
                <w:rFonts w:ascii="仿宋" w:hAnsi="仿宋" w:eastAsia="仿宋"/>
                <w:bCs/>
                <w:color w:val="000000" w:themeColor="text1"/>
                <w:sz w:val="24"/>
                <w14:textFill>
                  <w14:solidFill>
                    <w14:schemeClr w14:val="tx1"/>
                  </w14:solidFill>
                </w14:textFill>
              </w:rPr>
              <w:t>）进区项目应是科技含量高、产品附加值高、无污染或者污染很轻的项目，其生产工艺、设备和环保设施应达到同类国际先进水平，至少是国内先进水平；</w:t>
            </w:r>
          </w:p>
          <w:p w14:paraId="68A2A12A">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2</w:t>
            </w:r>
            <w:r>
              <w:rPr>
                <w:rFonts w:ascii="仿宋" w:hAnsi="仿宋" w:eastAsia="仿宋"/>
                <w:bCs/>
                <w:color w:val="000000" w:themeColor="text1"/>
                <w:sz w:val="24"/>
                <w14:textFill>
                  <w14:solidFill>
                    <w14:schemeClr w14:val="tx1"/>
                  </w14:solidFill>
                </w14:textFill>
              </w:rPr>
              <w:t>）废水经预处理可达到开发区污水处理厂的接管标准，并确保不影响污水处理厂的处理效果，</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三废</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排放能实现稳定达标排放；</w:t>
            </w:r>
          </w:p>
          <w:p w14:paraId="420DB9A0">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3</w:t>
            </w:r>
            <w:r>
              <w:rPr>
                <w:rFonts w:ascii="仿宋" w:hAnsi="仿宋" w:eastAsia="仿宋"/>
                <w:bCs/>
                <w:color w:val="000000" w:themeColor="text1"/>
                <w:sz w:val="24"/>
                <w14:textFill>
                  <w14:solidFill>
                    <w14:schemeClr w14:val="tx1"/>
                  </w14:solidFill>
                </w14:textFill>
              </w:rPr>
              <w:t>）采用有效的回收、回用技术，包括余热利用、物料回收套用、各类废水回用等。</w:t>
            </w:r>
          </w:p>
          <w:p w14:paraId="23970226">
            <w:pPr>
              <w:spacing w:line="480" w:lineRule="exact"/>
              <w:ind w:firstLine="482" w:firstLineChars="200"/>
              <w:rPr>
                <w:rFonts w:ascii="仿宋" w:hAnsi="仿宋" w:eastAsia="仿宋"/>
                <w:bCs/>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对照分析：</w:t>
            </w:r>
            <w:r>
              <w:rPr>
                <w:rFonts w:ascii="仿宋" w:hAnsi="仿宋" w:eastAsia="仿宋"/>
                <w:bCs/>
                <w:color w:val="000000" w:themeColor="text1"/>
                <w:sz w:val="24"/>
                <w14:textFill>
                  <w14:solidFill>
                    <w14:schemeClr w14:val="tx1"/>
                  </w14:solidFill>
                </w14:textFill>
              </w:rPr>
              <w:t>本项目不属于《产业结构调整指导目录（</w:t>
            </w:r>
            <w:r>
              <w:rPr>
                <w:rFonts w:eastAsia="仿宋"/>
                <w:bCs/>
                <w:color w:val="000000" w:themeColor="text1"/>
                <w:sz w:val="24"/>
                <w14:textFill>
                  <w14:solidFill>
                    <w14:schemeClr w14:val="tx1"/>
                  </w14:solidFill>
                </w14:textFill>
              </w:rPr>
              <w:t>2024</w:t>
            </w:r>
            <w:r>
              <w:rPr>
                <w:rFonts w:ascii="仿宋" w:hAnsi="仿宋" w:eastAsia="仿宋"/>
                <w:bCs/>
                <w:color w:val="000000" w:themeColor="text1"/>
                <w:sz w:val="24"/>
                <w14:textFill>
                  <w14:solidFill>
                    <w14:schemeClr w14:val="tx1"/>
                  </w14:solidFill>
                </w14:textFill>
              </w:rPr>
              <w:t>年本）》中的限制和淘汰类项目、不属于《江苏省产业结构调整限制、淘汰和禁止目录（</w:t>
            </w:r>
            <w:r>
              <w:rPr>
                <w:rFonts w:eastAsia="仿宋"/>
                <w:bCs/>
                <w:color w:val="000000" w:themeColor="text1"/>
                <w:sz w:val="24"/>
                <w14:textFill>
                  <w14:solidFill>
                    <w14:schemeClr w14:val="tx1"/>
                  </w14:solidFill>
                </w14:textFill>
              </w:rPr>
              <w:t>2018</w:t>
            </w:r>
            <w:r>
              <w:rPr>
                <w:rFonts w:ascii="仿宋" w:hAnsi="仿宋" w:eastAsia="仿宋"/>
                <w:bCs/>
                <w:color w:val="000000" w:themeColor="text1"/>
                <w:sz w:val="24"/>
                <w14:textFill>
                  <w14:solidFill>
                    <w14:schemeClr w14:val="tx1"/>
                  </w14:solidFill>
                </w14:textFill>
              </w:rPr>
              <w:t>年本）》中的限制、淘汰及禁止类项目。本项目</w:t>
            </w:r>
            <w:r>
              <w:rPr>
                <w:rFonts w:hint="eastAsia" w:ascii="仿宋" w:hAnsi="仿宋" w:eastAsia="仿宋"/>
                <w:bCs/>
                <w:color w:val="000000" w:themeColor="text1"/>
                <w:sz w:val="24"/>
                <w14:textFill>
                  <w14:solidFill>
                    <w14:schemeClr w14:val="tx1"/>
                  </w14:solidFill>
                </w14:textFill>
              </w:rPr>
              <w:t>为医疗诊断用发生器设备制造项目</w:t>
            </w:r>
            <w:r>
              <w:rPr>
                <w:rFonts w:ascii="仿宋" w:hAnsi="仿宋" w:eastAsia="仿宋"/>
                <w:bCs/>
                <w:color w:val="000000" w:themeColor="text1"/>
                <w:sz w:val="24"/>
                <w14:textFill>
                  <w14:solidFill>
                    <w14:schemeClr w14:val="tx1"/>
                  </w14:solidFill>
                </w14:textFill>
              </w:rPr>
              <w:t>，废水达标接管进金坛区第二污水处理厂，废气达标排放，项目运营期东、南、西、北各厂界昼夜间噪声值均符合《工业企业厂界环境噪声排放标准》中</w:t>
            </w:r>
            <w:r>
              <w:rPr>
                <w:rFonts w:eastAsia="仿宋"/>
                <w:bCs/>
                <w:color w:val="000000" w:themeColor="text1"/>
                <w:sz w:val="24"/>
                <w14:textFill>
                  <w14:solidFill>
                    <w14:schemeClr w14:val="tx1"/>
                  </w14:solidFill>
                </w14:textFill>
              </w:rPr>
              <w:t>3</w:t>
            </w:r>
            <w:r>
              <w:rPr>
                <w:rFonts w:ascii="仿宋" w:hAnsi="仿宋" w:eastAsia="仿宋"/>
                <w:bCs/>
                <w:color w:val="000000" w:themeColor="text1"/>
                <w:sz w:val="24"/>
                <w14:textFill>
                  <w14:solidFill>
                    <w14:schemeClr w14:val="tx1"/>
                  </w14:solidFill>
                </w14:textFill>
              </w:rPr>
              <w:t>类标准，固废</w:t>
            </w:r>
            <w:r>
              <w:rPr>
                <w:rFonts w:eastAsia="仿宋"/>
                <w:bCs/>
                <w:color w:val="000000" w:themeColor="text1"/>
                <w:sz w:val="24"/>
                <w14:textFill>
                  <w14:solidFill>
                    <w14:schemeClr w14:val="tx1"/>
                  </w14:solidFill>
                </w14:textFill>
              </w:rPr>
              <w:t>100%</w:t>
            </w:r>
            <w:r>
              <w:rPr>
                <w:rFonts w:ascii="仿宋" w:hAnsi="仿宋" w:eastAsia="仿宋"/>
                <w:bCs/>
                <w:color w:val="000000" w:themeColor="text1"/>
                <w:sz w:val="24"/>
                <w14:textFill>
                  <w14:solidFill>
                    <w14:schemeClr w14:val="tx1"/>
                  </w14:solidFill>
                </w14:textFill>
              </w:rPr>
              <w:t>处理处置，不外排。</w:t>
            </w:r>
          </w:p>
          <w:p w14:paraId="194A4DC3">
            <w:pPr>
              <w:spacing w:line="48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4</w:t>
            </w:r>
            <w:r>
              <w:rPr>
                <w:rFonts w:ascii="仿宋" w:hAnsi="仿宋" w:eastAsia="仿宋"/>
                <w:b/>
                <w:bCs/>
                <w:color w:val="000000" w:themeColor="text1"/>
                <w:sz w:val="24"/>
                <w14:textFill>
                  <w14:solidFill>
                    <w14:schemeClr w14:val="tx1"/>
                  </w14:solidFill>
                </w14:textFill>
              </w:rPr>
              <w:t>、产业退出</w:t>
            </w:r>
          </w:p>
          <w:p w14:paraId="5295DE1F">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1</w:t>
            </w:r>
            <w:r>
              <w:rPr>
                <w:rFonts w:ascii="仿宋" w:hAnsi="仿宋" w:eastAsia="仿宋"/>
                <w:bCs/>
                <w:color w:val="000000" w:themeColor="text1"/>
                <w:sz w:val="24"/>
                <w14:textFill>
                  <w14:solidFill>
                    <w14:schemeClr w14:val="tx1"/>
                  </w14:solidFill>
                </w14:textFill>
              </w:rPr>
              <w:t>）开发区已有的产业，对于符合国家相关产业政策、但与开发区产业定位存在差异的高科技、高效益、低污染、低耗能的</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两高、两低</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项目，建议设立</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园中园</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，进行集中管理，或引导其向周边园区（金坛市金城镇工业集中区等）转移，并在税收、贷款、土地等方面给予政策优惠。</w:t>
            </w:r>
          </w:p>
          <w:p w14:paraId="5A773283">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2</w:t>
            </w:r>
            <w:r>
              <w:rPr>
                <w:rFonts w:ascii="仿宋" w:hAnsi="仿宋" w:eastAsia="仿宋"/>
                <w:bCs/>
                <w:color w:val="000000" w:themeColor="text1"/>
                <w:sz w:val="24"/>
                <w14:textFill>
                  <w14:solidFill>
                    <w14:schemeClr w14:val="tx1"/>
                  </w14:solidFill>
                </w14:textFill>
              </w:rPr>
              <w:t>）对于符合相关产业定位和布局，但技术条件落后、产值产能规模偏小的企业，管委会应采取相关措施，支持其进行技术改造和工业创新，向高新技术和低污染行业转型。</w:t>
            </w:r>
          </w:p>
          <w:p w14:paraId="29D9B0F8">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3</w:t>
            </w:r>
            <w:r>
              <w:rPr>
                <w:rFonts w:ascii="仿宋" w:hAnsi="仿宋" w:eastAsia="仿宋"/>
                <w:bCs/>
                <w:color w:val="000000" w:themeColor="text1"/>
                <w:sz w:val="24"/>
                <w14:textFill>
                  <w14:solidFill>
                    <w14:schemeClr w14:val="tx1"/>
                  </w14:solidFill>
                </w14:textFill>
              </w:rPr>
              <w:t>）对于不符合产业定位和布局，技术条件落后、排污量较大的企业项目，分阶段进行产业退出，禁止其新、改、扩建，并由市场逐步淘汰。</w:t>
            </w:r>
          </w:p>
          <w:p w14:paraId="1F66EAB8">
            <w:pPr>
              <w:spacing w:line="480" w:lineRule="exact"/>
              <w:ind w:firstLine="482" w:firstLineChars="200"/>
              <w:rPr>
                <w:rFonts w:ascii="仿宋" w:hAnsi="仿宋" w:eastAsia="仿宋"/>
                <w:bCs/>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对照分析：</w:t>
            </w:r>
            <w:r>
              <w:rPr>
                <w:rFonts w:ascii="仿宋" w:hAnsi="仿宋" w:eastAsia="仿宋"/>
                <w:bCs/>
                <w:color w:val="000000" w:themeColor="text1"/>
                <w:sz w:val="24"/>
                <w14:textFill>
                  <w14:solidFill>
                    <w14:schemeClr w14:val="tx1"/>
                  </w14:solidFill>
                </w14:textFill>
              </w:rPr>
              <w:t>本项目国民经济行业类别属于</w:t>
            </w:r>
            <w:r>
              <w:rPr>
                <w:rFonts w:eastAsia="仿宋"/>
                <w:bCs/>
                <w:color w:val="000000" w:themeColor="text1"/>
                <w:sz w:val="24"/>
                <w14:textFill>
                  <w14:solidFill>
                    <w14:schemeClr w14:val="tx1"/>
                  </w14:solidFill>
                </w14:textFill>
              </w:rPr>
              <w:t>“</w:t>
            </w:r>
            <w:r>
              <w:rPr>
                <w:rFonts w:hint="eastAsia" w:eastAsia="仿宋"/>
                <w:bCs/>
                <w:color w:val="000000" w:themeColor="text1"/>
                <w:sz w:val="24"/>
                <w14:textFill>
                  <w14:solidFill>
                    <w14:schemeClr w14:val="tx1"/>
                  </w14:solidFill>
                </w14:textFill>
              </w:rPr>
              <w:t>C3581医疗诊断、监护及治疗设备制造</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，运营期产生的废水、废气、噪声、固废均配套相应污染防治措施，不属于上述规定的产业退出类项目。</w:t>
            </w:r>
          </w:p>
          <w:p w14:paraId="4A475967">
            <w:pPr>
              <w:spacing w:line="480" w:lineRule="exact"/>
              <w:ind w:firstLine="482" w:firstLineChars="200"/>
              <w:rPr>
                <w:rFonts w:ascii="仿宋" w:hAnsi="仿宋"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5</w:t>
            </w:r>
            <w:r>
              <w:rPr>
                <w:rFonts w:ascii="仿宋" w:hAnsi="仿宋" w:eastAsia="仿宋"/>
                <w:b/>
                <w:bCs/>
                <w:color w:val="000000" w:themeColor="text1"/>
                <w:sz w:val="24"/>
                <w14:textFill>
                  <w14:solidFill>
                    <w14:schemeClr w14:val="tx1"/>
                  </w14:solidFill>
                </w14:textFill>
              </w:rPr>
              <w:t>、环境禁止</w:t>
            </w:r>
          </w:p>
          <w:p w14:paraId="2E3DA5FA">
            <w:pPr>
              <w:spacing w:line="480" w:lineRule="exact"/>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表1</w:t>
            </w:r>
            <w:r>
              <w:rPr>
                <w:rFonts w:eastAsia="仿宋"/>
                <w:b/>
                <w:bCs/>
                <w:color w:val="000000" w:themeColor="text1"/>
                <w:szCs w:val="21"/>
                <w14:textFill>
                  <w14:solidFill>
                    <w14:schemeClr w14:val="tx1"/>
                  </w14:solidFill>
                </w14:textFill>
              </w:rPr>
              <w:t>-2 本项目与《金坛经济开发区发展规划环境影响报告书》环境禁止符合性分析</w:t>
            </w:r>
          </w:p>
          <w:tbl>
            <w:tblPr>
              <w:tblStyle w:val="2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291"/>
              <w:gridCol w:w="3545"/>
              <w:gridCol w:w="1126"/>
            </w:tblGrid>
            <w:tr w14:paraId="6F45B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67" w:type="pct"/>
                  <w:tcBorders>
                    <w:top w:val="single" w:color="000000" w:sz="4" w:space="0"/>
                    <w:left w:val="single" w:color="000000" w:sz="4" w:space="0"/>
                    <w:bottom w:val="single" w:color="000000" w:sz="4" w:space="0"/>
                    <w:right w:val="single" w:color="000000" w:sz="4" w:space="0"/>
                  </w:tcBorders>
                  <w:vAlign w:val="center"/>
                </w:tcPr>
                <w:p w14:paraId="7FF1FDE8">
                  <w:pPr>
                    <w:pStyle w:val="58"/>
                    <w:snapToGrid w:val="0"/>
                    <w:rPr>
                      <w:rFonts w:eastAsia="仿宋"/>
                      <w:b/>
                      <w:bCs/>
                      <w:color w:val="000000" w:themeColor="text1"/>
                      <w:szCs w:val="21"/>
                      <w14:textFill>
                        <w14:solidFill>
                          <w14:schemeClr w14:val="tx1"/>
                        </w14:solidFill>
                      </w14:textFill>
                    </w:rPr>
                  </w:pPr>
                  <w:r>
                    <w:rPr>
                      <w:rFonts w:ascii="仿宋" w:hAnsi="仿宋" w:eastAsia="仿宋"/>
                      <w:b/>
                      <w:bCs/>
                      <w:color w:val="000000" w:themeColor="text1"/>
                      <w14:textFill>
                        <w14:solidFill>
                          <w14:schemeClr w14:val="tx1"/>
                        </w14:solidFill>
                      </w14:textFill>
                    </w:rPr>
                    <w:t>内容</w:t>
                  </w:r>
                </w:p>
              </w:tc>
              <w:tc>
                <w:tcPr>
                  <w:tcW w:w="2226" w:type="pct"/>
                  <w:tcBorders>
                    <w:top w:val="single" w:color="000000" w:sz="4" w:space="0"/>
                    <w:left w:val="single" w:color="000000" w:sz="4" w:space="0"/>
                    <w:bottom w:val="single" w:color="000000" w:sz="4" w:space="0"/>
                    <w:right w:val="single" w:color="000000" w:sz="4" w:space="0"/>
                  </w:tcBorders>
                  <w:vAlign w:val="center"/>
                </w:tcPr>
                <w:p w14:paraId="0E152E55">
                  <w:pPr>
                    <w:pStyle w:val="58"/>
                    <w:snapToGrid w:val="0"/>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本项目情况</w:t>
                  </w:r>
                </w:p>
              </w:tc>
              <w:tc>
                <w:tcPr>
                  <w:tcW w:w="707" w:type="pct"/>
                  <w:tcBorders>
                    <w:top w:val="single" w:color="000000" w:sz="4" w:space="0"/>
                    <w:left w:val="single" w:color="000000" w:sz="4" w:space="0"/>
                    <w:bottom w:val="single" w:color="000000" w:sz="4" w:space="0"/>
                    <w:right w:val="single" w:color="000000" w:sz="4" w:space="0"/>
                  </w:tcBorders>
                  <w:vAlign w:val="center"/>
                </w:tcPr>
                <w:p w14:paraId="5D9F236E">
                  <w:pPr>
                    <w:pStyle w:val="58"/>
                    <w:snapToGrid w:val="0"/>
                    <w:rPr>
                      <w:rFonts w:eastAsia="仿宋"/>
                      <w:b/>
                      <w:bCs/>
                      <w:color w:val="000000" w:themeColor="text1"/>
                      <w14:textFill>
                        <w14:solidFill>
                          <w14:schemeClr w14:val="tx1"/>
                        </w14:solidFill>
                      </w14:textFill>
                    </w:rPr>
                  </w:pPr>
                  <w:r>
                    <w:rPr>
                      <w:rFonts w:hint="eastAsia" w:ascii="仿宋" w:hAnsi="仿宋" w:eastAsia="仿宋"/>
                      <w:b/>
                      <w:bCs/>
                      <w:color w:val="000000" w:themeColor="text1"/>
                      <w14:textFill>
                        <w14:solidFill>
                          <w14:schemeClr w14:val="tx1"/>
                        </w14:solidFill>
                      </w14:textFill>
                    </w:rPr>
                    <w:t>是否符合</w:t>
                  </w:r>
                </w:p>
              </w:tc>
            </w:tr>
            <w:tr w14:paraId="3EEBD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67" w:type="pct"/>
                  <w:tcBorders>
                    <w:top w:val="single" w:color="000000" w:sz="4" w:space="0"/>
                    <w:left w:val="single" w:color="000000" w:sz="4" w:space="0"/>
                    <w:bottom w:val="single" w:color="000000" w:sz="4" w:space="0"/>
                    <w:right w:val="single" w:color="000000" w:sz="4" w:space="0"/>
                  </w:tcBorders>
                  <w:vAlign w:val="center"/>
                </w:tcPr>
                <w:p w14:paraId="4F779894">
                  <w:pPr>
                    <w:pStyle w:val="58"/>
                    <w:snapToGrid w:val="0"/>
                    <w:jc w:val="both"/>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严把环境禁止关，不符合开发区产业定位的项目禁止建设。禁止引入项目清单：</w:t>
                  </w:r>
                  <w:r>
                    <w:rPr>
                      <w:rFonts w:hint="eastAsia" w:ascii="宋体" w:hAnsi="宋体" w:cs="宋体"/>
                      <w:color w:val="000000" w:themeColor="text1"/>
                      <w14:textFill>
                        <w14:solidFill>
                          <w14:schemeClr w14:val="tx1"/>
                        </w14:solidFill>
                      </w14:textFill>
                    </w:rPr>
                    <w:t>①</w:t>
                  </w:r>
                  <w:r>
                    <w:rPr>
                      <w:rFonts w:eastAsia="仿宋"/>
                      <w:color w:val="000000" w:themeColor="text1"/>
                      <w14:textFill>
                        <w14:solidFill>
                          <w14:schemeClr w14:val="tx1"/>
                        </w14:solidFill>
                      </w14:textFill>
                    </w:rPr>
                    <w:t>纺织服装行业：废水排放量较大的纯印染和纯染整类企业；</w:t>
                  </w:r>
                  <w:r>
                    <w:rPr>
                      <w:rFonts w:hint="eastAsia" w:ascii="宋体" w:hAnsi="宋体" w:cs="宋体"/>
                      <w:color w:val="000000" w:themeColor="text1"/>
                      <w14:textFill>
                        <w14:solidFill>
                          <w14:schemeClr w14:val="tx1"/>
                        </w14:solidFill>
                      </w14:textFill>
                    </w:rPr>
                    <w:t>②</w:t>
                  </w:r>
                  <w:r>
                    <w:rPr>
                      <w:rFonts w:eastAsia="仿宋"/>
                      <w:color w:val="000000" w:themeColor="text1"/>
                      <w14:textFill>
                        <w14:solidFill>
                          <w14:schemeClr w14:val="tx1"/>
                        </w14:solidFill>
                      </w14:textFill>
                    </w:rPr>
                    <w:t>机械电子、高端装备制造业：电镀、表面处理类企业，淘汰、限制类的如普通高速钢钻头、铣刀、锯片、丝锥、板牙项目、普通微小型球轴承制造项目；禁止生产国家禁止或公告停止销售的车辆；有害物质含量超标准的汽车；</w:t>
                  </w:r>
                  <w:r>
                    <w:rPr>
                      <w:rFonts w:hint="eastAsia" w:ascii="宋体" w:hAnsi="宋体" w:cs="宋体"/>
                      <w:color w:val="000000" w:themeColor="text1"/>
                      <w14:textFill>
                        <w14:solidFill>
                          <w14:schemeClr w14:val="tx1"/>
                        </w14:solidFill>
                      </w14:textFill>
                    </w:rPr>
                    <w:t>③</w:t>
                  </w:r>
                  <w:r>
                    <w:rPr>
                      <w:rFonts w:eastAsia="仿宋"/>
                      <w:color w:val="000000" w:themeColor="text1"/>
                      <w14:textFill>
                        <w14:solidFill>
                          <w14:schemeClr w14:val="tx1"/>
                        </w14:solidFill>
                      </w14:textFill>
                    </w:rPr>
                    <w:t>化工：与盐化工及下游产品生产不相关的化工项目；</w:t>
                  </w:r>
                  <w:r>
                    <w:rPr>
                      <w:rFonts w:hint="eastAsia" w:ascii="宋体" w:hAnsi="宋体" w:cs="宋体"/>
                      <w:color w:val="000000" w:themeColor="text1"/>
                      <w14:textFill>
                        <w14:solidFill>
                          <w14:schemeClr w14:val="tx1"/>
                        </w14:solidFill>
                      </w14:textFill>
                    </w:rPr>
                    <w:t>④</w:t>
                  </w:r>
                  <w:r>
                    <w:rPr>
                      <w:rFonts w:eastAsia="仿宋"/>
                      <w:color w:val="000000" w:themeColor="text1"/>
                      <w14:textFill>
                        <w14:solidFill>
                          <w14:schemeClr w14:val="tx1"/>
                        </w14:solidFill>
                      </w14:textFill>
                    </w:rPr>
                    <w:t>新材料产业：太阳能电池切片生产项目；</w:t>
                  </w:r>
                  <w:r>
                    <w:rPr>
                      <w:rFonts w:hint="eastAsia" w:ascii="宋体" w:hAnsi="宋体" w:cs="宋体"/>
                      <w:color w:val="000000" w:themeColor="text1"/>
                      <w14:textFill>
                        <w14:solidFill>
                          <w14:schemeClr w14:val="tx1"/>
                        </w14:solidFill>
                      </w14:textFill>
                    </w:rPr>
                    <w:t>⑤</w:t>
                  </w:r>
                  <w:r>
                    <w:rPr>
                      <w:rFonts w:eastAsia="仿宋"/>
                      <w:color w:val="000000" w:themeColor="text1"/>
                      <w14:textFill>
                        <w14:solidFill>
                          <w14:schemeClr w14:val="tx1"/>
                        </w14:solidFill>
                      </w14:textFill>
                    </w:rPr>
                    <w:t>太阳能电池切片生产项目；</w:t>
                  </w:r>
                  <w:r>
                    <w:rPr>
                      <w:rFonts w:hint="eastAsia" w:ascii="宋体" w:hAnsi="宋体" w:cs="宋体"/>
                      <w:color w:val="000000" w:themeColor="text1"/>
                      <w14:textFill>
                        <w14:solidFill>
                          <w14:schemeClr w14:val="tx1"/>
                        </w14:solidFill>
                      </w14:textFill>
                    </w:rPr>
                    <w:t>⑥</w:t>
                  </w:r>
                  <w:r>
                    <w:rPr>
                      <w:rFonts w:eastAsia="仿宋"/>
                      <w:color w:val="000000" w:themeColor="text1"/>
                      <w14:textFill>
                        <w14:solidFill>
                          <w14:schemeClr w14:val="tx1"/>
                        </w14:solidFill>
                      </w14:textFill>
                    </w:rPr>
                    <w:t>化工新材料：钢铁等传统型金属材料；水泥等传统型非金属材料；</w:t>
                  </w:r>
                  <w:r>
                    <w:rPr>
                      <w:rFonts w:hint="eastAsia" w:ascii="宋体" w:hAnsi="宋体" w:cs="宋体"/>
                      <w:color w:val="000000" w:themeColor="text1"/>
                      <w14:textFill>
                        <w14:solidFill>
                          <w14:schemeClr w14:val="tx1"/>
                        </w14:solidFill>
                      </w14:textFill>
                    </w:rPr>
                    <w:t>⑦</w:t>
                  </w:r>
                  <w:r>
                    <w:rPr>
                      <w:rFonts w:eastAsia="仿宋"/>
                      <w:color w:val="000000" w:themeColor="text1"/>
                      <w14:textFill>
                        <w14:solidFill>
                          <w14:schemeClr w14:val="tx1"/>
                        </w14:solidFill>
                      </w14:textFill>
                    </w:rPr>
                    <w:t>新医药产业：不符合GMP要求的安瓿拉丝灌封机、劳动保护、安瓿灌装注射用无菌粉末、非易折安瓿等，以及《产业结构调整指导目录（2011年本）》（2013年修正）规定的淘汰类产业及工艺</w:t>
                  </w:r>
                  <w:r>
                    <w:rPr>
                      <w:rFonts w:hint="eastAsia" w:eastAsia="仿宋"/>
                      <w:color w:val="000000" w:themeColor="text1"/>
                      <w14:textFill>
                        <w14:solidFill>
                          <w14:schemeClr w14:val="tx1"/>
                        </w14:solidFill>
                      </w14:textFill>
                    </w:rPr>
                    <w:t>。</w:t>
                  </w:r>
                </w:p>
              </w:tc>
              <w:tc>
                <w:tcPr>
                  <w:tcW w:w="2226" w:type="pct"/>
                  <w:tcBorders>
                    <w:top w:val="single" w:color="000000" w:sz="4" w:space="0"/>
                    <w:left w:val="single" w:color="000000" w:sz="4" w:space="0"/>
                    <w:bottom w:val="single" w:color="000000" w:sz="4" w:space="0"/>
                    <w:right w:val="single" w:color="000000" w:sz="4" w:space="0"/>
                  </w:tcBorders>
                  <w:vAlign w:val="center"/>
                </w:tcPr>
                <w:p w14:paraId="60A0DB78">
                  <w:pPr>
                    <w:pStyle w:val="58"/>
                    <w:snapToGrid w:val="0"/>
                    <w:jc w:val="both"/>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本项目为医疗诊断用发生器设备制造项目，属于“新医药”产业，不属于不符合GMP要求的安瓿拉丝灌封机、劳动保护、安瓿灌装注射用无菌粉末、非易折安瓿产品，不属于《产业结构调整指导目录（2024年本）》中的限制和淘汰类项目。因此，本项目能够引进。</w:t>
                  </w:r>
                </w:p>
              </w:tc>
              <w:tc>
                <w:tcPr>
                  <w:tcW w:w="707" w:type="pct"/>
                  <w:tcBorders>
                    <w:top w:val="single" w:color="000000" w:sz="4" w:space="0"/>
                    <w:left w:val="single" w:color="000000" w:sz="4" w:space="0"/>
                    <w:bottom w:val="single" w:color="000000" w:sz="4" w:space="0"/>
                    <w:right w:val="single" w:color="000000" w:sz="4" w:space="0"/>
                  </w:tcBorders>
                  <w:vAlign w:val="center"/>
                </w:tcPr>
                <w:p w14:paraId="16106CAE">
                  <w:pPr>
                    <w:pStyle w:val="58"/>
                    <w:snapToGrid w:val="0"/>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是</w:t>
                  </w:r>
                </w:p>
              </w:tc>
            </w:tr>
            <w:tr w14:paraId="62AD3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67" w:type="pct"/>
                  <w:tcBorders>
                    <w:top w:val="single" w:color="000000" w:sz="4" w:space="0"/>
                    <w:left w:val="single" w:color="000000" w:sz="4" w:space="0"/>
                    <w:bottom w:val="single" w:color="000000" w:sz="4" w:space="0"/>
                    <w:right w:val="single" w:color="000000" w:sz="4" w:space="0"/>
                  </w:tcBorders>
                  <w:vAlign w:val="center"/>
                </w:tcPr>
                <w:p w14:paraId="19F7195D">
                  <w:pPr>
                    <w:pStyle w:val="58"/>
                    <w:snapToGrid w:val="0"/>
                    <w:jc w:val="both"/>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由于开发区现状大气因子</w:t>
                  </w:r>
                  <w:r>
                    <w:rPr>
                      <w:rFonts w:eastAsia="仿宋"/>
                      <w:color w:val="000000" w:themeColor="text1"/>
                      <w14:textFill>
                        <w14:solidFill>
                          <w14:schemeClr w14:val="tx1"/>
                        </w14:solidFill>
                      </w14:textFill>
                    </w:rPr>
                    <w:t>HCl</w:t>
                  </w:r>
                  <w:r>
                    <w:rPr>
                      <w:rFonts w:ascii="仿宋" w:hAnsi="仿宋" w:eastAsia="仿宋"/>
                      <w:color w:val="000000" w:themeColor="text1"/>
                      <w14:textFill>
                        <w14:solidFill>
                          <w14:schemeClr w14:val="tx1"/>
                        </w14:solidFill>
                      </w14:textFill>
                    </w:rPr>
                    <w:t>超标，故大气中</w:t>
                  </w:r>
                  <w:r>
                    <w:rPr>
                      <w:rFonts w:eastAsia="仿宋"/>
                      <w:color w:val="000000" w:themeColor="text1"/>
                      <w14:textFill>
                        <w14:solidFill>
                          <w14:schemeClr w14:val="tx1"/>
                        </w14:solidFill>
                      </w14:textFill>
                    </w:rPr>
                    <w:t>HCl</w:t>
                  </w:r>
                  <w:r>
                    <w:rPr>
                      <w:rFonts w:ascii="仿宋" w:hAnsi="仿宋" w:eastAsia="仿宋"/>
                      <w:color w:val="000000" w:themeColor="text1"/>
                      <w14:textFill>
                        <w14:solidFill>
                          <w14:schemeClr w14:val="tx1"/>
                        </w14:solidFill>
                      </w14:textFill>
                    </w:rPr>
                    <w:t>稳定达标前禁止引进排放大气污染物</w:t>
                  </w:r>
                  <w:r>
                    <w:rPr>
                      <w:rFonts w:eastAsia="仿宋"/>
                      <w:color w:val="000000" w:themeColor="text1"/>
                      <w14:textFill>
                        <w14:solidFill>
                          <w14:schemeClr w14:val="tx1"/>
                        </w14:solidFill>
                      </w14:textFill>
                    </w:rPr>
                    <w:t>HCl</w:t>
                  </w:r>
                  <w:r>
                    <w:rPr>
                      <w:rFonts w:ascii="仿宋" w:hAnsi="仿宋" w:eastAsia="仿宋"/>
                      <w:color w:val="000000" w:themeColor="text1"/>
                      <w14:textFill>
                        <w14:solidFill>
                          <w14:schemeClr w14:val="tx1"/>
                        </w14:solidFill>
                      </w14:textFill>
                    </w:rPr>
                    <w:t>的企业项目。</w:t>
                  </w:r>
                </w:p>
              </w:tc>
              <w:tc>
                <w:tcPr>
                  <w:tcW w:w="2226" w:type="pct"/>
                  <w:tcBorders>
                    <w:top w:val="single" w:color="000000" w:sz="4" w:space="0"/>
                    <w:left w:val="single" w:color="000000" w:sz="4" w:space="0"/>
                    <w:bottom w:val="single" w:color="000000" w:sz="4" w:space="0"/>
                    <w:right w:val="single" w:color="000000" w:sz="4" w:space="0"/>
                  </w:tcBorders>
                  <w:vAlign w:val="center"/>
                </w:tcPr>
                <w:p w14:paraId="793D6012">
                  <w:pPr>
                    <w:pStyle w:val="58"/>
                    <w:snapToGrid w:val="0"/>
                    <w:jc w:val="both"/>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开发区HCl废气整治评估工作已完成，整治情况报告（坛政发〔2018〕115号）已报备常州市环境保护委员会。根据常州市环境监测中心2018年6月19-26日监测数据，盐化工区及周边环境中HCl已远低于环境质量标准，实现稳定达标，本项目原料检测使用的盐酸量极少，操作过程均采用移液管或者移液枪进行转移，操作过程中几乎不产生HCl，对周边环境影响较小。因此本项目能够引进。</w:t>
                  </w:r>
                </w:p>
              </w:tc>
              <w:tc>
                <w:tcPr>
                  <w:tcW w:w="707" w:type="pct"/>
                  <w:tcBorders>
                    <w:top w:val="single" w:color="000000" w:sz="4" w:space="0"/>
                    <w:left w:val="single" w:color="000000" w:sz="4" w:space="0"/>
                    <w:bottom w:val="single" w:color="000000" w:sz="4" w:space="0"/>
                    <w:right w:val="single" w:color="000000" w:sz="4" w:space="0"/>
                  </w:tcBorders>
                  <w:vAlign w:val="center"/>
                </w:tcPr>
                <w:p w14:paraId="429B80E9">
                  <w:pPr>
                    <w:pStyle w:val="58"/>
                    <w:snapToGrid w:val="0"/>
                    <w:rPr>
                      <w:color w:val="000000" w:themeColor="text1"/>
                      <w:szCs w:val="21"/>
                      <w14:textFill>
                        <w14:solidFill>
                          <w14:schemeClr w14:val="tx1"/>
                        </w14:solidFill>
                      </w14:textFill>
                    </w:rPr>
                  </w:pPr>
                  <w:r>
                    <w:rPr>
                      <w:rFonts w:hint="eastAsia" w:eastAsia="仿宋"/>
                      <w:color w:val="000000" w:themeColor="text1"/>
                      <w14:textFill>
                        <w14:solidFill>
                          <w14:schemeClr w14:val="tx1"/>
                        </w14:solidFill>
                      </w14:textFill>
                    </w:rPr>
                    <w:t>是</w:t>
                  </w:r>
                </w:p>
              </w:tc>
            </w:tr>
            <w:tr w14:paraId="79D8FA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67" w:type="pct"/>
                  <w:tcBorders>
                    <w:top w:val="single" w:color="000000" w:sz="4" w:space="0"/>
                    <w:left w:val="single" w:color="000000" w:sz="4" w:space="0"/>
                    <w:bottom w:val="single" w:color="000000" w:sz="4" w:space="0"/>
                    <w:right w:val="single" w:color="000000" w:sz="4" w:space="0"/>
                  </w:tcBorders>
                  <w:vAlign w:val="center"/>
                </w:tcPr>
                <w:p w14:paraId="1B7D3DB2">
                  <w:pPr>
                    <w:pStyle w:val="58"/>
                    <w:snapToGrid w:val="0"/>
                    <w:jc w:val="both"/>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凡是列入国家《产业结构调整指导目录（</w:t>
                  </w:r>
                  <w:r>
                    <w:rPr>
                      <w:rFonts w:eastAsia="仿宋"/>
                      <w:color w:val="000000" w:themeColor="text1"/>
                      <w14:textFill>
                        <w14:solidFill>
                          <w14:schemeClr w14:val="tx1"/>
                        </w14:solidFill>
                      </w14:textFill>
                    </w:rPr>
                    <w:t>2011</w:t>
                  </w:r>
                  <w:r>
                    <w:rPr>
                      <w:rFonts w:ascii="仿宋" w:hAnsi="仿宋" w:eastAsia="仿宋"/>
                      <w:color w:val="000000" w:themeColor="text1"/>
                      <w14:textFill>
                        <w14:solidFill>
                          <w14:schemeClr w14:val="tx1"/>
                        </w14:solidFill>
                      </w14:textFill>
                    </w:rPr>
                    <w:t>年本）》（</w:t>
                  </w:r>
                  <w:r>
                    <w:rPr>
                      <w:rFonts w:eastAsia="仿宋"/>
                      <w:color w:val="000000" w:themeColor="text1"/>
                      <w14:textFill>
                        <w14:solidFill>
                          <w14:schemeClr w14:val="tx1"/>
                        </w14:solidFill>
                      </w14:textFill>
                    </w:rPr>
                    <w:t>2013</w:t>
                  </w:r>
                  <w:r>
                    <w:rPr>
                      <w:rFonts w:ascii="仿宋" w:hAnsi="仿宋" w:eastAsia="仿宋"/>
                      <w:color w:val="000000" w:themeColor="text1"/>
                      <w14:textFill>
                        <w14:solidFill>
                          <w14:schemeClr w14:val="tx1"/>
                        </w14:solidFill>
                      </w14:textFill>
                    </w:rPr>
                    <w:t xml:space="preserve">年修正，中华人民共和国国家发展和改革委员会令 </w:t>
                  </w:r>
                  <w:r>
                    <w:rPr>
                      <w:rFonts w:eastAsia="仿宋"/>
                      <w:color w:val="000000" w:themeColor="text1"/>
                      <w14:textFill>
                        <w14:solidFill>
                          <w14:schemeClr w14:val="tx1"/>
                        </w14:solidFill>
                      </w14:textFill>
                    </w:rPr>
                    <w:t>2013</w:t>
                  </w:r>
                  <w:r>
                    <w:rPr>
                      <w:rFonts w:ascii="仿宋" w:hAnsi="仿宋" w:eastAsia="仿宋"/>
                      <w:color w:val="000000" w:themeColor="text1"/>
                      <w14:textFill>
                        <w14:solidFill>
                          <w14:schemeClr w14:val="tx1"/>
                        </w14:solidFill>
                      </w14:textFill>
                    </w:rPr>
                    <w:t>第</w:t>
                  </w:r>
                  <w:r>
                    <w:rPr>
                      <w:rFonts w:eastAsia="仿宋"/>
                      <w:color w:val="000000" w:themeColor="text1"/>
                      <w14:textFill>
                        <w14:solidFill>
                          <w14:schemeClr w14:val="tx1"/>
                        </w14:solidFill>
                      </w14:textFill>
                    </w:rPr>
                    <w:t>21</w:t>
                  </w:r>
                  <w:r>
                    <w:rPr>
                      <w:rFonts w:ascii="仿宋" w:hAnsi="仿宋" w:eastAsia="仿宋"/>
                      <w:color w:val="000000" w:themeColor="text1"/>
                      <w14:textFill>
                        <w14:solidFill>
                          <w14:schemeClr w14:val="tx1"/>
                        </w14:solidFill>
                      </w14:textFill>
                    </w:rPr>
                    <w:t>号）淘汰类的项目禁止建设，《外商投资产业指导目录（</w:t>
                  </w:r>
                  <w:r>
                    <w:rPr>
                      <w:rFonts w:eastAsia="仿宋"/>
                      <w:color w:val="000000" w:themeColor="text1"/>
                      <w14:textFill>
                        <w14:solidFill>
                          <w14:schemeClr w14:val="tx1"/>
                        </w14:solidFill>
                      </w14:textFill>
                    </w:rPr>
                    <w:t>2011</w:t>
                  </w:r>
                  <w:r>
                    <w:rPr>
                      <w:rFonts w:ascii="仿宋" w:hAnsi="仿宋" w:eastAsia="仿宋"/>
                      <w:color w:val="000000" w:themeColor="text1"/>
                      <w14:textFill>
                        <w14:solidFill>
                          <w14:schemeClr w14:val="tx1"/>
                        </w14:solidFill>
                      </w14:textFill>
                    </w:rPr>
                    <w:t>年修订）》禁止外商投资的产业项目禁止建设，违反国家规定，采用国家明令淘汰的落后工艺、技术和设备，不符合国家产业政策和环保政策的项目禁止建设。</w:t>
                  </w:r>
                </w:p>
              </w:tc>
              <w:tc>
                <w:tcPr>
                  <w:tcW w:w="2226" w:type="pct"/>
                  <w:tcBorders>
                    <w:top w:val="single" w:color="000000" w:sz="4" w:space="0"/>
                    <w:left w:val="single" w:color="000000" w:sz="4" w:space="0"/>
                    <w:bottom w:val="single" w:color="000000" w:sz="4" w:space="0"/>
                    <w:right w:val="single" w:color="000000" w:sz="4" w:space="0"/>
                  </w:tcBorders>
                  <w:vAlign w:val="center"/>
                </w:tcPr>
                <w:p w14:paraId="299F77F3">
                  <w:pPr>
                    <w:pStyle w:val="58"/>
                    <w:snapToGrid w:val="0"/>
                    <w:jc w:val="both"/>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本项目不属于《产业结构调整指导目录（2024年本）》中的限制和淘汰类项目；本项目国民经济行业类别属于“C3581医疗诊断、监护及治疗设备制造”，不属于《鼓励外商投资产业目录》（2022年版）中禁止和淘汰类项目。</w:t>
                  </w:r>
                </w:p>
              </w:tc>
              <w:tc>
                <w:tcPr>
                  <w:tcW w:w="707" w:type="pct"/>
                  <w:tcBorders>
                    <w:top w:val="single" w:color="000000" w:sz="4" w:space="0"/>
                    <w:left w:val="single" w:color="000000" w:sz="4" w:space="0"/>
                    <w:bottom w:val="single" w:color="000000" w:sz="4" w:space="0"/>
                    <w:right w:val="single" w:color="000000" w:sz="4" w:space="0"/>
                  </w:tcBorders>
                  <w:vAlign w:val="center"/>
                </w:tcPr>
                <w:p w14:paraId="65C962F1">
                  <w:pPr>
                    <w:pStyle w:val="58"/>
                    <w:snapToGrid w:val="0"/>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是</w:t>
                  </w:r>
                </w:p>
              </w:tc>
            </w:tr>
            <w:tr w14:paraId="2EBBB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67" w:type="pct"/>
                  <w:tcBorders>
                    <w:top w:val="single" w:color="000000" w:sz="4" w:space="0"/>
                    <w:left w:val="single" w:color="000000" w:sz="4" w:space="0"/>
                    <w:bottom w:val="single" w:color="000000" w:sz="4" w:space="0"/>
                    <w:right w:val="single" w:color="000000" w:sz="4" w:space="0"/>
                  </w:tcBorders>
                  <w:vAlign w:val="center"/>
                </w:tcPr>
                <w:p w14:paraId="2199F23D">
                  <w:pPr>
                    <w:pStyle w:val="58"/>
                    <w:snapToGrid w:val="0"/>
                    <w:jc w:val="both"/>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未开展环境影响评价、未经环境保护行政主管部门批准的企业项目禁止建设。</w:t>
                  </w:r>
                </w:p>
              </w:tc>
              <w:tc>
                <w:tcPr>
                  <w:tcW w:w="2226" w:type="pct"/>
                  <w:tcBorders>
                    <w:top w:val="single" w:color="000000" w:sz="4" w:space="0"/>
                    <w:left w:val="single" w:color="000000" w:sz="4" w:space="0"/>
                    <w:bottom w:val="single" w:color="000000" w:sz="4" w:space="0"/>
                    <w:right w:val="single" w:color="000000" w:sz="4" w:space="0"/>
                  </w:tcBorders>
                  <w:vAlign w:val="center"/>
                </w:tcPr>
                <w:p w14:paraId="14105B06">
                  <w:pPr>
                    <w:pStyle w:val="58"/>
                    <w:snapToGrid w:val="0"/>
                    <w:jc w:val="both"/>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本项目正处于环评编制阶段。</w:t>
                  </w:r>
                </w:p>
              </w:tc>
              <w:tc>
                <w:tcPr>
                  <w:tcW w:w="707" w:type="pct"/>
                  <w:tcBorders>
                    <w:top w:val="single" w:color="000000" w:sz="4" w:space="0"/>
                    <w:left w:val="single" w:color="000000" w:sz="4" w:space="0"/>
                    <w:bottom w:val="single" w:color="000000" w:sz="4" w:space="0"/>
                    <w:right w:val="single" w:color="000000" w:sz="4" w:space="0"/>
                  </w:tcBorders>
                  <w:vAlign w:val="center"/>
                </w:tcPr>
                <w:p w14:paraId="5280B564">
                  <w:pPr>
                    <w:pStyle w:val="58"/>
                    <w:snapToGrid w:val="0"/>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是</w:t>
                  </w:r>
                </w:p>
              </w:tc>
            </w:tr>
            <w:tr w14:paraId="4F089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67" w:type="pct"/>
                  <w:tcBorders>
                    <w:top w:val="single" w:color="000000" w:sz="4" w:space="0"/>
                    <w:left w:val="single" w:color="000000" w:sz="4" w:space="0"/>
                    <w:bottom w:val="single" w:color="000000" w:sz="4" w:space="0"/>
                    <w:right w:val="single" w:color="000000" w:sz="4" w:space="0"/>
                  </w:tcBorders>
                  <w:vAlign w:val="center"/>
                </w:tcPr>
                <w:p w14:paraId="596749B6">
                  <w:pPr>
                    <w:pStyle w:val="58"/>
                    <w:snapToGrid w:val="0"/>
                    <w:jc w:val="both"/>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不符合《太湖流域管理条例》（中华人民共和国国务院令第</w:t>
                  </w:r>
                  <w:r>
                    <w:rPr>
                      <w:rFonts w:eastAsia="仿宋"/>
                      <w:color w:val="000000" w:themeColor="text1"/>
                      <w14:textFill>
                        <w14:solidFill>
                          <w14:schemeClr w14:val="tx1"/>
                        </w14:solidFill>
                      </w14:textFill>
                    </w:rPr>
                    <w:t>604</w:t>
                  </w:r>
                  <w:r>
                    <w:rPr>
                      <w:rFonts w:ascii="仿宋" w:hAnsi="仿宋" w:eastAsia="仿宋"/>
                      <w:color w:val="000000" w:themeColor="text1"/>
                      <w14:textFill>
                        <w14:solidFill>
                          <w14:schemeClr w14:val="tx1"/>
                        </w14:solidFill>
                      </w14:textFill>
                    </w:rPr>
                    <w:t>号）、《江苏省太湖水污染防治条例》等相关太湖流域管理规定的项目禁止建设。禁止新建、改建、扩建化学制浆造纸、制革、酿造、染料、印染、电镀以及其他排放含磷、氮等污染物的企业和项目。</w:t>
                  </w:r>
                </w:p>
              </w:tc>
              <w:tc>
                <w:tcPr>
                  <w:tcW w:w="2226" w:type="pct"/>
                  <w:tcBorders>
                    <w:top w:val="single" w:color="000000" w:sz="4" w:space="0"/>
                    <w:left w:val="single" w:color="000000" w:sz="4" w:space="0"/>
                    <w:bottom w:val="single" w:color="000000" w:sz="4" w:space="0"/>
                    <w:right w:val="single" w:color="000000" w:sz="4" w:space="0"/>
                  </w:tcBorders>
                  <w:vAlign w:val="center"/>
                </w:tcPr>
                <w:p w14:paraId="71775231">
                  <w:pPr>
                    <w:pStyle w:val="58"/>
                    <w:snapToGrid w:val="0"/>
                    <w:jc w:val="both"/>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本项目位于太湖流域三级保护区内，国民经济行业类别属于“</w:t>
                  </w:r>
                  <w:r>
                    <w:rPr>
                      <w:rFonts w:eastAsia="仿宋"/>
                      <w:color w:val="000000" w:themeColor="text1"/>
                      <w14:textFill>
                        <w14:solidFill>
                          <w14:schemeClr w14:val="tx1"/>
                        </w14:solidFill>
                      </w14:textFill>
                    </w:rPr>
                    <w:t>C3581</w:t>
                  </w:r>
                  <w:r>
                    <w:rPr>
                      <w:rFonts w:hint="eastAsia" w:eastAsia="仿宋"/>
                      <w:color w:val="000000" w:themeColor="text1"/>
                      <w14:textFill>
                        <w14:solidFill>
                          <w14:schemeClr w14:val="tx1"/>
                        </w14:solidFill>
                      </w14:textFill>
                    </w:rPr>
                    <w:t>医疗诊断、监护及治疗设备制造”，本项目营运期不排放含氮磷的生产废水，符合《太湖流域管理条例》（中华人民共和国国务院令第604号）、《江苏省太湖水污染防治条例》相关规定。</w:t>
                  </w:r>
                </w:p>
              </w:tc>
              <w:tc>
                <w:tcPr>
                  <w:tcW w:w="707" w:type="pct"/>
                  <w:tcBorders>
                    <w:top w:val="single" w:color="000000" w:sz="4" w:space="0"/>
                    <w:left w:val="single" w:color="000000" w:sz="4" w:space="0"/>
                    <w:bottom w:val="single" w:color="000000" w:sz="4" w:space="0"/>
                    <w:right w:val="single" w:color="000000" w:sz="4" w:space="0"/>
                  </w:tcBorders>
                  <w:vAlign w:val="center"/>
                </w:tcPr>
                <w:p w14:paraId="0999095B">
                  <w:pPr>
                    <w:pStyle w:val="58"/>
                    <w:snapToGrid w:val="0"/>
                    <w:rPr>
                      <w:rFonts w:eastAsia="仿宋"/>
                      <w:color w:val="000000" w:themeColor="text1"/>
                      <w14:textFill>
                        <w14:solidFill>
                          <w14:schemeClr w14:val="tx1"/>
                        </w14:solidFill>
                      </w14:textFill>
                    </w:rPr>
                  </w:pPr>
                  <w:bookmarkStart w:id="6" w:name="OLE_LINK2"/>
                  <w:r>
                    <w:rPr>
                      <w:rFonts w:hint="eastAsia" w:eastAsia="仿宋"/>
                      <w:color w:val="000000" w:themeColor="text1"/>
                      <w14:textFill>
                        <w14:solidFill>
                          <w14:schemeClr w14:val="tx1"/>
                        </w14:solidFill>
                      </w14:textFill>
                    </w:rPr>
                    <w:t>是</w:t>
                  </w:r>
                  <w:bookmarkEnd w:id="6"/>
                </w:p>
              </w:tc>
            </w:tr>
            <w:tr w14:paraId="6D8B5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67" w:type="pct"/>
                  <w:tcBorders>
                    <w:top w:val="single" w:color="000000" w:sz="4" w:space="0"/>
                    <w:left w:val="single" w:color="000000" w:sz="4" w:space="0"/>
                    <w:bottom w:val="single" w:color="000000" w:sz="4" w:space="0"/>
                    <w:right w:val="single" w:color="000000" w:sz="4" w:space="0"/>
                  </w:tcBorders>
                  <w:vAlign w:val="center"/>
                </w:tcPr>
                <w:p w14:paraId="382B45BE">
                  <w:pPr>
                    <w:pStyle w:val="58"/>
                    <w:snapToGrid w:val="0"/>
                    <w:jc w:val="both"/>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改建、扩建和技术改造项目属于下列情况之一的禁止建设：</w:t>
                  </w:r>
                  <w:r>
                    <w:rPr>
                      <w:rFonts w:hint="eastAsia" w:ascii="宋体" w:hAnsi="宋体"/>
                      <w:color w:val="000000" w:themeColor="text1"/>
                      <w14:textFill>
                        <w14:solidFill>
                          <w14:schemeClr w14:val="tx1"/>
                        </w14:solidFill>
                      </w14:textFill>
                    </w:rPr>
                    <w:t>①</w:t>
                  </w:r>
                  <w:r>
                    <w:rPr>
                      <w:rFonts w:ascii="仿宋" w:hAnsi="仿宋" w:eastAsia="仿宋"/>
                      <w:color w:val="000000" w:themeColor="text1"/>
                      <w14:textFill>
                        <w14:solidFill>
                          <w14:schemeClr w14:val="tx1"/>
                        </w14:solidFill>
                      </w14:textFill>
                    </w:rPr>
                    <w:t>无法通过采取</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以新带老</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以大带小</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的措施，实现增产不增污、削减污染负荷的建设项目；</w:t>
                  </w:r>
                  <w:r>
                    <w:rPr>
                      <w:rFonts w:hint="eastAsia" w:ascii="宋体" w:hAnsi="宋体"/>
                      <w:color w:val="000000" w:themeColor="text1"/>
                      <w14:textFill>
                        <w14:solidFill>
                          <w14:schemeClr w14:val="tx1"/>
                        </w14:solidFill>
                      </w14:textFill>
                    </w:rPr>
                    <w:t>②</w:t>
                  </w:r>
                  <w:r>
                    <w:rPr>
                      <w:rFonts w:ascii="仿宋" w:hAnsi="仿宋" w:eastAsia="仿宋"/>
                      <w:color w:val="000000" w:themeColor="text1"/>
                      <w14:textFill>
                        <w14:solidFill>
                          <w14:schemeClr w14:val="tx1"/>
                        </w14:solidFill>
                      </w14:textFill>
                    </w:rPr>
                    <w:t>不履行环保</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三同时</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的建设项目；</w:t>
                  </w:r>
                  <w:r>
                    <w:rPr>
                      <w:rFonts w:hint="eastAsia" w:ascii="宋体" w:hAnsi="宋体"/>
                      <w:color w:val="000000" w:themeColor="text1"/>
                      <w14:textFill>
                        <w14:solidFill>
                          <w14:schemeClr w14:val="tx1"/>
                        </w14:solidFill>
                      </w14:textFill>
                    </w:rPr>
                    <w:t>③</w:t>
                  </w:r>
                  <w:r>
                    <w:rPr>
                      <w:rFonts w:ascii="仿宋" w:hAnsi="仿宋" w:eastAsia="仿宋"/>
                      <w:color w:val="000000" w:themeColor="text1"/>
                      <w14:textFill>
                        <w14:solidFill>
                          <w14:schemeClr w14:val="tx1"/>
                        </w14:solidFill>
                      </w14:textFill>
                    </w:rPr>
                    <w:t>建设单位目前污染物排放超过标准或总量控制指标，需要配套的污染防治设施和生态保护措施未落实的建设项目。</w:t>
                  </w:r>
                </w:p>
              </w:tc>
              <w:tc>
                <w:tcPr>
                  <w:tcW w:w="2226" w:type="pct"/>
                  <w:tcBorders>
                    <w:top w:val="single" w:color="000000" w:sz="4" w:space="0"/>
                    <w:left w:val="single" w:color="000000" w:sz="4" w:space="0"/>
                    <w:bottom w:val="single" w:color="000000" w:sz="4" w:space="0"/>
                    <w:right w:val="single" w:color="000000" w:sz="4" w:space="0"/>
                  </w:tcBorders>
                  <w:vAlign w:val="center"/>
                </w:tcPr>
                <w:p w14:paraId="1871A660">
                  <w:pPr>
                    <w:pStyle w:val="58"/>
                    <w:snapToGrid w:val="0"/>
                    <w:jc w:val="both"/>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本项目不属于上述禁止建设类项目。</w:t>
                  </w:r>
                </w:p>
              </w:tc>
              <w:tc>
                <w:tcPr>
                  <w:tcW w:w="707" w:type="pct"/>
                  <w:tcBorders>
                    <w:top w:val="single" w:color="000000" w:sz="4" w:space="0"/>
                    <w:left w:val="single" w:color="000000" w:sz="4" w:space="0"/>
                    <w:bottom w:val="single" w:color="000000" w:sz="4" w:space="0"/>
                    <w:right w:val="single" w:color="000000" w:sz="4" w:space="0"/>
                  </w:tcBorders>
                  <w:vAlign w:val="center"/>
                </w:tcPr>
                <w:p w14:paraId="5B086EB1">
                  <w:pPr>
                    <w:pStyle w:val="58"/>
                    <w:snapToGrid w:val="0"/>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是</w:t>
                  </w:r>
                </w:p>
              </w:tc>
            </w:tr>
            <w:tr w14:paraId="0D856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67" w:type="pct"/>
                  <w:tcBorders>
                    <w:top w:val="single" w:color="000000" w:sz="4" w:space="0"/>
                    <w:left w:val="single" w:color="000000" w:sz="4" w:space="0"/>
                    <w:bottom w:val="single" w:color="000000" w:sz="4" w:space="0"/>
                    <w:right w:val="single" w:color="000000" w:sz="4" w:space="0"/>
                  </w:tcBorders>
                  <w:vAlign w:val="center"/>
                </w:tcPr>
                <w:p w14:paraId="5C124060">
                  <w:pPr>
                    <w:pStyle w:val="58"/>
                    <w:snapToGrid w:val="0"/>
                    <w:jc w:val="both"/>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对于建设单位目前污染物排放超过相关环境标准或超过总量控制指标的企业，需要配套建设污染防治设施和生态保护措施，否则，将视为环境禁止项目。</w:t>
                  </w:r>
                </w:p>
              </w:tc>
              <w:tc>
                <w:tcPr>
                  <w:tcW w:w="2226" w:type="pct"/>
                  <w:tcBorders>
                    <w:top w:val="single" w:color="000000" w:sz="4" w:space="0"/>
                    <w:left w:val="single" w:color="000000" w:sz="4" w:space="0"/>
                    <w:bottom w:val="single" w:color="000000" w:sz="4" w:space="0"/>
                    <w:right w:val="single" w:color="000000" w:sz="4" w:space="0"/>
                  </w:tcBorders>
                  <w:vAlign w:val="center"/>
                </w:tcPr>
                <w:p w14:paraId="149CDE74">
                  <w:pPr>
                    <w:pStyle w:val="58"/>
                    <w:snapToGrid w:val="0"/>
                    <w:jc w:val="both"/>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企业污染物排放未超过相关环境标准或超过总量控制指标。</w:t>
                  </w:r>
                </w:p>
              </w:tc>
              <w:tc>
                <w:tcPr>
                  <w:tcW w:w="707" w:type="pct"/>
                  <w:tcBorders>
                    <w:top w:val="single" w:color="000000" w:sz="4" w:space="0"/>
                    <w:left w:val="single" w:color="000000" w:sz="4" w:space="0"/>
                    <w:bottom w:val="single" w:color="000000" w:sz="4" w:space="0"/>
                    <w:right w:val="single" w:color="000000" w:sz="4" w:space="0"/>
                  </w:tcBorders>
                  <w:vAlign w:val="center"/>
                </w:tcPr>
                <w:p w14:paraId="610EBD6A">
                  <w:pPr>
                    <w:pStyle w:val="58"/>
                    <w:snapToGrid w:val="0"/>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是</w:t>
                  </w:r>
                </w:p>
              </w:tc>
            </w:tr>
          </w:tbl>
          <w:p w14:paraId="4C87E7DA">
            <w:pPr>
              <w:spacing w:line="480" w:lineRule="exact"/>
              <w:ind w:firstLine="482" w:firstLineChars="200"/>
              <w:rPr>
                <w:rFonts w:eastAsia="仿宋"/>
                <w:bCs/>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对照分析：</w:t>
            </w:r>
            <w:r>
              <w:rPr>
                <w:rFonts w:eastAsia="仿宋"/>
                <w:bCs/>
                <w:color w:val="000000" w:themeColor="text1"/>
                <w:sz w:val="24"/>
                <w14:textFill>
                  <w14:solidFill>
                    <w14:schemeClr w14:val="tx1"/>
                  </w14:solidFill>
                </w14:textFill>
              </w:rPr>
              <w:t>本项目为医疗诊断用发生器</w:t>
            </w:r>
            <w:r>
              <w:rPr>
                <w:rFonts w:hint="eastAsia" w:eastAsia="仿宋"/>
                <w:bCs/>
                <w:color w:val="000000" w:themeColor="text1"/>
                <w:sz w:val="24"/>
                <w14:textFill>
                  <w14:solidFill>
                    <w14:schemeClr w14:val="tx1"/>
                  </w14:solidFill>
                </w14:textFill>
              </w:rPr>
              <w:t>设备制造项目</w:t>
            </w:r>
            <w:r>
              <w:rPr>
                <w:rFonts w:eastAsia="仿宋"/>
                <w:bCs/>
                <w:color w:val="000000" w:themeColor="text1"/>
                <w:sz w:val="24"/>
                <w14:textFill>
                  <w14:solidFill>
                    <w14:schemeClr w14:val="tx1"/>
                  </w14:solidFill>
                </w14:textFill>
              </w:rPr>
              <w:t>，属于“新医药”产业，符合园区产业定位，国民经济行业类别属于“</w:t>
            </w:r>
            <w:r>
              <w:rPr>
                <w:rFonts w:hint="eastAsia" w:eastAsia="仿宋"/>
                <w:bCs/>
                <w:color w:val="000000" w:themeColor="text1"/>
                <w:sz w:val="24"/>
                <w14:textFill>
                  <w14:solidFill>
                    <w14:schemeClr w14:val="tx1"/>
                  </w14:solidFill>
                </w14:textFill>
              </w:rPr>
              <w:t>C3581医疗诊断、监护及治疗设备制造</w:t>
            </w:r>
            <w:r>
              <w:rPr>
                <w:rFonts w:eastAsia="仿宋"/>
                <w:bCs/>
                <w:color w:val="000000" w:themeColor="text1"/>
                <w:sz w:val="24"/>
                <w14:textFill>
                  <w14:solidFill>
                    <w14:schemeClr w14:val="tx1"/>
                  </w14:solidFill>
                </w14:textFill>
              </w:rPr>
              <w:t>”，运营期不排放含N、P的生产废水，废水、废气、噪声、固废均配套相应污染防治措施</w:t>
            </w:r>
            <w:r>
              <w:rPr>
                <w:rFonts w:hint="eastAsia" w:eastAsia="仿宋"/>
                <w:bCs/>
                <w:color w:val="000000" w:themeColor="text1"/>
                <w:sz w:val="24"/>
                <w14:textFill>
                  <w14:solidFill>
                    <w14:schemeClr w14:val="tx1"/>
                  </w14:solidFill>
                </w14:textFill>
              </w:rPr>
              <w:t>，不属于上述规定的禁止建设类项目。</w:t>
            </w:r>
          </w:p>
          <w:p w14:paraId="186BDA8E">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综上，对照</w:t>
            </w:r>
            <w:bookmarkStart w:id="7" w:name="OLE_LINK20"/>
            <w:r>
              <w:rPr>
                <w:rFonts w:ascii="仿宋" w:hAnsi="仿宋" w:eastAsia="仿宋"/>
                <w:bCs/>
                <w:color w:val="000000" w:themeColor="text1"/>
                <w:sz w:val="24"/>
                <w14:textFill>
                  <w14:solidFill>
                    <w14:schemeClr w14:val="tx1"/>
                  </w14:solidFill>
                </w14:textFill>
              </w:rPr>
              <w:t>《金坛经济开发区发展规划环境影响报告书》</w:t>
            </w:r>
            <w:bookmarkEnd w:id="7"/>
            <w:r>
              <w:rPr>
                <w:rFonts w:ascii="仿宋" w:hAnsi="仿宋" w:eastAsia="仿宋"/>
                <w:bCs/>
                <w:color w:val="000000" w:themeColor="text1"/>
                <w:sz w:val="24"/>
                <w14:textFill>
                  <w14:solidFill>
                    <w14:schemeClr w14:val="tx1"/>
                  </w14:solidFill>
                </w14:textFill>
              </w:rPr>
              <w:t>，本项目符合金坛经济开发区发展规划。</w:t>
            </w:r>
          </w:p>
          <w:p w14:paraId="7CAC3D8B">
            <w:pPr>
              <w:spacing w:line="480" w:lineRule="exact"/>
              <w:ind w:firstLine="482" w:firstLineChars="200"/>
              <w:rPr>
                <w:rFonts w:eastAsia="仿宋"/>
                <w:b/>
                <w:bCs/>
                <w:color w:val="000000" w:themeColor="text1"/>
                <w:sz w:val="24"/>
                <w14:textFill>
                  <w14:solidFill>
                    <w14:schemeClr w14:val="tx1"/>
                  </w14:solidFill>
                </w14:textFill>
              </w:rPr>
            </w:pPr>
            <w:r>
              <w:rPr>
                <w:rFonts w:ascii="仿宋" w:hAnsi="仿宋" w:eastAsia="仿宋"/>
                <w:b/>
                <w:bCs/>
                <w:color w:val="000000" w:themeColor="text1"/>
                <w:sz w:val="24"/>
                <w14:textFill>
                  <w14:solidFill>
                    <w14:schemeClr w14:val="tx1"/>
                  </w14:solidFill>
                </w14:textFill>
              </w:rPr>
              <w:t>（三）选址合理性分析</w:t>
            </w:r>
          </w:p>
          <w:p w14:paraId="76C1F408">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齐康原医疗科技（常州）有限公司主要从事放射性同位素及医疗器械的生产、加工。齐康原医疗科技（常州）有限公司于2023年4月报批了《齐康原医疗科技（常州）有限公司新建放射性同位素生产项目环境影响报告表》，</w:t>
            </w:r>
            <w:r>
              <w:rPr>
                <w:rFonts w:hint="eastAsia" w:eastAsia="仿宋"/>
                <w:bCs/>
                <w:color w:val="000000" w:themeColor="text1"/>
                <w:sz w:val="24"/>
                <w14:textFill>
                  <w14:solidFill>
                    <w14:schemeClr w14:val="tx1"/>
                  </w14:solidFill>
                </w14:textFill>
              </w:rPr>
              <w:t>已获得江苏省生态环境厅的批复</w:t>
            </w:r>
            <w:r>
              <w:rPr>
                <w:rFonts w:eastAsia="仿宋"/>
                <w:bCs/>
                <w:color w:val="000000" w:themeColor="text1"/>
                <w:sz w:val="24"/>
                <w14:textFill>
                  <w14:solidFill>
                    <w14:schemeClr w14:val="tx1"/>
                  </w14:solidFill>
                </w14:textFill>
              </w:rPr>
              <w:t>（苏环审〔2023〕17号）；</w:t>
            </w:r>
            <w:r>
              <w:rPr>
                <w:rFonts w:hint="eastAsia" w:ascii="仿宋" w:hAnsi="仿宋" w:eastAsia="仿宋"/>
                <w:bCs/>
                <w:color w:val="000000" w:themeColor="text1"/>
                <w:sz w:val="24"/>
                <w14:textFill>
                  <w14:solidFill>
                    <w14:schemeClr w14:val="tx1"/>
                  </w14:solidFill>
                </w14:textFill>
              </w:rPr>
              <w:t>在一期放射性同位素生产的基础上，齐康原医疗科技（常州）有限公司拟建设放射性同位素加速器设备生产项目，</w:t>
            </w:r>
            <w:r>
              <w:rPr>
                <w:rFonts w:eastAsia="仿宋"/>
                <w:bCs/>
                <w:color w:val="000000" w:themeColor="text1"/>
                <w:sz w:val="24"/>
                <w14:textFill>
                  <w14:solidFill>
                    <w14:schemeClr w14:val="tx1"/>
                  </w14:solidFill>
                </w14:textFill>
              </w:rPr>
              <w:t>投资42350万元扩建医疗诊断用Ge68/Ga68发生器设备生产项目，</w:t>
            </w:r>
            <w:r>
              <w:rPr>
                <w:rFonts w:hint="eastAsia" w:eastAsia="仿宋"/>
                <w:bCs/>
                <w:color w:val="000000" w:themeColor="text1"/>
                <w:sz w:val="24"/>
                <w14:textFill>
                  <w14:solidFill>
                    <w14:schemeClr w14:val="tx1"/>
                  </w14:solidFill>
                </w14:textFill>
              </w:rPr>
              <w:t>建成后年产Ge68/Ga68发生器2000台，</w:t>
            </w:r>
            <w:r>
              <w:rPr>
                <w:rFonts w:eastAsia="仿宋"/>
                <w:bCs/>
                <w:color w:val="000000" w:themeColor="text1"/>
                <w:sz w:val="24"/>
                <w14:textFill>
                  <w14:solidFill>
                    <w14:schemeClr w14:val="tx1"/>
                  </w14:solidFill>
                </w14:textFill>
              </w:rPr>
              <w:t>该项目依托现有厂房进行生产。齐康原医疗科技（常州）有限公司现有厂区用地已获得不动产权证（苏（2021）金坛区不动产权第0046776号），用地性质为工业用地</w:t>
            </w:r>
            <w:r>
              <w:rPr>
                <w:rFonts w:hint="eastAsia" w:eastAsia="仿宋"/>
                <w:bCs/>
                <w:color w:val="000000" w:themeColor="text1"/>
                <w:sz w:val="24"/>
                <w14:textFill>
                  <w14:solidFill>
                    <w14:schemeClr w14:val="tx1"/>
                  </w14:solidFill>
                </w14:textFill>
              </w:rPr>
              <w:t>，对照金坛经济开发区土地利用规划图，本项目的用地性质为工业用地。</w:t>
            </w:r>
          </w:p>
          <w:p w14:paraId="09BBBE89">
            <w:pPr>
              <w:spacing w:line="50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综上，本项目选址合理。</w:t>
            </w:r>
          </w:p>
        </w:tc>
      </w:tr>
      <w:tr w14:paraId="33714D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550" w:type="dxa"/>
            <w:vAlign w:val="center"/>
          </w:tcPr>
          <w:p w14:paraId="67CF5197">
            <w:pPr>
              <w:autoSpaceDE w:val="0"/>
              <w:autoSpaceDN w:val="0"/>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其他符合性分析</w:t>
            </w:r>
          </w:p>
        </w:tc>
        <w:tc>
          <w:tcPr>
            <w:tcW w:w="8188" w:type="dxa"/>
            <w:gridSpan w:val="3"/>
          </w:tcPr>
          <w:p w14:paraId="1779F689">
            <w:pPr>
              <w:spacing w:line="48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（一）产业政策符合性分析</w:t>
            </w:r>
          </w:p>
          <w:p w14:paraId="51E2DC36">
            <w:pPr>
              <w:spacing w:line="480" w:lineRule="exact"/>
              <w:ind w:firstLine="480" w:firstLineChars="200"/>
              <w:rPr>
                <w:rFonts w:eastAsia="仿宋"/>
                <w:color w:val="000000" w:themeColor="text1"/>
                <w:szCs w:val="21"/>
                <w14:textFill>
                  <w14:solidFill>
                    <w14:schemeClr w14:val="tx1"/>
                  </w14:solidFill>
                </w14:textFill>
              </w:rPr>
            </w:pPr>
            <w:r>
              <w:rPr>
                <w:rFonts w:eastAsia="仿宋"/>
                <w:bCs/>
                <w:color w:val="000000" w:themeColor="text1"/>
                <w:sz w:val="24"/>
                <w14:textFill>
                  <w14:solidFill>
                    <w14:schemeClr w14:val="tx1"/>
                  </w14:solidFill>
                </w14:textFill>
              </w:rPr>
              <w:t>1、本项目不属于《产业结构调整指导目录（2024年本）》、《江苏省太湖流域禁止和限制的产业产品目录（2024年本）》中的限制、淘汰类、禁止类项目。</w:t>
            </w:r>
          </w:p>
          <w:p w14:paraId="6A504047">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2</w:t>
            </w:r>
            <w:r>
              <w:rPr>
                <w:rFonts w:ascii="仿宋" w:hAnsi="仿宋" w:eastAsia="仿宋"/>
                <w:bCs/>
                <w:color w:val="000000" w:themeColor="text1"/>
                <w:sz w:val="24"/>
                <w14:textFill>
                  <w14:solidFill>
                    <w14:schemeClr w14:val="tx1"/>
                  </w14:solidFill>
                </w14:textFill>
              </w:rPr>
              <w:t>、本项目不属于《外商投资准入特别管理措施（负面清单）（</w:t>
            </w:r>
            <w:r>
              <w:rPr>
                <w:rFonts w:eastAsia="仿宋"/>
                <w:bCs/>
                <w:color w:val="000000" w:themeColor="text1"/>
                <w:sz w:val="24"/>
                <w14:textFill>
                  <w14:solidFill>
                    <w14:schemeClr w14:val="tx1"/>
                  </w14:solidFill>
                </w14:textFill>
              </w:rPr>
              <w:t>2024</w:t>
            </w:r>
            <w:r>
              <w:rPr>
                <w:rFonts w:ascii="仿宋" w:hAnsi="仿宋" w:eastAsia="仿宋"/>
                <w:bCs/>
                <w:color w:val="000000" w:themeColor="text1"/>
                <w:sz w:val="24"/>
                <w14:textFill>
                  <w14:solidFill>
                    <w14:schemeClr w14:val="tx1"/>
                  </w14:solidFill>
                </w14:textFill>
              </w:rPr>
              <w:t>年版）》中特别管理措施类项目。</w:t>
            </w:r>
          </w:p>
          <w:p w14:paraId="3E54328D">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3、本项目不属于关于印发《&lt;长江经济带发展负面清单指南&gt;（试行，2022年版）》的通知（长江办〔2022〕7号）</w:t>
            </w:r>
            <w:r>
              <w:rPr>
                <w:rFonts w:hint="eastAsia"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《关于印发江苏省实施细则的通知》（苏长江办发</w:t>
            </w:r>
            <w:r>
              <w:rPr>
                <w:rFonts w:hint="eastAsia"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2022</w:t>
            </w:r>
            <w:r>
              <w:rPr>
                <w:rFonts w:hint="eastAsia"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55号</w:t>
            </w:r>
            <w:r>
              <w:rPr>
                <w:color w:val="000000" w:themeColor="text1"/>
                <w14:textFill>
                  <w14:solidFill>
                    <w14:schemeClr w14:val="tx1"/>
                  </w14:solidFill>
                </w14:textFill>
              </w:rPr>
              <w:t>）</w:t>
            </w:r>
            <w:r>
              <w:rPr>
                <w:rFonts w:eastAsia="仿宋"/>
                <w:bCs/>
                <w:color w:val="000000" w:themeColor="text1"/>
                <w:sz w:val="24"/>
                <w14:textFill>
                  <w14:solidFill>
                    <w14:schemeClr w14:val="tx1"/>
                  </w14:solidFill>
                </w14:textFill>
              </w:rPr>
              <w:t>中禁止类条款，符合实施细则管控要求。</w:t>
            </w:r>
          </w:p>
          <w:p w14:paraId="7466381E">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4、本项目属于《鼓励外商投资产业目录（2022年版）》全国鼓励外商投资产业目录中“十八、专业设备制造业中：</w:t>
            </w:r>
            <w:r>
              <w:rPr>
                <w:rFonts w:eastAsia="仿宋"/>
                <w:bCs/>
                <w:color w:val="000000" w:themeColor="text1"/>
                <w:sz w:val="24"/>
                <w14:textFill>
                  <w14:solidFill>
                    <w14:schemeClr w14:val="tx1"/>
                  </w14:solidFill>
                </w14:textFill>
              </w:rPr>
              <w:t>215</w:t>
            </w:r>
            <w:r>
              <w:rPr>
                <w:rFonts w:hint="eastAsia" w:eastAsia="仿宋"/>
                <w:bCs/>
                <w:color w:val="000000" w:themeColor="text1"/>
                <w:sz w:val="24"/>
                <w14:textFill>
                  <w14:solidFill>
                    <w14:schemeClr w14:val="tx1"/>
                  </w14:solidFill>
                </w14:textFill>
              </w:rPr>
              <w:t>医疗影像智能辅助诊断系统及关键部件的制造”项目。</w:t>
            </w:r>
          </w:p>
          <w:p w14:paraId="3F242390">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5、本项目不属于《市场准入负面清单（2022年版）》中禁止准入类和</w:t>
            </w:r>
            <w:r>
              <w:rPr>
                <w:rFonts w:hint="eastAsia" w:eastAsia="仿宋"/>
                <w:bCs/>
                <w:color w:val="000000" w:themeColor="text1"/>
                <w:sz w:val="24"/>
                <w14:textFill>
                  <w14:solidFill>
                    <w14:schemeClr w14:val="tx1"/>
                  </w14:solidFill>
                </w14:textFill>
              </w:rPr>
              <w:t>许可</w:t>
            </w:r>
            <w:r>
              <w:rPr>
                <w:rFonts w:eastAsia="仿宋"/>
                <w:bCs/>
                <w:color w:val="000000" w:themeColor="text1"/>
                <w:sz w:val="24"/>
                <w14:textFill>
                  <w14:solidFill>
                    <w14:schemeClr w14:val="tx1"/>
                  </w14:solidFill>
                </w14:textFill>
              </w:rPr>
              <w:t>准入类项目。</w:t>
            </w:r>
          </w:p>
          <w:p w14:paraId="68752B12">
            <w:pPr>
              <w:spacing w:line="480" w:lineRule="exact"/>
              <w:ind w:firstLine="480" w:firstLineChars="200"/>
              <w:rPr>
                <w:color w:val="000000" w:themeColor="text1"/>
                <w:szCs w:val="21"/>
                <w14:textFill>
                  <w14:solidFill>
                    <w14:schemeClr w14:val="tx1"/>
                  </w14:solidFill>
                </w14:textFill>
              </w:rPr>
            </w:pPr>
            <w:r>
              <w:rPr>
                <w:rFonts w:eastAsia="仿宋"/>
                <w:bCs/>
                <w:color w:val="000000" w:themeColor="text1"/>
                <w:sz w:val="24"/>
                <w14:textFill>
                  <w14:solidFill>
                    <w14:schemeClr w14:val="tx1"/>
                  </w14:solidFill>
                </w14:textFill>
              </w:rPr>
              <w:t>6</w:t>
            </w:r>
            <w:r>
              <w:rPr>
                <w:rFonts w:ascii="仿宋" w:hAnsi="仿宋" w:eastAsia="仿宋"/>
                <w:bCs/>
                <w:color w:val="000000" w:themeColor="text1"/>
                <w:sz w:val="24"/>
                <w14:textFill>
                  <w14:solidFill>
                    <w14:schemeClr w14:val="tx1"/>
                  </w14:solidFill>
                </w14:textFill>
              </w:rPr>
              <w:t>、对照《关于印发环境保护综合名录（</w:t>
            </w:r>
            <w:r>
              <w:rPr>
                <w:rFonts w:eastAsia="仿宋"/>
                <w:bCs/>
                <w:color w:val="000000" w:themeColor="text1"/>
                <w:sz w:val="24"/>
                <w14:textFill>
                  <w14:solidFill>
                    <w14:schemeClr w14:val="tx1"/>
                  </w14:solidFill>
                </w14:textFill>
              </w:rPr>
              <w:t>2021</w:t>
            </w:r>
            <w:r>
              <w:rPr>
                <w:rFonts w:ascii="仿宋" w:hAnsi="仿宋" w:eastAsia="仿宋"/>
                <w:bCs/>
                <w:color w:val="000000" w:themeColor="text1"/>
                <w:sz w:val="24"/>
                <w14:textFill>
                  <w14:solidFill>
                    <w14:schemeClr w14:val="tx1"/>
                  </w14:solidFill>
                </w14:textFill>
              </w:rPr>
              <w:t>年版）的通知》（环办综合函〔</w:t>
            </w:r>
            <w:r>
              <w:rPr>
                <w:rFonts w:eastAsia="仿宋"/>
                <w:bCs/>
                <w:color w:val="000000" w:themeColor="text1"/>
                <w:sz w:val="24"/>
                <w14:textFill>
                  <w14:solidFill>
                    <w14:schemeClr w14:val="tx1"/>
                  </w14:solidFill>
                </w14:textFill>
              </w:rPr>
              <w:t>2021</w:t>
            </w:r>
            <w:r>
              <w:rPr>
                <w:rFonts w:ascii="仿宋" w:hAnsi="仿宋"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495</w:t>
            </w:r>
            <w:r>
              <w:rPr>
                <w:rFonts w:ascii="仿宋" w:hAnsi="仿宋" w:eastAsia="仿宋"/>
                <w:bCs/>
                <w:color w:val="000000" w:themeColor="text1"/>
                <w:sz w:val="24"/>
                <w14:textFill>
                  <w14:solidFill>
                    <w14:schemeClr w14:val="tx1"/>
                  </w14:solidFill>
                </w14:textFill>
              </w:rPr>
              <w:t>号），本项目</w:t>
            </w:r>
            <w:r>
              <w:rPr>
                <w:rFonts w:hint="eastAsia" w:ascii="仿宋" w:hAnsi="仿宋" w:eastAsia="仿宋"/>
                <w:bCs/>
                <w:color w:val="000000" w:themeColor="text1"/>
                <w:sz w:val="24"/>
                <w14:textFill>
                  <w14:solidFill>
                    <w14:schemeClr w14:val="tx1"/>
                  </w14:solidFill>
                </w14:textFill>
              </w:rPr>
              <w:t>为原料入厂检测试验项目</w:t>
            </w:r>
            <w:r>
              <w:rPr>
                <w:rFonts w:ascii="仿宋" w:hAnsi="仿宋" w:eastAsia="仿宋"/>
                <w:bCs/>
                <w:color w:val="000000" w:themeColor="text1"/>
                <w:sz w:val="24"/>
                <w14:textFill>
                  <w14:solidFill>
                    <w14:schemeClr w14:val="tx1"/>
                  </w14:solidFill>
                </w14:textFill>
              </w:rPr>
              <w:t>，不在</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高污染、高环境风险</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产品名录中。</w:t>
            </w:r>
          </w:p>
          <w:p w14:paraId="76675567">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7</w:t>
            </w:r>
            <w:r>
              <w:rPr>
                <w:rFonts w:hint="eastAsia" w:eastAsia="仿宋"/>
                <w:bCs/>
                <w:color w:val="000000" w:themeColor="text1"/>
                <w:sz w:val="24"/>
                <w14:textFill>
                  <w14:solidFill>
                    <w14:schemeClr w14:val="tx1"/>
                  </w14:solidFill>
                </w14:textFill>
              </w:rPr>
              <w:t>、本项目不属于《江苏省太湖流域禁止和限制的产业产品目录（2</w:t>
            </w:r>
            <w:r>
              <w:rPr>
                <w:rFonts w:eastAsia="仿宋"/>
                <w:bCs/>
                <w:color w:val="000000" w:themeColor="text1"/>
                <w:sz w:val="24"/>
                <w14:textFill>
                  <w14:solidFill>
                    <w14:schemeClr w14:val="tx1"/>
                  </w14:solidFill>
                </w14:textFill>
              </w:rPr>
              <w:t>024</w:t>
            </w:r>
            <w:r>
              <w:rPr>
                <w:rFonts w:hint="eastAsia" w:eastAsia="仿宋"/>
                <w:bCs/>
                <w:color w:val="000000" w:themeColor="text1"/>
                <w:sz w:val="24"/>
                <w14:textFill>
                  <w14:solidFill>
                    <w14:schemeClr w14:val="tx1"/>
                  </w14:solidFill>
                </w14:textFill>
              </w:rPr>
              <w:t>年本）》中限值和禁止类产业产品。</w:t>
            </w:r>
          </w:p>
          <w:p w14:paraId="67AD53BB">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8</w:t>
            </w:r>
            <w:r>
              <w:rPr>
                <w:rFonts w:hint="eastAsia" w:eastAsia="仿宋"/>
                <w:bCs/>
                <w:color w:val="000000" w:themeColor="text1"/>
                <w:sz w:val="24"/>
                <w14:textFill>
                  <w14:solidFill>
                    <w14:schemeClr w14:val="tx1"/>
                  </w14:solidFill>
                </w14:textFill>
              </w:rPr>
              <w:t>、本项目不属于《自然资源要素支撑产业高质量发展指导目录（2</w:t>
            </w:r>
            <w:r>
              <w:rPr>
                <w:rFonts w:eastAsia="仿宋"/>
                <w:bCs/>
                <w:color w:val="000000" w:themeColor="text1"/>
                <w:sz w:val="24"/>
                <w14:textFill>
                  <w14:solidFill>
                    <w14:schemeClr w14:val="tx1"/>
                  </w14:solidFill>
                </w14:textFill>
              </w:rPr>
              <w:t>024</w:t>
            </w:r>
            <w:r>
              <w:rPr>
                <w:rFonts w:hint="eastAsia" w:eastAsia="仿宋"/>
                <w:bCs/>
                <w:color w:val="000000" w:themeColor="text1"/>
                <w:sz w:val="24"/>
                <w14:textFill>
                  <w14:solidFill>
                    <w14:schemeClr w14:val="tx1"/>
                  </w14:solidFill>
                </w14:textFill>
              </w:rPr>
              <w:t>年本）》（自然资发〔</w:t>
            </w:r>
            <w:r>
              <w:rPr>
                <w:rFonts w:eastAsia="仿宋"/>
                <w:bCs/>
                <w:color w:val="000000" w:themeColor="text1"/>
                <w:sz w:val="24"/>
                <w14:textFill>
                  <w14:solidFill>
                    <w14:schemeClr w14:val="tx1"/>
                  </w14:solidFill>
                </w14:textFill>
              </w:rPr>
              <w:t>2024</w:t>
            </w:r>
            <w:r>
              <w:rPr>
                <w:rFonts w:hint="eastAsia" w:eastAsia="仿宋"/>
                <w:bCs/>
                <w:color w:val="000000" w:themeColor="text1"/>
                <w:sz w:val="24"/>
                <w14:textFill>
                  <w14:solidFill>
                    <w14:schemeClr w14:val="tx1"/>
                  </w14:solidFill>
                </w14:textFill>
              </w:rPr>
              <w:t>〕2</w:t>
            </w:r>
            <w:r>
              <w:rPr>
                <w:rFonts w:eastAsia="仿宋"/>
                <w:bCs/>
                <w:color w:val="000000" w:themeColor="text1"/>
                <w:sz w:val="24"/>
                <w14:textFill>
                  <w14:solidFill>
                    <w14:schemeClr w14:val="tx1"/>
                  </w14:solidFill>
                </w14:textFill>
              </w:rPr>
              <w:t>73</w:t>
            </w:r>
            <w:r>
              <w:rPr>
                <w:rFonts w:hint="eastAsia" w:eastAsia="仿宋"/>
                <w:bCs/>
                <w:color w:val="000000" w:themeColor="text1"/>
                <w:sz w:val="24"/>
                <w14:textFill>
                  <w14:solidFill>
                    <w14:schemeClr w14:val="tx1"/>
                  </w14:solidFill>
                </w14:textFill>
              </w:rPr>
              <w:t>号）中的限制类及禁止类项目。</w:t>
            </w:r>
          </w:p>
          <w:p w14:paraId="7202309F">
            <w:pPr>
              <w:spacing w:line="480" w:lineRule="exact"/>
              <w:ind w:firstLine="480" w:firstLineChars="200"/>
              <w:rPr>
                <w:color w:val="000000" w:themeColor="text1"/>
                <w:szCs w:val="21"/>
                <w14:textFill>
                  <w14:solidFill>
                    <w14:schemeClr w14:val="tx1"/>
                  </w14:solidFill>
                </w14:textFill>
              </w:rPr>
            </w:pPr>
            <w:r>
              <w:rPr>
                <w:rFonts w:eastAsia="仿宋"/>
                <w:bCs/>
                <w:color w:val="000000" w:themeColor="text1"/>
                <w:sz w:val="24"/>
                <w14:textFill>
                  <w14:solidFill>
                    <w14:schemeClr w14:val="tx1"/>
                  </w14:solidFill>
                </w14:textFill>
              </w:rPr>
              <w:t>9</w:t>
            </w:r>
            <w:r>
              <w:rPr>
                <w:rFonts w:ascii="仿宋" w:hAnsi="仿宋" w:eastAsia="仿宋"/>
                <w:bCs/>
                <w:color w:val="000000" w:themeColor="text1"/>
                <w:sz w:val="24"/>
                <w14:textFill>
                  <w14:solidFill>
                    <w14:schemeClr w14:val="tx1"/>
                  </w14:solidFill>
                </w14:textFill>
              </w:rPr>
              <w:t>、本项目已获得江苏金坛经济开发区经济发展局</w:t>
            </w:r>
            <w:bookmarkStart w:id="8" w:name="OLE_LINK6"/>
            <w:r>
              <w:rPr>
                <w:rFonts w:ascii="仿宋" w:hAnsi="仿宋" w:eastAsia="仿宋"/>
                <w:bCs/>
                <w:color w:val="000000" w:themeColor="text1"/>
                <w:sz w:val="24"/>
                <w14:textFill>
                  <w14:solidFill>
                    <w14:schemeClr w14:val="tx1"/>
                  </w14:solidFill>
                </w14:textFill>
              </w:rPr>
              <w:t>出具的《江苏省投资项目备案证》（坛开经发备字〔</w:t>
            </w:r>
            <w:r>
              <w:rPr>
                <w:rFonts w:eastAsia="仿宋"/>
                <w:bCs/>
                <w:color w:val="000000" w:themeColor="text1"/>
                <w:sz w:val="24"/>
                <w14:textFill>
                  <w14:solidFill>
                    <w14:schemeClr w14:val="tx1"/>
                  </w14:solidFill>
                </w14:textFill>
              </w:rPr>
              <w:t>2024</w:t>
            </w:r>
            <w:r>
              <w:rPr>
                <w:rFonts w:ascii="仿宋" w:hAnsi="仿宋"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222</w:t>
            </w:r>
            <w:r>
              <w:rPr>
                <w:rFonts w:ascii="仿宋" w:hAnsi="仿宋" w:eastAsia="仿宋"/>
                <w:bCs/>
                <w:color w:val="000000" w:themeColor="text1"/>
                <w:sz w:val="24"/>
                <w14:textFill>
                  <w14:solidFill>
                    <w14:schemeClr w14:val="tx1"/>
                  </w14:solidFill>
                </w14:textFill>
              </w:rPr>
              <w:t>号）</w:t>
            </w:r>
            <w:bookmarkEnd w:id="8"/>
            <w:r>
              <w:rPr>
                <w:rFonts w:ascii="仿宋" w:hAnsi="仿宋" w:eastAsia="仿宋"/>
                <w:bCs/>
                <w:color w:val="000000" w:themeColor="text1"/>
                <w:sz w:val="24"/>
                <w14:textFill>
                  <w14:solidFill>
                    <w14:schemeClr w14:val="tx1"/>
                  </w14:solidFill>
                </w14:textFill>
              </w:rPr>
              <w:t>。</w:t>
            </w:r>
          </w:p>
          <w:p w14:paraId="591030DB">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10、与《省发展改革委 省工业和信息化厅关于坚决遏制“两高”项目盲目发展的通知》（苏发改资环发〔2021〕837号）、《江苏省“两高”项目管理目录》（2024年版）符合性分析：</w:t>
            </w:r>
          </w:p>
          <w:p w14:paraId="5D2F2D61">
            <w:pPr>
              <w:spacing w:line="480" w:lineRule="exact"/>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 xml:space="preserve">表1-2 </w:t>
            </w:r>
            <w:r>
              <w:rPr>
                <w:rFonts w:hint="eastAsia" w:eastAsia="仿宋"/>
                <w:b/>
                <w:bCs/>
                <w:color w:val="000000" w:themeColor="text1"/>
                <w:szCs w:val="21"/>
                <w14:textFill>
                  <w14:solidFill>
                    <w14:schemeClr w14:val="tx1"/>
                  </w14:solidFill>
                </w14:textFill>
              </w:rPr>
              <w:t>与江苏省“两高”项目管理目录对照分析</w:t>
            </w:r>
          </w:p>
          <w:tbl>
            <w:tblPr>
              <w:tblStyle w:val="24"/>
              <w:tblW w:w="7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7"/>
              <w:gridCol w:w="965"/>
              <w:gridCol w:w="2097"/>
              <w:gridCol w:w="3059"/>
              <w:gridCol w:w="1276"/>
            </w:tblGrid>
            <w:tr w14:paraId="766E0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tcBorders>
                    <w:top w:val="single" w:color="auto" w:sz="4" w:space="0"/>
                    <w:left w:val="single" w:color="auto" w:sz="4" w:space="0"/>
                    <w:bottom w:val="single" w:color="auto" w:sz="4" w:space="0"/>
                    <w:right w:val="single" w:color="auto" w:sz="4" w:space="0"/>
                  </w:tcBorders>
                  <w:vAlign w:val="center"/>
                </w:tcPr>
                <w:p w14:paraId="75ECCAAF">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序号</w:t>
                  </w:r>
                </w:p>
              </w:tc>
              <w:tc>
                <w:tcPr>
                  <w:tcW w:w="965" w:type="dxa"/>
                  <w:tcBorders>
                    <w:top w:val="single" w:color="auto" w:sz="4" w:space="0"/>
                    <w:left w:val="single" w:color="auto" w:sz="4" w:space="0"/>
                    <w:bottom w:val="single" w:color="auto" w:sz="4" w:space="0"/>
                    <w:right w:val="single" w:color="auto" w:sz="4" w:space="0"/>
                  </w:tcBorders>
                  <w:vAlign w:val="center"/>
                </w:tcPr>
                <w:p w14:paraId="1828A3B9">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行业</w:t>
                  </w:r>
                </w:p>
              </w:tc>
              <w:tc>
                <w:tcPr>
                  <w:tcW w:w="2097" w:type="dxa"/>
                  <w:tcBorders>
                    <w:top w:val="single" w:color="auto" w:sz="4" w:space="0"/>
                    <w:left w:val="single" w:color="auto" w:sz="4" w:space="0"/>
                    <w:bottom w:val="single" w:color="auto" w:sz="4" w:space="0"/>
                    <w:right w:val="single" w:color="auto" w:sz="4" w:space="0"/>
                  </w:tcBorders>
                  <w:vAlign w:val="center"/>
                </w:tcPr>
                <w:p w14:paraId="6A1DA554">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国民经济行业分类</w:t>
                  </w:r>
                </w:p>
              </w:tc>
              <w:tc>
                <w:tcPr>
                  <w:tcW w:w="3059" w:type="dxa"/>
                  <w:tcBorders>
                    <w:top w:val="single" w:color="auto" w:sz="4" w:space="0"/>
                    <w:left w:val="single" w:color="auto" w:sz="4" w:space="0"/>
                    <w:bottom w:val="single" w:color="auto" w:sz="4" w:space="0"/>
                    <w:right w:val="single" w:color="auto" w:sz="4" w:space="0"/>
                  </w:tcBorders>
                  <w:vAlign w:val="center"/>
                </w:tcPr>
                <w:p w14:paraId="0E5C7F67">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内容</w:t>
                  </w:r>
                </w:p>
              </w:tc>
              <w:tc>
                <w:tcPr>
                  <w:tcW w:w="1276" w:type="dxa"/>
                  <w:tcBorders>
                    <w:top w:val="single" w:color="auto" w:sz="4" w:space="0"/>
                    <w:left w:val="single" w:color="auto" w:sz="4" w:space="0"/>
                    <w:bottom w:val="single" w:color="auto" w:sz="4" w:space="0"/>
                    <w:right w:val="single" w:color="auto" w:sz="4" w:space="0"/>
                  </w:tcBorders>
                  <w:vAlign w:val="center"/>
                </w:tcPr>
                <w:p w14:paraId="0D905DE0">
                  <w:pPr>
                    <w:pStyle w:val="58"/>
                    <w:snapToGrid w:val="0"/>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对照分析</w:t>
                  </w:r>
                </w:p>
              </w:tc>
            </w:tr>
            <w:tr w14:paraId="795CE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restart"/>
                  <w:tcBorders>
                    <w:top w:val="nil"/>
                    <w:left w:val="single" w:color="auto" w:sz="4" w:space="0"/>
                    <w:bottom w:val="single" w:color="auto" w:sz="4" w:space="0"/>
                    <w:right w:val="single" w:color="auto" w:sz="4" w:space="0"/>
                  </w:tcBorders>
                  <w:vAlign w:val="center"/>
                </w:tcPr>
                <w:p w14:paraId="7694DBAF">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965" w:type="dxa"/>
                  <w:vMerge w:val="restart"/>
                  <w:tcBorders>
                    <w:top w:val="nil"/>
                    <w:left w:val="single" w:color="auto" w:sz="4" w:space="0"/>
                    <w:bottom w:val="single" w:color="auto" w:sz="4" w:space="0"/>
                    <w:right w:val="single" w:color="auto" w:sz="4" w:space="0"/>
                  </w:tcBorders>
                  <w:vAlign w:val="center"/>
                </w:tcPr>
                <w:p w14:paraId="47BCC208">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石油、煤炭及其他燃料加工业</w:t>
                  </w:r>
                </w:p>
              </w:tc>
              <w:tc>
                <w:tcPr>
                  <w:tcW w:w="2097" w:type="dxa"/>
                  <w:tcBorders>
                    <w:top w:val="single" w:color="auto" w:sz="4" w:space="0"/>
                    <w:left w:val="single" w:color="auto" w:sz="4" w:space="0"/>
                    <w:bottom w:val="single" w:color="auto" w:sz="4" w:space="0"/>
                    <w:right w:val="single" w:color="auto" w:sz="4" w:space="0"/>
                  </w:tcBorders>
                  <w:vAlign w:val="center"/>
                </w:tcPr>
                <w:p w14:paraId="2F6C97AE">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原油加工及石油制品制造【2511】</w:t>
                  </w:r>
                </w:p>
              </w:tc>
              <w:tc>
                <w:tcPr>
                  <w:tcW w:w="3059" w:type="dxa"/>
                  <w:tcBorders>
                    <w:top w:val="single" w:color="auto" w:sz="4" w:space="0"/>
                    <w:left w:val="single" w:color="auto" w:sz="4" w:space="0"/>
                    <w:bottom w:val="single" w:color="auto" w:sz="4" w:space="0"/>
                    <w:right w:val="single" w:color="auto" w:sz="4" w:space="0"/>
                  </w:tcBorders>
                  <w:vAlign w:val="center"/>
                </w:tcPr>
                <w:p w14:paraId="7403C1D4">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1276" w:type="dxa"/>
                  <w:vMerge w:val="restart"/>
                  <w:tcBorders>
                    <w:top w:val="nil"/>
                    <w:left w:val="single" w:color="auto" w:sz="4" w:space="0"/>
                    <w:bottom w:val="single" w:color="auto" w:sz="4" w:space="0"/>
                    <w:right w:val="single" w:color="auto" w:sz="4" w:space="0"/>
                  </w:tcBorders>
                  <w:vAlign w:val="center"/>
                </w:tcPr>
                <w:p w14:paraId="4F2FD721">
                  <w:pPr>
                    <w:pStyle w:val="58"/>
                    <w:snapToGrid w:val="0"/>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本项目国民经济行业类别属于“C3581医疗诊断、监护及治疗设备制造”，不属于江苏省“两高”项目</w:t>
                  </w:r>
                  <w:r>
                    <w:rPr>
                      <w:rFonts w:eastAsia="仿宋"/>
                      <w:color w:val="000000" w:themeColor="text1"/>
                      <w:szCs w:val="21"/>
                      <w14:textFill>
                        <w14:solidFill>
                          <w14:schemeClr w14:val="tx1"/>
                        </w14:solidFill>
                      </w14:textFill>
                    </w:rPr>
                    <w:t>。</w:t>
                  </w:r>
                </w:p>
              </w:tc>
            </w:tr>
            <w:tr w14:paraId="5A3FC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7B862AE4">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652872B9">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5BC613D3">
                  <w:pPr>
                    <w:pStyle w:val="6"/>
                    <w:snapToGrid w:val="0"/>
                    <w:ind w:firstLine="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炼焦【2521】</w:t>
                  </w:r>
                </w:p>
              </w:tc>
              <w:tc>
                <w:tcPr>
                  <w:tcW w:w="3059" w:type="dxa"/>
                  <w:tcBorders>
                    <w:top w:val="single" w:color="auto" w:sz="4" w:space="0"/>
                    <w:left w:val="single" w:color="auto" w:sz="4" w:space="0"/>
                    <w:bottom w:val="single" w:color="auto" w:sz="4" w:space="0"/>
                    <w:right w:val="single" w:color="auto" w:sz="4" w:space="0"/>
                  </w:tcBorders>
                  <w:vAlign w:val="center"/>
                </w:tcPr>
                <w:p w14:paraId="58F35FB7">
                  <w:pPr>
                    <w:pStyle w:val="6"/>
                    <w:snapToGrid w:val="0"/>
                    <w:ind w:firstLine="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焦化企业废气综合利用除外</w:t>
                  </w:r>
                </w:p>
              </w:tc>
              <w:tc>
                <w:tcPr>
                  <w:tcW w:w="1276" w:type="dxa"/>
                  <w:vMerge w:val="continue"/>
                  <w:tcBorders>
                    <w:top w:val="nil"/>
                    <w:left w:val="single" w:color="auto" w:sz="4" w:space="0"/>
                    <w:bottom w:val="single" w:color="auto" w:sz="4" w:space="0"/>
                    <w:right w:val="single" w:color="auto" w:sz="4" w:space="0"/>
                  </w:tcBorders>
                  <w:vAlign w:val="center"/>
                </w:tcPr>
                <w:p w14:paraId="0BABD610">
                  <w:pPr>
                    <w:widowControl/>
                    <w:jc w:val="center"/>
                    <w:rPr>
                      <w:rFonts w:eastAsia="仿宋"/>
                      <w:color w:val="000000" w:themeColor="text1"/>
                      <w:szCs w:val="21"/>
                      <w14:textFill>
                        <w14:solidFill>
                          <w14:schemeClr w14:val="tx1"/>
                        </w14:solidFill>
                      </w14:textFill>
                    </w:rPr>
                  </w:pPr>
                </w:p>
              </w:tc>
            </w:tr>
            <w:tr w14:paraId="7590D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5C4779AB">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3D137CAC">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2FA2AD60">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煤制合成气生产【2522】</w:t>
                  </w:r>
                </w:p>
              </w:tc>
              <w:tc>
                <w:tcPr>
                  <w:tcW w:w="3059" w:type="dxa"/>
                  <w:tcBorders>
                    <w:top w:val="single" w:color="auto" w:sz="4" w:space="0"/>
                    <w:left w:val="single" w:color="auto" w:sz="4" w:space="0"/>
                    <w:bottom w:val="single" w:color="auto" w:sz="4" w:space="0"/>
                    <w:right w:val="single" w:color="auto" w:sz="4" w:space="0"/>
                  </w:tcBorders>
                  <w:vAlign w:val="center"/>
                </w:tcPr>
                <w:p w14:paraId="0EE1FC04">
                  <w:pPr>
                    <w:pStyle w:val="58"/>
                    <w:snapToGrid w:val="0"/>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w:t>
                  </w:r>
                </w:p>
              </w:tc>
              <w:tc>
                <w:tcPr>
                  <w:tcW w:w="1276" w:type="dxa"/>
                  <w:vMerge w:val="continue"/>
                  <w:tcBorders>
                    <w:top w:val="nil"/>
                    <w:left w:val="single" w:color="auto" w:sz="4" w:space="0"/>
                    <w:bottom w:val="single" w:color="auto" w:sz="4" w:space="0"/>
                    <w:right w:val="single" w:color="auto" w:sz="4" w:space="0"/>
                  </w:tcBorders>
                  <w:vAlign w:val="center"/>
                </w:tcPr>
                <w:p w14:paraId="0E8DEB84">
                  <w:pPr>
                    <w:widowControl/>
                    <w:jc w:val="center"/>
                    <w:rPr>
                      <w:rFonts w:eastAsia="仿宋"/>
                      <w:color w:val="000000" w:themeColor="text1"/>
                      <w:szCs w:val="21"/>
                      <w14:textFill>
                        <w14:solidFill>
                          <w14:schemeClr w14:val="tx1"/>
                        </w14:solidFill>
                      </w14:textFill>
                    </w:rPr>
                  </w:pPr>
                </w:p>
              </w:tc>
            </w:tr>
            <w:tr w14:paraId="2454C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50242AA0">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16841A9D">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64FDAE62">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煤制液体燃料生产【2523】</w:t>
                  </w:r>
                </w:p>
              </w:tc>
              <w:tc>
                <w:tcPr>
                  <w:tcW w:w="3059" w:type="dxa"/>
                  <w:tcBorders>
                    <w:top w:val="single" w:color="auto" w:sz="4" w:space="0"/>
                    <w:left w:val="single" w:color="auto" w:sz="4" w:space="0"/>
                    <w:bottom w:val="single" w:color="auto" w:sz="4" w:space="0"/>
                    <w:right w:val="single" w:color="auto" w:sz="4" w:space="0"/>
                  </w:tcBorders>
                  <w:vAlign w:val="center"/>
                </w:tcPr>
                <w:p w14:paraId="7317CC07">
                  <w:pPr>
                    <w:pStyle w:val="58"/>
                    <w:snapToGrid w:val="0"/>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w:t>
                  </w:r>
                </w:p>
              </w:tc>
              <w:tc>
                <w:tcPr>
                  <w:tcW w:w="1276" w:type="dxa"/>
                  <w:vMerge w:val="continue"/>
                  <w:tcBorders>
                    <w:top w:val="nil"/>
                    <w:left w:val="single" w:color="auto" w:sz="4" w:space="0"/>
                    <w:bottom w:val="single" w:color="auto" w:sz="4" w:space="0"/>
                    <w:right w:val="single" w:color="auto" w:sz="4" w:space="0"/>
                  </w:tcBorders>
                  <w:vAlign w:val="center"/>
                </w:tcPr>
                <w:p w14:paraId="72FB0DFE">
                  <w:pPr>
                    <w:widowControl/>
                    <w:jc w:val="center"/>
                    <w:rPr>
                      <w:rFonts w:eastAsia="仿宋"/>
                      <w:color w:val="000000" w:themeColor="text1"/>
                      <w:szCs w:val="21"/>
                      <w14:textFill>
                        <w14:solidFill>
                          <w14:schemeClr w14:val="tx1"/>
                        </w14:solidFill>
                      </w14:textFill>
                    </w:rPr>
                  </w:pPr>
                </w:p>
              </w:tc>
            </w:tr>
            <w:tr w14:paraId="52511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6371A2B0">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197B1A99">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22B81F33">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其他煤炭加工【2529】</w:t>
                  </w:r>
                </w:p>
              </w:tc>
              <w:tc>
                <w:tcPr>
                  <w:tcW w:w="3059" w:type="dxa"/>
                  <w:tcBorders>
                    <w:top w:val="single" w:color="auto" w:sz="4" w:space="0"/>
                    <w:left w:val="single" w:color="auto" w:sz="4" w:space="0"/>
                    <w:bottom w:val="single" w:color="auto" w:sz="4" w:space="0"/>
                    <w:right w:val="single" w:color="auto" w:sz="4" w:space="0"/>
                  </w:tcBorders>
                  <w:vAlign w:val="center"/>
                </w:tcPr>
                <w:p w14:paraId="0C91A32C">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活性炭制造</w:t>
                  </w:r>
                </w:p>
              </w:tc>
              <w:tc>
                <w:tcPr>
                  <w:tcW w:w="1276" w:type="dxa"/>
                  <w:vMerge w:val="continue"/>
                  <w:tcBorders>
                    <w:top w:val="nil"/>
                    <w:left w:val="single" w:color="auto" w:sz="4" w:space="0"/>
                    <w:bottom w:val="single" w:color="auto" w:sz="4" w:space="0"/>
                    <w:right w:val="single" w:color="auto" w:sz="4" w:space="0"/>
                  </w:tcBorders>
                  <w:vAlign w:val="center"/>
                </w:tcPr>
                <w:p w14:paraId="4A2D98F0">
                  <w:pPr>
                    <w:widowControl/>
                    <w:jc w:val="center"/>
                    <w:rPr>
                      <w:rFonts w:eastAsia="仿宋"/>
                      <w:color w:val="000000" w:themeColor="text1"/>
                      <w:szCs w:val="21"/>
                      <w14:textFill>
                        <w14:solidFill>
                          <w14:schemeClr w14:val="tx1"/>
                        </w14:solidFill>
                      </w14:textFill>
                    </w:rPr>
                  </w:pPr>
                </w:p>
              </w:tc>
            </w:tr>
            <w:tr w14:paraId="124CF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restart"/>
                  <w:tcBorders>
                    <w:top w:val="nil"/>
                    <w:left w:val="single" w:color="auto" w:sz="4" w:space="0"/>
                    <w:bottom w:val="single" w:color="auto" w:sz="4" w:space="0"/>
                    <w:right w:val="single" w:color="auto" w:sz="4" w:space="0"/>
                  </w:tcBorders>
                  <w:vAlign w:val="center"/>
                </w:tcPr>
                <w:p w14:paraId="0B6F30BA">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965" w:type="dxa"/>
                  <w:vMerge w:val="restart"/>
                  <w:tcBorders>
                    <w:top w:val="nil"/>
                    <w:left w:val="single" w:color="auto" w:sz="4" w:space="0"/>
                    <w:bottom w:val="single" w:color="auto" w:sz="4" w:space="0"/>
                    <w:right w:val="single" w:color="auto" w:sz="4" w:space="0"/>
                  </w:tcBorders>
                  <w:vAlign w:val="center"/>
                </w:tcPr>
                <w:p w14:paraId="43ACF4BC">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化学原料和化学制品制造业</w:t>
                  </w:r>
                </w:p>
              </w:tc>
              <w:tc>
                <w:tcPr>
                  <w:tcW w:w="2097" w:type="dxa"/>
                  <w:tcBorders>
                    <w:top w:val="single" w:color="auto" w:sz="4" w:space="0"/>
                    <w:left w:val="single" w:color="auto" w:sz="4" w:space="0"/>
                    <w:bottom w:val="single" w:color="auto" w:sz="4" w:space="0"/>
                    <w:right w:val="single" w:color="auto" w:sz="4" w:space="0"/>
                  </w:tcBorders>
                  <w:vAlign w:val="center"/>
                </w:tcPr>
                <w:p w14:paraId="5D35ADBB">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无机酸制造【2611】</w:t>
                  </w:r>
                </w:p>
              </w:tc>
              <w:tc>
                <w:tcPr>
                  <w:tcW w:w="3059" w:type="dxa"/>
                  <w:tcBorders>
                    <w:top w:val="single" w:color="auto" w:sz="4" w:space="0"/>
                    <w:left w:val="single" w:color="auto" w:sz="4" w:space="0"/>
                    <w:bottom w:val="single" w:color="auto" w:sz="4" w:space="0"/>
                    <w:right w:val="single" w:color="auto" w:sz="4" w:space="0"/>
                  </w:tcBorders>
                  <w:vAlign w:val="center"/>
                </w:tcPr>
                <w:p w14:paraId="6F56CC2D">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硫酸、硝酸、盐酸、萤石法氟化氢制造</w:t>
                  </w:r>
                </w:p>
              </w:tc>
              <w:tc>
                <w:tcPr>
                  <w:tcW w:w="1276" w:type="dxa"/>
                  <w:vMerge w:val="continue"/>
                  <w:tcBorders>
                    <w:top w:val="nil"/>
                    <w:left w:val="single" w:color="auto" w:sz="4" w:space="0"/>
                    <w:bottom w:val="single" w:color="auto" w:sz="4" w:space="0"/>
                    <w:right w:val="single" w:color="auto" w:sz="4" w:space="0"/>
                  </w:tcBorders>
                  <w:vAlign w:val="center"/>
                </w:tcPr>
                <w:p w14:paraId="6FE3D41B">
                  <w:pPr>
                    <w:widowControl/>
                    <w:jc w:val="center"/>
                    <w:rPr>
                      <w:rFonts w:eastAsia="仿宋"/>
                      <w:color w:val="000000" w:themeColor="text1"/>
                      <w:szCs w:val="21"/>
                      <w14:textFill>
                        <w14:solidFill>
                          <w14:schemeClr w14:val="tx1"/>
                        </w14:solidFill>
                      </w14:textFill>
                    </w:rPr>
                  </w:pPr>
                </w:p>
              </w:tc>
            </w:tr>
            <w:tr w14:paraId="3FC98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2CA38BEE">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193C00AE">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2DF2D72C">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无机碱制造【2612】</w:t>
                  </w:r>
                </w:p>
              </w:tc>
              <w:tc>
                <w:tcPr>
                  <w:tcW w:w="3059" w:type="dxa"/>
                  <w:tcBorders>
                    <w:top w:val="single" w:color="auto" w:sz="4" w:space="0"/>
                    <w:left w:val="single" w:color="auto" w:sz="4" w:space="0"/>
                    <w:bottom w:val="single" w:color="auto" w:sz="4" w:space="0"/>
                    <w:right w:val="single" w:color="auto" w:sz="4" w:space="0"/>
                  </w:tcBorders>
                  <w:vAlign w:val="center"/>
                </w:tcPr>
                <w:p w14:paraId="58358328">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烧碱、纯碱制造（采用井下循环制碱工艺的除外）</w:t>
                  </w:r>
                </w:p>
              </w:tc>
              <w:tc>
                <w:tcPr>
                  <w:tcW w:w="1276" w:type="dxa"/>
                  <w:vMerge w:val="continue"/>
                  <w:tcBorders>
                    <w:top w:val="nil"/>
                    <w:left w:val="single" w:color="auto" w:sz="4" w:space="0"/>
                    <w:bottom w:val="single" w:color="auto" w:sz="4" w:space="0"/>
                    <w:right w:val="single" w:color="auto" w:sz="4" w:space="0"/>
                  </w:tcBorders>
                  <w:vAlign w:val="center"/>
                </w:tcPr>
                <w:p w14:paraId="17F57D03">
                  <w:pPr>
                    <w:widowControl/>
                    <w:jc w:val="center"/>
                    <w:rPr>
                      <w:rFonts w:eastAsia="仿宋"/>
                      <w:color w:val="000000" w:themeColor="text1"/>
                      <w:szCs w:val="21"/>
                      <w14:textFill>
                        <w14:solidFill>
                          <w14:schemeClr w14:val="tx1"/>
                        </w14:solidFill>
                      </w14:textFill>
                    </w:rPr>
                  </w:pPr>
                </w:p>
              </w:tc>
            </w:tr>
            <w:tr w14:paraId="52159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31B26991">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2488A55C">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293C916A">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无机盐制造【2613】</w:t>
                  </w:r>
                </w:p>
              </w:tc>
              <w:tc>
                <w:tcPr>
                  <w:tcW w:w="3059" w:type="dxa"/>
                  <w:tcBorders>
                    <w:top w:val="single" w:color="auto" w:sz="4" w:space="0"/>
                    <w:left w:val="single" w:color="auto" w:sz="4" w:space="0"/>
                    <w:bottom w:val="single" w:color="auto" w:sz="4" w:space="0"/>
                    <w:right w:val="single" w:color="auto" w:sz="4" w:space="0"/>
                  </w:tcBorders>
                  <w:vAlign w:val="center"/>
                </w:tcPr>
                <w:p w14:paraId="13A364EE">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电石制造</w:t>
                  </w:r>
                </w:p>
              </w:tc>
              <w:tc>
                <w:tcPr>
                  <w:tcW w:w="1276" w:type="dxa"/>
                  <w:vMerge w:val="continue"/>
                  <w:tcBorders>
                    <w:top w:val="nil"/>
                    <w:left w:val="single" w:color="auto" w:sz="4" w:space="0"/>
                    <w:bottom w:val="single" w:color="auto" w:sz="4" w:space="0"/>
                    <w:right w:val="single" w:color="auto" w:sz="4" w:space="0"/>
                  </w:tcBorders>
                  <w:vAlign w:val="center"/>
                </w:tcPr>
                <w:p w14:paraId="7E63B4A1">
                  <w:pPr>
                    <w:widowControl/>
                    <w:jc w:val="center"/>
                    <w:rPr>
                      <w:rFonts w:eastAsia="仿宋"/>
                      <w:color w:val="000000" w:themeColor="text1"/>
                      <w:szCs w:val="21"/>
                      <w14:textFill>
                        <w14:solidFill>
                          <w14:schemeClr w14:val="tx1"/>
                        </w14:solidFill>
                      </w14:textFill>
                    </w:rPr>
                  </w:pPr>
                </w:p>
              </w:tc>
            </w:tr>
            <w:tr w14:paraId="0307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20705687">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10B43C55">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6D7B40B3">
                  <w:pPr>
                    <w:pStyle w:val="6"/>
                    <w:snapToGrid w:val="0"/>
                    <w:ind w:firstLine="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有机化学原料制造【2614】</w:t>
                  </w:r>
                </w:p>
              </w:tc>
              <w:tc>
                <w:tcPr>
                  <w:tcW w:w="3059" w:type="dxa"/>
                  <w:tcBorders>
                    <w:top w:val="single" w:color="auto" w:sz="4" w:space="0"/>
                    <w:left w:val="single" w:color="auto" w:sz="4" w:space="0"/>
                    <w:bottom w:val="single" w:color="auto" w:sz="4" w:space="0"/>
                    <w:right w:val="single" w:color="auto" w:sz="4" w:space="0"/>
                  </w:tcBorders>
                  <w:vAlign w:val="center"/>
                </w:tcPr>
                <w:p w14:paraId="2C6DF93B">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乙烯、丙烯、苯乙烯、电石法氯乙烯、对二甲苯（PX）、醋酸、甲醇、粮食法丁醇、丁二醇、粮食法丙酮、氯醇法环氧丙烷、氯醇法环氧氯丙烷、甲苯二异氰酸酯（TDI）、二苯基甲烷二异氰酸酯（MDI）、丙酮氰醇法甲基丙烯酸甲酯制造</w:t>
                  </w:r>
                </w:p>
              </w:tc>
              <w:tc>
                <w:tcPr>
                  <w:tcW w:w="1276" w:type="dxa"/>
                  <w:vMerge w:val="continue"/>
                  <w:tcBorders>
                    <w:top w:val="nil"/>
                    <w:left w:val="single" w:color="auto" w:sz="4" w:space="0"/>
                    <w:bottom w:val="single" w:color="auto" w:sz="4" w:space="0"/>
                    <w:right w:val="single" w:color="auto" w:sz="4" w:space="0"/>
                  </w:tcBorders>
                  <w:vAlign w:val="center"/>
                </w:tcPr>
                <w:p w14:paraId="11FF1CFC">
                  <w:pPr>
                    <w:widowControl/>
                    <w:jc w:val="center"/>
                    <w:rPr>
                      <w:rFonts w:eastAsia="仿宋"/>
                      <w:color w:val="000000" w:themeColor="text1"/>
                      <w:szCs w:val="21"/>
                      <w14:textFill>
                        <w14:solidFill>
                          <w14:schemeClr w14:val="tx1"/>
                        </w14:solidFill>
                      </w14:textFill>
                    </w:rPr>
                  </w:pPr>
                </w:p>
              </w:tc>
            </w:tr>
            <w:tr w14:paraId="029A5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5889FD64">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40CAD1D4">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3FE07D18">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其他基础化学原料制造【2619】</w:t>
                  </w:r>
                </w:p>
              </w:tc>
              <w:tc>
                <w:tcPr>
                  <w:tcW w:w="3059" w:type="dxa"/>
                  <w:tcBorders>
                    <w:top w:val="single" w:color="auto" w:sz="4" w:space="0"/>
                    <w:left w:val="single" w:color="auto" w:sz="4" w:space="0"/>
                    <w:bottom w:val="single" w:color="auto" w:sz="4" w:space="0"/>
                    <w:right w:val="single" w:color="auto" w:sz="4" w:space="0"/>
                  </w:tcBorders>
                  <w:vAlign w:val="center"/>
                </w:tcPr>
                <w:p w14:paraId="222BDBB6">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黄磷制造</w:t>
                  </w:r>
                </w:p>
              </w:tc>
              <w:tc>
                <w:tcPr>
                  <w:tcW w:w="1276" w:type="dxa"/>
                  <w:vMerge w:val="continue"/>
                  <w:tcBorders>
                    <w:top w:val="nil"/>
                    <w:left w:val="single" w:color="auto" w:sz="4" w:space="0"/>
                    <w:bottom w:val="single" w:color="auto" w:sz="4" w:space="0"/>
                    <w:right w:val="single" w:color="auto" w:sz="4" w:space="0"/>
                  </w:tcBorders>
                  <w:vAlign w:val="center"/>
                </w:tcPr>
                <w:p w14:paraId="07988E5E">
                  <w:pPr>
                    <w:widowControl/>
                    <w:jc w:val="center"/>
                    <w:rPr>
                      <w:rFonts w:eastAsia="仿宋"/>
                      <w:color w:val="000000" w:themeColor="text1"/>
                      <w:szCs w:val="21"/>
                      <w14:textFill>
                        <w14:solidFill>
                          <w14:schemeClr w14:val="tx1"/>
                        </w14:solidFill>
                      </w14:textFill>
                    </w:rPr>
                  </w:pPr>
                </w:p>
              </w:tc>
            </w:tr>
            <w:tr w14:paraId="37D57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7605DDCC">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5A1AC62F">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5031D935">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氮肥制造【2621】</w:t>
                  </w:r>
                </w:p>
              </w:tc>
              <w:tc>
                <w:tcPr>
                  <w:tcW w:w="3059" w:type="dxa"/>
                  <w:tcBorders>
                    <w:top w:val="single" w:color="auto" w:sz="4" w:space="0"/>
                    <w:left w:val="single" w:color="auto" w:sz="4" w:space="0"/>
                    <w:bottom w:val="single" w:color="auto" w:sz="4" w:space="0"/>
                    <w:right w:val="single" w:color="auto" w:sz="4" w:space="0"/>
                  </w:tcBorders>
                  <w:vAlign w:val="center"/>
                </w:tcPr>
                <w:p w14:paraId="2366A1D1">
                  <w:pPr>
                    <w:pStyle w:val="58"/>
                    <w:snapToGrid w:val="0"/>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w:t>
                  </w:r>
                </w:p>
              </w:tc>
              <w:tc>
                <w:tcPr>
                  <w:tcW w:w="1276" w:type="dxa"/>
                  <w:vMerge w:val="continue"/>
                  <w:tcBorders>
                    <w:top w:val="nil"/>
                    <w:left w:val="single" w:color="auto" w:sz="4" w:space="0"/>
                    <w:bottom w:val="single" w:color="auto" w:sz="4" w:space="0"/>
                    <w:right w:val="single" w:color="auto" w:sz="4" w:space="0"/>
                  </w:tcBorders>
                  <w:vAlign w:val="center"/>
                </w:tcPr>
                <w:p w14:paraId="335AA76B">
                  <w:pPr>
                    <w:widowControl/>
                    <w:jc w:val="center"/>
                    <w:rPr>
                      <w:rFonts w:eastAsia="仿宋"/>
                      <w:color w:val="000000" w:themeColor="text1"/>
                      <w:szCs w:val="21"/>
                      <w14:textFill>
                        <w14:solidFill>
                          <w14:schemeClr w14:val="tx1"/>
                        </w14:solidFill>
                      </w14:textFill>
                    </w:rPr>
                  </w:pPr>
                </w:p>
              </w:tc>
            </w:tr>
            <w:tr w14:paraId="095A5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13E450BC">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38FA03C7">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6A6FCE12">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磷肥制造【2622】</w:t>
                  </w:r>
                </w:p>
              </w:tc>
              <w:tc>
                <w:tcPr>
                  <w:tcW w:w="3059" w:type="dxa"/>
                  <w:tcBorders>
                    <w:top w:val="single" w:color="auto" w:sz="4" w:space="0"/>
                    <w:left w:val="single" w:color="auto" w:sz="4" w:space="0"/>
                    <w:bottom w:val="single" w:color="auto" w:sz="4" w:space="0"/>
                    <w:right w:val="single" w:color="auto" w:sz="4" w:space="0"/>
                  </w:tcBorders>
                  <w:vAlign w:val="center"/>
                </w:tcPr>
                <w:p w14:paraId="5E416E24">
                  <w:pPr>
                    <w:pStyle w:val="58"/>
                    <w:snapToGrid w:val="0"/>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w:t>
                  </w:r>
                </w:p>
              </w:tc>
              <w:tc>
                <w:tcPr>
                  <w:tcW w:w="1276" w:type="dxa"/>
                  <w:vMerge w:val="continue"/>
                  <w:tcBorders>
                    <w:top w:val="nil"/>
                    <w:left w:val="single" w:color="auto" w:sz="4" w:space="0"/>
                    <w:bottom w:val="single" w:color="auto" w:sz="4" w:space="0"/>
                    <w:right w:val="single" w:color="auto" w:sz="4" w:space="0"/>
                  </w:tcBorders>
                  <w:vAlign w:val="center"/>
                </w:tcPr>
                <w:p w14:paraId="0F2B409C">
                  <w:pPr>
                    <w:widowControl/>
                    <w:jc w:val="center"/>
                    <w:rPr>
                      <w:rFonts w:eastAsia="仿宋"/>
                      <w:color w:val="000000" w:themeColor="text1"/>
                      <w:szCs w:val="21"/>
                      <w14:textFill>
                        <w14:solidFill>
                          <w14:schemeClr w14:val="tx1"/>
                        </w14:solidFill>
                      </w14:textFill>
                    </w:rPr>
                  </w:pPr>
                </w:p>
              </w:tc>
            </w:tr>
            <w:tr w14:paraId="43DD6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6A101F54">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078EBBD3">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09C84D1F">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钾肥制造【2623】</w:t>
                  </w:r>
                </w:p>
              </w:tc>
              <w:tc>
                <w:tcPr>
                  <w:tcW w:w="3059" w:type="dxa"/>
                  <w:tcBorders>
                    <w:top w:val="single" w:color="auto" w:sz="4" w:space="0"/>
                    <w:left w:val="single" w:color="auto" w:sz="4" w:space="0"/>
                    <w:bottom w:val="single" w:color="auto" w:sz="4" w:space="0"/>
                    <w:right w:val="single" w:color="auto" w:sz="4" w:space="0"/>
                  </w:tcBorders>
                  <w:vAlign w:val="center"/>
                </w:tcPr>
                <w:p w14:paraId="64434BF7">
                  <w:pPr>
                    <w:pStyle w:val="58"/>
                    <w:snapToGrid w:val="0"/>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w:t>
                  </w:r>
                </w:p>
              </w:tc>
              <w:tc>
                <w:tcPr>
                  <w:tcW w:w="1276" w:type="dxa"/>
                  <w:vMerge w:val="continue"/>
                  <w:tcBorders>
                    <w:top w:val="nil"/>
                    <w:left w:val="single" w:color="auto" w:sz="4" w:space="0"/>
                    <w:bottom w:val="single" w:color="auto" w:sz="4" w:space="0"/>
                    <w:right w:val="single" w:color="auto" w:sz="4" w:space="0"/>
                  </w:tcBorders>
                  <w:vAlign w:val="center"/>
                </w:tcPr>
                <w:p w14:paraId="04C63B4B">
                  <w:pPr>
                    <w:widowControl/>
                    <w:jc w:val="center"/>
                    <w:rPr>
                      <w:rFonts w:eastAsia="仿宋"/>
                      <w:color w:val="000000" w:themeColor="text1"/>
                      <w:szCs w:val="21"/>
                      <w14:textFill>
                        <w14:solidFill>
                          <w14:schemeClr w14:val="tx1"/>
                        </w14:solidFill>
                      </w14:textFill>
                    </w:rPr>
                  </w:pPr>
                </w:p>
              </w:tc>
            </w:tr>
            <w:tr w14:paraId="431C8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202C5CAE">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60EC4D96">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64694D2E">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工业颜料制造【2643】</w:t>
                  </w:r>
                </w:p>
              </w:tc>
              <w:tc>
                <w:tcPr>
                  <w:tcW w:w="3059" w:type="dxa"/>
                  <w:tcBorders>
                    <w:top w:val="single" w:color="auto" w:sz="4" w:space="0"/>
                    <w:left w:val="single" w:color="auto" w:sz="4" w:space="0"/>
                    <w:bottom w:val="single" w:color="auto" w:sz="4" w:space="0"/>
                    <w:right w:val="single" w:color="auto" w:sz="4" w:space="0"/>
                  </w:tcBorders>
                  <w:vAlign w:val="center"/>
                </w:tcPr>
                <w:p w14:paraId="36C2C7CF">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立德粉、钛白粉、铅铬黄、氧化铁系颜料制造</w:t>
                  </w:r>
                </w:p>
              </w:tc>
              <w:tc>
                <w:tcPr>
                  <w:tcW w:w="1276" w:type="dxa"/>
                  <w:vMerge w:val="continue"/>
                  <w:tcBorders>
                    <w:top w:val="nil"/>
                    <w:left w:val="single" w:color="auto" w:sz="4" w:space="0"/>
                    <w:bottom w:val="single" w:color="auto" w:sz="4" w:space="0"/>
                    <w:right w:val="single" w:color="auto" w:sz="4" w:space="0"/>
                  </w:tcBorders>
                  <w:vAlign w:val="center"/>
                </w:tcPr>
                <w:p w14:paraId="697831D4">
                  <w:pPr>
                    <w:widowControl/>
                    <w:jc w:val="center"/>
                    <w:rPr>
                      <w:rFonts w:eastAsia="仿宋"/>
                      <w:color w:val="000000" w:themeColor="text1"/>
                      <w:szCs w:val="21"/>
                      <w14:textFill>
                        <w14:solidFill>
                          <w14:schemeClr w14:val="tx1"/>
                        </w14:solidFill>
                      </w14:textFill>
                    </w:rPr>
                  </w:pPr>
                </w:p>
              </w:tc>
            </w:tr>
            <w:tr w14:paraId="3328B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3847F55B">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3B9C72E2">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7BF0253C">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初级形态塑料及合成树脂制造【2651】</w:t>
                  </w:r>
                </w:p>
              </w:tc>
              <w:tc>
                <w:tcPr>
                  <w:tcW w:w="3059" w:type="dxa"/>
                  <w:tcBorders>
                    <w:top w:val="single" w:color="auto" w:sz="4" w:space="0"/>
                    <w:left w:val="single" w:color="auto" w:sz="4" w:space="0"/>
                    <w:bottom w:val="single" w:color="auto" w:sz="4" w:space="0"/>
                    <w:right w:val="single" w:color="auto" w:sz="4" w:space="0"/>
                  </w:tcBorders>
                  <w:vAlign w:val="center"/>
                </w:tcPr>
                <w:p w14:paraId="46D16688">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电石法聚氯乙烯制造</w:t>
                  </w:r>
                </w:p>
              </w:tc>
              <w:tc>
                <w:tcPr>
                  <w:tcW w:w="1276" w:type="dxa"/>
                  <w:vMerge w:val="continue"/>
                  <w:tcBorders>
                    <w:top w:val="nil"/>
                    <w:left w:val="single" w:color="auto" w:sz="4" w:space="0"/>
                    <w:bottom w:val="single" w:color="auto" w:sz="4" w:space="0"/>
                    <w:right w:val="single" w:color="auto" w:sz="4" w:space="0"/>
                  </w:tcBorders>
                  <w:vAlign w:val="center"/>
                </w:tcPr>
                <w:p w14:paraId="6A57536F">
                  <w:pPr>
                    <w:widowControl/>
                    <w:jc w:val="center"/>
                    <w:rPr>
                      <w:rFonts w:eastAsia="仿宋"/>
                      <w:color w:val="000000" w:themeColor="text1"/>
                      <w:szCs w:val="21"/>
                      <w14:textFill>
                        <w14:solidFill>
                          <w14:schemeClr w14:val="tx1"/>
                        </w14:solidFill>
                      </w14:textFill>
                    </w:rPr>
                  </w:pPr>
                </w:p>
              </w:tc>
            </w:tr>
            <w:tr w14:paraId="19877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3BD9D378">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2E927D69">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44E1DE51">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合成橡胶制造【2652】</w:t>
                  </w:r>
                </w:p>
              </w:tc>
              <w:tc>
                <w:tcPr>
                  <w:tcW w:w="3059" w:type="dxa"/>
                  <w:tcBorders>
                    <w:top w:val="single" w:color="auto" w:sz="4" w:space="0"/>
                    <w:left w:val="single" w:color="auto" w:sz="4" w:space="0"/>
                    <w:bottom w:val="single" w:color="auto" w:sz="4" w:space="0"/>
                    <w:right w:val="single" w:color="auto" w:sz="4" w:space="0"/>
                  </w:tcBorders>
                  <w:vAlign w:val="center"/>
                </w:tcPr>
                <w:p w14:paraId="281A939B">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四氯化碳溶剂法氯化橡胶制造</w:t>
                  </w:r>
                </w:p>
              </w:tc>
              <w:tc>
                <w:tcPr>
                  <w:tcW w:w="1276" w:type="dxa"/>
                  <w:vMerge w:val="continue"/>
                  <w:tcBorders>
                    <w:top w:val="nil"/>
                    <w:left w:val="single" w:color="auto" w:sz="4" w:space="0"/>
                    <w:bottom w:val="single" w:color="auto" w:sz="4" w:space="0"/>
                    <w:right w:val="single" w:color="auto" w:sz="4" w:space="0"/>
                  </w:tcBorders>
                  <w:vAlign w:val="center"/>
                </w:tcPr>
                <w:p w14:paraId="1E9D7468">
                  <w:pPr>
                    <w:widowControl/>
                    <w:jc w:val="center"/>
                    <w:rPr>
                      <w:rFonts w:eastAsia="仿宋"/>
                      <w:color w:val="000000" w:themeColor="text1"/>
                      <w:szCs w:val="21"/>
                      <w14:textFill>
                        <w14:solidFill>
                          <w14:schemeClr w14:val="tx1"/>
                        </w14:solidFill>
                      </w14:textFill>
                    </w:rPr>
                  </w:pPr>
                </w:p>
              </w:tc>
            </w:tr>
            <w:tr w14:paraId="41F1D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7DFE118C">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16F42119">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2EA66BAA">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合成纤维单（聚合）体制造【2653】</w:t>
                  </w:r>
                </w:p>
              </w:tc>
              <w:tc>
                <w:tcPr>
                  <w:tcW w:w="3059" w:type="dxa"/>
                  <w:tcBorders>
                    <w:top w:val="single" w:color="auto" w:sz="4" w:space="0"/>
                    <w:left w:val="single" w:color="auto" w:sz="4" w:space="0"/>
                    <w:bottom w:val="single" w:color="auto" w:sz="4" w:space="0"/>
                    <w:right w:val="single" w:color="auto" w:sz="4" w:space="0"/>
                  </w:tcBorders>
                  <w:vAlign w:val="center"/>
                </w:tcPr>
                <w:p w14:paraId="417D1959">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精对苯二甲酸（PTA）、乙二醇制造</w:t>
                  </w:r>
                </w:p>
              </w:tc>
              <w:tc>
                <w:tcPr>
                  <w:tcW w:w="1276" w:type="dxa"/>
                  <w:vMerge w:val="continue"/>
                  <w:tcBorders>
                    <w:top w:val="nil"/>
                    <w:left w:val="single" w:color="auto" w:sz="4" w:space="0"/>
                    <w:bottom w:val="single" w:color="auto" w:sz="4" w:space="0"/>
                    <w:right w:val="single" w:color="auto" w:sz="4" w:space="0"/>
                  </w:tcBorders>
                  <w:vAlign w:val="center"/>
                </w:tcPr>
                <w:p w14:paraId="774234D5">
                  <w:pPr>
                    <w:widowControl/>
                    <w:jc w:val="center"/>
                    <w:rPr>
                      <w:rFonts w:eastAsia="仿宋"/>
                      <w:color w:val="000000" w:themeColor="text1"/>
                      <w:szCs w:val="21"/>
                      <w14:textFill>
                        <w14:solidFill>
                          <w14:schemeClr w14:val="tx1"/>
                        </w14:solidFill>
                      </w14:textFill>
                    </w:rPr>
                  </w:pPr>
                </w:p>
              </w:tc>
            </w:tr>
            <w:tr w14:paraId="52F7C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75CC2C41">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34CAA942">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5DCC1554">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化学试剂和助剂制造【2661】</w:t>
                  </w:r>
                </w:p>
              </w:tc>
              <w:tc>
                <w:tcPr>
                  <w:tcW w:w="3059" w:type="dxa"/>
                  <w:tcBorders>
                    <w:top w:val="single" w:color="auto" w:sz="4" w:space="0"/>
                    <w:left w:val="single" w:color="auto" w:sz="4" w:space="0"/>
                    <w:bottom w:val="single" w:color="auto" w:sz="4" w:space="0"/>
                    <w:right w:val="single" w:color="auto" w:sz="4" w:space="0"/>
                  </w:tcBorders>
                  <w:vAlign w:val="center"/>
                </w:tcPr>
                <w:p w14:paraId="795B14E0">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炭黑制造</w:t>
                  </w:r>
                </w:p>
              </w:tc>
              <w:tc>
                <w:tcPr>
                  <w:tcW w:w="1276" w:type="dxa"/>
                  <w:vMerge w:val="continue"/>
                  <w:tcBorders>
                    <w:top w:val="nil"/>
                    <w:left w:val="single" w:color="auto" w:sz="4" w:space="0"/>
                    <w:bottom w:val="single" w:color="auto" w:sz="4" w:space="0"/>
                    <w:right w:val="single" w:color="auto" w:sz="4" w:space="0"/>
                  </w:tcBorders>
                  <w:vAlign w:val="center"/>
                </w:tcPr>
                <w:p w14:paraId="363CBBA7">
                  <w:pPr>
                    <w:widowControl/>
                    <w:jc w:val="center"/>
                    <w:rPr>
                      <w:rFonts w:eastAsia="仿宋"/>
                      <w:color w:val="000000" w:themeColor="text1"/>
                      <w:szCs w:val="21"/>
                      <w14:textFill>
                        <w14:solidFill>
                          <w14:schemeClr w14:val="tx1"/>
                        </w14:solidFill>
                      </w14:textFill>
                    </w:rPr>
                  </w:pPr>
                </w:p>
              </w:tc>
            </w:tr>
            <w:tr w14:paraId="18BB6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restart"/>
                  <w:tcBorders>
                    <w:top w:val="nil"/>
                    <w:left w:val="single" w:color="auto" w:sz="4" w:space="0"/>
                    <w:bottom w:val="single" w:color="auto" w:sz="4" w:space="0"/>
                    <w:right w:val="single" w:color="auto" w:sz="4" w:space="0"/>
                  </w:tcBorders>
                  <w:vAlign w:val="center"/>
                </w:tcPr>
                <w:p w14:paraId="078A43C8">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965" w:type="dxa"/>
                  <w:vMerge w:val="restart"/>
                  <w:tcBorders>
                    <w:top w:val="nil"/>
                    <w:left w:val="single" w:color="auto" w:sz="4" w:space="0"/>
                    <w:bottom w:val="single" w:color="auto" w:sz="4" w:space="0"/>
                    <w:right w:val="single" w:color="auto" w:sz="4" w:space="0"/>
                  </w:tcBorders>
                  <w:vAlign w:val="center"/>
                </w:tcPr>
                <w:p w14:paraId="5E570B39">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非金属矿物制品业</w:t>
                  </w:r>
                </w:p>
              </w:tc>
              <w:tc>
                <w:tcPr>
                  <w:tcW w:w="2097" w:type="dxa"/>
                  <w:tcBorders>
                    <w:top w:val="single" w:color="auto" w:sz="4" w:space="0"/>
                    <w:left w:val="single" w:color="auto" w:sz="4" w:space="0"/>
                    <w:bottom w:val="single" w:color="auto" w:sz="4" w:space="0"/>
                    <w:right w:val="single" w:color="auto" w:sz="4" w:space="0"/>
                  </w:tcBorders>
                  <w:vAlign w:val="center"/>
                </w:tcPr>
                <w:p w14:paraId="4C56730E">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水泥制造【3011】</w:t>
                  </w:r>
                </w:p>
              </w:tc>
              <w:tc>
                <w:tcPr>
                  <w:tcW w:w="3059" w:type="dxa"/>
                  <w:tcBorders>
                    <w:top w:val="single" w:color="auto" w:sz="4" w:space="0"/>
                    <w:left w:val="single" w:color="auto" w:sz="4" w:space="0"/>
                    <w:bottom w:val="single" w:color="auto" w:sz="4" w:space="0"/>
                    <w:right w:val="single" w:color="auto" w:sz="4" w:space="0"/>
                  </w:tcBorders>
                  <w:vAlign w:val="center"/>
                </w:tcPr>
                <w:p w14:paraId="2B88C8C3">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水泥熟料制造</w:t>
                  </w:r>
                </w:p>
              </w:tc>
              <w:tc>
                <w:tcPr>
                  <w:tcW w:w="1276" w:type="dxa"/>
                  <w:vMerge w:val="continue"/>
                  <w:tcBorders>
                    <w:top w:val="nil"/>
                    <w:left w:val="single" w:color="auto" w:sz="4" w:space="0"/>
                    <w:bottom w:val="single" w:color="auto" w:sz="4" w:space="0"/>
                    <w:right w:val="single" w:color="auto" w:sz="4" w:space="0"/>
                  </w:tcBorders>
                  <w:vAlign w:val="center"/>
                </w:tcPr>
                <w:p w14:paraId="398AB12A">
                  <w:pPr>
                    <w:widowControl/>
                    <w:jc w:val="center"/>
                    <w:rPr>
                      <w:rFonts w:eastAsia="仿宋"/>
                      <w:color w:val="000000" w:themeColor="text1"/>
                      <w:szCs w:val="21"/>
                      <w14:textFill>
                        <w14:solidFill>
                          <w14:schemeClr w14:val="tx1"/>
                        </w14:solidFill>
                      </w14:textFill>
                    </w:rPr>
                  </w:pPr>
                </w:p>
              </w:tc>
            </w:tr>
            <w:tr w14:paraId="5A266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68770D60">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3A49073F">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1EA7E0E4">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石灰和石膏制造【3012】</w:t>
                  </w:r>
                </w:p>
              </w:tc>
              <w:tc>
                <w:tcPr>
                  <w:tcW w:w="3059" w:type="dxa"/>
                  <w:tcBorders>
                    <w:top w:val="single" w:color="auto" w:sz="4" w:space="0"/>
                    <w:left w:val="single" w:color="auto" w:sz="4" w:space="0"/>
                    <w:bottom w:val="single" w:color="auto" w:sz="4" w:space="0"/>
                    <w:right w:val="single" w:color="auto" w:sz="4" w:space="0"/>
                  </w:tcBorders>
                  <w:vAlign w:val="center"/>
                </w:tcPr>
                <w:p w14:paraId="296B5EF9">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石灰、建筑石膏制造</w:t>
                  </w:r>
                </w:p>
              </w:tc>
              <w:tc>
                <w:tcPr>
                  <w:tcW w:w="1276" w:type="dxa"/>
                  <w:vMerge w:val="continue"/>
                  <w:tcBorders>
                    <w:top w:val="nil"/>
                    <w:left w:val="single" w:color="auto" w:sz="4" w:space="0"/>
                    <w:bottom w:val="single" w:color="auto" w:sz="4" w:space="0"/>
                    <w:right w:val="single" w:color="auto" w:sz="4" w:space="0"/>
                  </w:tcBorders>
                  <w:vAlign w:val="center"/>
                </w:tcPr>
                <w:p w14:paraId="17274FA0">
                  <w:pPr>
                    <w:widowControl/>
                    <w:jc w:val="center"/>
                    <w:rPr>
                      <w:rFonts w:eastAsia="仿宋"/>
                      <w:color w:val="000000" w:themeColor="text1"/>
                      <w:szCs w:val="21"/>
                      <w14:textFill>
                        <w14:solidFill>
                          <w14:schemeClr w14:val="tx1"/>
                        </w14:solidFill>
                      </w14:textFill>
                    </w:rPr>
                  </w:pPr>
                </w:p>
              </w:tc>
            </w:tr>
            <w:tr w14:paraId="10670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0E34FB88">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21A25B43">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6C93DE6C">
                  <w:pPr>
                    <w:pStyle w:val="6"/>
                    <w:snapToGrid w:val="0"/>
                    <w:ind w:firstLine="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粘土砖瓦及建筑砌块制造【3031】</w:t>
                  </w:r>
                </w:p>
              </w:tc>
              <w:tc>
                <w:tcPr>
                  <w:tcW w:w="3059" w:type="dxa"/>
                  <w:tcBorders>
                    <w:top w:val="single" w:color="auto" w:sz="4" w:space="0"/>
                    <w:left w:val="single" w:color="auto" w:sz="4" w:space="0"/>
                    <w:bottom w:val="single" w:color="auto" w:sz="4" w:space="0"/>
                    <w:right w:val="single" w:color="auto" w:sz="4" w:space="0"/>
                  </w:tcBorders>
                  <w:vAlign w:val="center"/>
                </w:tcPr>
                <w:p w14:paraId="7FC8C134">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烧结砖瓦制造</w:t>
                  </w:r>
                </w:p>
              </w:tc>
              <w:tc>
                <w:tcPr>
                  <w:tcW w:w="1276" w:type="dxa"/>
                  <w:vMerge w:val="continue"/>
                  <w:tcBorders>
                    <w:top w:val="nil"/>
                    <w:left w:val="single" w:color="auto" w:sz="4" w:space="0"/>
                    <w:bottom w:val="single" w:color="auto" w:sz="4" w:space="0"/>
                    <w:right w:val="single" w:color="auto" w:sz="4" w:space="0"/>
                  </w:tcBorders>
                  <w:vAlign w:val="center"/>
                </w:tcPr>
                <w:p w14:paraId="53A8DE5A">
                  <w:pPr>
                    <w:widowControl/>
                    <w:jc w:val="center"/>
                    <w:rPr>
                      <w:rFonts w:eastAsia="仿宋"/>
                      <w:color w:val="000000" w:themeColor="text1"/>
                      <w:szCs w:val="21"/>
                      <w14:textFill>
                        <w14:solidFill>
                          <w14:schemeClr w14:val="tx1"/>
                        </w14:solidFill>
                      </w14:textFill>
                    </w:rPr>
                  </w:pPr>
                </w:p>
              </w:tc>
            </w:tr>
            <w:tr w14:paraId="17898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5AF599CD">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1B1A339A">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573A6486">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隔热和隔音材料制造【3034】</w:t>
                  </w:r>
                </w:p>
              </w:tc>
              <w:tc>
                <w:tcPr>
                  <w:tcW w:w="3059" w:type="dxa"/>
                  <w:tcBorders>
                    <w:top w:val="single" w:color="auto" w:sz="4" w:space="0"/>
                    <w:left w:val="single" w:color="auto" w:sz="4" w:space="0"/>
                    <w:bottom w:val="single" w:color="auto" w:sz="4" w:space="0"/>
                    <w:right w:val="single" w:color="auto" w:sz="4" w:space="0"/>
                  </w:tcBorders>
                  <w:vAlign w:val="center"/>
                </w:tcPr>
                <w:p w14:paraId="762F50C1">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烧结墙体材料、泡沫玻璃制造</w:t>
                  </w:r>
                </w:p>
              </w:tc>
              <w:tc>
                <w:tcPr>
                  <w:tcW w:w="1276" w:type="dxa"/>
                  <w:vMerge w:val="continue"/>
                  <w:tcBorders>
                    <w:top w:val="nil"/>
                    <w:left w:val="single" w:color="auto" w:sz="4" w:space="0"/>
                    <w:bottom w:val="single" w:color="auto" w:sz="4" w:space="0"/>
                    <w:right w:val="single" w:color="auto" w:sz="4" w:space="0"/>
                  </w:tcBorders>
                  <w:vAlign w:val="center"/>
                </w:tcPr>
                <w:p w14:paraId="1039E16B">
                  <w:pPr>
                    <w:widowControl/>
                    <w:jc w:val="center"/>
                    <w:rPr>
                      <w:rFonts w:eastAsia="仿宋"/>
                      <w:color w:val="000000" w:themeColor="text1"/>
                      <w:szCs w:val="21"/>
                      <w14:textFill>
                        <w14:solidFill>
                          <w14:schemeClr w14:val="tx1"/>
                        </w14:solidFill>
                      </w14:textFill>
                    </w:rPr>
                  </w:pPr>
                </w:p>
              </w:tc>
            </w:tr>
            <w:tr w14:paraId="72135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1353F6BA">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172CF864">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3341DE5C">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平板玻璃制造【3041】</w:t>
                  </w:r>
                </w:p>
              </w:tc>
              <w:tc>
                <w:tcPr>
                  <w:tcW w:w="3059" w:type="dxa"/>
                  <w:tcBorders>
                    <w:top w:val="single" w:color="auto" w:sz="4" w:space="0"/>
                    <w:left w:val="single" w:color="auto" w:sz="4" w:space="0"/>
                    <w:bottom w:val="single" w:color="auto" w:sz="4" w:space="0"/>
                    <w:right w:val="single" w:color="auto" w:sz="4" w:space="0"/>
                  </w:tcBorders>
                  <w:vAlign w:val="center"/>
                </w:tcPr>
                <w:p w14:paraId="00FC3496">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仅切割、打磨、成型的除外；光伏玻璃制造、基板玻璃制造除外</w:t>
                  </w:r>
                </w:p>
              </w:tc>
              <w:tc>
                <w:tcPr>
                  <w:tcW w:w="1276" w:type="dxa"/>
                  <w:vMerge w:val="continue"/>
                  <w:tcBorders>
                    <w:top w:val="nil"/>
                    <w:left w:val="single" w:color="auto" w:sz="4" w:space="0"/>
                    <w:bottom w:val="single" w:color="auto" w:sz="4" w:space="0"/>
                    <w:right w:val="single" w:color="auto" w:sz="4" w:space="0"/>
                  </w:tcBorders>
                  <w:vAlign w:val="center"/>
                </w:tcPr>
                <w:p w14:paraId="667A04B4">
                  <w:pPr>
                    <w:widowControl/>
                    <w:jc w:val="center"/>
                    <w:rPr>
                      <w:rFonts w:eastAsia="仿宋"/>
                      <w:color w:val="000000" w:themeColor="text1"/>
                      <w:szCs w:val="21"/>
                      <w14:textFill>
                        <w14:solidFill>
                          <w14:schemeClr w14:val="tx1"/>
                        </w14:solidFill>
                      </w14:textFill>
                    </w:rPr>
                  </w:pPr>
                </w:p>
              </w:tc>
            </w:tr>
            <w:tr w14:paraId="0AB3C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6C499568">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5DF5ADD7">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351B0313">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玻璃纤维及制品制造【3061】</w:t>
                  </w:r>
                </w:p>
              </w:tc>
              <w:tc>
                <w:tcPr>
                  <w:tcW w:w="3059" w:type="dxa"/>
                  <w:tcBorders>
                    <w:top w:val="single" w:color="auto" w:sz="4" w:space="0"/>
                    <w:left w:val="single" w:color="auto" w:sz="4" w:space="0"/>
                    <w:bottom w:val="single" w:color="auto" w:sz="4" w:space="0"/>
                    <w:right w:val="single" w:color="auto" w:sz="4" w:space="0"/>
                  </w:tcBorders>
                  <w:vAlign w:val="center"/>
                </w:tcPr>
                <w:p w14:paraId="6851ADF1">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《产业结构调整知道目录（2024年本）》中鼓励类池窑拉丝、高性能及特种玻璃纤维制造除外；玻璃纤维制品制造除外</w:t>
                  </w:r>
                </w:p>
              </w:tc>
              <w:tc>
                <w:tcPr>
                  <w:tcW w:w="1276" w:type="dxa"/>
                  <w:vMerge w:val="continue"/>
                  <w:tcBorders>
                    <w:top w:val="nil"/>
                    <w:left w:val="single" w:color="auto" w:sz="4" w:space="0"/>
                    <w:bottom w:val="single" w:color="auto" w:sz="4" w:space="0"/>
                    <w:right w:val="single" w:color="auto" w:sz="4" w:space="0"/>
                  </w:tcBorders>
                  <w:vAlign w:val="center"/>
                </w:tcPr>
                <w:p w14:paraId="208ADFAD">
                  <w:pPr>
                    <w:widowControl/>
                    <w:jc w:val="center"/>
                    <w:rPr>
                      <w:rFonts w:eastAsia="仿宋"/>
                      <w:color w:val="000000" w:themeColor="text1"/>
                      <w:szCs w:val="21"/>
                      <w14:textFill>
                        <w14:solidFill>
                          <w14:schemeClr w14:val="tx1"/>
                        </w14:solidFill>
                      </w14:textFill>
                    </w:rPr>
                  </w:pPr>
                </w:p>
              </w:tc>
            </w:tr>
            <w:tr w14:paraId="50693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2D646116">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7EED56EA">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722C4B9C">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建筑陶瓷制品制造【3071】</w:t>
                  </w:r>
                </w:p>
              </w:tc>
              <w:tc>
                <w:tcPr>
                  <w:tcW w:w="3059" w:type="dxa"/>
                  <w:tcBorders>
                    <w:top w:val="single" w:color="auto" w:sz="4" w:space="0"/>
                    <w:left w:val="single" w:color="auto" w:sz="4" w:space="0"/>
                    <w:bottom w:val="single" w:color="auto" w:sz="4" w:space="0"/>
                    <w:right w:val="single" w:color="auto" w:sz="4" w:space="0"/>
                  </w:tcBorders>
                  <w:vAlign w:val="center"/>
                </w:tcPr>
                <w:p w14:paraId="285DA293">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未经高温烧结的发泡陶瓷板制造除外</w:t>
                  </w:r>
                </w:p>
              </w:tc>
              <w:tc>
                <w:tcPr>
                  <w:tcW w:w="1276" w:type="dxa"/>
                  <w:vMerge w:val="continue"/>
                  <w:tcBorders>
                    <w:top w:val="nil"/>
                    <w:left w:val="single" w:color="auto" w:sz="4" w:space="0"/>
                    <w:bottom w:val="single" w:color="auto" w:sz="4" w:space="0"/>
                    <w:right w:val="single" w:color="auto" w:sz="4" w:space="0"/>
                  </w:tcBorders>
                  <w:vAlign w:val="center"/>
                </w:tcPr>
                <w:p w14:paraId="2B32A178">
                  <w:pPr>
                    <w:widowControl/>
                    <w:jc w:val="center"/>
                    <w:rPr>
                      <w:rFonts w:eastAsia="仿宋"/>
                      <w:color w:val="000000" w:themeColor="text1"/>
                      <w:szCs w:val="21"/>
                      <w14:textFill>
                        <w14:solidFill>
                          <w14:schemeClr w14:val="tx1"/>
                        </w14:solidFill>
                      </w14:textFill>
                    </w:rPr>
                  </w:pPr>
                </w:p>
              </w:tc>
            </w:tr>
            <w:tr w14:paraId="3CD14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6F8A0C2A">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1E018E10">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3CB3B762">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卫生陶瓷制品制造【3072】</w:t>
                  </w:r>
                </w:p>
              </w:tc>
              <w:tc>
                <w:tcPr>
                  <w:tcW w:w="3059" w:type="dxa"/>
                  <w:tcBorders>
                    <w:top w:val="single" w:color="auto" w:sz="4" w:space="0"/>
                    <w:left w:val="single" w:color="auto" w:sz="4" w:space="0"/>
                    <w:bottom w:val="single" w:color="auto" w:sz="4" w:space="0"/>
                    <w:right w:val="single" w:color="auto" w:sz="4" w:space="0"/>
                  </w:tcBorders>
                  <w:vAlign w:val="center"/>
                </w:tcPr>
                <w:p w14:paraId="558EED96">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卫生陶瓷制造</w:t>
                  </w:r>
                </w:p>
              </w:tc>
              <w:tc>
                <w:tcPr>
                  <w:tcW w:w="1276" w:type="dxa"/>
                  <w:vMerge w:val="continue"/>
                  <w:tcBorders>
                    <w:top w:val="nil"/>
                    <w:left w:val="single" w:color="auto" w:sz="4" w:space="0"/>
                    <w:bottom w:val="single" w:color="auto" w:sz="4" w:space="0"/>
                    <w:right w:val="single" w:color="auto" w:sz="4" w:space="0"/>
                  </w:tcBorders>
                  <w:vAlign w:val="center"/>
                </w:tcPr>
                <w:p w14:paraId="673D7C2A">
                  <w:pPr>
                    <w:widowControl/>
                    <w:jc w:val="center"/>
                    <w:rPr>
                      <w:rFonts w:eastAsia="仿宋"/>
                      <w:color w:val="000000" w:themeColor="text1"/>
                      <w:szCs w:val="21"/>
                      <w14:textFill>
                        <w14:solidFill>
                          <w14:schemeClr w14:val="tx1"/>
                        </w14:solidFill>
                      </w14:textFill>
                    </w:rPr>
                  </w:pPr>
                </w:p>
              </w:tc>
            </w:tr>
            <w:tr w14:paraId="0A9D8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44A80BF7">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7DDFCE68">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0DFE5728">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耐火陶瓷制品及其他耐火材料制造【3089】</w:t>
                  </w:r>
                </w:p>
              </w:tc>
              <w:tc>
                <w:tcPr>
                  <w:tcW w:w="3059" w:type="dxa"/>
                  <w:tcBorders>
                    <w:top w:val="single" w:color="auto" w:sz="4" w:space="0"/>
                    <w:left w:val="single" w:color="auto" w:sz="4" w:space="0"/>
                    <w:bottom w:val="single" w:color="auto" w:sz="4" w:space="0"/>
                    <w:right w:val="single" w:color="auto" w:sz="4" w:space="0"/>
                  </w:tcBorders>
                  <w:vAlign w:val="center"/>
                </w:tcPr>
                <w:p w14:paraId="7162583E">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烧结粘土土砖、烧结镁质砖、烧结高铝砖、烧结硅砖制造</w:t>
                  </w:r>
                </w:p>
              </w:tc>
              <w:tc>
                <w:tcPr>
                  <w:tcW w:w="1276" w:type="dxa"/>
                  <w:vMerge w:val="continue"/>
                  <w:tcBorders>
                    <w:top w:val="nil"/>
                    <w:left w:val="single" w:color="auto" w:sz="4" w:space="0"/>
                    <w:bottom w:val="single" w:color="auto" w:sz="4" w:space="0"/>
                    <w:right w:val="single" w:color="auto" w:sz="4" w:space="0"/>
                  </w:tcBorders>
                  <w:vAlign w:val="center"/>
                </w:tcPr>
                <w:p w14:paraId="64E043FF">
                  <w:pPr>
                    <w:widowControl/>
                    <w:jc w:val="center"/>
                    <w:rPr>
                      <w:rFonts w:eastAsia="仿宋"/>
                      <w:color w:val="000000" w:themeColor="text1"/>
                      <w:szCs w:val="21"/>
                      <w14:textFill>
                        <w14:solidFill>
                          <w14:schemeClr w14:val="tx1"/>
                        </w14:solidFill>
                      </w14:textFill>
                    </w:rPr>
                  </w:pPr>
                </w:p>
              </w:tc>
            </w:tr>
            <w:tr w14:paraId="77F78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589F4B0E">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720F2CAD">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4B31EBD2">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石墨及碳素制品制造【3091】</w:t>
                  </w:r>
                </w:p>
              </w:tc>
              <w:tc>
                <w:tcPr>
                  <w:tcW w:w="3059" w:type="dxa"/>
                  <w:tcBorders>
                    <w:top w:val="single" w:color="auto" w:sz="4" w:space="0"/>
                    <w:left w:val="single" w:color="auto" w:sz="4" w:space="0"/>
                    <w:bottom w:val="single" w:color="auto" w:sz="4" w:space="0"/>
                    <w:right w:val="single" w:color="auto" w:sz="4" w:space="0"/>
                  </w:tcBorders>
                  <w:vAlign w:val="center"/>
                </w:tcPr>
                <w:p w14:paraId="5530C49C">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碳块、碳电极、碳糊、铝用炭素制造</w:t>
                  </w:r>
                </w:p>
              </w:tc>
              <w:tc>
                <w:tcPr>
                  <w:tcW w:w="1276" w:type="dxa"/>
                  <w:vMerge w:val="continue"/>
                  <w:tcBorders>
                    <w:top w:val="nil"/>
                    <w:left w:val="single" w:color="auto" w:sz="4" w:space="0"/>
                    <w:bottom w:val="single" w:color="auto" w:sz="4" w:space="0"/>
                    <w:right w:val="single" w:color="auto" w:sz="4" w:space="0"/>
                  </w:tcBorders>
                  <w:vAlign w:val="center"/>
                </w:tcPr>
                <w:p w14:paraId="4AF36F09">
                  <w:pPr>
                    <w:widowControl/>
                    <w:jc w:val="center"/>
                    <w:rPr>
                      <w:rFonts w:eastAsia="仿宋"/>
                      <w:color w:val="000000" w:themeColor="text1"/>
                      <w:szCs w:val="21"/>
                      <w14:textFill>
                        <w14:solidFill>
                          <w14:schemeClr w14:val="tx1"/>
                        </w14:solidFill>
                      </w14:textFill>
                    </w:rPr>
                  </w:pPr>
                </w:p>
              </w:tc>
            </w:tr>
            <w:tr w14:paraId="6C3CB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restart"/>
                  <w:tcBorders>
                    <w:top w:val="nil"/>
                    <w:left w:val="single" w:color="auto" w:sz="4" w:space="0"/>
                    <w:bottom w:val="single" w:color="auto" w:sz="4" w:space="0"/>
                    <w:right w:val="single" w:color="auto" w:sz="4" w:space="0"/>
                  </w:tcBorders>
                  <w:vAlign w:val="center"/>
                </w:tcPr>
                <w:p w14:paraId="6E36EDF6">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w:t>
                  </w:r>
                </w:p>
              </w:tc>
              <w:tc>
                <w:tcPr>
                  <w:tcW w:w="965" w:type="dxa"/>
                  <w:vMerge w:val="restart"/>
                  <w:tcBorders>
                    <w:top w:val="nil"/>
                    <w:left w:val="single" w:color="auto" w:sz="4" w:space="0"/>
                    <w:bottom w:val="single" w:color="auto" w:sz="4" w:space="0"/>
                    <w:right w:val="single" w:color="auto" w:sz="4" w:space="0"/>
                  </w:tcBorders>
                  <w:vAlign w:val="center"/>
                </w:tcPr>
                <w:p w14:paraId="4C53ED94">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黑色金属冶炼和压延加工业</w:t>
                  </w:r>
                </w:p>
              </w:tc>
              <w:tc>
                <w:tcPr>
                  <w:tcW w:w="2097" w:type="dxa"/>
                  <w:tcBorders>
                    <w:top w:val="single" w:color="auto" w:sz="4" w:space="0"/>
                    <w:left w:val="single" w:color="auto" w:sz="4" w:space="0"/>
                    <w:bottom w:val="single" w:color="auto" w:sz="4" w:space="0"/>
                    <w:right w:val="single" w:color="auto" w:sz="4" w:space="0"/>
                  </w:tcBorders>
                  <w:vAlign w:val="center"/>
                </w:tcPr>
                <w:p w14:paraId="4ACE204E">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冶炼【3110】</w:t>
                  </w:r>
                </w:p>
              </w:tc>
              <w:tc>
                <w:tcPr>
                  <w:tcW w:w="3059" w:type="dxa"/>
                  <w:tcBorders>
                    <w:top w:val="single" w:color="auto" w:sz="4" w:space="0"/>
                    <w:left w:val="single" w:color="auto" w:sz="4" w:space="0"/>
                    <w:bottom w:val="single" w:color="auto" w:sz="4" w:space="0"/>
                    <w:right w:val="single" w:color="auto" w:sz="4" w:space="0"/>
                  </w:tcBorders>
                  <w:vAlign w:val="center"/>
                </w:tcPr>
                <w:p w14:paraId="60BA2C7F">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带式焙烧等高效球团矿生产及高炉高比例球团冶炼除外；气基直接还原低碳炼铁（不含煤制气）、高炉富氢喷吹冶炼除外；4N级以上高纯铁制造除外</w:t>
                  </w:r>
                </w:p>
              </w:tc>
              <w:tc>
                <w:tcPr>
                  <w:tcW w:w="1276" w:type="dxa"/>
                  <w:vMerge w:val="continue"/>
                  <w:tcBorders>
                    <w:top w:val="nil"/>
                    <w:left w:val="single" w:color="auto" w:sz="4" w:space="0"/>
                    <w:bottom w:val="single" w:color="auto" w:sz="4" w:space="0"/>
                    <w:right w:val="single" w:color="auto" w:sz="4" w:space="0"/>
                  </w:tcBorders>
                  <w:vAlign w:val="center"/>
                </w:tcPr>
                <w:p w14:paraId="6149EE02">
                  <w:pPr>
                    <w:widowControl/>
                    <w:jc w:val="center"/>
                    <w:rPr>
                      <w:rFonts w:eastAsia="仿宋"/>
                      <w:color w:val="000000" w:themeColor="text1"/>
                      <w:szCs w:val="21"/>
                      <w14:textFill>
                        <w14:solidFill>
                          <w14:schemeClr w14:val="tx1"/>
                        </w14:solidFill>
                      </w14:textFill>
                    </w:rPr>
                  </w:pPr>
                </w:p>
              </w:tc>
            </w:tr>
            <w:tr w14:paraId="708C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7017ECC3">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60E2ECF3">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7CA906B5">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炼钢【3120】</w:t>
                  </w:r>
                </w:p>
              </w:tc>
              <w:tc>
                <w:tcPr>
                  <w:tcW w:w="3059" w:type="dxa"/>
                  <w:tcBorders>
                    <w:top w:val="single" w:color="auto" w:sz="4" w:space="0"/>
                    <w:left w:val="single" w:color="auto" w:sz="4" w:space="0"/>
                    <w:bottom w:val="single" w:color="auto" w:sz="4" w:space="0"/>
                    <w:right w:val="single" w:color="auto" w:sz="4" w:space="0"/>
                  </w:tcBorders>
                  <w:vAlign w:val="center"/>
                </w:tcPr>
                <w:p w14:paraId="7B734530">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短流程炼钢、长流程炼钢改短流程炼钢，以及短流程炼钢技改提升的除外；航空轴承用钢、航空航天用超高强度钢、高温合金、精密合金制造除外；不增加炼钢产能精炼项目（</w:t>
                  </w:r>
                  <w:r>
                    <w:rPr>
                      <w:rFonts w:hint="eastAsia" w:eastAsia="仿宋"/>
                      <w:color w:val="000000" w:themeColor="text1"/>
                      <w:szCs w:val="21"/>
                      <w14:textFill>
                        <w14:solidFill>
                          <w14:schemeClr w14:val="tx1"/>
                        </w14:solidFill>
                      </w14:textFill>
                    </w:rPr>
                    <w:t>使用</w:t>
                  </w:r>
                  <w:r>
                    <w:rPr>
                      <w:rFonts w:eastAsia="仿宋"/>
                      <w:color w:val="000000" w:themeColor="text1"/>
                      <w:szCs w:val="21"/>
                      <w14:textFill>
                        <w14:solidFill>
                          <w14:schemeClr w14:val="tx1"/>
                        </w14:solidFill>
                      </w14:textFill>
                    </w:rPr>
                    <w:t>LF、RH、VD、VOD等精炼设备）除外</w:t>
                  </w:r>
                </w:p>
              </w:tc>
              <w:tc>
                <w:tcPr>
                  <w:tcW w:w="1276" w:type="dxa"/>
                  <w:vMerge w:val="continue"/>
                  <w:tcBorders>
                    <w:top w:val="nil"/>
                    <w:left w:val="single" w:color="auto" w:sz="4" w:space="0"/>
                    <w:bottom w:val="single" w:color="auto" w:sz="4" w:space="0"/>
                    <w:right w:val="single" w:color="auto" w:sz="4" w:space="0"/>
                  </w:tcBorders>
                  <w:vAlign w:val="center"/>
                </w:tcPr>
                <w:p w14:paraId="103230F6">
                  <w:pPr>
                    <w:widowControl/>
                    <w:jc w:val="center"/>
                    <w:rPr>
                      <w:rFonts w:eastAsia="仿宋"/>
                      <w:color w:val="000000" w:themeColor="text1"/>
                      <w:szCs w:val="21"/>
                      <w14:textFill>
                        <w14:solidFill>
                          <w14:schemeClr w14:val="tx1"/>
                        </w14:solidFill>
                      </w14:textFill>
                    </w:rPr>
                  </w:pPr>
                </w:p>
              </w:tc>
            </w:tr>
            <w:tr w14:paraId="0E18D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6BF33550">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6C5122FD">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7FB83785">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钢压延加工【3130】</w:t>
                  </w:r>
                </w:p>
              </w:tc>
              <w:tc>
                <w:tcPr>
                  <w:tcW w:w="3059" w:type="dxa"/>
                  <w:tcBorders>
                    <w:top w:val="single" w:color="auto" w:sz="4" w:space="0"/>
                    <w:left w:val="single" w:color="auto" w:sz="4" w:space="0"/>
                    <w:bottom w:val="single" w:color="auto" w:sz="4" w:space="0"/>
                    <w:right w:val="single" w:color="auto" w:sz="4" w:space="0"/>
                  </w:tcBorders>
                  <w:vAlign w:val="center"/>
                </w:tcPr>
                <w:p w14:paraId="5936F402">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列入《战略性新兴产业分（2018）》重点产品和服务</w:t>
                  </w:r>
                  <w:r>
                    <w:rPr>
                      <w:rFonts w:hint="eastAsia" w:ascii="仿宋" w:hAnsi="仿宋" w:eastAsia="仿宋" w:cs="仿宋"/>
                      <w:color w:val="000000" w:themeColor="text1"/>
                      <w:szCs w:val="21"/>
                      <w14:textFill>
                        <w14:solidFill>
                          <w14:schemeClr w14:val="tx1"/>
                        </w14:solidFill>
                      </w14:textFill>
                    </w:rPr>
                    <w:t>目录</w:t>
                  </w:r>
                  <w:r>
                    <w:rPr>
                      <w:rFonts w:eastAsia="仿宋"/>
                      <w:color w:val="000000" w:themeColor="text1"/>
                      <w:szCs w:val="21"/>
                      <w14:textFill>
                        <w14:solidFill>
                          <w14:schemeClr w14:val="tx1"/>
                        </w14:solidFill>
                      </w14:textFill>
                    </w:rPr>
                    <w:t>的先进钢铁材料制造除外；近终形铸轧</w:t>
                  </w:r>
                  <w:r>
                    <w:rPr>
                      <w:rFonts w:hint="eastAsia" w:ascii="仿宋" w:hAnsi="仿宋" w:eastAsia="仿宋" w:cs="仿宋"/>
                      <w:color w:val="000000" w:themeColor="text1"/>
                      <w:szCs w:val="21"/>
                      <w14:textFill>
                        <w14:solidFill>
                          <w14:schemeClr w14:val="tx1"/>
                        </w14:solidFill>
                      </w14:textFill>
                    </w:rPr>
                    <w:t>一体化</w:t>
                  </w:r>
                  <w:r>
                    <w:rPr>
                      <w:rFonts w:eastAsia="仿宋"/>
                      <w:color w:val="000000" w:themeColor="text1"/>
                      <w:szCs w:val="21"/>
                      <w14:textFill>
                        <w14:solidFill>
                          <w14:schemeClr w14:val="tx1"/>
                        </w14:solidFill>
                      </w14:textFill>
                    </w:rPr>
                    <w:t>除外；采用加热炉高效燃烧（包括全氧、富氧、低氮燃烧）的除外</w:t>
                  </w:r>
                </w:p>
              </w:tc>
              <w:tc>
                <w:tcPr>
                  <w:tcW w:w="1276" w:type="dxa"/>
                  <w:vMerge w:val="continue"/>
                  <w:tcBorders>
                    <w:top w:val="nil"/>
                    <w:left w:val="single" w:color="auto" w:sz="4" w:space="0"/>
                    <w:bottom w:val="single" w:color="auto" w:sz="4" w:space="0"/>
                    <w:right w:val="single" w:color="auto" w:sz="4" w:space="0"/>
                  </w:tcBorders>
                  <w:vAlign w:val="center"/>
                </w:tcPr>
                <w:p w14:paraId="2C3BD2F6">
                  <w:pPr>
                    <w:widowControl/>
                    <w:jc w:val="center"/>
                    <w:rPr>
                      <w:rFonts w:eastAsia="仿宋"/>
                      <w:color w:val="000000" w:themeColor="text1"/>
                      <w:szCs w:val="21"/>
                      <w14:textFill>
                        <w14:solidFill>
                          <w14:schemeClr w14:val="tx1"/>
                        </w14:solidFill>
                      </w14:textFill>
                    </w:rPr>
                  </w:pPr>
                </w:p>
              </w:tc>
            </w:tr>
            <w:tr w14:paraId="46B63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6B50F979">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1C7F8F25">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64A33F67">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铁合金冶炼【3140】</w:t>
                  </w:r>
                </w:p>
              </w:tc>
              <w:tc>
                <w:tcPr>
                  <w:tcW w:w="3059" w:type="dxa"/>
                  <w:tcBorders>
                    <w:top w:val="single" w:color="auto" w:sz="4" w:space="0"/>
                    <w:left w:val="single" w:color="auto" w:sz="4" w:space="0"/>
                    <w:bottom w:val="single" w:color="auto" w:sz="4" w:space="0"/>
                    <w:right w:val="single" w:color="auto" w:sz="4" w:space="0"/>
                  </w:tcBorders>
                  <w:vAlign w:val="center"/>
                </w:tcPr>
                <w:p w14:paraId="65C43EC3">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铁基合金粉末（航空领域）冶炼除外</w:t>
                  </w:r>
                </w:p>
              </w:tc>
              <w:tc>
                <w:tcPr>
                  <w:tcW w:w="1276" w:type="dxa"/>
                  <w:vMerge w:val="continue"/>
                  <w:tcBorders>
                    <w:top w:val="nil"/>
                    <w:left w:val="single" w:color="auto" w:sz="4" w:space="0"/>
                    <w:bottom w:val="single" w:color="auto" w:sz="4" w:space="0"/>
                    <w:right w:val="single" w:color="auto" w:sz="4" w:space="0"/>
                  </w:tcBorders>
                  <w:vAlign w:val="center"/>
                </w:tcPr>
                <w:p w14:paraId="34A8B1B5">
                  <w:pPr>
                    <w:widowControl/>
                    <w:jc w:val="center"/>
                    <w:rPr>
                      <w:rFonts w:eastAsia="仿宋"/>
                      <w:color w:val="000000" w:themeColor="text1"/>
                      <w:szCs w:val="21"/>
                      <w14:textFill>
                        <w14:solidFill>
                          <w14:schemeClr w14:val="tx1"/>
                        </w14:solidFill>
                      </w14:textFill>
                    </w:rPr>
                  </w:pPr>
                </w:p>
              </w:tc>
            </w:tr>
            <w:tr w14:paraId="56560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restart"/>
                  <w:tcBorders>
                    <w:top w:val="nil"/>
                    <w:left w:val="single" w:color="auto" w:sz="4" w:space="0"/>
                    <w:bottom w:val="single" w:color="auto" w:sz="4" w:space="0"/>
                    <w:right w:val="single" w:color="auto" w:sz="4" w:space="0"/>
                  </w:tcBorders>
                  <w:vAlign w:val="center"/>
                </w:tcPr>
                <w:p w14:paraId="569D0AF9">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w:t>
                  </w:r>
                </w:p>
              </w:tc>
              <w:tc>
                <w:tcPr>
                  <w:tcW w:w="965" w:type="dxa"/>
                  <w:vMerge w:val="restart"/>
                  <w:tcBorders>
                    <w:top w:val="nil"/>
                    <w:left w:val="single" w:color="auto" w:sz="4" w:space="0"/>
                    <w:bottom w:val="single" w:color="auto" w:sz="4" w:space="0"/>
                    <w:right w:val="single" w:color="auto" w:sz="4" w:space="0"/>
                  </w:tcBorders>
                  <w:vAlign w:val="center"/>
                </w:tcPr>
                <w:p w14:paraId="61BACAB9">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有色金属冶炼和压延加工</w:t>
                  </w:r>
                </w:p>
              </w:tc>
              <w:tc>
                <w:tcPr>
                  <w:tcW w:w="2097" w:type="dxa"/>
                  <w:tcBorders>
                    <w:top w:val="single" w:color="auto" w:sz="4" w:space="0"/>
                    <w:left w:val="single" w:color="auto" w:sz="4" w:space="0"/>
                    <w:bottom w:val="single" w:color="auto" w:sz="4" w:space="0"/>
                    <w:right w:val="single" w:color="auto" w:sz="4" w:space="0"/>
                  </w:tcBorders>
                  <w:vAlign w:val="center"/>
                </w:tcPr>
                <w:p w14:paraId="55FFF3FF">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铜冶炼【3211】</w:t>
                  </w:r>
                </w:p>
              </w:tc>
              <w:tc>
                <w:tcPr>
                  <w:tcW w:w="3059" w:type="dxa"/>
                  <w:vMerge w:val="restart"/>
                  <w:tcBorders>
                    <w:top w:val="nil"/>
                    <w:left w:val="single" w:color="auto" w:sz="4" w:space="0"/>
                    <w:bottom w:val="single" w:color="auto" w:sz="4" w:space="0"/>
                    <w:right w:val="single" w:color="auto" w:sz="4" w:space="0"/>
                  </w:tcBorders>
                  <w:vAlign w:val="center"/>
                </w:tcPr>
                <w:p w14:paraId="574060D7">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再生资源冶炼除外</w:t>
                  </w:r>
                </w:p>
              </w:tc>
              <w:tc>
                <w:tcPr>
                  <w:tcW w:w="1276" w:type="dxa"/>
                  <w:vMerge w:val="continue"/>
                  <w:tcBorders>
                    <w:top w:val="nil"/>
                    <w:left w:val="single" w:color="auto" w:sz="4" w:space="0"/>
                    <w:bottom w:val="single" w:color="auto" w:sz="4" w:space="0"/>
                    <w:right w:val="single" w:color="auto" w:sz="4" w:space="0"/>
                  </w:tcBorders>
                  <w:vAlign w:val="center"/>
                </w:tcPr>
                <w:p w14:paraId="5BD004D3">
                  <w:pPr>
                    <w:widowControl/>
                    <w:jc w:val="center"/>
                    <w:rPr>
                      <w:rFonts w:eastAsia="仿宋"/>
                      <w:color w:val="000000" w:themeColor="text1"/>
                      <w:szCs w:val="21"/>
                      <w14:textFill>
                        <w14:solidFill>
                          <w14:schemeClr w14:val="tx1"/>
                        </w14:solidFill>
                      </w14:textFill>
                    </w:rPr>
                  </w:pPr>
                </w:p>
              </w:tc>
            </w:tr>
            <w:tr w14:paraId="2C16E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3C976A54">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17D6F86D">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2D053442">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铅锌冶炼【3212】</w:t>
                  </w:r>
                </w:p>
              </w:tc>
              <w:tc>
                <w:tcPr>
                  <w:tcW w:w="3059" w:type="dxa"/>
                  <w:vMerge w:val="continue"/>
                  <w:tcBorders>
                    <w:top w:val="nil"/>
                    <w:left w:val="single" w:color="auto" w:sz="4" w:space="0"/>
                    <w:bottom w:val="single" w:color="auto" w:sz="4" w:space="0"/>
                    <w:right w:val="single" w:color="auto" w:sz="4" w:space="0"/>
                  </w:tcBorders>
                  <w:vAlign w:val="center"/>
                </w:tcPr>
                <w:p w14:paraId="3BB28678">
                  <w:pPr>
                    <w:widowControl/>
                    <w:jc w:val="center"/>
                    <w:rPr>
                      <w:rFonts w:eastAsia="仿宋"/>
                      <w:color w:val="000000" w:themeColor="text1"/>
                      <w:szCs w:val="21"/>
                      <w14:textFill>
                        <w14:solidFill>
                          <w14:schemeClr w14:val="tx1"/>
                        </w14:solidFill>
                      </w14:textFill>
                    </w:rPr>
                  </w:pPr>
                </w:p>
              </w:tc>
              <w:tc>
                <w:tcPr>
                  <w:tcW w:w="1276" w:type="dxa"/>
                  <w:vMerge w:val="continue"/>
                  <w:tcBorders>
                    <w:top w:val="nil"/>
                    <w:left w:val="single" w:color="auto" w:sz="4" w:space="0"/>
                    <w:bottom w:val="single" w:color="auto" w:sz="4" w:space="0"/>
                    <w:right w:val="single" w:color="auto" w:sz="4" w:space="0"/>
                  </w:tcBorders>
                  <w:vAlign w:val="center"/>
                </w:tcPr>
                <w:p w14:paraId="4ADD6FCD">
                  <w:pPr>
                    <w:widowControl/>
                    <w:jc w:val="center"/>
                    <w:rPr>
                      <w:rFonts w:eastAsia="仿宋"/>
                      <w:color w:val="000000" w:themeColor="text1"/>
                      <w:szCs w:val="21"/>
                      <w14:textFill>
                        <w14:solidFill>
                          <w14:schemeClr w14:val="tx1"/>
                        </w14:solidFill>
                      </w14:textFill>
                    </w:rPr>
                  </w:pPr>
                </w:p>
              </w:tc>
            </w:tr>
            <w:tr w14:paraId="06203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068A52AD">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03926FA6">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23D1DAA5">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镍钴冶炼【3213】</w:t>
                  </w:r>
                </w:p>
              </w:tc>
              <w:tc>
                <w:tcPr>
                  <w:tcW w:w="3059" w:type="dxa"/>
                  <w:vMerge w:val="continue"/>
                  <w:tcBorders>
                    <w:top w:val="nil"/>
                    <w:left w:val="single" w:color="auto" w:sz="4" w:space="0"/>
                    <w:bottom w:val="single" w:color="auto" w:sz="4" w:space="0"/>
                    <w:right w:val="single" w:color="auto" w:sz="4" w:space="0"/>
                  </w:tcBorders>
                  <w:vAlign w:val="center"/>
                </w:tcPr>
                <w:p w14:paraId="44BDAD47">
                  <w:pPr>
                    <w:widowControl/>
                    <w:jc w:val="center"/>
                    <w:rPr>
                      <w:rFonts w:eastAsia="仿宋"/>
                      <w:color w:val="000000" w:themeColor="text1"/>
                      <w:szCs w:val="21"/>
                      <w14:textFill>
                        <w14:solidFill>
                          <w14:schemeClr w14:val="tx1"/>
                        </w14:solidFill>
                      </w14:textFill>
                    </w:rPr>
                  </w:pPr>
                </w:p>
              </w:tc>
              <w:tc>
                <w:tcPr>
                  <w:tcW w:w="1276" w:type="dxa"/>
                  <w:vMerge w:val="continue"/>
                  <w:tcBorders>
                    <w:top w:val="nil"/>
                    <w:left w:val="single" w:color="auto" w:sz="4" w:space="0"/>
                    <w:bottom w:val="single" w:color="auto" w:sz="4" w:space="0"/>
                    <w:right w:val="single" w:color="auto" w:sz="4" w:space="0"/>
                  </w:tcBorders>
                  <w:vAlign w:val="center"/>
                </w:tcPr>
                <w:p w14:paraId="3BAD659E">
                  <w:pPr>
                    <w:widowControl/>
                    <w:jc w:val="center"/>
                    <w:rPr>
                      <w:rFonts w:eastAsia="仿宋"/>
                      <w:color w:val="000000" w:themeColor="text1"/>
                      <w:szCs w:val="21"/>
                      <w14:textFill>
                        <w14:solidFill>
                          <w14:schemeClr w14:val="tx1"/>
                        </w14:solidFill>
                      </w14:textFill>
                    </w:rPr>
                  </w:pPr>
                </w:p>
              </w:tc>
            </w:tr>
            <w:tr w14:paraId="1269C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1DC3E634">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7F632550">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199B78C2">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锡冶炼【3214】</w:t>
                  </w:r>
                </w:p>
              </w:tc>
              <w:tc>
                <w:tcPr>
                  <w:tcW w:w="3059" w:type="dxa"/>
                  <w:vMerge w:val="continue"/>
                  <w:tcBorders>
                    <w:top w:val="nil"/>
                    <w:left w:val="single" w:color="auto" w:sz="4" w:space="0"/>
                    <w:bottom w:val="single" w:color="auto" w:sz="4" w:space="0"/>
                    <w:right w:val="single" w:color="auto" w:sz="4" w:space="0"/>
                  </w:tcBorders>
                  <w:vAlign w:val="center"/>
                </w:tcPr>
                <w:p w14:paraId="7C746657">
                  <w:pPr>
                    <w:widowControl/>
                    <w:jc w:val="center"/>
                    <w:rPr>
                      <w:rFonts w:eastAsia="仿宋"/>
                      <w:color w:val="000000" w:themeColor="text1"/>
                      <w:szCs w:val="21"/>
                      <w14:textFill>
                        <w14:solidFill>
                          <w14:schemeClr w14:val="tx1"/>
                        </w14:solidFill>
                      </w14:textFill>
                    </w:rPr>
                  </w:pPr>
                </w:p>
              </w:tc>
              <w:tc>
                <w:tcPr>
                  <w:tcW w:w="1276" w:type="dxa"/>
                  <w:vMerge w:val="continue"/>
                  <w:tcBorders>
                    <w:top w:val="nil"/>
                    <w:left w:val="single" w:color="auto" w:sz="4" w:space="0"/>
                    <w:bottom w:val="single" w:color="auto" w:sz="4" w:space="0"/>
                    <w:right w:val="single" w:color="auto" w:sz="4" w:space="0"/>
                  </w:tcBorders>
                  <w:vAlign w:val="center"/>
                </w:tcPr>
                <w:p w14:paraId="18871CD5">
                  <w:pPr>
                    <w:widowControl/>
                    <w:jc w:val="center"/>
                    <w:rPr>
                      <w:rFonts w:eastAsia="仿宋"/>
                      <w:color w:val="000000" w:themeColor="text1"/>
                      <w:szCs w:val="21"/>
                      <w14:textFill>
                        <w14:solidFill>
                          <w14:schemeClr w14:val="tx1"/>
                        </w14:solidFill>
                      </w14:textFill>
                    </w:rPr>
                  </w:pPr>
                </w:p>
              </w:tc>
            </w:tr>
            <w:tr w14:paraId="3A6E1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7F5E87D0">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688D3C02">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0D4405E7">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锑冶炼【3215】</w:t>
                  </w:r>
                </w:p>
              </w:tc>
              <w:tc>
                <w:tcPr>
                  <w:tcW w:w="3059" w:type="dxa"/>
                  <w:vMerge w:val="continue"/>
                  <w:tcBorders>
                    <w:top w:val="nil"/>
                    <w:left w:val="single" w:color="auto" w:sz="4" w:space="0"/>
                    <w:bottom w:val="single" w:color="auto" w:sz="4" w:space="0"/>
                    <w:right w:val="single" w:color="auto" w:sz="4" w:space="0"/>
                  </w:tcBorders>
                  <w:vAlign w:val="center"/>
                </w:tcPr>
                <w:p w14:paraId="05A314FC">
                  <w:pPr>
                    <w:widowControl/>
                    <w:jc w:val="center"/>
                    <w:rPr>
                      <w:rFonts w:eastAsia="仿宋"/>
                      <w:color w:val="000000" w:themeColor="text1"/>
                      <w:szCs w:val="21"/>
                      <w14:textFill>
                        <w14:solidFill>
                          <w14:schemeClr w14:val="tx1"/>
                        </w14:solidFill>
                      </w14:textFill>
                    </w:rPr>
                  </w:pPr>
                </w:p>
              </w:tc>
              <w:tc>
                <w:tcPr>
                  <w:tcW w:w="1276" w:type="dxa"/>
                  <w:vMerge w:val="continue"/>
                  <w:tcBorders>
                    <w:top w:val="nil"/>
                    <w:left w:val="single" w:color="auto" w:sz="4" w:space="0"/>
                    <w:bottom w:val="single" w:color="auto" w:sz="4" w:space="0"/>
                    <w:right w:val="single" w:color="auto" w:sz="4" w:space="0"/>
                  </w:tcBorders>
                  <w:vAlign w:val="center"/>
                </w:tcPr>
                <w:p w14:paraId="5C68C583">
                  <w:pPr>
                    <w:widowControl/>
                    <w:jc w:val="center"/>
                    <w:rPr>
                      <w:rFonts w:eastAsia="仿宋"/>
                      <w:color w:val="000000" w:themeColor="text1"/>
                      <w:szCs w:val="21"/>
                      <w14:textFill>
                        <w14:solidFill>
                          <w14:schemeClr w14:val="tx1"/>
                        </w14:solidFill>
                      </w14:textFill>
                    </w:rPr>
                  </w:pPr>
                </w:p>
              </w:tc>
            </w:tr>
            <w:tr w14:paraId="45D0F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2C1EBB47">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32036F1B">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48CA3041">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铝冶炼【3216】</w:t>
                  </w:r>
                </w:p>
              </w:tc>
              <w:tc>
                <w:tcPr>
                  <w:tcW w:w="3059" w:type="dxa"/>
                  <w:vMerge w:val="continue"/>
                  <w:tcBorders>
                    <w:top w:val="nil"/>
                    <w:left w:val="single" w:color="auto" w:sz="4" w:space="0"/>
                    <w:bottom w:val="single" w:color="auto" w:sz="4" w:space="0"/>
                    <w:right w:val="single" w:color="auto" w:sz="4" w:space="0"/>
                  </w:tcBorders>
                  <w:vAlign w:val="center"/>
                </w:tcPr>
                <w:p w14:paraId="0FAA1877">
                  <w:pPr>
                    <w:widowControl/>
                    <w:jc w:val="center"/>
                    <w:rPr>
                      <w:rFonts w:eastAsia="仿宋"/>
                      <w:color w:val="000000" w:themeColor="text1"/>
                      <w:szCs w:val="21"/>
                      <w14:textFill>
                        <w14:solidFill>
                          <w14:schemeClr w14:val="tx1"/>
                        </w14:solidFill>
                      </w14:textFill>
                    </w:rPr>
                  </w:pPr>
                </w:p>
              </w:tc>
              <w:tc>
                <w:tcPr>
                  <w:tcW w:w="1276" w:type="dxa"/>
                  <w:vMerge w:val="continue"/>
                  <w:tcBorders>
                    <w:top w:val="nil"/>
                    <w:left w:val="single" w:color="auto" w:sz="4" w:space="0"/>
                    <w:bottom w:val="single" w:color="auto" w:sz="4" w:space="0"/>
                    <w:right w:val="single" w:color="auto" w:sz="4" w:space="0"/>
                  </w:tcBorders>
                  <w:vAlign w:val="center"/>
                </w:tcPr>
                <w:p w14:paraId="0B794176">
                  <w:pPr>
                    <w:widowControl/>
                    <w:jc w:val="center"/>
                    <w:rPr>
                      <w:rFonts w:eastAsia="仿宋"/>
                      <w:color w:val="000000" w:themeColor="text1"/>
                      <w:szCs w:val="21"/>
                      <w14:textFill>
                        <w14:solidFill>
                          <w14:schemeClr w14:val="tx1"/>
                        </w14:solidFill>
                      </w14:textFill>
                    </w:rPr>
                  </w:pPr>
                </w:p>
              </w:tc>
            </w:tr>
            <w:tr w14:paraId="02957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7B991EE4">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3C43092A">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72C35F4E">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镁冶炼【3217】</w:t>
                  </w:r>
                </w:p>
              </w:tc>
              <w:tc>
                <w:tcPr>
                  <w:tcW w:w="3059" w:type="dxa"/>
                  <w:vMerge w:val="continue"/>
                  <w:tcBorders>
                    <w:top w:val="nil"/>
                    <w:left w:val="single" w:color="auto" w:sz="4" w:space="0"/>
                    <w:bottom w:val="single" w:color="auto" w:sz="4" w:space="0"/>
                    <w:right w:val="single" w:color="auto" w:sz="4" w:space="0"/>
                  </w:tcBorders>
                  <w:vAlign w:val="center"/>
                </w:tcPr>
                <w:p w14:paraId="4C2C2560">
                  <w:pPr>
                    <w:widowControl/>
                    <w:jc w:val="center"/>
                    <w:rPr>
                      <w:rFonts w:eastAsia="仿宋"/>
                      <w:color w:val="000000" w:themeColor="text1"/>
                      <w:szCs w:val="21"/>
                      <w14:textFill>
                        <w14:solidFill>
                          <w14:schemeClr w14:val="tx1"/>
                        </w14:solidFill>
                      </w14:textFill>
                    </w:rPr>
                  </w:pPr>
                </w:p>
              </w:tc>
              <w:tc>
                <w:tcPr>
                  <w:tcW w:w="1276" w:type="dxa"/>
                  <w:vMerge w:val="continue"/>
                  <w:tcBorders>
                    <w:top w:val="nil"/>
                    <w:left w:val="single" w:color="auto" w:sz="4" w:space="0"/>
                    <w:bottom w:val="single" w:color="auto" w:sz="4" w:space="0"/>
                    <w:right w:val="single" w:color="auto" w:sz="4" w:space="0"/>
                  </w:tcBorders>
                  <w:vAlign w:val="center"/>
                </w:tcPr>
                <w:p w14:paraId="54A2BF65">
                  <w:pPr>
                    <w:widowControl/>
                    <w:jc w:val="center"/>
                    <w:rPr>
                      <w:rFonts w:eastAsia="仿宋"/>
                      <w:color w:val="000000" w:themeColor="text1"/>
                      <w:szCs w:val="21"/>
                      <w14:textFill>
                        <w14:solidFill>
                          <w14:schemeClr w14:val="tx1"/>
                        </w14:solidFill>
                      </w14:textFill>
                    </w:rPr>
                  </w:pPr>
                </w:p>
              </w:tc>
            </w:tr>
            <w:tr w14:paraId="505B7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3B41AAC1">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61408807">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03AF6431">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硅冶炼【3218】</w:t>
                  </w:r>
                </w:p>
              </w:tc>
              <w:tc>
                <w:tcPr>
                  <w:tcW w:w="3059" w:type="dxa"/>
                  <w:vMerge w:val="continue"/>
                  <w:tcBorders>
                    <w:top w:val="nil"/>
                    <w:left w:val="single" w:color="auto" w:sz="4" w:space="0"/>
                    <w:bottom w:val="single" w:color="auto" w:sz="4" w:space="0"/>
                    <w:right w:val="single" w:color="auto" w:sz="4" w:space="0"/>
                  </w:tcBorders>
                  <w:vAlign w:val="center"/>
                </w:tcPr>
                <w:p w14:paraId="7AA351A3">
                  <w:pPr>
                    <w:widowControl/>
                    <w:jc w:val="center"/>
                    <w:rPr>
                      <w:rFonts w:eastAsia="仿宋"/>
                      <w:color w:val="000000" w:themeColor="text1"/>
                      <w:szCs w:val="21"/>
                      <w14:textFill>
                        <w14:solidFill>
                          <w14:schemeClr w14:val="tx1"/>
                        </w14:solidFill>
                      </w14:textFill>
                    </w:rPr>
                  </w:pPr>
                </w:p>
              </w:tc>
              <w:tc>
                <w:tcPr>
                  <w:tcW w:w="1276" w:type="dxa"/>
                  <w:vMerge w:val="continue"/>
                  <w:tcBorders>
                    <w:top w:val="nil"/>
                    <w:left w:val="single" w:color="auto" w:sz="4" w:space="0"/>
                    <w:bottom w:val="single" w:color="auto" w:sz="4" w:space="0"/>
                    <w:right w:val="single" w:color="auto" w:sz="4" w:space="0"/>
                  </w:tcBorders>
                  <w:vAlign w:val="center"/>
                </w:tcPr>
                <w:p w14:paraId="667FD000">
                  <w:pPr>
                    <w:widowControl/>
                    <w:jc w:val="center"/>
                    <w:rPr>
                      <w:rFonts w:eastAsia="仿宋"/>
                      <w:color w:val="000000" w:themeColor="text1"/>
                      <w:szCs w:val="21"/>
                      <w14:textFill>
                        <w14:solidFill>
                          <w14:schemeClr w14:val="tx1"/>
                        </w14:solidFill>
                      </w14:textFill>
                    </w:rPr>
                  </w:pPr>
                </w:p>
              </w:tc>
            </w:tr>
            <w:tr w14:paraId="4DD13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61118B15">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79118B81">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3121BCC4">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其他常用有色金属冶炼【3219】</w:t>
                  </w:r>
                </w:p>
              </w:tc>
              <w:tc>
                <w:tcPr>
                  <w:tcW w:w="3059" w:type="dxa"/>
                  <w:vMerge w:val="continue"/>
                  <w:tcBorders>
                    <w:top w:val="nil"/>
                    <w:left w:val="single" w:color="auto" w:sz="4" w:space="0"/>
                    <w:bottom w:val="single" w:color="auto" w:sz="4" w:space="0"/>
                    <w:right w:val="single" w:color="auto" w:sz="4" w:space="0"/>
                  </w:tcBorders>
                  <w:vAlign w:val="center"/>
                </w:tcPr>
                <w:p w14:paraId="76536A11">
                  <w:pPr>
                    <w:widowControl/>
                    <w:jc w:val="center"/>
                    <w:rPr>
                      <w:rFonts w:eastAsia="仿宋"/>
                      <w:color w:val="000000" w:themeColor="text1"/>
                      <w:szCs w:val="21"/>
                      <w14:textFill>
                        <w14:solidFill>
                          <w14:schemeClr w14:val="tx1"/>
                        </w14:solidFill>
                      </w14:textFill>
                    </w:rPr>
                  </w:pPr>
                </w:p>
              </w:tc>
              <w:tc>
                <w:tcPr>
                  <w:tcW w:w="1276" w:type="dxa"/>
                  <w:vMerge w:val="continue"/>
                  <w:tcBorders>
                    <w:top w:val="nil"/>
                    <w:left w:val="single" w:color="auto" w:sz="4" w:space="0"/>
                    <w:bottom w:val="single" w:color="auto" w:sz="4" w:space="0"/>
                    <w:right w:val="single" w:color="auto" w:sz="4" w:space="0"/>
                  </w:tcBorders>
                  <w:vAlign w:val="center"/>
                </w:tcPr>
                <w:p w14:paraId="7918F739">
                  <w:pPr>
                    <w:widowControl/>
                    <w:jc w:val="center"/>
                    <w:rPr>
                      <w:rFonts w:eastAsia="仿宋"/>
                      <w:color w:val="000000" w:themeColor="text1"/>
                      <w:szCs w:val="21"/>
                      <w14:textFill>
                        <w14:solidFill>
                          <w14:schemeClr w14:val="tx1"/>
                        </w14:solidFill>
                      </w14:textFill>
                    </w:rPr>
                  </w:pPr>
                </w:p>
              </w:tc>
            </w:tr>
            <w:tr w14:paraId="692AF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6E8563A2">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0E4C307F">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1BED2851">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金冶炼【3221】</w:t>
                  </w:r>
                </w:p>
              </w:tc>
              <w:tc>
                <w:tcPr>
                  <w:tcW w:w="3059" w:type="dxa"/>
                  <w:vMerge w:val="continue"/>
                  <w:tcBorders>
                    <w:top w:val="nil"/>
                    <w:left w:val="single" w:color="auto" w:sz="4" w:space="0"/>
                    <w:bottom w:val="single" w:color="auto" w:sz="4" w:space="0"/>
                    <w:right w:val="single" w:color="auto" w:sz="4" w:space="0"/>
                  </w:tcBorders>
                  <w:vAlign w:val="center"/>
                </w:tcPr>
                <w:p w14:paraId="74307D65">
                  <w:pPr>
                    <w:widowControl/>
                    <w:jc w:val="center"/>
                    <w:rPr>
                      <w:rFonts w:eastAsia="仿宋"/>
                      <w:color w:val="000000" w:themeColor="text1"/>
                      <w:szCs w:val="21"/>
                      <w14:textFill>
                        <w14:solidFill>
                          <w14:schemeClr w14:val="tx1"/>
                        </w14:solidFill>
                      </w14:textFill>
                    </w:rPr>
                  </w:pPr>
                </w:p>
              </w:tc>
              <w:tc>
                <w:tcPr>
                  <w:tcW w:w="1276" w:type="dxa"/>
                  <w:vMerge w:val="continue"/>
                  <w:tcBorders>
                    <w:top w:val="nil"/>
                    <w:left w:val="single" w:color="auto" w:sz="4" w:space="0"/>
                    <w:bottom w:val="single" w:color="auto" w:sz="4" w:space="0"/>
                    <w:right w:val="single" w:color="auto" w:sz="4" w:space="0"/>
                  </w:tcBorders>
                  <w:vAlign w:val="center"/>
                </w:tcPr>
                <w:p w14:paraId="034780F5">
                  <w:pPr>
                    <w:widowControl/>
                    <w:jc w:val="center"/>
                    <w:rPr>
                      <w:rFonts w:eastAsia="仿宋"/>
                      <w:color w:val="000000" w:themeColor="text1"/>
                      <w:szCs w:val="21"/>
                      <w14:textFill>
                        <w14:solidFill>
                          <w14:schemeClr w14:val="tx1"/>
                        </w14:solidFill>
                      </w14:textFill>
                    </w:rPr>
                  </w:pPr>
                </w:p>
              </w:tc>
            </w:tr>
            <w:tr w14:paraId="7180B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2FFEF083">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625DA25C">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3D2A9C48">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银冶炼【3222】</w:t>
                  </w:r>
                </w:p>
              </w:tc>
              <w:tc>
                <w:tcPr>
                  <w:tcW w:w="3059" w:type="dxa"/>
                  <w:vMerge w:val="continue"/>
                  <w:tcBorders>
                    <w:top w:val="nil"/>
                    <w:left w:val="single" w:color="auto" w:sz="4" w:space="0"/>
                    <w:bottom w:val="single" w:color="auto" w:sz="4" w:space="0"/>
                    <w:right w:val="single" w:color="auto" w:sz="4" w:space="0"/>
                  </w:tcBorders>
                  <w:vAlign w:val="center"/>
                </w:tcPr>
                <w:p w14:paraId="26BA4F79">
                  <w:pPr>
                    <w:widowControl/>
                    <w:jc w:val="center"/>
                    <w:rPr>
                      <w:rFonts w:eastAsia="仿宋"/>
                      <w:color w:val="000000" w:themeColor="text1"/>
                      <w:szCs w:val="21"/>
                      <w14:textFill>
                        <w14:solidFill>
                          <w14:schemeClr w14:val="tx1"/>
                        </w14:solidFill>
                      </w14:textFill>
                    </w:rPr>
                  </w:pPr>
                </w:p>
              </w:tc>
              <w:tc>
                <w:tcPr>
                  <w:tcW w:w="1276" w:type="dxa"/>
                  <w:vMerge w:val="continue"/>
                  <w:tcBorders>
                    <w:top w:val="nil"/>
                    <w:left w:val="single" w:color="auto" w:sz="4" w:space="0"/>
                    <w:bottom w:val="single" w:color="auto" w:sz="4" w:space="0"/>
                    <w:right w:val="single" w:color="auto" w:sz="4" w:space="0"/>
                  </w:tcBorders>
                  <w:vAlign w:val="center"/>
                </w:tcPr>
                <w:p w14:paraId="54879C37">
                  <w:pPr>
                    <w:widowControl/>
                    <w:jc w:val="center"/>
                    <w:rPr>
                      <w:rFonts w:eastAsia="仿宋"/>
                      <w:color w:val="000000" w:themeColor="text1"/>
                      <w:szCs w:val="21"/>
                      <w14:textFill>
                        <w14:solidFill>
                          <w14:schemeClr w14:val="tx1"/>
                        </w14:solidFill>
                      </w14:textFill>
                    </w:rPr>
                  </w:pPr>
                </w:p>
              </w:tc>
            </w:tr>
            <w:tr w14:paraId="7B068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7266D229">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6D99535F">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2E2053AE">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其他贵金属冶炼【3229】</w:t>
                  </w:r>
                </w:p>
              </w:tc>
              <w:tc>
                <w:tcPr>
                  <w:tcW w:w="3059" w:type="dxa"/>
                  <w:vMerge w:val="continue"/>
                  <w:tcBorders>
                    <w:top w:val="nil"/>
                    <w:left w:val="single" w:color="auto" w:sz="4" w:space="0"/>
                    <w:bottom w:val="single" w:color="auto" w:sz="4" w:space="0"/>
                    <w:right w:val="single" w:color="auto" w:sz="4" w:space="0"/>
                  </w:tcBorders>
                  <w:vAlign w:val="center"/>
                </w:tcPr>
                <w:p w14:paraId="293710E8">
                  <w:pPr>
                    <w:widowControl/>
                    <w:jc w:val="center"/>
                    <w:rPr>
                      <w:rFonts w:eastAsia="仿宋"/>
                      <w:color w:val="000000" w:themeColor="text1"/>
                      <w:szCs w:val="21"/>
                      <w14:textFill>
                        <w14:solidFill>
                          <w14:schemeClr w14:val="tx1"/>
                        </w14:solidFill>
                      </w14:textFill>
                    </w:rPr>
                  </w:pPr>
                </w:p>
              </w:tc>
              <w:tc>
                <w:tcPr>
                  <w:tcW w:w="1276" w:type="dxa"/>
                  <w:vMerge w:val="continue"/>
                  <w:tcBorders>
                    <w:top w:val="nil"/>
                    <w:left w:val="single" w:color="auto" w:sz="4" w:space="0"/>
                    <w:bottom w:val="single" w:color="auto" w:sz="4" w:space="0"/>
                    <w:right w:val="single" w:color="auto" w:sz="4" w:space="0"/>
                  </w:tcBorders>
                  <w:vAlign w:val="center"/>
                </w:tcPr>
                <w:p w14:paraId="40904DD4">
                  <w:pPr>
                    <w:widowControl/>
                    <w:jc w:val="center"/>
                    <w:rPr>
                      <w:rFonts w:eastAsia="仿宋"/>
                      <w:color w:val="000000" w:themeColor="text1"/>
                      <w:szCs w:val="21"/>
                      <w14:textFill>
                        <w14:solidFill>
                          <w14:schemeClr w14:val="tx1"/>
                        </w14:solidFill>
                      </w14:textFill>
                    </w:rPr>
                  </w:pPr>
                </w:p>
              </w:tc>
            </w:tr>
            <w:tr w14:paraId="6C225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restart"/>
                  <w:tcBorders>
                    <w:top w:val="nil"/>
                    <w:left w:val="single" w:color="auto" w:sz="4" w:space="0"/>
                    <w:bottom w:val="single" w:color="auto" w:sz="4" w:space="0"/>
                    <w:right w:val="single" w:color="auto" w:sz="4" w:space="0"/>
                  </w:tcBorders>
                  <w:vAlign w:val="center"/>
                </w:tcPr>
                <w:p w14:paraId="441C9F57">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w:t>
                  </w:r>
                </w:p>
              </w:tc>
              <w:tc>
                <w:tcPr>
                  <w:tcW w:w="965" w:type="dxa"/>
                  <w:vMerge w:val="restart"/>
                  <w:tcBorders>
                    <w:top w:val="nil"/>
                    <w:left w:val="single" w:color="auto" w:sz="4" w:space="0"/>
                    <w:bottom w:val="single" w:color="auto" w:sz="4" w:space="0"/>
                    <w:right w:val="single" w:color="auto" w:sz="4" w:space="0"/>
                  </w:tcBorders>
                  <w:vAlign w:val="center"/>
                </w:tcPr>
                <w:p w14:paraId="191992F7">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电力、热力生产和供应业</w:t>
                  </w:r>
                </w:p>
              </w:tc>
              <w:tc>
                <w:tcPr>
                  <w:tcW w:w="2097" w:type="dxa"/>
                  <w:tcBorders>
                    <w:top w:val="single" w:color="auto" w:sz="4" w:space="0"/>
                    <w:left w:val="single" w:color="auto" w:sz="4" w:space="0"/>
                    <w:bottom w:val="single" w:color="auto" w:sz="4" w:space="0"/>
                    <w:right w:val="single" w:color="auto" w:sz="4" w:space="0"/>
                  </w:tcBorders>
                  <w:vAlign w:val="center"/>
                </w:tcPr>
                <w:p w14:paraId="0527D6B7">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火力发电【4411】</w:t>
                  </w:r>
                </w:p>
              </w:tc>
              <w:tc>
                <w:tcPr>
                  <w:tcW w:w="3059" w:type="dxa"/>
                  <w:tcBorders>
                    <w:top w:val="single" w:color="auto" w:sz="4" w:space="0"/>
                    <w:left w:val="single" w:color="auto" w:sz="4" w:space="0"/>
                    <w:bottom w:val="single" w:color="auto" w:sz="4" w:space="0"/>
                    <w:right w:val="single" w:color="auto" w:sz="4" w:space="0"/>
                  </w:tcBorders>
                  <w:vAlign w:val="center"/>
                </w:tcPr>
                <w:p w14:paraId="6464DACF">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燃煤发电</w:t>
                  </w:r>
                </w:p>
              </w:tc>
              <w:tc>
                <w:tcPr>
                  <w:tcW w:w="1276" w:type="dxa"/>
                  <w:vMerge w:val="continue"/>
                  <w:tcBorders>
                    <w:top w:val="nil"/>
                    <w:left w:val="single" w:color="auto" w:sz="4" w:space="0"/>
                    <w:bottom w:val="single" w:color="auto" w:sz="4" w:space="0"/>
                    <w:right w:val="single" w:color="auto" w:sz="4" w:space="0"/>
                  </w:tcBorders>
                  <w:vAlign w:val="center"/>
                </w:tcPr>
                <w:p w14:paraId="0C2B171C">
                  <w:pPr>
                    <w:widowControl/>
                    <w:jc w:val="center"/>
                    <w:rPr>
                      <w:rFonts w:eastAsia="仿宋"/>
                      <w:color w:val="000000" w:themeColor="text1"/>
                      <w:szCs w:val="21"/>
                      <w14:textFill>
                        <w14:solidFill>
                          <w14:schemeClr w14:val="tx1"/>
                        </w14:solidFill>
                      </w14:textFill>
                    </w:rPr>
                  </w:pPr>
                </w:p>
              </w:tc>
            </w:tr>
            <w:tr w14:paraId="133E5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7" w:type="dxa"/>
                  <w:vMerge w:val="continue"/>
                  <w:tcBorders>
                    <w:top w:val="nil"/>
                    <w:left w:val="single" w:color="auto" w:sz="4" w:space="0"/>
                    <w:bottom w:val="single" w:color="auto" w:sz="4" w:space="0"/>
                    <w:right w:val="single" w:color="auto" w:sz="4" w:space="0"/>
                  </w:tcBorders>
                  <w:vAlign w:val="center"/>
                </w:tcPr>
                <w:p w14:paraId="7BF6D0DE">
                  <w:pPr>
                    <w:widowControl/>
                    <w:jc w:val="center"/>
                    <w:rPr>
                      <w:rFonts w:eastAsia="仿宋"/>
                      <w:color w:val="000000" w:themeColor="text1"/>
                      <w:szCs w:val="21"/>
                      <w14:textFill>
                        <w14:solidFill>
                          <w14:schemeClr w14:val="tx1"/>
                        </w14:solidFill>
                      </w14:textFill>
                    </w:rPr>
                  </w:pPr>
                </w:p>
              </w:tc>
              <w:tc>
                <w:tcPr>
                  <w:tcW w:w="965" w:type="dxa"/>
                  <w:vMerge w:val="continue"/>
                  <w:tcBorders>
                    <w:top w:val="nil"/>
                    <w:left w:val="single" w:color="auto" w:sz="4" w:space="0"/>
                    <w:bottom w:val="single" w:color="auto" w:sz="4" w:space="0"/>
                    <w:right w:val="single" w:color="auto" w:sz="4" w:space="0"/>
                  </w:tcBorders>
                  <w:vAlign w:val="center"/>
                </w:tcPr>
                <w:p w14:paraId="46B7C15F">
                  <w:pPr>
                    <w:widowControl/>
                    <w:jc w:val="center"/>
                    <w:rPr>
                      <w:rFonts w:eastAsia="仿宋"/>
                      <w:color w:val="000000" w:themeColor="text1"/>
                      <w:szCs w:val="21"/>
                      <w14:textFill>
                        <w14:solidFill>
                          <w14:schemeClr w14:val="tx1"/>
                        </w14:solidFill>
                      </w14:textFill>
                    </w:rPr>
                  </w:pPr>
                </w:p>
              </w:tc>
              <w:tc>
                <w:tcPr>
                  <w:tcW w:w="2097" w:type="dxa"/>
                  <w:tcBorders>
                    <w:top w:val="single" w:color="auto" w:sz="4" w:space="0"/>
                    <w:left w:val="single" w:color="auto" w:sz="4" w:space="0"/>
                    <w:bottom w:val="single" w:color="auto" w:sz="4" w:space="0"/>
                    <w:right w:val="single" w:color="auto" w:sz="4" w:space="0"/>
                  </w:tcBorders>
                  <w:vAlign w:val="center"/>
                </w:tcPr>
                <w:p w14:paraId="12822292">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热电联产【4412】</w:t>
                  </w:r>
                </w:p>
              </w:tc>
              <w:tc>
                <w:tcPr>
                  <w:tcW w:w="3059" w:type="dxa"/>
                  <w:tcBorders>
                    <w:top w:val="single" w:color="auto" w:sz="4" w:space="0"/>
                    <w:left w:val="single" w:color="auto" w:sz="4" w:space="0"/>
                    <w:bottom w:val="single" w:color="auto" w:sz="4" w:space="0"/>
                    <w:right w:val="single" w:color="auto" w:sz="4" w:space="0"/>
                  </w:tcBorders>
                  <w:vAlign w:val="center"/>
                </w:tcPr>
                <w:p w14:paraId="2574F257">
                  <w:pPr>
                    <w:pStyle w:val="58"/>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燃煤热电联产</w:t>
                  </w:r>
                </w:p>
              </w:tc>
              <w:tc>
                <w:tcPr>
                  <w:tcW w:w="1276" w:type="dxa"/>
                  <w:vMerge w:val="continue"/>
                  <w:tcBorders>
                    <w:top w:val="nil"/>
                    <w:left w:val="single" w:color="auto" w:sz="4" w:space="0"/>
                    <w:bottom w:val="single" w:color="auto" w:sz="4" w:space="0"/>
                    <w:right w:val="single" w:color="auto" w:sz="4" w:space="0"/>
                  </w:tcBorders>
                  <w:vAlign w:val="center"/>
                </w:tcPr>
                <w:p w14:paraId="1281A908">
                  <w:pPr>
                    <w:widowControl/>
                    <w:jc w:val="center"/>
                    <w:rPr>
                      <w:rFonts w:eastAsia="仿宋"/>
                      <w:color w:val="000000" w:themeColor="text1"/>
                      <w:szCs w:val="21"/>
                      <w14:textFill>
                        <w14:solidFill>
                          <w14:schemeClr w14:val="tx1"/>
                        </w14:solidFill>
                      </w14:textFill>
                    </w:rPr>
                  </w:pPr>
                </w:p>
              </w:tc>
            </w:tr>
          </w:tbl>
          <w:p w14:paraId="5ACCFE85">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根据上表可知，本项目</w:t>
            </w:r>
            <w:r>
              <w:rPr>
                <w:rFonts w:hint="eastAsia" w:ascii="仿宋" w:hAnsi="仿宋" w:eastAsia="仿宋"/>
                <w:bCs/>
                <w:color w:val="000000" w:themeColor="text1"/>
                <w:sz w:val="24"/>
                <w14:textFill>
                  <w14:solidFill>
                    <w14:schemeClr w14:val="tx1"/>
                  </w14:solidFill>
                </w14:textFill>
              </w:rPr>
              <w:t>为医疗诊断用发生器设备制造项目</w:t>
            </w:r>
            <w:r>
              <w:rPr>
                <w:rFonts w:ascii="仿宋" w:hAnsi="仿宋" w:eastAsia="仿宋"/>
                <w:bCs/>
                <w:color w:val="000000" w:themeColor="text1"/>
                <w:sz w:val="24"/>
                <w14:textFill>
                  <w14:solidFill>
                    <w14:schemeClr w14:val="tx1"/>
                  </w14:solidFill>
                </w14:textFill>
              </w:rPr>
              <w:t>，国民经济行业类别属于</w:t>
            </w:r>
            <w:r>
              <w:rPr>
                <w:rFonts w:eastAsia="仿宋"/>
                <w:bCs/>
                <w:color w:val="000000" w:themeColor="text1"/>
                <w:sz w:val="24"/>
                <w14:textFill>
                  <w14:solidFill>
                    <w14:schemeClr w14:val="tx1"/>
                  </w14:solidFill>
                </w14:textFill>
              </w:rPr>
              <w:t>“</w:t>
            </w:r>
            <w:r>
              <w:rPr>
                <w:rFonts w:hint="eastAsia" w:eastAsia="仿宋"/>
                <w:bCs/>
                <w:color w:val="000000" w:themeColor="text1"/>
                <w:sz w:val="24"/>
                <w14:textFill>
                  <w14:solidFill>
                    <w14:schemeClr w14:val="tx1"/>
                  </w14:solidFill>
                </w14:textFill>
              </w:rPr>
              <w:t>C3581医疗诊断、监护及治疗设备制造</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，不属于江苏省</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两高</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项目。</w:t>
            </w:r>
          </w:p>
          <w:p w14:paraId="054D0C49">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11</w:t>
            </w:r>
            <w:r>
              <w:rPr>
                <w:rFonts w:ascii="仿宋" w:hAnsi="仿宋" w:eastAsia="仿宋"/>
                <w:bCs/>
                <w:color w:val="000000" w:themeColor="text1"/>
                <w:sz w:val="24"/>
                <w14:textFill>
                  <w14:solidFill>
                    <w14:schemeClr w14:val="tx1"/>
                  </w14:solidFill>
                </w14:textFill>
              </w:rPr>
              <w:t>、与《关于加强高耗能、高排放建设项目生态环境源头防控的指导意见》（环环评〔</w:t>
            </w:r>
            <w:r>
              <w:rPr>
                <w:rFonts w:eastAsia="仿宋"/>
                <w:bCs/>
                <w:color w:val="000000" w:themeColor="text1"/>
                <w:sz w:val="24"/>
                <w14:textFill>
                  <w14:solidFill>
                    <w14:schemeClr w14:val="tx1"/>
                  </w14:solidFill>
                </w14:textFill>
              </w:rPr>
              <w:t>2021</w:t>
            </w:r>
            <w:r>
              <w:rPr>
                <w:rFonts w:ascii="仿宋" w:hAnsi="仿宋"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45</w:t>
            </w:r>
            <w:r>
              <w:rPr>
                <w:rFonts w:ascii="仿宋" w:hAnsi="仿宋" w:eastAsia="仿宋"/>
                <w:bCs/>
                <w:color w:val="000000" w:themeColor="text1"/>
                <w:sz w:val="24"/>
                <w14:textFill>
                  <w14:solidFill>
                    <w14:schemeClr w14:val="tx1"/>
                  </w14:solidFill>
                </w14:textFill>
              </w:rPr>
              <w:t>号）符合性分析。</w:t>
            </w:r>
          </w:p>
          <w:p w14:paraId="77DD096F">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根据《关于加强高耗能、高排放建设项目生态环境源头防控的指导意见》（环环评〔</w:t>
            </w:r>
            <w:r>
              <w:rPr>
                <w:rFonts w:eastAsia="仿宋"/>
                <w:bCs/>
                <w:color w:val="000000" w:themeColor="text1"/>
                <w:sz w:val="24"/>
                <w14:textFill>
                  <w14:solidFill>
                    <w14:schemeClr w14:val="tx1"/>
                  </w14:solidFill>
                </w14:textFill>
              </w:rPr>
              <w:t>2021</w:t>
            </w:r>
            <w:r>
              <w:rPr>
                <w:rFonts w:ascii="仿宋" w:hAnsi="仿宋"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45</w:t>
            </w:r>
            <w:r>
              <w:rPr>
                <w:rFonts w:ascii="仿宋" w:hAnsi="仿宋" w:eastAsia="仿宋"/>
                <w:bCs/>
                <w:color w:val="000000" w:themeColor="text1"/>
                <w:sz w:val="24"/>
                <w14:textFill>
                  <w14:solidFill>
                    <w14:schemeClr w14:val="tx1"/>
                  </w14:solidFill>
                </w14:textFill>
              </w:rPr>
              <w:t>号），新建、改建、扩建</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两高</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p w14:paraId="75BFDB03">
            <w:pPr>
              <w:spacing w:line="480" w:lineRule="exact"/>
              <w:ind w:firstLine="482" w:firstLineChars="200"/>
              <w:rPr>
                <w:rFonts w:eastAsia="仿宋"/>
                <w:bCs/>
                <w:color w:val="000000" w:themeColor="text1"/>
                <w:sz w:val="24"/>
                <w14:textFill>
                  <w14:solidFill>
                    <w14:schemeClr w14:val="tx1"/>
                  </w14:solidFill>
                </w14:textFill>
              </w:rPr>
            </w:pPr>
            <w:r>
              <w:rPr>
                <w:rFonts w:ascii="仿宋" w:hAnsi="仿宋" w:eastAsia="仿宋"/>
                <w:b/>
                <w:bCs/>
                <w:color w:val="000000" w:themeColor="text1"/>
                <w:sz w:val="24"/>
                <w14:textFill>
                  <w14:solidFill>
                    <w14:schemeClr w14:val="tx1"/>
                  </w14:solidFill>
                </w14:textFill>
              </w:rPr>
              <w:t>对照分析：</w:t>
            </w:r>
            <w:r>
              <w:rPr>
                <w:rFonts w:hint="eastAsia" w:ascii="宋体" w:hAnsi="宋体"/>
                <w:bCs/>
                <w:color w:val="000000" w:themeColor="text1"/>
                <w:sz w:val="24"/>
                <w14:textFill>
                  <w14:solidFill>
                    <w14:schemeClr w14:val="tx1"/>
                  </w14:solidFill>
                </w14:textFill>
              </w:rPr>
              <w:t>①</w:t>
            </w:r>
            <w:r>
              <w:rPr>
                <w:rFonts w:ascii="仿宋" w:hAnsi="仿宋" w:eastAsia="仿宋"/>
                <w:bCs/>
                <w:color w:val="000000" w:themeColor="text1"/>
                <w:sz w:val="24"/>
                <w14:textFill>
                  <w14:solidFill>
                    <w14:schemeClr w14:val="tx1"/>
                  </w14:solidFill>
                </w14:textFill>
              </w:rPr>
              <w:t>本项目国民经济行业类别属于</w:t>
            </w:r>
            <w:r>
              <w:rPr>
                <w:rFonts w:eastAsia="仿宋"/>
                <w:bCs/>
                <w:color w:val="000000" w:themeColor="text1"/>
                <w:sz w:val="24"/>
                <w14:textFill>
                  <w14:solidFill>
                    <w14:schemeClr w14:val="tx1"/>
                  </w14:solidFill>
                </w14:textFill>
              </w:rPr>
              <w:t>“</w:t>
            </w:r>
            <w:r>
              <w:rPr>
                <w:rFonts w:hint="eastAsia" w:eastAsia="仿宋"/>
                <w:bCs/>
                <w:color w:val="000000" w:themeColor="text1"/>
                <w:sz w:val="24"/>
                <w14:textFill>
                  <w14:solidFill>
                    <w14:schemeClr w14:val="tx1"/>
                  </w14:solidFill>
                </w14:textFill>
              </w:rPr>
              <w:t>C3581医疗诊断、监护及治疗设备制造</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，不属于高耗能、高排放建设项目；</w:t>
            </w:r>
            <w:r>
              <w:rPr>
                <w:rFonts w:hint="eastAsia" w:ascii="宋体" w:hAnsi="宋体"/>
                <w:bCs/>
                <w:color w:val="000000" w:themeColor="text1"/>
                <w:sz w:val="24"/>
                <w14:textFill>
                  <w14:solidFill>
                    <w14:schemeClr w14:val="tx1"/>
                  </w14:solidFill>
                </w14:textFill>
              </w:rPr>
              <w:t>②</w:t>
            </w:r>
            <w:r>
              <w:rPr>
                <w:rFonts w:ascii="仿宋" w:hAnsi="仿宋" w:eastAsia="仿宋"/>
                <w:bCs/>
                <w:color w:val="000000" w:themeColor="text1"/>
                <w:sz w:val="24"/>
                <w14:textFill>
                  <w14:solidFill>
                    <w14:schemeClr w14:val="tx1"/>
                  </w14:solidFill>
                </w14:textFill>
              </w:rPr>
              <w:t>目前本项目处于环评编制阶段，在环评审批前将严格落实主要污染物排放总量指标控制制度，满足碳排放达峰目标、生态环境准入清单、相关规划环评和相应行业建设项目环境准入条件、环评文件审批原则要求。</w:t>
            </w:r>
          </w:p>
          <w:p w14:paraId="5C41ED50">
            <w:pPr>
              <w:spacing w:line="48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（二）“三线一单”符合性分析</w:t>
            </w:r>
          </w:p>
          <w:p w14:paraId="6839ED34">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根据《关于以改善环境质量为核心加强环境影响评价管理的通知》（环环评〔2016〕150号）、《省政府关于印发江苏省“三线一单”生态环境分区管控方案的通知》（苏政发〔2020〕49号）以及《江苏省2023年度生态环境分区管控动态更新成果》、《关于印发常州市“三线一单”生态环境分区管控实施方案的通知》（常环〔2020〕95号）</w:t>
            </w:r>
            <w:r>
              <w:rPr>
                <w:rFonts w:hint="eastAsia" w:eastAsia="仿宋"/>
                <w:color w:val="000000" w:themeColor="text1"/>
                <w:sz w:val="24"/>
                <w14:textFill>
                  <w14:solidFill>
                    <w14:schemeClr w14:val="tx1"/>
                  </w14:solidFill>
                </w14:textFill>
              </w:rPr>
              <w:t>及《常州市生态环境分区管控动态更新成果（2023年版）公告》</w:t>
            </w:r>
            <w:r>
              <w:rPr>
                <w:rFonts w:eastAsia="仿宋"/>
                <w:color w:val="000000" w:themeColor="text1"/>
                <w:sz w:val="24"/>
                <w14:textFill>
                  <w14:solidFill>
                    <w14:schemeClr w14:val="tx1"/>
                  </w14:solidFill>
                </w14:textFill>
              </w:rPr>
              <w:t>，对本项目建设进行“三线一单”符合性分析。</w:t>
            </w:r>
          </w:p>
          <w:p w14:paraId="114DC740">
            <w:pPr>
              <w:spacing w:line="480" w:lineRule="exact"/>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表1-3 本项目“三线一单”符合性分析</w:t>
            </w:r>
          </w:p>
          <w:tbl>
            <w:tblPr>
              <w:tblStyle w:val="2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02"/>
              <w:gridCol w:w="6287"/>
              <w:gridCol w:w="873"/>
            </w:tblGrid>
            <w:tr w14:paraId="547F2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04" w:type="pct"/>
                  <w:tcBorders>
                    <w:top w:val="single" w:color="000000" w:sz="4" w:space="0"/>
                    <w:left w:val="single" w:color="000000" w:sz="4" w:space="0"/>
                    <w:bottom w:val="single" w:color="000000" w:sz="4" w:space="0"/>
                    <w:right w:val="single" w:color="000000" w:sz="4" w:space="0"/>
                  </w:tcBorders>
                  <w:vAlign w:val="center"/>
                </w:tcPr>
                <w:p w14:paraId="6FE1902E">
                  <w:pPr>
                    <w:snapToGrid w:val="0"/>
                    <w:spacing w:line="240" w:lineRule="atLeast"/>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内容</w:t>
                  </w:r>
                </w:p>
              </w:tc>
              <w:tc>
                <w:tcPr>
                  <w:tcW w:w="3948" w:type="pct"/>
                  <w:tcBorders>
                    <w:top w:val="single" w:color="000000" w:sz="4" w:space="0"/>
                    <w:left w:val="single" w:color="000000" w:sz="4" w:space="0"/>
                    <w:bottom w:val="single" w:color="000000" w:sz="4" w:space="0"/>
                    <w:right w:val="single" w:color="000000" w:sz="4" w:space="0"/>
                  </w:tcBorders>
                  <w:vAlign w:val="center"/>
                </w:tcPr>
                <w:p w14:paraId="3B651BD0">
                  <w:pPr>
                    <w:snapToGrid w:val="0"/>
                    <w:spacing w:line="240" w:lineRule="atLeast"/>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符合性分析</w:t>
                  </w:r>
                </w:p>
              </w:tc>
              <w:tc>
                <w:tcPr>
                  <w:tcW w:w="549" w:type="pct"/>
                  <w:tcBorders>
                    <w:top w:val="single" w:color="000000" w:sz="4" w:space="0"/>
                    <w:left w:val="single" w:color="000000" w:sz="4" w:space="0"/>
                    <w:bottom w:val="single" w:color="000000" w:sz="4" w:space="0"/>
                    <w:right w:val="single" w:color="000000" w:sz="4" w:space="0"/>
                  </w:tcBorders>
                  <w:vAlign w:val="center"/>
                </w:tcPr>
                <w:p w14:paraId="30E8D201">
                  <w:pPr>
                    <w:snapToGrid w:val="0"/>
                    <w:spacing w:line="240" w:lineRule="atLeast"/>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是否</w:t>
                  </w:r>
                </w:p>
                <w:p w14:paraId="6ECD493A">
                  <w:pPr>
                    <w:snapToGrid w:val="0"/>
                    <w:spacing w:line="240" w:lineRule="atLeast"/>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符合</w:t>
                  </w:r>
                </w:p>
              </w:tc>
            </w:tr>
            <w:tr w14:paraId="2D5AC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04" w:type="pct"/>
                  <w:tcBorders>
                    <w:top w:val="single" w:color="000000" w:sz="4" w:space="0"/>
                    <w:left w:val="single" w:color="000000" w:sz="4" w:space="0"/>
                    <w:bottom w:val="single" w:color="000000" w:sz="4" w:space="0"/>
                    <w:right w:val="single" w:color="000000" w:sz="4" w:space="0"/>
                  </w:tcBorders>
                  <w:vAlign w:val="center"/>
                </w:tcPr>
                <w:p w14:paraId="2C04D333">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生态保护红线</w:t>
                  </w:r>
                </w:p>
              </w:tc>
              <w:tc>
                <w:tcPr>
                  <w:tcW w:w="3948" w:type="pct"/>
                  <w:tcBorders>
                    <w:top w:val="single" w:color="000000" w:sz="4" w:space="0"/>
                    <w:left w:val="single" w:color="000000" w:sz="4" w:space="0"/>
                    <w:bottom w:val="single" w:color="000000" w:sz="4" w:space="0"/>
                    <w:right w:val="single" w:color="000000" w:sz="4" w:space="0"/>
                  </w:tcBorders>
                  <w:vAlign w:val="center"/>
                </w:tcPr>
                <w:p w14:paraId="50271BDA">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根据《省政府关于印发江苏省生态空间管控区域规划的通知》（苏政发〔2020〕1号）及《省政府关于印发江苏省国家级生态保护红线规划的通知》（苏政发〔2018〕74号），本项目位于江苏省常州市江苏金坛经济开发区汇福路东侧，珠山路南侧，距钱资荡重要湿地直线距离约4.6km，不属于钱资荡重要湿地生态空间管控区域范围，不在《江苏省生态空间管控区域规划》及《江苏省国家级生态保护红线规划》中规定的生态空间保护区域内。因此，本项目选址与生态空间管控区域规划相符。</w:t>
                  </w:r>
                </w:p>
              </w:tc>
              <w:tc>
                <w:tcPr>
                  <w:tcW w:w="549" w:type="pct"/>
                  <w:tcBorders>
                    <w:top w:val="single" w:color="000000" w:sz="4" w:space="0"/>
                    <w:left w:val="single" w:color="000000" w:sz="4" w:space="0"/>
                    <w:bottom w:val="single" w:color="000000" w:sz="4" w:space="0"/>
                    <w:right w:val="single" w:color="000000" w:sz="4" w:space="0"/>
                  </w:tcBorders>
                  <w:vAlign w:val="center"/>
                </w:tcPr>
                <w:p w14:paraId="07644940">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是</w:t>
                  </w:r>
                </w:p>
              </w:tc>
            </w:tr>
            <w:tr w14:paraId="108CB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04" w:type="pct"/>
                  <w:tcBorders>
                    <w:top w:val="single" w:color="000000" w:sz="4" w:space="0"/>
                    <w:left w:val="single" w:color="000000" w:sz="4" w:space="0"/>
                    <w:bottom w:val="single" w:color="000000" w:sz="4" w:space="0"/>
                    <w:right w:val="single" w:color="000000" w:sz="4" w:space="0"/>
                  </w:tcBorders>
                  <w:vAlign w:val="center"/>
                </w:tcPr>
                <w:p w14:paraId="0DC09CB0">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环境质量底线</w:t>
                  </w:r>
                </w:p>
              </w:tc>
              <w:tc>
                <w:tcPr>
                  <w:tcW w:w="3948" w:type="pct"/>
                  <w:tcBorders>
                    <w:top w:val="single" w:color="000000" w:sz="4" w:space="0"/>
                    <w:left w:val="single" w:color="000000" w:sz="4" w:space="0"/>
                    <w:bottom w:val="single" w:color="000000" w:sz="4" w:space="0"/>
                    <w:right w:val="single" w:color="000000" w:sz="4" w:space="0"/>
                  </w:tcBorders>
                  <w:vAlign w:val="center"/>
                </w:tcPr>
                <w:p w14:paraId="3147CA94">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根据《常州市生态环境状况公报（</w:t>
                  </w:r>
                  <w:r>
                    <w:rPr>
                      <w:rFonts w:eastAsia="仿宋"/>
                      <w:color w:val="000000" w:themeColor="text1"/>
                      <w:szCs w:val="21"/>
                      <w14:textFill>
                        <w14:solidFill>
                          <w14:schemeClr w14:val="tx1"/>
                        </w14:solidFill>
                      </w14:textFill>
                    </w:rPr>
                    <w:t>2023</w:t>
                  </w:r>
                  <w:r>
                    <w:rPr>
                      <w:rFonts w:ascii="仿宋" w:hAnsi="仿宋" w:eastAsia="仿宋"/>
                      <w:color w:val="000000" w:themeColor="text1"/>
                      <w:szCs w:val="21"/>
                      <w14:textFill>
                        <w14:solidFill>
                          <w14:schemeClr w14:val="tx1"/>
                        </w14:solidFill>
                      </w14:textFill>
                    </w:rPr>
                    <w:t>年）》中环境空气质量数据及现状监测结果可知，项目所在区域地表水、声环境质量能够满足相应功能区划要求，项目所在地大气环境</w:t>
                  </w:r>
                  <w:r>
                    <w:rPr>
                      <w:rFonts w:eastAsia="仿宋"/>
                      <w:color w:val="000000" w:themeColor="text1"/>
                      <w:szCs w:val="21"/>
                      <w14:textFill>
                        <w14:solidFill>
                          <w14:schemeClr w14:val="tx1"/>
                        </w14:solidFill>
                      </w14:textFill>
                    </w:rPr>
                    <w:t>PM</w:t>
                  </w:r>
                  <w:r>
                    <w:rPr>
                      <w:rFonts w:eastAsia="仿宋"/>
                      <w:color w:val="000000" w:themeColor="text1"/>
                      <w:szCs w:val="21"/>
                      <w:vertAlign w:val="subscript"/>
                      <w14:textFill>
                        <w14:solidFill>
                          <w14:schemeClr w14:val="tx1"/>
                        </w14:solidFill>
                      </w14:textFill>
                    </w:rPr>
                    <w:t>2.5</w:t>
                  </w: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O</w:t>
                  </w:r>
                  <w:r>
                    <w:rPr>
                      <w:rFonts w:eastAsia="仿宋"/>
                      <w:color w:val="000000" w:themeColor="text1"/>
                      <w:szCs w:val="21"/>
                      <w:vertAlign w:val="subscript"/>
                      <w14:textFill>
                        <w14:solidFill>
                          <w14:schemeClr w14:val="tx1"/>
                        </w14:solidFill>
                      </w14:textFill>
                    </w:rPr>
                    <w:t>3</w:t>
                  </w:r>
                  <w:r>
                    <w:rPr>
                      <w:rFonts w:ascii="仿宋" w:hAnsi="仿宋" w:eastAsia="仿宋"/>
                      <w:color w:val="000000" w:themeColor="text1"/>
                      <w:szCs w:val="21"/>
                      <w14:textFill>
                        <w14:solidFill>
                          <w14:schemeClr w14:val="tx1"/>
                        </w14:solidFill>
                      </w14:textFill>
                    </w:rPr>
                    <w:t>超标，为不达标区。在实施区域削减方案后，本项目建设后大气环境质量状况可以得到整体改善。本项目的建设对周边环境影响较小，建成后不会突破当地环境质量底线。</w:t>
                  </w:r>
                </w:p>
              </w:tc>
              <w:tc>
                <w:tcPr>
                  <w:tcW w:w="549" w:type="pct"/>
                  <w:tcBorders>
                    <w:top w:val="single" w:color="000000" w:sz="4" w:space="0"/>
                    <w:left w:val="single" w:color="000000" w:sz="4" w:space="0"/>
                    <w:bottom w:val="single" w:color="000000" w:sz="4" w:space="0"/>
                    <w:right w:val="single" w:color="000000" w:sz="4" w:space="0"/>
                  </w:tcBorders>
                  <w:vAlign w:val="center"/>
                </w:tcPr>
                <w:p w14:paraId="2A3363E9">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是</w:t>
                  </w:r>
                </w:p>
              </w:tc>
            </w:tr>
            <w:tr w14:paraId="5480C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04" w:type="pct"/>
                  <w:tcBorders>
                    <w:top w:val="single" w:color="000000" w:sz="4" w:space="0"/>
                    <w:left w:val="single" w:color="000000" w:sz="4" w:space="0"/>
                    <w:bottom w:val="single" w:color="000000" w:sz="4" w:space="0"/>
                    <w:right w:val="single" w:color="000000" w:sz="4" w:space="0"/>
                  </w:tcBorders>
                  <w:vAlign w:val="center"/>
                </w:tcPr>
                <w:p w14:paraId="01E776E3">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资源利用上线</w:t>
                  </w:r>
                </w:p>
              </w:tc>
              <w:tc>
                <w:tcPr>
                  <w:tcW w:w="3948" w:type="pct"/>
                  <w:tcBorders>
                    <w:top w:val="single" w:color="000000" w:sz="4" w:space="0"/>
                    <w:left w:val="single" w:color="000000" w:sz="4" w:space="0"/>
                    <w:bottom w:val="single" w:color="000000" w:sz="4" w:space="0"/>
                    <w:right w:val="single" w:color="000000" w:sz="4" w:space="0"/>
                  </w:tcBorders>
                  <w:vAlign w:val="center"/>
                </w:tcPr>
                <w:p w14:paraId="27C89438">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本项目主要能源需求类型为水、电及相关原辅材料，本项目所在地水电资源丰富，废水经厂区污水管网接管进金坛第二污水处理厂集中处理，符合资源利用上线相关要求。</w:t>
                  </w:r>
                </w:p>
              </w:tc>
              <w:tc>
                <w:tcPr>
                  <w:tcW w:w="549" w:type="pct"/>
                  <w:tcBorders>
                    <w:top w:val="single" w:color="000000" w:sz="4" w:space="0"/>
                    <w:left w:val="single" w:color="000000" w:sz="4" w:space="0"/>
                    <w:bottom w:val="single" w:color="000000" w:sz="4" w:space="0"/>
                    <w:right w:val="single" w:color="000000" w:sz="4" w:space="0"/>
                  </w:tcBorders>
                  <w:vAlign w:val="center"/>
                </w:tcPr>
                <w:p w14:paraId="54EAF333">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是</w:t>
                  </w:r>
                </w:p>
              </w:tc>
            </w:tr>
            <w:tr w14:paraId="5E7A5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504" w:type="pct"/>
                  <w:tcBorders>
                    <w:top w:val="single" w:color="000000" w:sz="4" w:space="0"/>
                    <w:left w:val="single" w:color="000000" w:sz="4" w:space="0"/>
                    <w:bottom w:val="single" w:color="000000" w:sz="4" w:space="0"/>
                    <w:right w:val="single" w:color="000000" w:sz="4" w:space="0"/>
                  </w:tcBorders>
                  <w:vAlign w:val="center"/>
                </w:tcPr>
                <w:p w14:paraId="6B76B4F0">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环境准入负面清单</w:t>
                  </w:r>
                </w:p>
              </w:tc>
              <w:tc>
                <w:tcPr>
                  <w:tcW w:w="3948" w:type="pct"/>
                  <w:tcBorders>
                    <w:top w:val="single" w:color="000000" w:sz="4" w:space="0"/>
                    <w:left w:val="single" w:color="000000" w:sz="4" w:space="0"/>
                    <w:bottom w:val="single" w:color="000000" w:sz="4" w:space="0"/>
                    <w:right w:val="single" w:color="000000" w:sz="4" w:space="0"/>
                  </w:tcBorders>
                  <w:vAlign w:val="center"/>
                </w:tcPr>
                <w:p w14:paraId="44085266">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本项目符合现行国家产业、行业政策。本项目不属于《关于印发</w:t>
                  </w:r>
                  <w:r>
                    <w:rPr>
                      <w:rFonts w:eastAsia="仿宋"/>
                      <w:color w:val="000000" w:themeColor="text1"/>
                      <w:szCs w:val="21"/>
                      <w14:textFill>
                        <w14:solidFill>
                          <w14:schemeClr w14:val="tx1"/>
                        </w14:solidFill>
                      </w14:textFill>
                    </w:rPr>
                    <w:t>&lt;</w:t>
                  </w:r>
                  <w:r>
                    <w:rPr>
                      <w:rFonts w:ascii="仿宋" w:hAnsi="仿宋" w:eastAsia="仿宋"/>
                      <w:color w:val="000000" w:themeColor="text1"/>
                      <w:szCs w:val="21"/>
                      <w14:textFill>
                        <w14:solidFill>
                          <w14:schemeClr w14:val="tx1"/>
                        </w14:solidFill>
                      </w14:textFill>
                    </w:rPr>
                    <w:t>长江经济带发展负面清单指南</w:t>
                  </w:r>
                  <w:r>
                    <w:rPr>
                      <w:rFonts w:eastAsia="仿宋"/>
                      <w:color w:val="000000" w:themeColor="text1"/>
                      <w:szCs w:val="21"/>
                      <w14:textFill>
                        <w14:solidFill>
                          <w14:schemeClr w14:val="tx1"/>
                        </w14:solidFill>
                      </w14:textFill>
                    </w:rPr>
                    <w:t>&gt;</w:t>
                  </w:r>
                  <w:r>
                    <w:rPr>
                      <w:rFonts w:ascii="仿宋" w:hAnsi="仿宋" w:eastAsia="仿宋"/>
                      <w:color w:val="000000" w:themeColor="text1"/>
                      <w:szCs w:val="21"/>
                      <w14:textFill>
                        <w14:solidFill>
                          <w14:schemeClr w14:val="tx1"/>
                        </w14:solidFill>
                      </w14:textFill>
                    </w:rPr>
                    <w:t>（试行，</w:t>
                  </w:r>
                  <w:r>
                    <w:rPr>
                      <w:rFonts w:eastAsia="仿宋"/>
                      <w:color w:val="000000" w:themeColor="text1"/>
                      <w:szCs w:val="21"/>
                      <w14:textFill>
                        <w14:solidFill>
                          <w14:schemeClr w14:val="tx1"/>
                        </w14:solidFill>
                      </w14:textFill>
                    </w:rPr>
                    <w:t>2022</w:t>
                  </w:r>
                  <w:r>
                    <w:rPr>
                      <w:rFonts w:ascii="仿宋" w:hAnsi="仿宋" w:eastAsia="仿宋"/>
                      <w:color w:val="000000" w:themeColor="text1"/>
                      <w:szCs w:val="21"/>
                      <w14:textFill>
                        <w14:solidFill>
                          <w14:schemeClr w14:val="tx1"/>
                        </w14:solidFill>
                      </w14:textFill>
                    </w:rPr>
                    <w:t>年版）的通知》（长江办〔</w:t>
                  </w:r>
                  <w:r>
                    <w:rPr>
                      <w:rFonts w:eastAsia="仿宋"/>
                      <w:color w:val="000000" w:themeColor="text1"/>
                      <w:szCs w:val="21"/>
                      <w14:textFill>
                        <w14:solidFill>
                          <w14:schemeClr w14:val="tx1"/>
                        </w14:solidFill>
                      </w14:textFill>
                    </w:rPr>
                    <w:t>2022</w:t>
                  </w: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7</w:t>
                  </w:r>
                  <w:r>
                    <w:rPr>
                      <w:rFonts w:ascii="仿宋" w:hAnsi="仿宋" w:eastAsia="仿宋"/>
                      <w:color w:val="000000" w:themeColor="text1"/>
                      <w:szCs w:val="21"/>
                      <w14:textFill>
                        <w14:solidFill>
                          <w14:schemeClr w14:val="tx1"/>
                        </w14:solidFill>
                      </w14:textFill>
                    </w:rPr>
                    <w:t>号）、《关于印发〈长江经济带发展负面清单指南（试行，</w:t>
                  </w:r>
                  <w:r>
                    <w:rPr>
                      <w:rFonts w:eastAsia="仿宋"/>
                      <w:color w:val="000000" w:themeColor="text1"/>
                      <w:szCs w:val="21"/>
                      <w14:textFill>
                        <w14:solidFill>
                          <w14:schemeClr w14:val="tx1"/>
                        </w14:solidFill>
                      </w14:textFill>
                    </w:rPr>
                    <w:t>2022</w:t>
                  </w:r>
                  <w:r>
                    <w:rPr>
                      <w:rFonts w:ascii="仿宋" w:hAnsi="仿宋" w:eastAsia="仿宋"/>
                      <w:color w:val="000000" w:themeColor="text1"/>
                      <w:szCs w:val="21"/>
                      <w14:textFill>
                        <w14:solidFill>
                          <w14:schemeClr w14:val="tx1"/>
                        </w14:solidFill>
                      </w14:textFill>
                    </w:rPr>
                    <w:t>年版）〉江苏省实施细则的通知》（苏长江办发〔</w:t>
                  </w:r>
                  <w:r>
                    <w:rPr>
                      <w:rFonts w:eastAsia="仿宋"/>
                      <w:color w:val="000000" w:themeColor="text1"/>
                      <w:szCs w:val="21"/>
                      <w14:textFill>
                        <w14:solidFill>
                          <w14:schemeClr w14:val="tx1"/>
                        </w14:solidFill>
                      </w14:textFill>
                    </w:rPr>
                    <w:t>2022</w:t>
                  </w: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55</w:t>
                  </w:r>
                  <w:r>
                    <w:rPr>
                      <w:rFonts w:ascii="仿宋" w:hAnsi="仿宋" w:eastAsia="仿宋"/>
                      <w:color w:val="000000" w:themeColor="text1"/>
                      <w:szCs w:val="21"/>
                      <w14:textFill>
                        <w14:solidFill>
                          <w14:schemeClr w14:val="tx1"/>
                        </w14:solidFill>
                      </w14:textFill>
                    </w:rPr>
                    <w:t>号）中禁止类条款，不属于《市场准入负面清单（</w:t>
                  </w:r>
                  <w:r>
                    <w:rPr>
                      <w:rFonts w:eastAsia="仿宋"/>
                      <w:color w:val="000000" w:themeColor="text1"/>
                      <w:szCs w:val="21"/>
                      <w14:textFill>
                        <w14:solidFill>
                          <w14:schemeClr w14:val="tx1"/>
                        </w14:solidFill>
                      </w14:textFill>
                    </w:rPr>
                    <w:t>2022</w:t>
                  </w:r>
                  <w:r>
                    <w:rPr>
                      <w:rFonts w:ascii="仿宋" w:hAnsi="仿宋" w:eastAsia="仿宋"/>
                      <w:color w:val="000000" w:themeColor="text1"/>
                      <w:szCs w:val="21"/>
                      <w14:textFill>
                        <w14:solidFill>
                          <w14:schemeClr w14:val="tx1"/>
                        </w14:solidFill>
                      </w14:textFill>
                    </w:rPr>
                    <w:t>年版）》其禁止准入类和限准入类，</w:t>
                  </w:r>
                  <w:r>
                    <w:rPr>
                      <w:rFonts w:hint="eastAsia" w:ascii="仿宋" w:hAnsi="仿宋" w:eastAsia="仿宋"/>
                      <w:color w:val="000000" w:themeColor="text1"/>
                      <w:szCs w:val="21"/>
                      <w14:textFill>
                        <w14:solidFill>
                          <w14:schemeClr w14:val="tx1"/>
                        </w14:solidFill>
                      </w14:textFill>
                    </w:rPr>
                    <w:t>不在《江苏省“两高”项目管理目录》（</w:t>
                  </w:r>
                  <w:r>
                    <w:rPr>
                      <w:rFonts w:eastAsia="仿宋"/>
                      <w:color w:val="000000" w:themeColor="text1"/>
                      <w:szCs w:val="21"/>
                      <w14:textFill>
                        <w14:solidFill>
                          <w14:schemeClr w14:val="tx1"/>
                        </w14:solidFill>
                      </w14:textFill>
                    </w:rPr>
                    <w:t>2024年版）中规定的江苏省“两高”项目管理目录中，</w:t>
                  </w:r>
                  <w:r>
                    <w:rPr>
                      <w:rFonts w:ascii="仿宋" w:hAnsi="仿宋" w:eastAsia="仿宋"/>
                      <w:color w:val="000000" w:themeColor="text1"/>
                      <w:szCs w:val="21"/>
                      <w14:textFill>
                        <w14:solidFill>
                          <w14:schemeClr w14:val="tx1"/>
                        </w14:solidFill>
                      </w14:textFill>
                    </w:rPr>
                    <w:t>不属于《外商投资准入特别管理措施（负面清单）（</w:t>
                  </w:r>
                  <w:r>
                    <w:rPr>
                      <w:rFonts w:eastAsia="仿宋"/>
                      <w:color w:val="000000" w:themeColor="text1"/>
                      <w:szCs w:val="21"/>
                      <w14:textFill>
                        <w14:solidFill>
                          <w14:schemeClr w14:val="tx1"/>
                        </w14:solidFill>
                      </w14:textFill>
                    </w:rPr>
                    <w:t>2024</w:t>
                  </w:r>
                  <w:r>
                    <w:rPr>
                      <w:rFonts w:ascii="仿宋" w:hAnsi="仿宋" w:eastAsia="仿宋"/>
                      <w:color w:val="000000" w:themeColor="text1"/>
                      <w:szCs w:val="21"/>
                      <w14:textFill>
                        <w14:solidFill>
                          <w14:schemeClr w14:val="tx1"/>
                        </w14:solidFill>
                      </w14:textFill>
                    </w:rPr>
                    <w:t>年版）》中特别管理措施类项目。因此本项目符合环境准入负面清单相关要求。</w:t>
                  </w:r>
                </w:p>
              </w:tc>
              <w:tc>
                <w:tcPr>
                  <w:tcW w:w="549" w:type="pct"/>
                  <w:tcBorders>
                    <w:top w:val="single" w:color="000000" w:sz="4" w:space="0"/>
                    <w:left w:val="single" w:color="000000" w:sz="4" w:space="0"/>
                    <w:bottom w:val="single" w:color="000000" w:sz="4" w:space="0"/>
                    <w:right w:val="single" w:color="000000" w:sz="4" w:space="0"/>
                  </w:tcBorders>
                  <w:vAlign w:val="center"/>
                </w:tcPr>
                <w:p w14:paraId="0E4DEC99">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是</w:t>
                  </w:r>
                </w:p>
              </w:tc>
            </w:tr>
          </w:tbl>
          <w:p w14:paraId="17A9F61D">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2、与《江苏省2023年度生态环境分区管控动态更新成果》相符性分析</w:t>
            </w:r>
          </w:p>
          <w:p w14:paraId="6E538342">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本项目位于江苏省常州</w:t>
            </w:r>
            <w:r>
              <w:rPr>
                <w:rFonts w:hint="eastAsia" w:ascii="仿宋" w:hAnsi="仿宋" w:eastAsia="仿宋"/>
                <w:bCs/>
                <w:color w:val="000000" w:themeColor="text1"/>
                <w:sz w:val="24"/>
                <w14:textFill>
                  <w14:solidFill>
                    <w14:schemeClr w14:val="tx1"/>
                  </w14:solidFill>
                </w14:textFill>
              </w:rPr>
              <w:t>市江苏金坛经济开发区汇福路东侧，珠山路南侧</w:t>
            </w:r>
            <w:r>
              <w:rPr>
                <w:rFonts w:ascii="仿宋" w:hAnsi="仿宋" w:eastAsia="仿宋"/>
                <w:bCs/>
                <w:color w:val="000000" w:themeColor="text1"/>
                <w:sz w:val="24"/>
                <w14:textFill>
                  <w14:solidFill>
                    <w14:schemeClr w14:val="tx1"/>
                  </w14:solidFill>
                </w14:textFill>
              </w:rPr>
              <w:t>，对照江苏省重点区域（流域）生态环境分区管控要求，具体分析如下表。</w:t>
            </w:r>
          </w:p>
          <w:p w14:paraId="0714EC10">
            <w:pPr>
              <w:spacing w:line="480" w:lineRule="exact"/>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表1</w:t>
            </w:r>
            <w:r>
              <w:rPr>
                <w:rFonts w:eastAsia="仿宋"/>
                <w:b/>
                <w:bCs/>
                <w:color w:val="000000" w:themeColor="text1"/>
                <w:szCs w:val="21"/>
                <w14:textFill>
                  <w14:solidFill>
                    <w14:schemeClr w14:val="tx1"/>
                  </w14:solidFill>
                </w14:textFill>
              </w:rPr>
              <w:t xml:space="preserve">-4 </w:t>
            </w:r>
            <w:r>
              <w:rPr>
                <w:rFonts w:hint="eastAsia" w:eastAsia="仿宋"/>
                <w:b/>
                <w:bCs/>
                <w:color w:val="000000" w:themeColor="text1"/>
                <w:szCs w:val="21"/>
                <w14:textFill>
                  <w14:solidFill>
                    <w14:schemeClr w14:val="tx1"/>
                  </w14:solidFill>
                </w14:textFill>
              </w:rPr>
              <w:t>江苏省省域生态环境管控要求（2</w:t>
            </w:r>
            <w:r>
              <w:rPr>
                <w:rFonts w:eastAsia="仿宋"/>
                <w:b/>
                <w:bCs/>
                <w:color w:val="000000" w:themeColor="text1"/>
                <w:szCs w:val="21"/>
                <w14:textFill>
                  <w14:solidFill>
                    <w14:schemeClr w14:val="tx1"/>
                  </w14:solidFill>
                </w14:textFill>
              </w:rPr>
              <w:t>023</w:t>
            </w:r>
            <w:r>
              <w:rPr>
                <w:rFonts w:hint="eastAsia" w:eastAsia="仿宋"/>
                <w:b/>
                <w:bCs/>
                <w:color w:val="000000" w:themeColor="text1"/>
                <w:szCs w:val="21"/>
                <w14:textFill>
                  <w14:solidFill>
                    <w14:schemeClr w14:val="tx1"/>
                  </w14:solidFill>
                </w14:textFill>
              </w:rPr>
              <w:t>年版）对照分析</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3766"/>
              <w:gridCol w:w="2463"/>
              <w:gridCol w:w="902"/>
            </w:tblGrid>
            <w:tr w14:paraId="5B297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2" w:type="pct"/>
                  <w:tcBorders>
                    <w:top w:val="single" w:color="auto" w:sz="4" w:space="0"/>
                    <w:left w:val="single" w:color="auto" w:sz="4" w:space="0"/>
                    <w:bottom w:val="single" w:color="auto" w:sz="4" w:space="0"/>
                    <w:right w:val="single" w:color="auto" w:sz="4" w:space="0"/>
                  </w:tcBorders>
                  <w:vAlign w:val="center"/>
                </w:tcPr>
                <w:p w14:paraId="5C486CAB">
                  <w:pPr>
                    <w:snapToGrid w:val="0"/>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管控类别</w:t>
                  </w:r>
                </w:p>
              </w:tc>
              <w:tc>
                <w:tcPr>
                  <w:tcW w:w="2365" w:type="pct"/>
                  <w:tcBorders>
                    <w:top w:val="single" w:color="auto" w:sz="4" w:space="0"/>
                    <w:left w:val="single" w:color="auto" w:sz="4" w:space="0"/>
                    <w:bottom w:val="single" w:color="auto" w:sz="4" w:space="0"/>
                    <w:right w:val="single" w:color="auto" w:sz="4" w:space="0"/>
                  </w:tcBorders>
                  <w:vAlign w:val="center"/>
                </w:tcPr>
                <w:p w14:paraId="617DB55C">
                  <w:pPr>
                    <w:snapToGrid w:val="0"/>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重点管控要求</w:t>
                  </w:r>
                </w:p>
              </w:tc>
              <w:tc>
                <w:tcPr>
                  <w:tcW w:w="1547" w:type="pct"/>
                  <w:tcBorders>
                    <w:top w:val="single" w:color="auto" w:sz="4" w:space="0"/>
                    <w:left w:val="single" w:color="auto" w:sz="4" w:space="0"/>
                    <w:bottom w:val="single" w:color="auto" w:sz="4" w:space="0"/>
                    <w:right w:val="single" w:color="auto" w:sz="4" w:space="0"/>
                  </w:tcBorders>
                  <w:vAlign w:val="center"/>
                </w:tcPr>
                <w:p w14:paraId="2EA37113">
                  <w:pPr>
                    <w:snapToGrid w:val="0"/>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本项目情况</w:t>
                  </w:r>
                </w:p>
              </w:tc>
              <w:tc>
                <w:tcPr>
                  <w:tcW w:w="566" w:type="pct"/>
                  <w:tcBorders>
                    <w:top w:val="single" w:color="auto" w:sz="4" w:space="0"/>
                    <w:left w:val="single" w:color="auto" w:sz="4" w:space="0"/>
                    <w:bottom w:val="single" w:color="auto" w:sz="4" w:space="0"/>
                    <w:right w:val="single" w:color="auto" w:sz="4" w:space="0"/>
                  </w:tcBorders>
                  <w:vAlign w:val="center"/>
                </w:tcPr>
                <w:p w14:paraId="4F35B9E5">
                  <w:pPr>
                    <w:snapToGrid w:val="0"/>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符合性</w:t>
                  </w:r>
                </w:p>
              </w:tc>
            </w:tr>
            <w:tr w14:paraId="17DB2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2" w:type="pct"/>
                  <w:tcBorders>
                    <w:top w:val="single" w:color="auto" w:sz="4" w:space="0"/>
                    <w:left w:val="single" w:color="auto" w:sz="4" w:space="0"/>
                    <w:bottom w:val="single" w:color="auto" w:sz="4" w:space="0"/>
                    <w:right w:val="single" w:color="auto" w:sz="4" w:space="0"/>
                  </w:tcBorders>
                  <w:vAlign w:val="center"/>
                </w:tcPr>
                <w:p w14:paraId="60E51B95">
                  <w:pPr>
                    <w:snapToGrid w:val="0"/>
                    <w:spacing w:line="240" w:lineRule="atLeas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空间布局约束</w:t>
                  </w:r>
                </w:p>
              </w:tc>
              <w:tc>
                <w:tcPr>
                  <w:tcW w:w="2365" w:type="pct"/>
                  <w:tcBorders>
                    <w:top w:val="single" w:color="auto" w:sz="4" w:space="0"/>
                    <w:left w:val="single" w:color="auto" w:sz="4" w:space="0"/>
                    <w:bottom w:val="single" w:color="auto" w:sz="4" w:space="0"/>
                    <w:right w:val="single" w:color="auto" w:sz="4" w:space="0"/>
                  </w:tcBorders>
                  <w:vAlign w:val="center"/>
                </w:tcPr>
                <w:p w14:paraId="505FFA7F">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（1）按照《自然资源部 生态环境部 国家林业和草原局关于加强生态保护红线管理的通知（试行）》（自然资发〔2022〕142号）、《省政府关于印发江苏省生态空间管控区域规划的通知》（苏政发〔2020〕1号）、《关于进一步加强生态保护红线监督管理的通知》（苏自然函（2023）880号）、《江苏省国土空间规划（2021-2035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p w14:paraId="0D19AC09">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牢牢把握推动长江经济带发展“共抓大保护，不搞大开发”战略导向，对省域范围内需要重点保护的岸线、河段和区域实行严格管控，管住控好排放量大、耗能高、产能过剩的产业，推动长江经济带高质量发展。</w:t>
                  </w:r>
                </w:p>
                <w:p w14:paraId="2CE99D34">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大幅压减沿长江干支流两侧1公里范围内、环境敏感区域、城镇人口密集区、化工园区外和规模以下化工生产企业，着力破解“重化围江”突出问题，高起点同步推进沿江地区战略性转型和沿海地区战略性布局。</w:t>
                  </w:r>
                </w:p>
                <w:p w14:paraId="61AEA51F">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w:t>
                  </w:r>
                </w:p>
                <w:p w14:paraId="194095C1">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钢铁行业转型升级优化布局。</w:t>
                  </w:r>
                </w:p>
                <w:p w14:paraId="5DBDD9FD">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1547" w:type="pct"/>
                  <w:tcBorders>
                    <w:top w:val="single" w:color="auto" w:sz="4" w:space="0"/>
                    <w:left w:val="single" w:color="auto" w:sz="4" w:space="0"/>
                    <w:bottom w:val="single" w:color="auto" w:sz="4" w:space="0"/>
                    <w:right w:val="single" w:color="auto" w:sz="4" w:space="0"/>
                  </w:tcBorders>
                  <w:vAlign w:val="center"/>
                </w:tcPr>
                <w:p w14:paraId="5760A6AF">
                  <w:pPr>
                    <w:snapToGrid w:val="0"/>
                    <w:spacing w:line="240" w:lineRule="atLeast"/>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（1）</w:t>
                  </w:r>
                  <w:r>
                    <w:rPr>
                      <w:rFonts w:eastAsia="仿宋"/>
                      <w:color w:val="000000" w:themeColor="text1"/>
                      <w:szCs w:val="21"/>
                      <w14:textFill>
                        <w14:solidFill>
                          <w14:schemeClr w14:val="tx1"/>
                        </w14:solidFill>
                      </w14:textFill>
                    </w:rPr>
                    <w:t>本项目满足《自然资源部生态环境部 国家林业和草原局关于加强生态保护红线管理的通知（试行）》（自然资发〔2022〕142号）、《省政府关于印发江苏省生态空间管控区域规划的通知》（苏政发〔2020〕1号）、《关于进一步加强生态保护红线监督管理的通知》（苏自然函（2023）880号）、《江苏省国土空间规划（2021-2035年）》（国函〔2023〕69号）中的相关要求；</w:t>
                  </w:r>
                  <w:r>
                    <w:rPr>
                      <w:rFonts w:hint="eastAsia" w:eastAsia="仿宋"/>
                      <w:color w:val="000000" w:themeColor="text1"/>
                      <w:szCs w:val="21"/>
                      <w14:textFill>
                        <w14:solidFill>
                          <w14:schemeClr w14:val="tx1"/>
                        </w14:solidFill>
                      </w14:textFill>
                    </w:rPr>
                    <w:t>（2）</w:t>
                  </w:r>
                  <w:r>
                    <w:rPr>
                      <w:rFonts w:eastAsia="仿宋"/>
                      <w:color w:val="000000" w:themeColor="text1"/>
                      <w:szCs w:val="21"/>
                      <w14:textFill>
                        <w14:solidFill>
                          <w14:schemeClr w14:val="tx1"/>
                        </w14:solidFill>
                      </w14:textFill>
                    </w:rPr>
                    <w:t>本项目</w:t>
                  </w:r>
                  <w:r>
                    <w:rPr>
                      <w:rFonts w:hint="eastAsia" w:eastAsia="仿宋"/>
                      <w:color w:val="000000" w:themeColor="text1"/>
                      <w:szCs w:val="21"/>
                      <w14:textFill>
                        <w14:solidFill>
                          <w14:schemeClr w14:val="tx1"/>
                        </w14:solidFill>
                      </w14:textFill>
                    </w:rPr>
                    <w:t>为医疗诊断用发生器设备制造</w:t>
                  </w:r>
                  <w:r>
                    <w:rPr>
                      <w:rFonts w:eastAsia="仿宋"/>
                      <w:color w:val="000000" w:themeColor="text1"/>
                      <w:szCs w:val="21"/>
                      <w14:textFill>
                        <w14:solidFill>
                          <w14:schemeClr w14:val="tx1"/>
                        </w14:solidFill>
                      </w14:textFill>
                    </w:rPr>
                    <w:t>项目，不属于“两高”项目范畴；</w:t>
                  </w:r>
                  <w:r>
                    <w:rPr>
                      <w:rFonts w:hint="eastAsia" w:eastAsia="仿宋"/>
                      <w:color w:val="000000" w:themeColor="text1"/>
                      <w:szCs w:val="21"/>
                      <w14:textFill>
                        <w14:solidFill>
                          <w14:schemeClr w14:val="tx1"/>
                        </w14:solidFill>
                      </w14:textFill>
                    </w:rPr>
                    <w:t>（3）</w:t>
                  </w:r>
                  <w:r>
                    <w:rPr>
                      <w:rFonts w:eastAsia="仿宋"/>
                      <w:color w:val="000000" w:themeColor="text1"/>
                      <w:szCs w:val="21"/>
                      <w14:textFill>
                        <w14:solidFill>
                          <w14:schemeClr w14:val="tx1"/>
                        </w14:solidFill>
                      </w14:textFill>
                    </w:rPr>
                    <w:t>本项目位于江苏省常州市江苏金坛经济开发区汇福路东侧，珠山路南侧，不在长江沿江1公里范围内。</w:t>
                  </w:r>
                </w:p>
              </w:tc>
              <w:tc>
                <w:tcPr>
                  <w:tcW w:w="566" w:type="pct"/>
                  <w:tcBorders>
                    <w:top w:val="single" w:color="auto" w:sz="4" w:space="0"/>
                    <w:left w:val="single" w:color="auto" w:sz="4" w:space="0"/>
                    <w:bottom w:val="single" w:color="auto" w:sz="4" w:space="0"/>
                    <w:right w:val="single" w:color="auto" w:sz="4" w:space="0"/>
                  </w:tcBorders>
                  <w:vAlign w:val="center"/>
                </w:tcPr>
                <w:p w14:paraId="31E7775E">
                  <w:pPr>
                    <w:snapToGrid w:val="0"/>
                    <w:spacing w:line="240" w:lineRule="atLeas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r w14:paraId="70EBC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2" w:type="pct"/>
                  <w:tcBorders>
                    <w:top w:val="single" w:color="auto" w:sz="4" w:space="0"/>
                    <w:left w:val="single" w:color="auto" w:sz="4" w:space="0"/>
                    <w:bottom w:val="single" w:color="auto" w:sz="4" w:space="0"/>
                    <w:right w:val="single" w:color="auto" w:sz="4" w:space="0"/>
                  </w:tcBorders>
                  <w:vAlign w:val="center"/>
                </w:tcPr>
                <w:p w14:paraId="4E187D10">
                  <w:pPr>
                    <w:snapToGrid w:val="0"/>
                    <w:spacing w:line="240" w:lineRule="atLeas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污染物排放管控</w:t>
                  </w:r>
                </w:p>
              </w:tc>
              <w:tc>
                <w:tcPr>
                  <w:tcW w:w="2365" w:type="pct"/>
                  <w:tcBorders>
                    <w:top w:val="single" w:color="auto" w:sz="4" w:space="0"/>
                    <w:left w:val="single" w:color="auto" w:sz="4" w:space="0"/>
                    <w:bottom w:val="single" w:color="auto" w:sz="4" w:space="0"/>
                    <w:right w:val="single" w:color="auto" w:sz="4" w:space="0"/>
                  </w:tcBorders>
                  <w:vAlign w:val="center"/>
                </w:tcPr>
                <w:p w14:paraId="1C82BE15">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（1）坚持生态环境质量只能更好、不能变坏，实施污染物总量控制，以环境容量定产业、定项目、定规模，确保开发建设行为不突破生态环境承载力。</w:t>
                  </w:r>
                </w:p>
                <w:p w14:paraId="5EC2FB5A">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2025年，主要污染物排放减排完成国家下达任务，单位工业增加值二氧化碳排放量下降20%，主要高耗能行业单位产品二氧化碳排放达到世界先进水平。实施氮氧化物（NOx）和VOCs协同减排，推进多污染物和关联区域连防联控。</w:t>
                  </w:r>
                </w:p>
              </w:tc>
              <w:tc>
                <w:tcPr>
                  <w:tcW w:w="1547" w:type="pct"/>
                  <w:tcBorders>
                    <w:top w:val="single" w:color="auto" w:sz="4" w:space="0"/>
                    <w:left w:val="single" w:color="auto" w:sz="4" w:space="0"/>
                    <w:bottom w:val="single" w:color="auto" w:sz="4" w:space="0"/>
                    <w:right w:val="single" w:color="auto" w:sz="4" w:space="0"/>
                  </w:tcBorders>
                  <w:vAlign w:val="center"/>
                </w:tcPr>
                <w:p w14:paraId="79318FB9">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目前，本项目处于环评编制阶段，在环评审批前将严格落实主要污染物排放总量指标控制制度，取得主要污染物排放总量的控制指标和平衡方案，故符合文件要求。</w:t>
                  </w:r>
                </w:p>
              </w:tc>
              <w:tc>
                <w:tcPr>
                  <w:tcW w:w="566" w:type="pct"/>
                  <w:tcBorders>
                    <w:top w:val="single" w:color="auto" w:sz="4" w:space="0"/>
                    <w:left w:val="single" w:color="auto" w:sz="4" w:space="0"/>
                    <w:bottom w:val="single" w:color="auto" w:sz="4" w:space="0"/>
                    <w:right w:val="single" w:color="auto" w:sz="4" w:space="0"/>
                  </w:tcBorders>
                  <w:vAlign w:val="center"/>
                </w:tcPr>
                <w:p w14:paraId="7D6398DA">
                  <w:pPr>
                    <w:snapToGrid w:val="0"/>
                    <w:spacing w:line="240" w:lineRule="atLeas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r w14:paraId="29070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2" w:type="pct"/>
                  <w:tcBorders>
                    <w:top w:val="single" w:color="auto" w:sz="4" w:space="0"/>
                    <w:left w:val="single" w:color="auto" w:sz="4" w:space="0"/>
                    <w:bottom w:val="single" w:color="auto" w:sz="4" w:space="0"/>
                    <w:right w:val="single" w:color="auto" w:sz="4" w:space="0"/>
                  </w:tcBorders>
                  <w:vAlign w:val="center"/>
                </w:tcPr>
                <w:p w14:paraId="20F33AAC">
                  <w:pPr>
                    <w:snapToGrid w:val="0"/>
                    <w:spacing w:line="240" w:lineRule="atLeas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环境风险防控</w:t>
                  </w:r>
                </w:p>
              </w:tc>
              <w:tc>
                <w:tcPr>
                  <w:tcW w:w="2365" w:type="pct"/>
                  <w:tcBorders>
                    <w:top w:val="single" w:color="auto" w:sz="4" w:space="0"/>
                    <w:left w:val="single" w:color="auto" w:sz="4" w:space="0"/>
                    <w:bottom w:val="single" w:color="auto" w:sz="4" w:space="0"/>
                    <w:right w:val="single" w:color="auto" w:sz="4" w:space="0"/>
                  </w:tcBorders>
                  <w:vAlign w:val="center"/>
                </w:tcPr>
                <w:p w14:paraId="2E1E9075">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（1）强化饮用水水源环境风险管控。县级以上城市全部建成应急水源或双源供水。</w:t>
                  </w:r>
                </w:p>
                <w:p w14:paraId="1EC46521">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p w14:paraId="30C98B16">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（3）强化环境事故应急管理。深化跨部门、跨区域环境应急协调联动，分区域建立环境应急物资储备库。各级工业园区（集聚区）和企业的环境应急装备和储备物资应纳入储备体系。</w:t>
                  </w:r>
                </w:p>
                <w:p w14:paraId="67C58F52">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（4）强化环境风险防控能力建设。按照统一信息平台、统一监管力度、统一应急等级、协同应急救援的思路，在沿</w:t>
                  </w:r>
                </w:p>
                <w:p w14:paraId="21181941">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江发展带、沿海发展带、环太湖等地区构建区域性环境风险预警应急响应机制，实施区域突发环境风险预警联防联</w:t>
                  </w:r>
                </w:p>
                <w:p w14:paraId="6598A647">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控。</w:t>
                  </w:r>
                </w:p>
              </w:tc>
              <w:tc>
                <w:tcPr>
                  <w:tcW w:w="1547" w:type="pct"/>
                  <w:tcBorders>
                    <w:top w:val="single" w:color="auto" w:sz="4" w:space="0"/>
                    <w:left w:val="single" w:color="auto" w:sz="4" w:space="0"/>
                    <w:bottom w:val="single" w:color="auto" w:sz="4" w:space="0"/>
                    <w:right w:val="single" w:color="auto" w:sz="4" w:space="0"/>
                  </w:tcBorders>
                  <w:vAlign w:val="center"/>
                </w:tcPr>
                <w:p w14:paraId="2C2FE077">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本项目位于江苏省常州市江苏金坛经济开发区汇福路东侧，珠山路南侧，不在长江沿江1公里范围内，企业在生产过程中将制定企业突发环境风险事故应急预案，加强日常应急演练。</w:t>
                  </w:r>
                </w:p>
              </w:tc>
              <w:tc>
                <w:tcPr>
                  <w:tcW w:w="566" w:type="pct"/>
                  <w:tcBorders>
                    <w:top w:val="single" w:color="auto" w:sz="4" w:space="0"/>
                    <w:left w:val="single" w:color="auto" w:sz="4" w:space="0"/>
                    <w:bottom w:val="single" w:color="auto" w:sz="4" w:space="0"/>
                    <w:right w:val="single" w:color="auto" w:sz="4" w:space="0"/>
                  </w:tcBorders>
                  <w:vAlign w:val="center"/>
                </w:tcPr>
                <w:p w14:paraId="43C2F392">
                  <w:pPr>
                    <w:snapToGrid w:val="0"/>
                    <w:spacing w:line="240" w:lineRule="atLeas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r w14:paraId="7FB8A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2" w:type="pct"/>
                  <w:tcBorders>
                    <w:top w:val="single" w:color="auto" w:sz="4" w:space="0"/>
                    <w:left w:val="single" w:color="auto" w:sz="4" w:space="0"/>
                    <w:bottom w:val="single" w:color="auto" w:sz="4" w:space="0"/>
                    <w:right w:val="single" w:color="auto" w:sz="4" w:space="0"/>
                  </w:tcBorders>
                  <w:vAlign w:val="center"/>
                </w:tcPr>
                <w:p w14:paraId="0D97DE23">
                  <w:pPr>
                    <w:snapToGrid w:val="0"/>
                    <w:spacing w:line="240" w:lineRule="atLeas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资源利用效率要求</w:t>
                  </w:r>
                </w:p>
              </w:tc>
              <w:tc>
                <w:tcPr>
                  <w:tcW w:w="2365" w:type="pct"/>
                  <w:tcBorders>
                    <w:top w:val="single" w:color="auto" w:sz="4" w:space="0"/>
                    <w:left w:val="single" w:color="auto" w:sz="4" w:space="0"/>
                    <w:bottom w:val="single" w:color="auto" w:sz="4" w:space="0"/>
                    <w:right w:val="single" w:color="auto" w:sz="4" w:space="0"/>
                  </w:tcBorders>
                  <w:vAlign w:val="center"/>
                </w:tcPr>
                <w:p w14:paraId="41AF194F">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（1）水资源利用总量及效率要求：到2025年，全省用水总量控制在525.9亿立方米以内，万元地区生产总值用水量、万元工业增加值用水量下降完成国家下达目标，农田灌溉水有效利用系数提高到0.625。</w:t>
                  </w:r>
                </w:p>
                <w:p w14:paraId="3E752D6C">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（2）土地资源总量要求：到2025年，江苏省耕地保有量不低于5977万亩，其中永久基本农田保护面积不低于5344万亩。</w:t>
                  </w:r>
                </w:p>
                <w:p w14:paraId="16319C8A">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（3）禁燃区要求：在禁燃区内，禁止销售、燃用高污染燃料；禁止新建、扩建燃用高污染燃料的设施，已建成的，应当在城市人民政府规定的期限内改用天然气、页岩气、液化石油气、电或者其他清洁能源。</w:t>
                  </w:r>
                </w:p>
              </w:tc>
              <w:tc>
                <w:tcPr>
                  <w:tcW w:w="1547" w:type="pct"/>
                  <w:tcBorders>
                    <w:top w:val="single" w:color="auto" w:sz="4" w:space="0"/>
                    <w:left w:val="single" w:color="auto" w:sz="4" w:space="0"/>
                    <w:bottom w:val="single" w:color="auto" w:sz="4" w:space="0"/>
                    <w:right w:val="single" w:color="auto" w:sz="4" w:space="0"/>
                  </w:tcBorders>
                  <w:vAlign w:val="center"/>
                </w:tcPr>
                <w:p w14:paraId="084F19FA">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本项目不占用耕地，项目建成后不涉及燃用高污染燃料的使用。</w:t>
                  </w:r>
                </w:p>
              </w:tc>
              <w:tc>
                <w:tcPr>
                  <w:tcW w:w="566" w:type="pct"/>
                  <w:tcBorders>
                    <w:top w:val="single" w:color="auto" w:sz="4" w:space="0"/>
                    <w:left w:val="single" w:color="auto" w:sz="4" w:space="0"/>
                    <w:bottom w:val="single" w:color="auto" w:sz="4" w:space="0"/>
                    <w:right w:val="single" w:color="auto" w:sz="4" w:space="0"/>
                  </w:tcBorders>
                  <w:vAlign w:val="center"/>
                </w:tcPr>
                <w:p w14:paraId="5DA4360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bl>
          <w:p w14:paraId="14DF7B2F">
            <w:pPr>
              <w:spacing w:line="480" w:lineRule="exact"/>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表1-5 江苏省重点区域（长江流域）生态环境分区管控要求对照分析</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3766"/>
              <w:gridCol w:w="2463"/>
              <w:gridCol w:w="902"/>
            </w:tblGrid>
            <w:tr w14:paraId="3C9B9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2" w:type="pct"/>
                  <w:tcBorders>
                    <w:top w:val="single" w:color="auto" w:sz="4" w:space="0"/>
                    <w:left w:val="single" w:color="auto" w:sz="4" w:space="0"/>
                    <w:bottom w:val="single" w:color="auto" w:sz="4" w:space="0"/>
                    <w:right w:val="single" w:color="auto" w:sz="4" w:space="0"/>
                  </w:tcBorders>
                  <w:vAlign w:val="center"/>
                </w:tcPr>
                <w:p w14:paraId="5C856575">
                  <w:pPr>
                    <w:snapToGrid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管控类别</w:t>
                  </w:r>
                </w:p>
              </w:tc>
              <w:tc>
                <w:tcPr>
                  <w:tcW w:w="2365" w:type="pct"/>
                  <w:tcBorders>
                    <w:top w:val="single" w:color="auto" w:sz="4" w:space="0"/>
                    <w:left w:val="single" w:color="auto" w:sz="4" w:space="0"/>
                    <w:bottom w:val="single" w:color="auto" w:sz="4" w:space="0"/>
                    <w:right w:val="single" w:color="auto" w:sz="4" w:space="0"/>
                  </w:tcBorders>
                  <w:vAlign w:val="center"/>
                </w:tcPr>
                <w:p w14:paraId="049219DE">
                  <w:pPr>
                    <w:snapToGrid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重点管控要求</w:t>
                  </w:r>
                </w:p>
              </w:tc>
              <w:tc>
                <w:tcPr>
                  <w:tcW w:w="1547" w:type="pct"/>
                  <w:tcBorders>
                    <w:top w:val="single" w:color="auto" w:sz="4" w:space="0"/>
                    <w:left w:val="single" w:color="auto" w:sz="4" w:space="0"/>
                    <w:bottom w:val="single" w:color="auto" w:sz="4" w:space="0"/>
                    <w:right w:val="single" w:color="auto" w:sz="4" w:space="0"/>
                  </w:tcBorders>
                  <w:vAlign w:val="center"/>
                </w:tcPr>
                <w:p w14:paraId="73F6FD63">
                  <w:pPr>
                    <w:snapToGrid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本项目情况</w:t>
                  </w:r>
                </w:p>
              </w:tc>
              <w:tc>
                <w:tcPr>
                  <w:tcW w:w="566" w:type="pct"/>
                  <w:tcBorders>
                    <w:top w:val="single" w:color="auto" w:sz="4" w:space="0"/>
                    <w:left w:val="single" w:color="auto" w:sz="4" w:space="0"/>
                    <w:bottom w:val="single" w:color="auto" w:sz="4" w:space="0"/>
                    <w:right w:val="single" w:color="auto" w:sz="4" w:space="0"/>
                  </w:tcBorders>
                  <w:vAlign w:val="center"/>
                </w:tcPr>
                <w:p w14:paraId="6563B174">
                  <w:pPr>
                    <w:snapToGrid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符合性</w:t>
                  </w:r>
                </w:p>
              </w:tc>
            </w:tr>
            <w:tr w14:paraId="59D5E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2" w:type="pct"/>
                  <w:tcBorders>
                    <w:top w:val="single" w:color="auto" w:sz="4" w:space="0"/>
                    <w:left w:val="single" w:color="auto" w:sz="4" w:space="0"/>
                    <w:bottom w:val="single" w:color="auto" w:sz="4" w:space="0"/>
                    <w:right w:val="single" w:color="auto" w:sz="4" w:space="0"/>
                  </w:tcBorders>
                  <w:vAlign w:val="center"/>
                </w:tcPr>
                <w:p w14:paraId="3907B2A5">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空间布局约束</w:t>
                  </w:r>
                </w:p>
              </w:tc>
              <w:tc>
                <w:tcPr>
                  <w:tcW w:w="2365" w:type="pct"/>
                  <w:tcBorders>
                    <w:top w:val="single" w:color="auto" w:sz="4" w:space="0"/>
                    <w:left w:val="single" w:color="auto" w:sz="4" w:space="0"/>
                    <w:bottom w:val="single" w:color="auto" w:sz="4" w:space="0"/>
                    <w:right w:val="single" w:color="auto" w:sz="4" w:space="0"/>
                  </w:tcBorders>
                  <w:vAlign w:val="center"/>
                </w:tcPr>
                <w:p w14:paraId="775D3A55">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1</w:t>
                  </w:r>
                  <w:r>
                    <w:rPr>
                      <w:rFonts w:ascii="仿宋" w:hAnsi="仿宋" w:eastAsia="仿宋"/>
                      <w:color w:val="000000" w:themeColor="text1"/>
                      <w:szCs w:val="21"/>
                      <w14:textFill>
                        <w14:solidFill>
                          <w14:schemeClr w14:val="tx1"/>
                        </w14:solidFill>
                      </w14:textFill>
                    </w:rPr>
                    <w:t>）始终把长江生态修复放在首位，坚持共抓大保护、不搞大开发，引导长江流域产业转型升级和布局优化调整，实现科学发展、有序发展、高质量发展。</w:t>
                  </w:r>
                </w:p>
                <w:p w14:paraId="4E93B947">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2</w:t>
                  </w:r>
                  <w:r>
                    <w:rPr>
                      <w:rFonts w:ascii="仿宋" w:hAnsi="仿宋" w:eastAsia="仿宋"/>
                      <w:color w:val="000000" w:themeColor="text1"/>
                      <w:szCs w:val="21"/>
                      <w14:textFill>
                        <w14:solidFill>
                          <w14:schemeClr w14:val="tx1"/>
                        </w14:solidFill>
                      </w14:textFill>
                    </w:rPr>
                    <w:t>）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1437AFF0">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3</w:t>
                  </w:r>
                  <w:r>
                    <w:rPr>
                      <w:rFonts w:ascii="仿宋" w:hAnsi="仿宋" w:eastAsia="仿宋"/>
                      <w:color w:val="000000" w:themeColor="text1"/>
                      <w:szCs w:val="21"/>
                      <w14:textFill>
                        <w14:solidFill>
                          <w14:schemeClr w14:val="tx1"/>
                        </w14:solidFill>
                      </w14:textFill>
                    </w:rPr>
                    <w:t>）禁止在沿江地区新建或扩建化学工业园区，禁止新建或扩建以大宗进口油气资源为原料的石油加工、石油化工、基础有机无机化工、煤化工项目：禁止在长江干流和主要支流岸线</w:t>
                  </w:r>
                  <w:r>
                    <w:rPr>
                      <w:rFonts w:eastAsia="仿宋"/>
                      <w:color w:val="000000" w:themeColor="text1"/>
                      <w:szCs w:val="21"/>
                      <w14:textFill>
                        <w14:solidFill>
                          <w14:schemeClr w14:val="tx1"/>
                        </w14:solidFill>
                      </w14:textFill>
                    </w:rPr>
                    <w:t>1</w:t>
                  </w:r>
                  <w:r>
                    <w:rPr>
                      <w:rFonts w:ascii="仿宋" w:hAnsi="仿宋" w:eastAsia="仿宋"/>
                      <w:color w:val="000000" w:themeColor="text1"/>
                      <w:szCs w:val="21"/>
                      <w14:textFill>
                        <w14:solidFill>
                          <w14:schemeClr w14:val="tx1"/>
                        </w14:solidFill>
                      </w14:textFill>
                    </w:rPr>
                    <w:t>公里范围内新建危化品码头。</w:t>
                  </w:r>
                </w:p>
                <w:p w14:paraId="3765472E">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4</w:t>
                  </w:r>
                  <w:r>
                    <w:rPr>
                      <w:rFonts w:ascii="仿宋" w:hAnsi="仿宋" w:eastAsia="仿宋"/>
                      <w:color w:val="000000" w:themeColor="text1"/>
                      <w:szCs w:val="21"/>
                      <w14:textFill>
                        <w14:solidFill>
                          <w14:schemeClr w14:val="tx1"/>
                        </w14:solidFill>
                      </w14:textFill>
                    </w:rPr>
                    <w:t>）强化港口布局优化，禁止建设不符合国家港口布局规划和《江苏省沿江沿海港口布局规划（</w:t>
                  </w:r>
                  <w:r>
                    <w:rPr>
                      <w:rFonts w:eastAsia="仿宋"/>
                      <w:color w:val="000000" w:themeColor="text1"/>
                      <w:szCs w:val="21"/>
                      <w14:textFill>
                        <w14:solidFill>
                          <w14:schemeClr w14:val="tx1"/>
                        </w14:solidFill>
                      </w14:textFill>
                    </w:rPr>
                    <w:t>2015-2030</w:t>
                  </w:r>
                  <w:r>
                    <w:rPr>
                      <w:rFonts w:ascii="仿宋" w:hAnsi="仿宋" w:eastAsia="仿宋"/>
                      <w:color w:val="000000" w:themeColor="text1"/>
                      <w:szCs w:val="21"/>
                      <w14:textFill>
                        <w14:solidFill>
                          <w14:schemeClr w14:val="tx1"/>
                        </w14:solidFill>
                      </w14:textFill>
                    </w:rPr>
                    <w:t>年）》《江苏省内河港口布局规划（</w:t>
                  </w:r>
                  <w:r>
                    <w:rPr>
                      <w:rFonts w:eastAsia="仿宋"/>
                      <w:color w:val="000000" w:themeColor="text1"/>
                      <w:szCs w:val="21"/>
                      <w14:textFill>
                        <w14:solidFill>
                          <w14:schemeClr w14:val="tx1"/>
                        </w14:solidFill>
                      </w14:textFill>
                    </w:rPr>
                    <w:t>2017-2035</w:t>
                  </w:r>
                  <w:r>
                    <w:rPr>
                      <w:rFonts w:ascii="仿宋" w:hAnsi="仿宋" w:eastAsia="仿宋"/>
                      <w:color w:val="000000" w:themeColor="text1"/>
                      <w:szCs w:val="21"/>
                      <w14:textFill>
                        <w14:solidFill>
                          <w14:schemeClr w14:val="tx1"/>
                        </w14:solidFill>
                      </w14:textFill>
                    </w:rPr>
                    <w:t>年）》的码头项目，禁止建设未纳入《长江干线过江通道布局规划》的过江干线通道项目。</w:t>
                  </w:r>
                </w:p>
                <w:p w14:paraId="43688401">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5</w:t>
                  </w:r>
                  <w:r>
                    <w:rPr>
                      <w:rFonts w:ascii="仿宋" w:hAnsi="仿宋" w:eastAsia="仿宋"/>
                      <w:color w:val="000000" w:themeColor="text1"/>
                      <w:szCs w:val="21"/>
                      <w14:textFill>
                        <w14:solidFill>
                          <w14:schemeClr w14:val="tx1"/>
                        </w14:solidFill>
                      </w14:textFill>
                    </w:rPr>
                    <w:t>）禁止新建独立焦化项目。</w:t>
                  </w:r>
                </w:p>
              </w:tc>
              <w:tc>
                <w:tcPr>
                  <w:tcW w:w="1547" w:type="pct"/>
                  <w:tcBorders>
                    <w:top w:val="single" w:color="auto" w:sz="4" w:space="0"/>
                    <w:left w:val="single" w:color="auto" w:sz="4" w:space="0"/>
                    <w:bottom w:val="single" w:color="auto" w:sz="4" w:space="0"/>
                    <w:right w:val="single" w:color="auto" w:sz="4" w:space="0"/>
                  </w:tcBorders>
                  <w:vAlign w:val="center"/>
                </w:tcPr>
                <w:p w14:paraId="1B9D0178">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本项目为</w:t>
                  </w:r>
                  <w:r>
                    <w:rPr>
                      <w:rFonts w:hint="eastAsia" w:eastAsia="仿宋"/>
                      <w:color w:val="000000" w:themeColor="text1"/>
                      <w:szCs w:val="21"/>
                      <w14:textFill>
                        <w14:solidFill>
                          <w14:schemeClr w14:val="tx1"/>
                        </w14:solidFill>
                      </w14:textFill>
                    </w:rPr>
                    <w:t>原料入厂检测试验项目</w:t>
                  </w:r>
                  <w:r>
                    <w:rPr>
                      <w:rFonts w:eastAsia="仿宋"/>
                      <w:color w:val="000000" w:themeColor="text1"/>
                      <w:szCs w:val="21"/>
                      <w14:textFill>
                        <w14:solidFill>
                          <w14:schemeClr w14:val="tx1"/>
                        </w14:solidFill>
                      </w14:textFill>
                    </w:rPr>
                    <w:t>，</w:t>
                  </w:r>
                  <w:r>
                    <w:rPr>
                      <w:rFonts w:ascii="仿宋" w:hAnsi="仿宋" w:eastAsia="仿宋"/>
                      <w:color w:val="000000" w:themeColor="text1"/>
                      <w:szCs w:val="21"/>
                      <w14:textFill>
                        <w14:solidFill>
                          <w14:schemeClr w14:val="tx1"/>
                        </w14:solidFill>
                      </w14:textFill>
                    </w:rPr>
                    <w:t>国民经济行业类别属于</w:t>
                  </w:r>
                  <w:r>
                    <w:rPr>
                      <w:rFonts w:eastAsia="仿宋"/>
                      <w:color w:val="000000" w:themeColor="text1"/>
                      <w:szCs w:val="21"/>
                      <w14:textFill>
                        <w14:solidFill>
                          <w14:schemeClr w14:val="tx1"/>
                        </w14:solidFill>
                      </w14:textFill>
                    </w:rPr>
                    <w:t>“</w:t>
                  </w:r>
                  <w:r>
                    <w:rPr>
                      <w:rFonts w:hint="eastAsia" w:eastAsia="仿宋"/>
                      <w:color w:val="000000" w:themeColor="text1"/>
                      <w:szCs w:val="21"/>
                      <w14:textFill>
                        <w14:solidFill>
                          <w14:schemeClr w14:val="tx1"/>
                        </w14:solidFill>
                      </w14:textFill>
                    </w:rPr>
                    <w:t>C3581医疗诊断、监护及治疗设备制造</w:t>
                  </w:r>
                  <w:r>
                    <w:rPr>
                      <w:rFonts w:eastAsia="仿宋"/>
                      <w:color w:val="000000" w:themeColor="text1"/>
                      <w:szCs w:val="21"/>
                      <w14:textFill>
                        <w14:solidFill>
                          <w14:schemeClr w14:val="tx1"/>
                        </w14:solidFill>
                      </w14:textFill>
                    </w:rPr>
                    <w:t>”</w:t>
                  </w:r>
                  <w:r>
                    <w:rPr>
                      <w:rFonts w:ascii="仿宋" w:hAnsi="仿宋" w:eastAsia="仿宋"/>
                      <w:color w:val="000000" w:themeColor="text1"/>
                      <w:szCs w:val="21"/>
                      <w14:textFill>
                        <w14:solidFill>
                          <w14:schemeClr w14:val="tx1"/>
                        </w14:solidFill>
                      </w14:textFill>
                    </w:rPr>
                    <w:t>，位于江苏省常州市</w:t>
                  </w:r>
                  <w:r>
                    <w:rPr>
                      <w:rFonts w:hint="eastAsia" w:ascii="仿宋" w:hAnsi="仿宋" w:eastAsia="仿宋"/>
                      <w:color w:val="000000" w:themeColor="text1"/>
                      <w:szCs w:val="21"/>
                      <w14:textFill>
                        <w14:solidFill>
                          <w14:schemeClr w14:val="tx1"/>
                        </w14:solidFill>
                      </w14:textFill>
                    </w:rPr>
                    <w:t>江苏金坛经济开发区汇福路东侧，珠山路南侧</w:t>
                  </w:r>
                  <w:r>
                    <w:rPr>
                      <w:rFonts w:ascii="仿宋" w:hAnsi="仿宋" w:eastAsia="仿宋"/>
                      <w:color w:val="000000" w:themeColor="text1"/>
                      <w:szCs w:val="21"/>
                      <w14:textFill>
                        <w14:solidFill>
                          <w14:schemeClr w14:val="tx1"/>
                        </w14:solidFill>
                      </w14:textFill>
                    </w:rPr>
                    <w:t>，不在长江沿江</w:t>
                  </w:r>
                  <w:r>
                    <w:rPr>
                      <w:rFonts w:eastAsia="仿宋"/>
                      <w:color w:val="000000" w:themeColor="text1"/>
                      <w:szCs w:val="21"/>
                      <w14:textFill>
                        <w14:solidFill>
                          <w14:schemeClr w14:val="tx1"/>
                        </w14:solidFill>
                      </w14:textFill>
                    </w:rPr>
                    <w:t>1</w:t>
                  </w:r>
                  <w:r>
                    <w:rPr>
                      <w:rFonts w:ascii="仿宋" w:hAnsi="仿宋" w:eastAsia="仿宋"/>
                      <w:color w:val="000000" w:themeColor="text1"/>
                      <w:szCs w:val="21"/>
                      <w14:textFill>
                        <w14:solidFill>
                          <w14:schemeClr w14:val="tx1"/>
                        </w14:solidFill>
                      </w14:textFill>
                    </w:rPr>
                    <w:t>公里范围内，不涉及基本农田占用问题，不涉及新建港口及过江干线项目，不属于焦化项目。</w:t>
                  </w:r>
                </w:p>
              </w:tc>
              <w:tc>
                <w:tcPr>
                  <w:tcW w:w="566" w:type="pct"/>
                  <w:tcBorders>
                    <w:top w:val="single" w:color="auto" w:sz="4" w:space="0"/>
                    <w:left w:val="single" w:color="auto" w:sz="4" w:space="0"/>
                    <w:bottom w:val="single" w:color="auto" w:sz="4" w:space="0"/>
                    <w:right w:val="single" w:color="auto" w:sz="4" w:space="0"/>
                  </w:tcBorders>
                  <w:vAlign w:val="center"/>
                </w:tcPr>
                <w:p w14:paraId="714E09AB">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符合</w:t>
                  </w:r>
                </w:p>
              </w:tc>
            </w:tr>
            <w:tr w14:paraId="5B804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2" w:type="pct"/>
                  <w:tcBorders>
                    <w:top w:val="single" w:color="auto" w:sz="4" w:space="0"/>
                    <w:left w:val="single" w:color="auto" w:sz="4" w:space="0"/>
                    <w:bottom w:val="single" w:color="auto" w:sz="4" w:space="0"/>
                    <w:right w:val="single" w:color="auto" w:sz="4" w:space="0"/>
                  </w:tcBorders>
                  <w:vAlign w:val="center"/>
                </w:tcPr>
                <w:p w14:paraId="7DA614A7">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污染物排放管控</w:t>
                  </w:r>
                </w:p>
              </w:tc>
              <w:tc>
                <w:tcPr>
                  <w:tcW w:w="2365" w:type="pct"/>
                  <w:tcBorders>
                    <w:top w:val="single" w:color="auto" w:sz="4" w:space="0"/>
                    <w:left w:val="single" w:color="auto" w:sz="4" w:space="0"/>
                    <w:bottom w:val="single" w:color="auto" w:sz="4" w:space="0"/>
                    <w:right w:val="single" w:color="auto" w:sz="4" w:space="0"/>
                  </w:tcBorders>
                  <w:vAlign w:val="center"/>
                </w:tcPr>
                <w:p w14:paraId="67734134">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1</w:t>
                  </w:r>
                  <w:r>
                    <w:rPr>
                      <w:rFonts w:ascii="仿宋" w:hAnsi="仿宋" w:eastAsia="仿宋"/>
                      <w:color w:val="000000" w:themeColor="text1"/>
                      <w:szCs w:val="21"/>
                      <w14:textFill>
                        <w14:solidFill>
                          <w14:schemeClr w14:val="tx1"/>
                        </w14:solidFill>
                      </w14:textFill>
                    </w:rPr>
                    <w:t>）根据《江苏省长江水污染防治条例》实施污染物总量控制制度。</w:t>
                  </w:r>
                </w:p>
                <w:p w14:paraId="4B994F84">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2</w:t>
                  </w:r>
                  <w:r>
                    <w:rPr>
                      <w:rFonts w:ascii="仿宋" w:hAnsi="仿宋" w:eastAsia="仿宋"/>
                      <w:color w:val="000000" w:themeColor="text1"/>
                      <w:szCs w:val="21"/>
                      <w14:textFill>
                        <w14:solidFill>
                          <w14:schemeClr w14:val="tx1"/>
                        </w14:solidFill>
                      </w14:textFill>
                    </w:rPr>
                    <w:t>）全面加强和规范长江入河排污口管理，有效管控入河污染物排放，形成权责清晰、监控到位、管理规范的长江入河排污口监管体系，加快改善长江水环境质量。</w:t>
                  </w:r>
                </w:p>
              </w:tc>
              <w:tc>
                <w:tcPr>
                  <w:tcW w:w="1547" w:type="pct"/>
                  <w:tcBorders>
                    <w:top w:val="single" w:color="auto" w:sz="4" w:space="0"/>
                    <w:left w:val="single" w:color="auto" w:sz="4" w:space="0"/>
                    <w:bottom w:val="single" w:color="auto" w:sz="4" w:space="0"/>
                    <w:right w:val="single" w:color="auto" w:sz="4" w:space="0"/>
                  </w:tcBorders>
                  <w:vAlign w:val="center"/>
                </w:tcPr>
                <w:p w14:paraId="538C5CCF">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目前，本项目处于环评编制阶段，在环评审批前将严格落实主要污染物排放总量指标控制制度，取得主要污染物排放总量的控制指标和平衡方案，故符合文件要求。</w:t>
                  </w:r>
                </w:p>
              </w:tc>
              <w:tc>
                <w:tcPr>
                  <w:tcW w:w="566" w:type="pct"/>
                  <w:tcBorders>
                    <w:top w:val="single" w:color="auto" w:sz="4" w:space="0"/>
                    <w:left w:val="single" w:color="auto" w:sz="4" w:space="0"/>
                    <w:bottom w:val="single" w:color="auto" w:sz="4" w:space="0"/>
                    <w:right w:val="single" w:color="auto" w:sz="4" w:space="0"/>
                  </w:tcBorders>
                  <w:vAlign w:val="center"/>
                </w:tcPr>
                <w:p w14:paraId="4AD15394">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符合</w:t>
                  </w:r>
                </w:p>
              </w:tc>
            </w:tr>
            <w:tr w14:paraId="1F3E6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2" w:type="pct"/>
                  <w:tcBorders>
                    <w:top w:val="single" w:color="auto" w:sz="4" w:space="0"/>
                    <w:left w:val="single" w:color="auto" w:sz="4" w:space="0"/>
                    <w:bottom w:val="single" w:color="auto" w:sz="4" w:space="0"/>
                    <w:right w:val="single" w:color="auto" w:sz="4" w:space="0"/>
                  </w:tcBorders>
                  <w:vAlign w:val="center"/>
                </w:tcPr>
                <w:p w14:paraId="62600142">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环境风险防控</w:t>
                  </w:r>
                </w:p>
              </w:tc>
              <w:tc>
                <w:tcPr>
                  <w:tcW w:w="2365" w:type="pct"/>
                  <w:tcBorders>
                    <w:top w:val="single" w:color="auto" w:sz="4" w:space="0"/>
                    <w:left w:val="single" w:color="auto" w:sz="4" w:space="0"/>
                    <w:bottom w:val="single" w:color="auto" w:sz="4" w:space="0"/>
                    <w:right w:val="single" w:color="auto" w:sz="4" w:space="0"/>
                  </w:tcBorders>
                  <w:vAlign w:val="center"/>
                </w:tcPr>
                <w:p w14:paraId="181D39EA">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1</w:t>
                  </w:r>
                  <w:r>
                    <w:rPr>
                      <w:rFonts w:ascii="仿宋" w:hAnsi="仿宋" w:eastAsia="仿宋"/>
                      <w:color w:val="000000" w:themeColor="text1"/>
                      <w:szCs w:val="21"/>
                      <w14:textFill>
                        <w14:solidFill>
                          <w14:schemeClr w14:val="tx1"/>
                        </w14:solidFill>
                      </w14:textFill>
                    </w:rPr>
                    <w:t>）防范沿江环境风险。深化沿江石化、化工、医药、纺织、印染、化纤、危化品和石油类仓储、涉重金属和危险废物处置等重点企业环境风险防控。</w:t>
                  </w:r>
                </w:p>
                <w:p w14:paraId="34437FEE">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2</w:t>
                  </w:r>
                  <w:r>
                    <w:rPr>
                      <w:rFonts w:ascii="仿宋" w:hAnsi="仿宋" w:eastAsia="仿宋"/>
                      <w:color w:val="000000" w:themeColor="text1"/>
                      <w:szCs w:val="21"/>
                      <w14:textFill>
                        <w14:solidFill>
                          <w14:schemeClr w14:val="tx1"/>
                        </w14:solidFill>
                      </w14:textFill>
                    </w:rPr>
                    <w:t>）加强饮用水水源保护。优化水源保护区划定，推动饮用水水源地规范化建设。</w:t>
                  </w:r>
                </w:p>
              </w:tc>
              <w:tc>
                <w:tcPr>
                  <w:tcW w:w="1547" w:type="pct"/>
                  <w:tcBorders>
                    <w:top w:val="single" w:color="auto" w:sz="4" w:space="0"/>
                    <w:left w:val="single" w:color="auto" w:sz="4" w:space="0"/>
                    <w:bottom w:val="single" w:color="auto" w:sz="4" w:space="0"/>
                    <w:right w:val="single" w:color="auto" w:sz="4" w:space="0"/>
                  </w:tcBorders>
                  <w:vAlign w:val="center"/>
                </w:tcPr>
                <w:p w14:paraId="1C8F9099">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本项目位于江苏省常州市</w:t>
                  </w:r>
                  <w:r>
                    <w:rPr>
                      <w:rFonts w:hint="eastAsia" w:ascii="仿宋" w:hAnsi="仿宋" w:eastAsia="仿宋"/>
                      <w:color w:val="000000" w:themeColor="text1"/>
                      <w:szCs w:val="21"/>
                      <w14:textFill>
                        <w14:solidFill>
                          <w14:schemeClr w14:val="tx1"/>
                        </w14:solidFill>
                      </w14:textFill>
                    </w:rPr>
                    <w:t>江苏金坛经济开发区汇福路东侧，珠山路南侧</w:t>
                  </w:r>
                  <w:r>
                    <w:rPr>
                      <w:rFonts w:ascii="仿宋" w:hAnsi="仿宋" w:eastAsia="仿宋"/>
                      <w:color w:val="000000" w:themeColor="text1"/>
                      <w:szCs w:val="21"/>
                      <w14:textFill>
                        <w14:solidFill>
                          <w14:schemeClr w14:val="tx1"/>
                        </w14:solidFill>
                      </w14:textFill>
                    </w:rPr>
                    <w:t>，不在长江沿</w:t>
                  </w:r>
                  <w:r>
                    <w:rPr>
                      <w:rFonts w:eastAsia="仿宋"/>
                      <w:color w:val="000000" w:themeColor="text1"/>
                      <w:szCs w:val="21"/>
                      <w14:textFill>
                        <w14:solidFill>
                          <w14:schemeClr w14:val="tx1"/>
                        </w14:solidFill>
                      </w14:textFill>
                    </w:rPr>
                    <w:t>江1</w:t>
                  </w:r>
                  <w:r>
                    <w:rPr>
                      <w:rFonts w:ascii="仿宋" w:hAnsi="仿宋" w:eastAsia="仿宋"/>
                      <w:color w:val="000000" w:themeColor="text1"/>
                      <w:szCs w:val="21"/>
                      <w14:textFill>
                        <w14:solidFill>
                          <w14:schemeClr w14:val="tx1"/>
                        </w14:solidFill>
                      </w14:textFill>
                    </w:rPr>
                    <w:t>公里范围内，企业在生产过程中将制定企业突发环境风险事故应急预案，加强日常应急演练。</w:t>
                  </w:r>
                </w:p>
              </w:tc>
              <w:tc>
                <w:tcPr>
                  <w:tcW w:w="566" w:type="pct"/>
                  <w:tcBorders>
                    <w:top w:val="single" w:color="auto" w:sz="4" w:space="0"/>
                    <w:left w:val="single" w:color="auto" w:sz="4" w:space="0"/>
                    <w:bottom w:val="single" w:color="auto" w:sz="4" w:space="0"/>
                    <w:right w:val="single" w:color="auto" w:sz="4" w:space="0"/>
                  </w:tcBorders>
                  <w:vAlign w:val="center"/>
                </w:tcPr>
                <w:p w14:paraId="4AAB0DD4">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符合</w:t>
                  </w:r>
                </w:p>
              </w:tc>
            </w:tr>
            <w:tr w14:paraId="2A4BF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2" w:type="pct"/>
                  <w:tcBorders>
                    <w:top w:val="single" w:color="auto" w:sz="4" w:space="0"/>
                    <w:left w:val="single" w:color="auto" w:sz="4" w:space="0"/>
                    <w:bottom w:val="single" w:color="auto" w:sz="4" w:space="0"/>
                    <w:right w:val="single" w:color="auto" w:sz="4" w:space="0"/>
                  </w:tcBorders>
                  <w:vAlign w:val="center"/>
                </w:tcPr>
                <w:p w14:paraId="38D3BAAB">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资源利用效率要求</w:t>
                  </w:r>
                </w:p>
              </w:tc>
              <w:tc>
                <w:tcPr>
                  <w:tcW w:w="2365" w:type="pct"/>
                  <w:tcBorders>
                    <w:top w:val="single" w:color="auto" w:sz="4" w:space="0"/>
                    <w:left w:val="single" w:color="auto" w:sz="4" w:space="0"/>
                    <w:bottom w:val="single" w:color="auto" w:sz="4" w:space="0"/>
                    <w:right w:val="single" w:color="auto" w:sz="4" w:space="0"/>
                  </w:tcBorders>
                  <w:vAlign w:val="center"/>
                </w:tcPr>
                <w:p w14:paraId="2DACF6C2">
                  <w:pPr>
                    <w:snapToGrid w:val="0"/>
                    <w:spacing w:line="240" w:lineRule="atLeast"/>
                    <w:rPr>
                      <w:rFonts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禁止在长江干支流岸线管控范围内新建、扩建化工园区和化工项目</w:t>
                  </w:r>
                  <w:r>
                    <w:rPr>
                      <w:rFonts w:ascii="仿宋" w:hAnsi="仿宋" w:eastAsia="仿宋"/>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禁止在长江干流岸线和重要支流岸线管控范围内新建、改建、扩建尾矿库，但是以提升安全、生态环境保护水平为目的的改建除外。</w:t>
                  </w:r>
                </w:p>
              </w:tc>
              <w:tc>
                <w:tcPr>
                  <w:tcW w:w="1547" w:type="pct"/>
                  <w:tcBorders>
                    <w:top w:val="single" w:color="auto" w:sz="4" w:space="0"/>
                    <w:left w:val="single" w:color="auto" w:sz="4" w:space="0"/>
                    <w:bottom w:val="single" w:color="auto" w:sz="4" w:space="0"/>
                    <w:right w:val="single" w:color="auto" w:sz="4" w:space="0"/>
                  </w:tcBorders>
                  <w:vAlign w:val="center"/>
                </w:tcPr>
                <w:p w14:paraId="5F8332A3">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本项目不涉及缩减长江干支流自然岸线。</w:t>
                  </w:r>
                </w:p>
              </w:tc>
              <w:tc>
                <w:tcPr>
                  <w:tcW w:w="566" w:type="pct"/>
                  <w:tcBorders>
                    <w:top w:val="single" w:color="auto" w:sz="4" w:space="0"/>
                    <w:left w:val="single" w:color="auto" w:sz="4" w:space="0"/>
                    <w:bottom w:val="single" w:color="auto" w:sz="4" w:space="0"/>
                    <w:right w:val="single" w:color="auto" w:sz="4" w:space="0"/>
                  </w:tcBorders>
                  <w:vAlign w:val="center"/>
                </w:tcPr>
                <w:p w14:paraId="473A7FF7">
                  <w:pPr>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符合</w:t>
                  </w:r>
                </w:p>
              </w:tc>
            </w:tr>
          </w:tbl>
          <w:p w14:paraId="405CF71C">
            <w:pPr>
              <w:spacing w:line="480" w:lineRule="exact"/>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表1-6 江苏省重点区域（太湖流域）生态环境分区管控要求对照分析</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3892"/>
              <w:gridCol w:w="2309"/>
              <w:gridCol w:w="906"/>
            </w:tblGrid>
            <w:tr w14:paraId="79444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37" w:type="pct"/>
                  <w:tcBorders>
                    <w:top w:val="single" w:color="auto" w:sz="4" w:space="0"/>
                    <w:left w:val="single" w:color="auto" w:sz="4" w:space="0"/>
                    <w:bottom w:val="single" w:color="auto" w:sz="4" w:space="0"/>
                    <w:right w:val="single" w:color="auto" w:sz="4" w:space="0"/>
                  </w:tcBorders>
                  <w:vAlign w:val="center"/>
                </w:tcPr>
                <w:p w14:paraId="4980B939">
                  <w:pPr>
                    <w:snapToGrid w:val="0"/>
                    <w:spacing w:line="240" w:lineRule="atLeast"/>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管控</w:t>
                  </w:r>
                </w:p>
                <w:p w14:paraId="6A4EA78E">
                  <w:pPr>
                    <w:snapToGrid w:val="0"/>
                    <w:spacing w:line="240" w:lineRule="atLeast"/>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类别</w:t>
                  </w:r>
                </w:p>
              </w:tc>
              <w:tc>
                <w:tcPr>
                  <w:tcW w:w="2444" w:type="pct"/>
                  <w:tcBorders>
                    <w:top w:val="single" w:color="auto" w:sz="4" w:space="0"/>
                    <w:left w:val="single" w:color="auto" w:sz="4" w:space="0"/>
                    <w:bottom w:val="single" w:color="auto" w:sz="4" w:space="0"/>
                    <w:right w:val="single" w:color="auto" w:sz="4" w:space="0"/>
                  </w:tcBorders>
                  <w:vAlign w:val="center"/>
                </w:tcPr>
                <w:p w14:paraId="667EE958">
                  <w:pPr>
                    <w:snapToGrid w:val="0"/>
                    <w:spacing w:line="240" w:lineRule="atLeast"/>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重点管控要求</w:t>
                  </w:r>
                </w:p>
              </w:tc>
              <w:tc>
                <w:tcPr>
                  <w:tcW w:w="1450" w:type="pct"/>
                  <w:tcBorders>
                    <w:top w:val="single" w:color="auto" w:sz="4" w:space="0"/>
                    <w:left w:val="single" w:color="auto" w:sz="4" w:space="0"/>
                    <w:bottom w:val="single" w:color="auto" w:sz="4" w:space="0"/>
                    <w:right w:val="single" w:color="auto" w:sz="4" w:space="0"/>
                  </w:tcBorders>
                  <w:vAlign w:val="center"/>
                </w:tcPr>
                <w:p w14:paraId="2DCAD15A">
                  <w:pPr>
                    <w:snapToGrid w:val="0"/>
                    <w:spacing w:line="240" w:lineRule="atLeast"/>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本项目情况</w:t>
                  </w:r>
                </w:p>
              </w:tc>
              <w:tc>
                <w:tcPr>
                  <w:tcW w:w="570" w:type="pct"/>
                  <w:tcBorders>
                    <w:top w:val="single" w:color="auto" w:sz="4" w:space="0"/>
                    <w:left w:val="single" w:color="auto" w:sz="4" w:space="0"/>
                    <w:bottom w:val="single" w:color="auto" w:sz="4" w:space="0"/>
                    <w:right w:val="single" w:color="auto" w:sz="4" w:space="0"/>
                  </w:tcBorders>
                  <w:vAlign w:val="center"/>
                </w:tcPr>
                <w:p w14:paraId="58CE3140">
                  <w:pPr>
                    <w:snapToGrid w:val="0"/>
                    <w:spacing w:line="240" w:lineRule="atLeast"/>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符合性</w:t>
                  </w:r>
                </w:p>
              </w:tc>
            </w:tr>
            <w:tr w14:paraId="723B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37" w:type="pct"/>
                  <w:tcBorders>
                    <w:top w:val="single" w:color="auto" w:sz="4" w:space="0"/>
                    <w:left w:val="single" w:color="auto" w:sz="4" w:space="0"/>
                    <w:bottom w:val="single" w:color="auto" w:sz="4" w:space="0"/>
                    <w:right w:val="single" w:color="auto" w:sz="4" w:space="0"/>
                  </w:tcBorders>
                  <w:vAlign w:val="center"/>
                </w:tcPr>
                <w:p w14:paraId="4CBDCB1E">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空间布局约束</w:t>
                  </w:r>
                </w:p>
              </w:tc>
              <w:tc>
                <w:tcPr>
                  <w:tcW w:w="2444" w:type="pct"/>
                  <w:tcBorders>
                    <w:top w:val="single" w:color="auto" w:sz="4" w:space="0"/>
                    <w:left w:val="single" w:color="auto" w:sz="4" w:space="0"/>
                    <w:bottom w:val="single" w:color="auto" w:sz="4" w:space="0"/>
                    <w:right w:val="single" w:color="auto" w:sz="4" w:space="0"/>
                  </w:tcBorders>
                  <w:vAlign w:val="center"/>
                </w:tcPr>
                <w:p w14:paraId="282623E1">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1</w:t>
                  </w:r>
                  <w:r>
                    <w:rPr>
                      <w:rFonts w:ascii="仿宋" w:hAnsi="仿宋" w:eastAsia="仿宋"/>
                      <w:color w:val="000000" w:themeColor="text1"/>
                      <w:szCs w:val="21"/>
                      <w14:textFill>
                        <w14:solidFill>
                          <w14:schemeClr w14:val="tx1"/>
                        </w14:solidFill>
                      </w14:textFill>
                    </w:rPr>
                    <w:t>）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5A3B2A61">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2</w:t>
                  </w:r>
                  <w:r>
                    <w:rPr>
                      <w:rFonts w:ascii="仿宋" w:hAnsi="仿宋" w:eastAsia="仿宋"/>
                      <w:color w:val="000000" w:themeColor="text1"/>
                      <w:szCs w:val="21"/>
                      <w14:textFill>
                        <w14:solidFill>
                          <w14:schemeClr w14:val="tx1"/>
                        </w14:solidFill>
                      </w14:textFill>
                    </w:rPr>
                    <w:t>）在太湖流城一级保护区，禁止新建、扩建向水体排放污染物的建设项目，禁止新建、扩建畜禽养殖场，禁止新建、扩建高尔夫球场、水上游乐等开发项目以及设置水上餐饮经营设施。</w:t>
                  </w:r>
                </w:p>
                <w:p w14:paraId="2AD5BB8F">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3</w:t>
                  </w:r>
                  <w:r>
                    <w:rPr>
                      <w:rFonts w:ascii="仿宋" w:hAnsi="仿宋" w:eastAsia="仿宋"/>
                      <w:color w:val="000000" w:themeColor="text1"/>
                      <w:szCs w:val="21"/>
                      <w14:textFill>
                        <w14:solidFill>
                          <w14:schemeClr w14:val="tx1"/>
                        </w14:solidFill>
                      </w14:textFill>
                    </w:rPr>
                    <w:t>）在太湖流域二级保护区，禁止新建、扩建化工、医药生产项目，禁止新建、扩建污水集中处理设施排污口以外的排污口。</w:t>
                  </w:r>
                </w:p>
              </w:tc>
              <w:tc>
                <w:tcPr>
                  <w:tcW w:w="1450" w:type="pct"/>
                  <w:tcBorders>
                    <w:top w:val="single" w:color="auto" w:sz="4" w:space="0"/>
                    <w:left w:val="single" w:color="auto" w:sz="4" w:space="0"/>
                    <w:bottom w:val="single" w:color="auto" w:sz="4" w:space="0"/>
                    <w:right w:val="single" w:color="auto" w:sz="4" w:space="0"/>
                  </w:tcBorders>
                  <w:vAlign w:val="center"/>
                </w:tcPr>
                <w:p w14:paraId="64891B23">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本项目位于太湖流域三级保护区，运营期不排放含氮、磷等污染物的生产废水。</w:t>
                  </w:r>
                </w:p>
              </w:tc>
              <w:tc>
                <w:tcPr>
                  <w:tcW w:w="570" w:type="pct"/>
                  <w:tcBorders>
                    <w:top w:val="single" w:color="auto" w:sz="4" w:space="0"/>
                    <w:left w:val="single" w:color="auto" w:sz="4" w:space="0"/>
                    <w:bottom w:val="single" w:color="auto" w:sz="4" w:space="0"/>
                    <w:right w:val="single" w:color="auto" w:sz="4" w:space="0"/>
                  </w:tcBorders>
                  <w:vAlign w:val="center"/>
                </w:tcPr>
                <w:p w14:paraId="7AE304C6">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符合</w:t>
                  </w:r>
                </w:p>
              </w:tc>
            </w:tr>
            <w:tr w14:paraId="01CE1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37" w:type="pct"/>
                  <w:tcBorders>
                    <w:top w:val="single" w:color="auto" w:sz="4" w:space="0"/>
                    <w:left w:val="single" w:color="auto" w:sz="4" w:space="0"/>
                    <w:bottom w:val="single" w:color="auto" w:sz="4" w:space="0"/>
                    <w:right w:val="single" w:color="auto" w:sz="4" w:space="0"/>
                  </w:tcBorders>
                  <w:vAlign w:val="center"/>
                </w:tcPr>
                <w:p w14:paraId="5F2782B9">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污染物排放管控</w:t>
                  </w:r>
                </w:p>
              </w:tc>
              <w:tc>
                <w:tcPr>
                  <w:tcW w:w="2444" w:type="pct"/>
                  <w:tcBorders>
                    <w:top w:val="single" w:color="auto" w:sz="4" w:space="0"/>
                    <w:left w:val="single" w:color="auto" w:sz="4" w:space="0"/>
                    <w:bottom w:val="single" w:color="auto" w:sz="4" w:space="0"/>
                    <w:right w:val="single" w:color="auto" w:sz="4" w:space="0"/>
                  </w:tcBorders>
                  <w:vAlign w:val="center"/>
                </w:tcPr>
                <w:p w14:paraId="09CEE088">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城镇污水处理厂、纺织工业、化学工业、造纸工业、钢铁工业、电镀工业和食品工业的污水处理设施执行《太湖地区城镇污水处理排放管控厂及重点工业行业主要水污染物排放限值》。</w:t>
                  </w:r>
                </w:p>
              </w:tc>
              <w:tc>
                <w:tcPr>
                  <w:tcW w:w="1450" w:type="pct"/>
                  <w:tcBorders>
                    <w:top w:val="single" w:color="auto" w:sz="4" w:space="0"/>
                    <w:left w:val="single" w:color="auto" w:sz="4" w:space="0"/>
                    <w:bottom w:val="single" w:color="auto" w:sz="4" w:space="0"/>
                    <w:right w:val="single" w:color="auto" w:sz="4" w:space="0"/>
                  </w:tcBorders>
                  <w:vAlign w:val="center"/>
                </w:tcPr>
                <w:p w14:paraId="35067EA1">
                  <w:pPr>
                    <w:rPr>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本项目废水接管进入金坛区第二污水处理厂，执行《城镇污水处理厂污染物排放标准》（</w:t>
                  </w:r>
                  <w:r>
                    <w:rPr>
                      <w:rFonts w:eastAsia="仿宋"/>
                      <w:color w:val="000000" w:themeColor="text1"/>
                      <w:szCs w:val="21"/>
                      <w14:textFill>
                        <w14:solidFill>
                          <w14:schemeClr w14:val="tx1"/>
                        </w14:solidFill>
                      </w14:textFill>
                    </w:rPr>
                    <w:t>GB18918-2002</w:t>
                  </w:r>
                  <w:r>
                    <w:rPr>
                      <w:rFonts w:ascii="仿宋" w:hAnsi="仿宋" w:eastAsia="仿宋"/>
                      <w:color w:val="000000" w:themeColor="text1"/>
                      <w:szCs w:val="21"/>
                      <w14:textFill>
                        <w14:solidFill>
                          <w14:schemeClr w14:val="tx1"/>
                        </w14:solidFill>
                      </w14:textFill>
                    </w:rPr>
                    <w:t>）中表</w:t>
                  </w:r>
                  <w:r>
                    <w:rPr>
                      <w:rFonts w:eastAsia="仿宋"/>
                      <w:color w:val="000000" w:themeColor="text1"/>
                      <w:szCs w:val="21"/>
                      <w14:textFill>
                        <w14:solidFill>
                          <w14:schemeClr w14:val="tx1"/>
                        </w14:solidFill>
                      </w14:textFill>
                    </w:rPr>
                    <w:t>1</w:t>
                  </w:r>
                  <w:r>
                    <w:rPr>
                      <w:rFonts w:ascii="仿宋" w:hAnsi="仿宋" w:eastAsia="仿宋"/>
                      <w:color w:val="000000" w:themeColor="text1"/>
                      <w:szCs w:val="21"/>
                      <w14:textFill>
                        <w14:solidFill>
                          <w14:schemeClr w14:val="tx1"/>
                        </w14:solidFill>
                      </w14:textFill>
                    </w:rPr>
                    <w:t>基本控制项目（常规污染物）日均排放限值</w:t>
                  </w:r>
                  <w:r>
                    <w:rPr>
                      <w:rFonts w:ascii="仿宋" w:hAnsi="仿宋" w:eastAsia="仿宋"/>
                      <w:color w:val="000000" w:themeColor="text1"/>
                      <w14:textFill>
                        <w14:solidFill>
                          <w14:schemeClr w14:val="tx1"/>
                        </w14:solidFill>
                      </w14:textFill>
                    </w:rPr>
                    <w:t>以及《太湖地区城镇污水处理厂及重点工业行业主要水污染物排放限值》（</w:t>
                  </w:r>
                  <w:r>
                    <w:rPr>
                      <w:rFonts w:eastAsia="仿宋"/>
                      <w:color w:val="000000" w:themeColor="text1"/>
                      <w14:textFill>
                        <w14:solidFill>
                          <w14:schemeClr w14:val="tx1"/>
                        </w14:solidFill>
                      </w14:textFill>
                    </w:rPr>
                    <w:t>DB32/1072-2018</w:t>
                  </w:r>
                  <w:r>
                    <w:rPr>
                      <w:rFonts w:ascii="仿宋" w:hAnsi="仿宋" w:eastAsia="仿宋"/>
                      <w:color w:val="000000" w:themeColor="text1"/>
                      <w14:textFill>
                        <w14:solidFill>
                          <w14:schemeClr w14:val="tx1"/>
                        </w14:solidFill>
                      </w14:textFill>
                    </w:rPr>
                    <w:t>）中表</w:t>
                  </w:r>
                  <w:r>
                    <w:rPr>
                      <w:rFonts w:eastAsia="仿宋"/>
                      <w:color w:val="000000" w:themeColor="text1"/>
                      <w14:textFill>
                        <w14:solidFill>
                          <w14:schemeClr w14:val="tx1"/>
                        </w14:solidFill>
                      </w14:textFill>
                    </w:rPr>
                    <w:t>2</w:t>
                  </w:r>
                  <w:r>
                    <w:rPr>
                      <w:rFonts w:ascii="仿宋" w:hAnsi="仿宋" w:eastAsia="仿宋"/>
                      <w:color w:val="000000" w:themeColor="text1"/>
                      <w14:textFill>
                        <w14:solidFill>
                          <w14:schemeClr w14:val="tx1"/>
                        </w14:solidFill>
                      </w14:textFill>
                    </w:rPr>
                    <w:t>标准限值。</w:t>
                  </w:r>
                </w:p>
                <w:p w14:paraId="60887568">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p>
              </w:tc>
              <w:tc>
                <w:tcPr>
                  <w:tcW w:w="570" w:type="pct"/>
                  <w:tcBorders>
                    <w:top w:val="single" w:color="auto" w:sz="4" w:space="0"/>
                    <w:left w:val="single" w:color="auto" w:sz="4" w:space="0"/>
                    <w:bottom w:val="single" w:color="auto" w:sz="4" w:space="0"/>
                    <w:right w:val="single" w:color="auto" w:sz="4" w:space="0"/>
                  </w:tcBorders>
                  <w:vAlign w:val="center"/>
                </w:tcPr>
                <w:p w14:paraId="6E0CF2DE">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符合</w:t>
                  </w:r>
                </w:p>
              </w:tc>
            </w:tr>
            <w:tr w14:paraId="45407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37" w:type="pct"/>
                  <w:tcBorders>
                    <w:top w:val="single" w:color="auto" w:sz="4" w:space="0"/>
                    <w:left w:val="single" w:color="auto" w:sz="4" w:space="0"/>
                    <w:bottom w:val="single" w:color="auto" w:sz="4" w:space="0"/>
                    <w:right w:val="single" w:color="auto" w:sz="4" w:space="0"/>
                  </w:tcBorders>
                  <w:vAlign w:val="center"/>
                </w:tcPr>
                <w:p w14:paraId="5984456F">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环境风险防控</w:t>
                  </w:r>
                </w:p>
              </w:tc>
              <w:tc>
                <w:tcPr>
                  <w:tcW w:w="2444" w:type="pct"/>
                  <w:tcBorders>
                    <w:top w:val="single" w:color="auto" w:sz="4" w:space="0"/>
                    <w:left w:val="single" w:color="auto" w:sz="4" w:space="0"/>
                    <w:bottom w:val="single" w:color="auto" w:sz="4" w:space="0"/>
                    <w:right w:val="single" w:color="auto" w:sz="4" w:space="0"/>
                  </w:tcBorders>
                  <w:vAlign w:val="center"/>
                </w:tcPr>
                <w:p w14:paraId="42688CCB">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1</w:t>
                  </w:r>
                  <w:r>
                    <w:rPr>
                      <w:rFonts w:ascii="仿宋" w:hAnsi="仿宋" w:eastAsia="仿宋"/>
                      <w:color w:val="000000" w:themeColor="text1"/>
                      <w:szCs w:val="21"/>
                      <w14:textFill>
                        <w14:solidFill>
                          <w14:schemeClr w14:val="tx1"/>
                        </w14:solidFill>
                      </w14:textFill>
                    </w:rPr>
                    <w:t>）运输剧毒物质、危险化学品的船舶不得进入太湖。</w:t>
                  </w:r>
                </w:p>
                <w:p w14:paraId="3FEE0D94">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2</w:t>
                  </w:r>
                  <w:r>
                    <w:rPr>
                      <w:rFonts w:ascii="仿宋" w:hAnsi="仿宋" w:eastAsia="仿宋"/>
                      <w:color w:val="000000" w:themeColor="text1"/>
                      <w:szCs w:val="21"/>
                      <w14:textFill>
                        <w14:solidFill>
                          <w14:schemeClr w14:val="tx1"/>
                        </w14:solidFill>
                      </w14:textFill>
                    </w:rPr>
                    <w:t>）禁止向太湖流域水体排放或者倾倒油类、酸液、碱液、剧毒废渣废液、含放射性废渣废液、含病原体污水、工业废渣以及其他废弃物。</w:t>
                  </w:r>
                </w:p>
                <w:p w14:paraId="2A8BCBB2">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3</w:t>
                  </w:r>
                  <w:r>
                    <w:rPr>
                      <w:rFonts w:ascii="仿宋" w:hAnsi="仿宋" w:eastAsia="仿宋"/>
                      <w:color w:val="000000" w:themeColor="text1"/>
                      <w:szCs w:val="21"/>
                      <w14:textFill>
                        <w14:solidFill>
                          <w14:schemeClr w14:val="tx1"/>
                        </w14:solidFill>
                      </w14:textFill>
                    </w:rPr>
                    <w:t>）加强太湖流域生态环境风险应急管控，着力提高防控太湖蓝藻水华风险预警和应急处置能力。</w:t>
                  </w:r>
                </w:p>
              </w:tc>
              <w:tc>
                <w:tcPr>
                  <w:tcW w:w="1450" w:type="pct"/>
                  <w:tcBorders>
                    <w:top w:val="single" w:color="auto" w:sz="4" w:space="0"/>
                    <w:left w:val="single" w:color="auto" w:sz="4" w:space="0"/>
                    <w:bottom w:val="single" w:color="auto" w:sz="4" w:space="0"/>
                    <w:right w:val="single" w:color="auto" w:sz="4" w:space="0"/>
                  </w:tcBorders>
                  <w:vAlign w:val="center"/>
                </w:tcPr>
                <w:p w14:paraId="501238D7">
                  <w:pPr>
                    <w:snapToGrid w:val="0"/>
                    <w:spacing w:line="240" w:lineRule="atLeast"/>
                    <w:rPr>
                      <w:rFonts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本项目原辅料运输均为汽车运输；生活污水</w:t>
                  </w:r>
                  <w:r>
                    <w:rPr>
                      <w:rFonts w:ascii="仿宋" w:hAnsi="仿宋" w:eastAsia="仿宋"/>
                      <w:color w:val="000000" w:themeColor="text1"/>
                      <w:szCs w:val="21"/>
                      <w14:textFill>
                        <w14:solidFill>
                          <w14:schemeClr w14:val="tx1"/>
                        </w14:solidFill>
                      </w14:textFill>
                    </w:rPr>
                    <w:t>接管至金坛</w:t>
                  </w:r>
                  <w:r>
                    <w:rPr>
                      <w:rFonts w:hint="eastAsia" w:ascii="仿宋" w:hAnsi="仿宋" w:eastAsia="仿宋"/>
                      <w:color w:val="000000" w:themeColor="text1"/>
                      <w:szCs w:val="21"/>
                      <w14:textFill>
                        <w14:solidFill>
                          <w14:schemeClr w14:val="tx1"/>
                        </w14:solidFill>
                      </w14:textFill>
                    </w:rPr>
                    <w:t>区</w:t>
                  </w:r>
                  <w:r>
                    <w:rPr>
                      <w:rFonts w:ascii="仿宋" w:hAnsi="仿宋" w:eastAsia="仿宋"/>
                      <w:color w:val="000000" w:themeColor="text1"/>
                      <w:szCs w:val="21"/>
                      <w14:textFill>
                        <w14:solidFill>
                          <w14:schemeClr w14:val="tx1"/>
                        </w14:solidFill>
                      </w14:textFill>
                    </w:rPr>
                    <w:t>第二污水处理厂，</w:t>
                  </w:r>
                  <w:r>
                    <w:rPr>
                      <w:rFonts w:hint="eastAsia" w:ascii="仿宋" w:hAnsi="仿宋" w:eastAsia="仿宋"/>
                      <w:color w:val="000000" w:themeColor="text1"/>
                      <w:szCs w:val="21"/>
                      <w14:textFill>
                        <w14:solidFill>
                          <w14:schemeClr w14:val="tx1"/>
                        </w14:solidFill>
                      </w14:textFill>
                    </w:rPr>
                    <w:t>危险废物均</w:t>
                  </w:r>
                  <w:r>
                    <w:rPr>
                      <w:rFonts w:ascii="仿宋" w:hAnsi="仿宋" w:eastAsia="仿宋"/>
                      <w:color w:val="000000" w:themeColor="text1"/>
                      <w:szCs w:val="21"/>
                      <w14:textFill>
                        <w14:solidFill>
                          <w14:schemeClr w14:val="tx1"/>
                        </w14:solidFill>
                      </w14:textFill>
                    </w:rPr>
                    <w:t>委托有资质单位处置。</w:t>
                  </w:r>
                </w:p>
              </w:tc>
              <w:tc>
                <w:tcPr>
                  <w:tcW w:w="570" w:type="pct"/>
                  <w:tcBorders>
                    <w:top w:val="single" w:color="auto" w:sz="4" w:space="0"/>
                    <w:left w:val="single" w:color="auto" w:sz="4" w:space="0"/>
                    <w:bottom w:val="single" w:color="auto" w:sz="4" w:space="0"/>
                    <w:right w:val="single" w:color="auto" w:sz="4" w:space="0"/>
                  </w:tcBorders>
                  <w:vAlign w:val="center"/>
                </w:tcPr>
                <w:p w14:paraId="661B6D64">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符合</w:t>
                  </w:r>
                </w:p>
              </w:tc>
            </w:tr>
            <w:tr w14:paraId="696BD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37" w:type="pct"/>
                  <w:tcBorders>
                    <w:top w:val="single" w:color="auto" w:sz="4" w:space="0"/>
                    <w:left w:val="single" w:color="auto" w:sz="4" w:space="0"/>
                    <w:bottom w:val="single" w:color="auto" w:sz="4" w:space="0"/>
                    <w:right w:val="single" w:color="auto" w:sz="4" w:space="0"/>
                  </w:tcBorders>
                  <w:vAlign w:val="center"/>
                </w:tcPr>
                <w:p w14:paraId="54C76CDA">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资源利用效率要求</w:t>
                  </w:r>
                </w:p>
              </w:tc>
              <w:tc>
                <w:tcPr>
                  <w:tcW w:w="2444" w:type="pct"/>
                  <w:tcBorders>
                    <w:top w:val="single" w:color="auto" w:sz="4" w:space="0"/>
                    <w:left w:val="single" w:color="auto" w:sz="4" w:space="0"/>
                    <w:bottom w:val="single" w:color="auto" w:sz="4" w:space="0"/>
                    <w:right w:val="single" w:color="auto" w:sz="4" w:space="0"/>
                  </w:tcBorders>
                  <w:vAlign w:val="center"/>
                </w:tcPr>
                <w:p w14:paraId="12A70046">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（1）严格用水定额管理制度，推进取用水规范化</w:t>
                  </w:r>
                  <w:r>
                    <w:rPr>
                      <w:rFonts w:hint="eastAsia" w:eastAsia="仿宋"/>
                      <w:color w:val="000000" w:themeColor="text1"/>
                      <w:szCs w:val="21"/>
                      <w14:textFill>
                        <w14:solidFill>
                          <w14:schemeClr w14:val="tx1"/>
                        </w14:solidFill>
                      </w14:textFill>
                    </w:rPr>
                    <w:t>管理，科学制定用水定额并动态调整，对超过用水定额标准的企业分类分步先期实施节水改造，鼓励重点用水企业，园区建立智慧用水管理系统。</w:t>
                  </w:r>
                </w:p>
                <w:p w14:paraId="1C7CDE3F">
                  <w:pPr>
                    <w:snapToGrid w:val="0"/>
                    <w:spacing w:line="240" w:lineRule="atLeast"/>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（2）推进新孟河、新沟河、望虞河、走马塘等河道联合调度，科学调控太湖水位</w:t>
                  </w:r>
                </w:p>
              </w:tc>
              <w:tc>
                <w:tcPr>
                  <w:tcW w:w="1450" w:type="pct"/>
                  <w:tcBorders>
                    <w:top w:val="single" w:color="auto" w:sz="4" w:space="0"/>
                    <w:left w:val="single" w:color="auto" w:sz="4" w:space="0"/>
                    <w:bottom w:val="single" w:color="auto" w:sz="4" w:space="0"/>
                    <w:right w:val="single" w:color="auto" w:sz="4" w:space="0"/>
                  </w:tcBorders>
                  <w:vAlign w:val="center"/>
                </w:tcPr>
                <w:p w14:paraId="7D66C7BD">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本项目用水来源于城市自来水厂，可满足本项目供水需求。</w:t>
                  </w:r>
                </w:p>
              </w:tc>
              <w:tc>
                <w:tcPr>
                  <w:tcW w:w="570" w:type="pct"/>
                  <w:tcBorders>
                    <w:top w:val="single" w:color="auto" w:sz="4" w:space="0"/>
                    <w:left w:val="single" w:color="auto" w:sz="4" w:space="0"/>
                    <w:bottom w:val="single" w:color="auto" w:sz="4" w:space="0"/>
                    <w:right w:val="single" w:color="auto" w:sz="4" w:space="0"/>
                  </w:tcBorders>
                  <w:vAlign w:val="center"/>
                </w:tcPr>
                <w:p w14:paraId="6B09937C">
                  <w:pPr>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符合</w:t>
                  </w:r>
                </w:p>
              </w:tc>
            </w:tr>
          </w:tbl>
          <w:p w14:paraId="69BCAE6A">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3、与《常州市生态环境分区管控成果（2023年版）》相符性分析</w:t>
            </w:r>
          </w:p>
          <w:p w14:paraId="610678B6">
            <w:pPr>
              <w:spacing w:line="500" w:lineRule="exact"/>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表1-7 与常州市市域生态环境管控要求</w:t>
            </w:r>
            <w:r>
              <w:rPr>
                <w:rFonts w:hint="eastAsia" w:eastAsia="仿宋"/>
                <w:b/>
                <w:bCs/>
                <w:color w:val="000000" w:themeColor="text1"/>
                <w:szCs w:val="21"/>
                <w14:textFill>
                  <w14:solidFill>
                    <w14:schemeClr w14:val="tx1"/>
                  </w14:solidFill>
                </w14:textFill>
              </w:rPr>
              <w:t>对照分析</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4011"/>
              <w:gridCol w:w="2140"/>
              <w:gridCol w:w="945"/>
            </w:tblGrid>
            <w:tr w14:paraId="50119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4" w:type="pct"/>
                  <w:tcBorders>
                    <w:top w:val="single" w:color="auto" w:sz="4" w:space="0"/>
                    <w:left w:val="single" w:color="auto" w:sz="4" w:space="0"/>
                    <w:bottom w:val="single" w:color="auto" w:sz="4" w:space="0"/>
                    <w:right w:val="single" w:color="auto" w:sz="4" w:space="0"/>
                  </w:tcBorders>
                  <w:vAlign w:val="center"/>
                </w:tcPr>
                <w:p w14:paraId="5051C751">
                  <w:pPr>
                    <w:snapToGrid w:val="0"/>
                    <w:spacing w:line="240" w:lineRule="atLeast"/>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管控</w:t>
                  </w:r>
                </w:p>
                <w:p w14:paraId="6C584929">
                  <w:pPr>
                    <w:snapToGrid w:val="0"/>
                    <w:spacing w:line="240" w:lineRule="atLeast"/>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类别</w:t>
                  </w:r>
                </w:p>
              </w:tc>
              <w:tc>
                <w:tcPr>
                  <w:tcW w:w="2519" w:type="pct"/>
                  <w:tcBorders>
                    <w:top w:val="single" w:color="auto" w:sz="4" w:space="0"/>
                    <w:left w:val="single" w:color="auto" w:sz="4" w:space="0"/>
                    <w:bottom w:val="single" w:color="auto" w:sz="4" w:space="0"/>
                    <w:right w:val="single" w:color="auto" w:sz="4" w:space="0"/>
                  </w:tcBorders>
                  <w:vAlign w:val="center"/>
                </w:tcPr>
                <w:p w14:paraId="11FBA8D4">
                  <w:pPr>
                    <w:snapToGrid w:val="0"/>
                    <w:spacing w:line="240" w:lineRule="atLeast"/>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管控要求</w:t>
                  </w:r>
                </w:p>
              </w:tc>
              <w:tc>
                <w:tcPr>
                  <w:tcW w:w="1344" w:type="pct"/>
                  <w:tcBorders>
                    <w:top w:val="single" w:color="auto" w:sz="4" w:space="0"/>
                    <w:left w:val="single" w:color="auto" w:sz="4" w:space="0"/>
                    <w:bottom w:val="single" w:color="auto" w:sz="4" w:space="0"/>
                    <w:right w:val="single" w:color="auto" w:sz="4" w:space="0"/>
                  </w:tcBorders>
                  <w:vAlign w:val="center"/>
                </w:tcPr>
                <w:p w14:paraId="7E887519">
                  <w:pPr>
                    <w:snapToGrid w:val="0"/>
                    <w:spacing w:line="240" w:lineRule="atLeast"/>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对照分析</w:t>
                  </w:r>
                </w:p>
              </w:tc>
              <w:tc>
                <w:tcPr>
                  <w:tcW w:w="593" w:type="pct"/>
                  <w:tcBorders>
                    <w:top w:val="single" w:color="auto" w:sz="4" w:space="0"/>
                    <w:left w:val="single" w:color="auto" w:sz="4" w:space="0"/>
                    <w:bottom w:val="single" w:color="auto" w:sz="4" w:space="0"/>
                    <w:right w:val="single" w:color="auto" w:sz="4" w:space="0"/>
                  </w:tcBorders>
                  <w:vAlign w:val="center"/>
                </w:tcPr>
                <w:p w14:paraId="5401471A">
                  <w:pPr>
                    <w:snapToGrid w:val="0"/>
                    <w:spacing w:line="240" w:lineRule="atLeast"/>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是否满足要求</w:t>
                  </w:r>
                </w:p>
              </w:tc>
            </w:tr>
            <w:tr w14:paraId="127C3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4" w:type="pct"/>
                  <w:tcBorders>
                    <w:top w:val="single" w:color="auto" w:sz="4" w:space="0"/>
                    <w:left w:val="single" w:color="auto" w:sz="4" w:space="0"/>
                    <w:bottom w:val="single" w:color="auto" w:sz="4" w:space="0"/>
                    <w:right w:val="single" w:color="auto" w:sz="4" w:space="0"/>
                  </w:tcBorders>
                  <w:vAlign w:val="center"/>
                </w:tcPr>
                <w:p w14:paraId="4DCA4EFB">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空间布局约束</w:t>
                  </w:r>
                </w:p>
              </w:tc>
              <w:tc>
                <w:tcPr>
                  <w:tcW w:w="2519" w:type="pct"/>
                  <w:tcBorders>
                    <w:top w:val="single" w:color="auto" w:sz="4" w:space="0"/>
                    <w:left w:val="single" w:color="auto" w:sz="4" w:space="0"/>
                    <w:bottom w:val="single" w:color="auto" w:sz="4" w:space="0"/>
                    <w:right w:val="single" w:color="auto" w:sz="4" w:space="0"/>
                  </w:tcBorders>
                  <w:vAlign w:val="center"/>
                </w:tcPr>
                <w:p w14:paraId="6544DB42">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1</w:t>
                  </w:r>
                  <w:r>
                    <w:rPr>
                      <w:rFonts w:ascii="仿宋" w:hAnsi="仿宋" w:eastAsia="仿宋"/>
                      <w:color w:val="000000" w:themeColor="text1"/>
                      <w:szCs w:val="21"/>
                      <w14:textFill>
                        <w14:solidFill>
                          <w14:schemeClr w14:val="tx1"/>
                        </w14:solidFill>
                      </w14:textFill>
                    </w:rPr>
                    <w:t>）严格执行《江苏省</w:t>
                  </w:r>
                  <w:r>
                    <w:rPr>
                      <w:rFonts w:eastAsia="仿宋"/>
                      <w:color w:val="000000" w:themeColor="text1"/>
                      <w:szCs w:val="21"/>
                      <w14:textFill>
                        <w14:solidFill>
                          <w14:schemeClr w14:val="tx1"/>
                        </w14:solidFill>
                      </w14:textFill>
                    </w:rPr>
                    <w:t>“</w:t>
                  </w:r>
                  <w:r>
                    <w:rPr>
                      <w:rFonts w:ascii="仿宋" w:hAnsi="仿宋" w:eastAsia="仿宋"/>
                      <w:color w:val="000000" w:themeColor="text1"/>
                      <w:szCs w:val="21"/>
                      <w14:textFill>
                        <w14:solidFill>
                          <w14:schemeClr w14:val="tx1"/>
                        </w14:solidFill>
                      </w14:textFill>
                    </w:rPr>
                    <w:t>三线一单</w:t>
                  </w:r>
                  <w:r>
                    <w:rPr>
                      <w:rFonts w:eastAsia="仿宋"/>
                      <w:color w:val="000000" w:themeColor="text1"/>
                      <w:szCs w:val="21"/>
                      <w14:textFill>
                        <w14:solidFill>
                          <w14:schemeClr w14:val="tx1"/>
                        </w14:solidFill>
                      </w14:textFill>
                    </w:rPr>
                    <w:t>”</w:t>
                  </w:r>
                  <w:r>
                    <w:rPr>
                      <w:rFonts w:ascii="仿宋" w:hAnsi="仿宋" w:eastAsia="仿宋"/>
                      <w:color w:val="000000" w:themeColor="text1"/>
                      <w:szCs w:val="21"/>
                      <w14:textFill>
                        <w14:solidFill>
                          <w14:schemeClr w14:val="tx1"/>
                        </w14:solidFill>
                      </w14:textFill>
                    </w:rPr>
                    <w:t>生态环境分区管控方案》（苏政发〔</w:t>
                  </w:r>
                  <w:r>
                    <w:rPr>
                      <w:rFonts w:eastAsia="仿宋"/>
                      <w:color w:val="000000" w:themeColor="text1"/>
                      <w:szCs w:val="21"/>
                      <w14:textFill>
                        <w14:solidFill>
                          <w14:schemeClr w14:val="tx1"/>
                        </w14:solidFill>
                      </w14:textFill>
                    </w:rPr>
                    <w:t>2020</w:t>
                  </w: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49</w:t>
                  </w:r>
                  <w:r>
                    <w:rPr>
                      <w:rFonts w:ascii="仿宋" w:hAnsi="仿宋" w:eastAsia="仿宋"/>
                      <w:color w:val="000000" w:themeColor="text1"/>
                      <w:szCs w:val="21"/>
                      <w14:textFill>
                        <w14:solidFill>
                          <w14:schemeClr w14:val="tx1"/>
                        </w14:solidFill>
                      </w14:textFill>
                    </w:rPr>
                    <w:t>号）附件</w:t>
                  </w:r>
                  <w:r>
                    <w:rPr>
                      <w:rFonts w:eastAsia="仿宋"/>
                      <w:color w:val="000000" w:themeColor="text1"/>
                      <w:szCs w:val="21"/>
                      <w14:textFill>
                        <w14:solidFill>
                          <w14:schemeClr w14:val="tx1"/>
                        </w14:solidFill>
                      </w14:textFill>
                    </w:rPr>
                    <w:t>3</w:t>
                  </w:r>
                  <w:r>
                    <w:rPr>
                      <w:rFonts w:ascii="仿宋" w:hAnsi="仿宋" w:eastAsia="仿宋"/>
                      <w:color w:val="000000" w:themeColor="text1"/>
                      <w:szCs w:val="21"/>
                      <w14:textFill>
                        <w14:solidFill>
                          <w14:schemeClr w14:val="tx1"/>
                        </w14:solidFill>
                      </w14:textFill>
                    </w:rPr>
                    <w:t>江苏省省域生态环境管控要求中</w:t>
                  </w:r>
                  <w:r>
                    <w:rPr>
                      <w:rFonts w:eastAsia="仿宋"/>
                      <w:color w:val="000000" w:themeColor="text1"/>
                      <w:szCs w:val="21"/>
                      <w14:textFill>
                        <w14:solidFill>
                          <w14:schemeClr w14:val="tx1"/>
                        </w14:solidFill>
                      </w14:textFill>
                    </w:rPr>
                    <w:t>“</w:t>
                  </w:r>
                  <w:r>
                    <w:rPr>
                      <w:rFonts w:ascii="仿宋" w:hAnsi="仿宋" w:eastAsia="仿宋"/>
                      <w:color w:val="000000" w:themeColor="text1"/>
                      <w:szCs w:val="21"/>
                      <w14:textFill>
                        <w14:solidFill>
                          <w14:schemeClr w14:val="tx1"/>
                        </w14:solidFill>
                      </w14:textFill>
                    </w:rPr>
                    <w:t>空间布局约束</w:t>
                  </w:r>
                  <w:r>
                    <w:rPr>
                      <w:rFonts w:eastAsia="仿宋"/>
                      <w:color w:val="000000" w:themeColor="text1"/>
                      <w:szCs w:val="21"/>
                      <w14:textFill>
                        <w14:solidFill>
                          <w14:schemeClr w14:val="tx1"/>
                        </w14:solidFill>
                      </w14:textFill>
                    </w:rPr>
                    <w:t>”</w:t>
                  </w:r>
                  <w:r>
                    <w:rPr>
                      <w:rFonts w:ascii="仿宋" w:hAnsi="仿宋" w:eastAsia="仿宋"/>
                      <w:color w:val="000000" w:themeColor="text1"/>
                      <w:szCs w:val="21"/>
                      <w14:textFill>
                        <w14:solidFill>
                          <w14:schemeClr w14:val="tx1"/>
                        </w14:solidFill>
                      </w14:textFill>
                    </w:rPr>
                    <w:t>的相关要求。</w:t>
                  </w:r>
                </w:p>
                <w:p w14:paraId="1D9C5848">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（2）严格执行《关于印发各设区市2023年深入打好污染防治攻坚战目标任务书的通知》（苏污防攻坚指办〔2023〕53号）《2023年常州市生态文明建设工作方案》（常政发〔2023〕23号）等文件要求。</w:t>
                  </w:r>
                </w:p>
                <w:p w14:paraId="11F38BD0">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3</w:t>
                  </w:r>
                  <w:r>
                    <w:rPr>
                      <w:rFonts w:ascii="仿宋" w:hAnsi="仿宋" w:eastAsia="仿宋"/>
                      <w:color w:val="000000" w:themeColor="text1"/>
                      <w:szCs w:val="21"/>
                      <w14:textFill>
                        <w14:solidFill>
                          <w14:schemeClr w14:val="tx1"/>
                        </w14:solidFill>
                      </w14:textFill>
                    </w:rPr>
                    <w:t>）禁止引进：</w:t>
                  </w:r>
                  <w:r>
                    <w:rPr>
                      <w:rFonts w:hint="eastAsia" w:ascii="仿宋" w:hAnsi="仿宋" w:eastAsia="仿宋"/>
                      <w:color w:val="000000" w:themeColor="text1"/>
                      <w:szCs w:val="21"/>
                      <w14:textFill>
                        <w14:solidFill>
                          <w14:schemeClr w14:val="tx1"/>
                        </w14:solidFill>
                      </w14:textFill>
                    </w:rPr>
                    <w:t>列入《产业结构调整指导目录（2019年本）》、《江苏省产业结构调整限制、淘汰和禁止目录》、《江苏省工业和信息产业结构调整、限制、淘汰目录及能耗限额》淘汰类的产业；列入《外商投资产业指导目录》禁止类的产业</w:t>
                  </w:r>
                  <w:r>
                    <w:rPr>
                      <w:rFonts w:ascii="仿宋" w:hAnsi="仿宋" w:eastAsia="仿宋"/>
                      <w:color w:val="000000" w:themeColor="text1"/>
                      <w:szCs w:val="21"/>
                      <w14:textFill>
                        <w14:solidFill>
                          <w14:schemeClr w14:val="tx1"/>
                        </w14:solidFill>
                      </w14:textFill>
                    </w:rPr>
                    <w:t>。</w:t>
                  </w:r>
                </w:p>
                <w:p w14:paraId="1B1CF2B5">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根据《长江经济带发展负面清单指南(试行，2022年版)》江苏省实施细则：禁止在距离长江干支流岸线一公里范围内新建、扩建化工园区和化工项目；禁止在长江干流岸线三公里范围内新建、改建、扩建尾矿库、冶炼渣库和磷石膏库，以提升安全、生态环境保护水平为目的的改建除外；禁止在太湖流域一、二、三级保护区内开展《江苏省太湖水污染防治条例》禁止的投资建设活动；禁止在沿江地区新建、扩建未纳入国家和省布局规划的燃煤发电项目；禁止在合规园区外新建、扩建钢铁、石化、化工、焦化、建材、有色、制浆造纸等高污染项目；禁止在取消化工定位的园区(集中区)内新建化工项目。</w:t>
                  </w:r>
                </w:p>
              </w:tc>
              <w:tc>
                <w:tcPr>
                  <w:tcW w:w="1344" w:type="pct"/>
                  <w:tcBorders>
                    <w:top w:val="single" w:color="auto" w:sz="4" w:space="0"/>
                    <w:left w:val="single" w:color="auto" w:sz="4" w:space="0"/>
                    <w:bottom w:val="single" w:color="auto" w:sz="4" w:space="0"/>
                    <w:right w:val="single" w:color="auto" w:sz="4" w:space="0"/>
                  </w:tcBorders>
                  <w:vAlign w:val="center"/>
                </w:tcPr>
                <w:p w14:paraId="44C16BB5">
                  <w:pPr>
                    <w:snapToGrid w:val="0"/>
                    <w:spacing w:line="240" w:lineRule="atLeast"/>
                    <w:rPr>
                      <w:rFonts w:eastAsia="仿宋"/>
                      <w:color w:val="000000" w:themeColor="text1"/>
                      <w14:textFill>
                        <w14:solidFill>
                          <w14:schemeClr w14:val="tx1"/>
                        </w14:solidFill>
                      </w14:textFill>
                    </w:rPr>
                  </w:pPr>
                  <w:r>
                    <w:rPr>
                      <w:rFonts w:eastAsia="仿宋"/>
                      <w:color w:val="000000" w:themeColor="text1"/>
                      <w:szCs w:val="21"/>
                      <w14:textFill>
                        <w14:solidFill>
                          <w14:schemeClr w14:val="tx1"/>
                        </w14:solidFill>
                      </w14:textFill>
                    </w:rPr>
                    <w:t>（1）</w:t>
                  </w:r>
                  <w:r>
                    <w:rPr>
                      <w:rFonts w:eastAsia="仿宋"/>
                      <w:color w:val="000000" w:themeColor="text1"/>
                      <w14:textFill>
                        <w14:solidFill>
                          <w14:schemeClr w14:val="tx1"/>
                        </w14:solidFill>
                      </w14:textFill>
                    </w:rPr>
                    <w:t>本项目满足《江苏省“三线一单”生态环境分区管控方案》（苏政发[2020]49号）附件3江苏省省域生态环境管控要求中“空间布局约束”的相关要求；</w:t>
                  </w:r>
                </w:p>
                <w:p w14:paraId="057DC541">
                  <w:pPr>
                    <w:snapToGrid w:val="0"/>
                    <w:spacing w:line="240" w:lineRule="atLeast"/>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（2）本项目满足《关于印发各设区市2023年深入打好污染防治攻坚战目标任务书的通知》（苏污防攻坚指办〔2023〕53号）《2023年常州市生态文明建设工作方案》（常政发〔2023〕23号）等文件要求；</w:t>
                  </w:r>
                </w:p>
                <w:p w14:paraId="4B1D24A3">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本项目不属于《产业结构调整指导目录（2024年本）》、《江苏省产业结构调整限制、淘汰和禁止目录》、《江苏省工业和信息产业结构调整、限制、淘汰目录及能耗限额》淘汰类的产业；不属于《外商投资产业指导目录》禁止类的产业。</w:t>
                  </w:r>
                </w:p>
                <w:p w14:paraId="4097D3C9">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w:t>
                  </w:r>
                  <w:r>
                    <w:rPr>
                      <w:rFonts w:ascii="仿宋" w:hAnsi="仿宋" w:eastAsia="仿宋"/>
                      <w:color w:val="000000" w:themeColor="text1"/>
                      <w:szCs w:val="21"/>
                      <w14:textFill>
                        <w14:solidFill>
                          <w14:schemeClr w14:val="tx1"/>
                        </w14:solidFill>
                      </w14:textFill>
                    </w:rPr>
                    <w:t>本项目位于江苏省常州市</w:t>
                  </w:r>
                  <w:r>
                    <w:rPr>
                      <w:rFonts w:hint="eastAsia" w:ascii="仿宋" w:hAnsi="仿宋" w:eastAsia="仿宋"/>
                      <w:color w:val="000000" w:themeColor="text1"/>
                      <w:szCs w:val="21"/>
                      <w14:textFill>
                        <w14:solidFill>
                          <w14:schemeClr w14:val="tx1"/>
                        </w14:solidFill>
                      </w14:textFill>
                    </w:rPr>
                    <w:t>江苏金坛经济开发区汇福路东侧、珠山路南侧</w:t>
                  </w:r>
                  <w:r>
                    <w:rPr>
                      <w:rFonts w:ascii="仿宋" w:hAnsi="仿宋" w:eastAsia="仿宋"/>
                      <w:color w:val="000000" w:themeColor="text1"/>
                      <w:szCs w:val="21"/>
                      <w14:textFill>
                        <w14:solidFill>
                          <w14:schemeClr w14:val="tx1"/>
                        </w14:solidFill>
                      </w14:textFill>
                    </w:rPr>
                    <w:t>，不在长江干支流</w:t>
                  </w:r>
                  <w:r>
                    <w:rPr>
                      <w:rFonts w:eastAsia="仿宋"/>
                      <w:color w:val="000000" w:themeColor="text1"/>
                      <w:szCs w:val="21"/>
                      <w14:textFill>
                        <w14:solidFill>
                          <w14:schemeClr w14:val="tx1"/>
                        </w14:solidFill>
                      </w14:textFill>
                    </w:rPr>
                    <w:t>1</w:t>
                  </w:r>
                  <w:r>
                    <w:rPr>
                      <w:rFonts w:ascii="仿宋" w:hAnsi="仿宋" w:eastAsia="仿宋"/>
                      <w:color w:val="000000" w:themeColor="text1"/>
                      <w:szCs w:val="21"/>
                      <w14:textFill>
                        <w14:solidFill>
                          <w14:schemeClr w14:val="tx1"/>
                        </w14:solidFill>
                      </w14:textFill>
                    </w:rPr>
                    <w:t>公里范围内</w:t>
                  </w:r>
                  <w:r>
                    <w:rPr>
                      <w:rFonts w:hint="eastAsia" w:ascii="仿宋" w:hAnsi="仿宋" w:eastAsia="仿宋"/>
                      <w:color w:val="000000" w:themeColor="text1"/>
                      <w:szCs w:val="21"/>
                      <w14:textFill>
                        <w14:solidFill>
                          <w14:schemeClr w14:val="tx1"/>
                        </w14:solidFill>
                      </w14:textFill>
                    </w:rPr>
                    <w:t>。</w:t>
                  </w:r>
                </w:p>
              </w:tc>
              <w:tc>
                <w:tcPr>
                  <w:tcW w:w="593" w:type="pct"/>
                  <w:tcBorders>
                    <w:top w:val="single" w:color="auto" w:sz="4" w:space="0"/>
                    <w:left w:val="single" w:color="auto" w:sz="4" w:space="0"/>
                    <w:bottom w:val="single" w:color="auto" w:sz="4" w:space="0"/>
                    <w:right w:val="single" w:color="auto" w:sz="4" w:space="0"/>
                  </w:tcBorders>
                  <w:vAlign w:val="center"/>
                </w:tcPr>
                <w:p w14:paraId="1BA48B2E">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是</w:t>
                  </w:r>
                </w:p>
              </w:tc>
            </w:tr>
            <w:tr w14:paraId="2A978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4" w:type="pct"/>
                  <w:tcBorders>
                    <w:top w:val="single" w:color="auto" w:sz="4" w:space="0"/>
                    <w:left w:val="single" w:color="auto" w:sz="4" w:space="0"/>
                    <w:bottom w:val="single" w:color="auto" w:sz="4" w:space="0"/>
                    <w:right w:val="single" w:color="auto" w:sz="4" w:space="0"/>
                  </w:tcBorders>
                  <w:vAlign w:val="center"/>
                </w:tcPr>
                <w:p w14:paraId="415552C9">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污染物排放管控</w:t>
                  </w:r>
                </w:p>
              </w:tc>
              <w:tc>
                <w:tcPr>
                  <w:tcW w:w="2519" w:type="pct"/>
                  <w:tcBorders>
                    <w:top w:val="single" w:color="auto" w:sz="4" w:space="0"/>
                    <w:left w:val="single" w:color="auto" w:sz="4" w:space="0"/>
                    <w:bottom w:val="single" w:color="auto" w:sz="4" w:space="0"/>
                    <w:right w:val="single" w:color="auto" w:sz="4" w:space="0"/>
                  </w:tcBorders>
                  <w:vAlign w:val="center"/>
                </w:tcPr>
                <w:p w14:paraId="0155C2F0">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（1）坚持生态环境质量只能更好、不能变坏，实施污染物总量控制，以环境容量定产业、定项目、定规模，确保开发建设行为不突破生态环境承载力。</w:t>
                  </w:r>
                </w:p>
                <w:p w14:paraId="52242377">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常州市“十四五”生态环境保护规划》（常政办发〔2021〕130号），到2025年，常州市主要污染物减排满足省下达指标要求。全面贯彻落实《江苏省工业园区（集中区）污染物排放限值限量管理工作方案（试行）》（苏环办〔2021〕232号），完善工业园区主要污染物排放总量控制措施，实现主要污染物排放浓度和总量“双控”。</w:t>
                  </w:r>
                </w:p>
              </w:tc>
              <w:tc>
                <w:tcPr>
                  <w:tcW w:w="1344" w:type="pct"/>
                  <w:tcBorders>
                    <w:top w:val="single" w:color="auto" w:sz="4" w:space="0"/>
                    <w:left w:val="single" w:color="auto" w:sz="4" w:space="0"/>
                    <w:bottom w:val="single" w:color="auto" w:sz="4" w:space="0"/>
                    <w:right w:val="single" w:color="auto" w:sz="4" w:space="0"/>
                  </w:tcBorders>
                  <w:vAlign w:val="center"/>
                </w:tcPr>
                <w:p w14:paraId="4F716180">
                  <w:pPr>
                    <w:snapToGrid w:val="0"/>
                    <w:spacing w:line="240" w:lineRule="atLeast"/>
                    <w:rPr>
                      <w:rFonts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本项目类型及其选址、布局、规模等符合环境保护法律法规和相关法定规划，废水中各污染物总量在区域内平衡。项目产生的废气采取相应的污染防治措施进行处理后达标排放，总量在金坛区范围内平衡</w:t>
                  </w:r>
                  <w:r>
                    <w:rPr>
                      <w:rFonts w:ascii="仿宋" w:hAnsi="仿宋" w:eastAsia="仿宋"/>
                      <w:color w:val="000000" w:themeColor="text1"/>
                      <w:szCs w:val="21"/>
                      <w14:textFill>
                        <w14:solidFill>
                          <w14:schemeClr w14:val="tx1"/>
                        </w14:solidFill>
                      </w14:textFill>
                    </w:rPr>
                    <w:t>。</w:t>
                  </w:r>
                </w:p>
              </w:tc>
              <w:tc>
                <w:tcPr>
                  <w:tcW w:w="593" w:type="pct"/>
                  <w:tcBorders>
                    <w:top w:val="single" w:color="auto" w:sz="4" w:space="0"/>
                    <w:left w:val="single" w:color="auto" w:sz="4" w:space="0"/>
                    <w:bottom w:val="single" w:color="auto" w:sz="4" w:space="0"/>
                    <w:right w:val="single" w:color="auto" w:sz="4" w:space="0"/>
                  </w:tcBorders>
                  <w:vAlign w:val="center"/>
                </w:tcPr>
                <w:p w14:paraId="4BB64590">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是</w:t>
                  </w:r>
                </w:p>
              </w:tc>
            </w:tr>
            <w:tr w14:paraId="331EC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4" w:type="pct"/>
                  <w:tcBorders>
                    <w:top w:val="single" w:color="auto" w:sz="4" w:space="0"/>
                    <w:left w:val="single" w:color="auto" w:sz="4" w:space="0"/>
                    <w:bottom w:val="single" w:color="auto" w:sz="4" w:space="0"/>
                    <w:right w:val="single" w:color="auto" w:sz="4" w:space="0"/>
                  </w:tcBorders>
                  <w:vAlign w:val="center"/>
                </w:tcPr>
                <w:p w14:paraId="12DE76DC">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环境风险防控</w:t>
                  </w:r>
                </w:p>
              </w:tc>
              <w:tc>
                <w:tcPr>
                  <w:tcW w:w="2519" w:type="pct"/>
                  <w:tcBorders>
                    <w:top w:val="single" w:color="auto" w:sz="4" w:space="0"/>
                    <w:left w:val="single" w:color="auto" w:sz="4" w:space="0"/>
                    <w:bottom w:val="single" w:color="auto" w:sz="4" w:space="0"/>
                    <w:right w:val="single" w:color="auto" w:sz="4" w:space="0"/>
                  </w:tcBorders>
                  <w:vAlign w:val="center"/>
                </w:tcPr>
                <w:p w14:paraId="7B827EE8">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1</w:t>
                  </w:r>
                  <w:r>
                    <w:rPr>
                      <w:rFonts w:ascii="仿宋" w:hAnsi="仿宋" w:eastAsia="仿宋"/>
                      <w:color w:val="000000" w:themeColor="text1"/>
                      <w:szCs w:val="21"/>
                      <w14:textFill>
                        <w14:solidFill>
                          <w14:schemeClr w14:val="tx1"/>
                        </w14:solidFill>
                      </w14:textFill>
                    </w:rPr>
                    <w:t>）严格执行《江苏省</w:t>
                  </w:r>
                  <w:r>
                    <w:rPr>
                      <w:rFonts w:eastAsia="仿宋"/>
                      <w:color w:val="000000" w:themeColor="text1"/>
                      <w:szCs w:val="21"/>
                      <w14:textFill>
                        <w14:solidFill>
                          <w14:schemeClr w14:val="tx1"/>
                        </w14:solidFill>
                      </w14:textFill>
                    </w:rPr>
                    <w:t>“</w:t>
                  </w:r>
                  <w:r>
                    <w:rPr>
                      <w:rFonts w:ascii="仿宋" w:hAnsi="仿宋" w:eastAsia="仿宋"/>
                      <w:color w:val="000000" w:themeColor="text1"/>
                      <w:szCs w:val="21"/>
                      <w14:textFill>
                        <w14:solidFill>
                          <w14:schemeClr w14:val="tx1"/>
                        </w14:solidFill>
                      </w14:textFill>
                    </w:rPr>
                    <w:t>三线一单</w:t>
                  </w:r>
                  <w:r>
                    <w:rPr>
                      <w:rFonts w:eastAsia="仿宋"/>
                      <w:color w:val="000000" w:themeColor="text1"/>
                      <w:szCs w:val="21"/>
                      <w14:textFill>
                        <w14:solidFill>
                          <w14:schemeClr w14:val="tx1"/>
                        </w14:solidFill>
                      </w14:textFill>
                    </w:rPr>
                    <w:t>”</w:t>
                  </w:r>
                  <w:r>
                    <w:rPr>
                      <w:rFonts w:ascii="仿宋" w:hAnsi="仿宋" w:eastAsia="仿宋"/>
                      <w:color w:val="000000" w:themeColor="text1"/>
                      <w:szCs w:val="21"/>
                      <w14:textFill>
                        <w14:solidFill>
                          <w14:schemeClr w14:val="tx1"/>
                        </w14:solidFill>
                      </w14:textFill>
                    </w:rPr>
                    <w:t>生态环境分区管控方案》（苏政发〔</w:t>
                  </w:r>
                  <w:r>
                    <w:rPr>
                      <w:rFonts w:eastAsia="仿宋"/>
                      <w:color w:val="000000" w:themeColor="text1"/>
                      <w:szCs w:val="21"/>
                      <w14:textFill>
                        <w14:solidFill>
                          <w14:schemeClr w14:val="tx1"/>
                        </w14:solidFill>
                      </w14:textFill>
                    </w:rPr>
                    <w:t>2020</w:t>
                  </w: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49</w:t>
                  </w:r>
                  <w:r>
                    <w:rPr>
                      <w:rFonts w:ascii="仿宋" w:hAnsi="仿宋" w:eastAsia="仿宋"/>
                      <w:color w:val="000000" w:themeColor="text1"/>
                      <w:szCs w:val="21"/>
                      <w14:textFill>
                        <w14:solidFill>
                          <w14:schemeClr w14:val="tx1"/>
                        </w14:solidFill>
                      </w14:textFill>
                    </w:rPr>
                    <w:t>号）附件</w:t>
                  </w:r>
                  <w:r>
                    <w:rPr>
                      <w:rFonts w:eastAsia="仿宋"/>
                      <w:color w:val="000000" w:themeColor="text1"/>
                      <w:szCs w:val="21"/>
                      <w14:textFill>
                        <w14:solidFill>
                          <w14:schemeClr w14:val="tx1"/>
                        </w14:solidFill>
                      </w14:textFill>
                    </w:rPr>
                    <w:t>3</w:t>
                  </w:r>
                  <w:r>
                    <w:rPr>
                      <w:rFonts w:ascii="仿宋" w:hAnsi="仿宋" w:eastAsia="仿宋"/>
                      <w:color w:val="000000" w:themeColor="text1"/>
                      <w:szCs w:val="21"/>
                      <w14:textFill>
                        <w14:solidFill>
                          <w14:schemeClr w14:val="tx1"/>
                        </w14:solidFill>
                      </w14:textFill>
                    </w:rPr>
                    <w:t>江苏省省域生态环境管控要求中</w:t>
                  </w:r>
                  <w:r>
                    <w:rPr>
                      <w:rFonts w:eastAsia="仿宋"/>
                      <w:color w:val="000000" w:themeColor="text1"/>
                      <w:szCs w:val="21"/>
                      <w14:textFill>
                        <w14:solidFill>
                          <w14:schemeClr w14:val="tx1"/>
                        </w14:solidFill>
                      </w14:textFill>
                    </w:rPr>
                    <w:t>“</w:t>
                  </w:r>
                  <w:r>
                    <w:rPr>
                      <w:rFonts w:ascii="仿宋" w:hAnsi="仿宋" w:eastAsia="仿宋"/>
                      <w:color w:val="000000" w:themeColor="text1"/>
                      <w:szCs w:val="21"/>
                      <w14:textFill>
                        <w14:solidFill>
                          <w14:schemeClr w14:val="tx1"/>
                        </w14:solidFill>
                      </w14:textFill>
                    </w:rPr>
                    <w:t>环境风险防控</w:t>
                  </w:r>
                  <w:r>
                    <w:rPr>
                      <w:rFonts w:eastAsia="仿宋"/>
                      <w:color w:val="000000" w:themeColor="text1"/>
                      <w:szCs w:val="21"/>
                      <w14:textFill>
                        <w14:solidFill>
                          <w14:schemeClr w14:val="tx1"/>
                        </w14:solidFill>
                      </w14:textFill>
                    </w:rPr>
                    <w:t>”</w:t>
                  </w:r>
                  <w:r>
                    <w:rPr>
                      <w:rFonts w:ascii="仿宋" w:hAnsi="仿宋" w:eastAsia="仿宋"/>
                      <w:color w:val="000000" w:themeColor="text1"/>
                      <w:szCs w:val="21"/>
                      <w14:textFill>
                        <w14:solidFill>
                          <w14:schemeClr w14:val="tx1"/>
                        </w14:solidFill>
                      </w14:textFill>
                    </w:rPr>
                    <w:t>的相关要求。</w:t>
                  </w:r>
                </w:p>
                <w:p w14:paraId="584B71D5">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2</w:t>
                  </w:r>
                  <w:r>
                    <w:rPr>
                      <w:rFonts w:ascii="仿宋" w:hAnsi="仿宋" w:eastAsia="仿宋"/>
                      <w:color w:val="000000" w:themeColor="text1"/>
                      <w:szCs w:val="21"/>
                      <w14:textFill>
                        <w14:solidFill>
                          <w14:schemeClr w14:val="tx1"/>
                        </w14:solidFill>
                      </w14:textFill>
                    </w:rPr>
                    <w:t>）根据《常州市长江生态优先绿色发展三年行动计划（</w:t>
                  </w:r>
                  <w:r>
                    <w:rPr>
                      <w:rFonts w:eastAsia="仿宋"/>
                      <w:color w:val="000000" w:themeColor="text1"/>
                      <w:szCs w:val="21"/>
                      <w14:textFill>
                        <w14:solidFill>
                          <w14:schemeClr w14:val="tx1"/>
                        </w14:solidFill>
                      </w14:textFill>
                    </w:rPr>
                    <w:t>2019-2021</w:t>
                  </w:r>
                  <w:r>
                    <w:rPr>
                      <w:rFonts w:ascii="仿宋" w:hAnsi="仿宋" w:eastAsia="仿宋"/>
                      <w:color w:val="000000" w:themeColor="text1"/>
                      <w:szCs w:val="21"/>
                      <w14:textFill>
                        <w14:solidFill>
                          <w14:schemeClr w14:val="tx1"/>
                        </w14:solidFill>
                      </w14:textFill>
                    </w:rPr>
                    <w:t>年）》（常长江发〔</w:t>
                  </w:r>
                  <w:r>
                    <w:rPr>
                      <w:rFonts w:eastAsia="仿宋"/>
                      <w:color w:val="000000" w:themeColor="text1"/>
                      <w:szCs w:val="21"/>
                      <w14:textFill>
                        <w14:solidFill>
                          <w14:schemeClr w14:val="tx1"/>
                        </w14:solidFill>
                      </w14:textFill>
                    </w:rPr>
                    <w:t>2019</w:t>
                  </w: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3</w:t>
                  </w:r>
                  <w:r>
                    <w:rPr>
                      <w:rFonts w:ascii="仿宋" w:hAnsi="仿宋" w:eastAsia="仿宋"/>
                      <w:color w:val="000000" w:themeColor="text1"/>
                      <w:szCs w:val="21"/>
                      <w14:textFill>
                        <w14:solidFill>
                          <w14:schemeClr w14:val="tx1"/>
                        </w14:solidFill>
                      </w14:textFill>
                    </w:rPr>
                    <w:t>号），大幅压减沿江地区化工生产企业数量，沿江</w:t>
                  </w:r>
                  <w:r>
                    <w:rPr>
                      <w:rFonts w:eastAsia="仿宋"/>
                      <w:color w:val="000000" w:themeColor="text1"/>
                      <w:szCs w:val="21"/>
                      <w14:textFill>
                        <w14:solidFill>
                          <w14:schemeClr w14:val="tx1"/>
                        </w14:solidFill>
                      </w14:textFill>
                    </w:rPr>
                    <w:t>1</w:t>
                  </w:r>
                  <w:r>
                    <w:rPr>
                      <w:rFonts w:ascii="仿宋" w:hAnsi="仿宋" w:eastAsia="仿宋"/>
                      <w:color w:val="000000" w:themeColor="text1"/>
                      <w:szCs w:val="21"/>
                      <w14:textFill>
                        <w14:solidFill>
                          <w14:schemeClr w14:val="tx1"/>
                        </w14:solidFill>
                      </w14:textFill>
                    </w:rPr>
                    <w:t>公里范围凡是与化工园区无产业链关联、安全和环保隐患大的企业</w:t>
                  </w:r>
                  <w:r>
                    <w:rPr>
                      <w:rFonts w:eastAsia="仿宋"/>
                      <w:color w:val="000000" w:themeColor="text1"/>
                      <w:szCs w:val="21"/>
                      <w14:textFill>
                        <w14:solidFill>
                          <w14:schemeClr w14:val="tx1"/>
                        </w14:solidFill>
                      </w14:textFill>
                    </w:rPr>
                    <w:t>2020</w:t>
                  </w:r>
                  <w:r>
                    <w:rPr>
                      <w:rFonts w:ascii="仿宋" w:hAnsi="仿宋" w:eastAsia="仿宋"/>
                      <w:color w:val="000000" w:themeColor="text1"/>
                      <w:szCs w:val="21"/>
                      <w14:textFill>
                        <w14:solidFill>
                          <w14:schemeClr w14:val="tx1"/>
                        </w14:solidFill>
                      </w14:textFill>
                    </w:rPr>
                    <w:t>年底前依法关停退出。</w:t>
                  </w:r>
                </w:p>
                <w:p w14:paraId="615AD36A">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3</w:t>
                  </w:r>
                  <w:r>
                    <w:rPr>
                      <w:rFonts w:ascii="仿宋" w:hAnsi="仿宋" w:eastAsia="仿宋"/>
                      <w:color w:val="000000" w:themeColor="text1"/>
                      <w:szCs w:val="21"/>
                      <w14:textFill>
                        <w14:solidFill>
                          <w14:schemeClr w14:val="tx1"/>
                        </w14:solidFill>
                      </w14:textFill>
                    </w:rPr>
                    <w:t>）强化饮用水水源环境风险管控，建成应急水源工程。</w:t>
                  </w:r>
                </w:p>
                <w:p w14:paraId="746D7DF2">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4</w:t>
                  </w:r>
                  <w:r>
                    <w:rPr>
                      <w:rFonts w:ascii="仿宋" w:hAnsi="仿宋" w:eastAsia="仿宋"/>
                      <w:color w:val="000000" w:themeColor="text1"/>
                      <w:szCs w:val="21"/>
                      <w14:textFill>
                        <w14:solidFill>
                          <w14:schemeClr w14:val="tx1"/>
                        </w14:solidFill>
                      </w14:textFill>
                    </w:rPr>
                    <w:t>）完善废弃危险化学品等危险废物（以下简称</w:t>
                  </w:r>
                  <w:r>
                    <w:rPr>
                      <w:rFonts w:eastAsia="仿宋"/>
                      <w:color w:val="000000" w:themeColor="text1"/>
                      <w:szCs w:val="21"/>
                      <w14:textFill>
                        <w14:solidFill>
                          <w14:schemeClr w14:val="tx1"/>
                        </w14:solidFill>
                      </w14:textFill>
                    </w:rPr>
                    <w:t>“</w:t>
                  </w:r>
                  <w:r>
                    <w:rPr>
                      <w:rFonts w:ascii="仿宋" w:hAnsi="仿宋" w:eastAsia="仿宋"/>
                      <w:color w:val="000000" w:themeColor="text1"/>
                      <w:szCs w:val="21"/>
                      <w14:textFill>
                        <w14:solidFill>
                          <w14:schemeClr w14:val="tx1"/>
                        </w14:solidFill>
                      </w14:textFill>
                    </w:rPr>
                    <w:t>危险废物</w:t>
                  </w:r>
                  <w:r>
                    <w:rPr>
                      <w:rFonts w:eastAsia="仿宋"/>
                      <w:color w:val="000000" w:themeColor="text1"/>
                      <w:szCs w:val="21"/>
                      <w14:textFill>
                        <w14:solidFill>
                          <w14:schemeClr w14:val="tx1"/>
                        </w14:solidFill>
                      </w14:textFill>
                    </w:rPr>
                    <w:t>”</w:t>
                  </w:r>
                  <w:r>
                    <w:rPr>
                      <w:rFonts w:ascii="仿宋" w:hAnsi="仿宋" w:eastAsia="仿宋"/>
                      <w:color w:val="000000" w:themeColor="text1"/>
                      <w:szCs w:val="21"/>
                      <w14:textFill>
                        <w14:solidFill>
                          <w14:schemeClr w14:val="tx1"/>
                        </w14:solidFill>
                      </w14:textFill>
                    </w:rPr>
                    <w:t>）、重点环保设施和项目、涉爆粉尘企业等分级管控和隐患排查治理的责任体系、制度标准、工作机制；重点加强化学工业园区、涉及大宗危化品使用企业、贮存和运输危化品的港口码头、尾矿库、集中式污水处理厂、危废处理企业的环境风险防控；建立覆盖危险废物产生、收集、贮存、转移、运输、利用、处置等全过程的监督体系，严厉打击危险废物非法转移、处置和倾倒行为。</w:t>
                  </w:r>
                </w:p>
              </w:tc>
              <w:tc>
                <w:tcPr>
                  <w:tcW w:w="1344" w:type="pct"/>
                  <w:tcBorders>
                    <w:top w:val="single" w:color="auto" w:sz="4" w:space="0"/>
                    <w:left w:val="single" w:color="auto" w:sz="4" w:space="0"/>
                    <w:bottom w:val="single" w:color="auto" w:sz="4" w:space="0"/>
                    <w:right w:val="single" w:color="auto" w:sz="4" w:space="0"/>
                  </w:tcBorders>
                  <w:vAlign w:val="center"/>
                </w:tcPr>
                <w:p w14:paraId="024E0AFA">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（1）本项目满足《江苏省“三线一单”生态环境分区管控方案》（苏政发[2020]49号）附件3江苏省省域生态环境管控要求中“环境风险防控”的相关要求；</w:t>
                  </w:r>
                </w:p>
                <w:p w14:paraId="7365673D">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（2）本项目位于江苏省常州市江苏金坛经济开发区汇福路东侧、珠山路南侧，不在长江沿江1公里范围内；</w:t>
                  </w:r>
                </w:p>
                <w:p w14:paraId="27859118">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（3）本项目产生的危险废物委托有资质单位处置。</w:t>
                  </w:r>
                </w:p>
              </w:tc>
              <w:tc>
                <w:tcPr>
                  <w:tcW w:w="593" w:type="pct"/>
                  <w:tcBorders>
                    <w:top w:val="single" w:color="auto" w:sz="4" w:space="0"/>
                    <w:left w:val="single" w:color="auto" w:sz="4" w:space="0"/>
                    <w:bottom w:val="single" w:color="auto" w:sz="4" w:space="0"/>
                    <w:right w:val="single" w:color="auto" w:sz="4" w:space="0"/>
                  </w:tcBorders>
                  <w:vAlign w:val="center"/>
                </w:tcPr>
                <w:p w14:paraId="4A1C1A03">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是</w:t>
                  </w:r>
                </w:p>
              </w:tc>
            </w:tr>
            <w:tr w14:paraId="033AB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4" w:type="pct"/>
                  <w:tcBorders>
                    <w:top w:val="single" w:color="auto" w:sz="4" w:space="0"/>
                    <w:left w:val="single" w:color="auto" w:sz="4" w:space="0"/>
                    <w:bottom w:val="single" w:color="auto" w:sz="4" w:space="0"/>
                    <w:right w:val="single" w:color="auto" w:sz="4" w:space="0"/>
                  </w:tcBorders>
                  <w:vAlign w:val="center"/>
                </w:tcPr>
                <w:p w14:paraId="3F8C4B3E">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资源利用效率要求</w:t>
                  </w:r>
                </w:p>
              </w:tc>
              <w:tc>
                <w:tcPr>
                  <w:tcW w:w="2519" w:type="pct"/>
                  <w:tcBorders>
                    <w:top w:val="single" w:color="auto" w:sz="4" w:space="0"/>
                    <w:left w:val="single" w:color="auto" w:sz="4" w:space="0"/>
                    <w:bottom w:val="single" w:color="auto" w:sz="4" w:space="0"/>
                    <w:right w:val="single" w:color="auto" w:sz="4" w:space="0"/>
                  </w:tcBorders>
                  <w:vAlign w:val="center"/>
                </w:tcPr>
                <w:p w14:paraId="042F6264">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江苏省水利厅江苏省发展和改革委员会关于印发“十四五”用水总量和强度控制目标的通知》（苏水节〔2022〕6号），到2025年，常州市用水总量控制在31.0亿立方米，其中非常规水源利用量控制在0.81亿立方米，万元国内生产总值用水量比2020年下降19%，万元工业增加值用水量比2020年下降18.5%，农田灌溉水利用系数达0.688。</w:t>
                  </w:r>
                </w:p>
                <w:p w14:paraId="28DE5A24">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（2）根据《常州市国土空间总体规划（2021-2035年）（上报稿）》，永久基本农田实际划定是7.53万公顷，2035年任务量为7.66万公顷。</w:t>
                  </w:r>
                </w:p>
                <w:p w14:paraId="14C4B848">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根据《市政府关于公布常州市高污染燃料禁燃区类别的通告》（常政发〔2017〕163号）、《市政府关于公布溧阳市高污染燃料禁燃区控制类别的通告》（溧政发〔2018〕6号），常州市禁燃区内禁止新建、扩建燃用高污染燃料的项目和设施，已建成的应逐步或依法限期改用天然气、电或者其他清洁能源。禁止燃用的燃料主要包括：</w:t>
                  </w:r>
                  <w:r>
                    <w:rPr>
                      <w:rFonts w:hint="eastAsia" w:ascii="宋体" w:hAnsi="宋体" w:cs="宋体"/>
                      <w:color w:val="000000" w:themeColor="text1"/>
                      <w:szCs w:val="21"/>
                      <w14:textFill>
                        <w14:solidFill>
                          <w14:schemeClr w14:val="tx1"/>
                        </w14:solidFill>
                      </w14:textFill>
                    </w:rPr>
                    <w:t>①</w:t>
                  </w:r>
                  <w:r>
                    <w:rPr>
                      <w:rFonts w:eastAsia="仿宋"/>
                      <w:color w:val="000000" w:themeColor="text1"/>
                      <w:szCs w:val="21"/>
                      <w14:textFill>
                        <w14:solidFill>
                          <w14:schemeClr w14:val="tx1"/>
                        </w14:solidFill>
                      </w14:textFill>
                    </w:rPr>
                    <w:t>“II类”（较严），具体包括：除单台出力大于等于20蒸吨/小时锅炉以外燃用的煤炭及其制品；石油焦、油页岩、原油、重油、渣油、煤焦油。</w:t>
                  </w:r>
                  <w:r>
                    <w:rPr>
                      <w:rFonts w:hint="eastAsia" w:ascii="宋体" w:hAnsi="宋体" w:cs="宋体"/>
                      <w:color w:val="000000" w:themeColor="text1"/>
                      <w:szCs w:val="21"/>
                      <w14:textFill>
                        <w14:solidFill>
                          <w14:schemeClr w14:val="tx1"/>
                        </w14:solidFill>
                      </w14:textFill>
                    </w:rPr>
                    <w:t>②</w:t>
                  </w:r>
                  <w:r>
                    <w:rPr>
                      <w:rFonts w:eastAsia="仿宋"/>
                      <w:color w:val="000000" w:themeColor="text1"/>
                      <w:szCs w:val="21"/>
                      <w14:textFill>
                        <w14:solidFill>
                          <w14:schemeClr w14:val="tx1"/>
                        </w14:solidFill>
                      </w14:textFill>
                    </w:rPr>
                    <w:t>“III类”（严格），具体包括：煤炭及其制品（包括原煤、散煤、煤矸石、煤泥、煤粉、水煤浆、型煤、焦炭、兰炭等）；石油焦、油页岩、原油、重油、渣油、煤焦油；非专用锅炉或未配置高效除尘设施的专用锅炉燃用的生物质成型燃料；国家规定的其它高污染燃料。</w:t>
                  </w:r>
                </w:p>
                <w:p w14:paraId="7534D950">
                  <w:pPr>
                    <w:snapToGrid w:val="0"/>
                    <w:spacing w:line="240" w:lineRule="atLeast"/>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4）根据《常州市“十四五”能源发展规划》（常政办发〔2021〕101号），到2025年，常州市能源消费总量控制在2881万吨标准煤，其中煤炭消费总量控制在1000万吨以内，非化石能源利用量达到86.43万吨标准煤，占能源消费总量的3%，比重比2020年提高1.4个百分点。到2025年，全市万元地区生产总值能耗（按2020年可比价计算）五年累计下降达到省控目标。</w:t>
                  </w:r>
                </w:p>
              </w:tc>
              <w:tc>
                <w:tcPr>
                  <w:tcW w:w="1344" w:type="pct"/>
                  <w:tcBorders>
                    <w:top w:val="single" w:color="auto" w:sz="4" w:space="0"/>
                    <w:left w:val="single" w:color="auto" w:sz="4" w:space="0"/>
                    <w:bottom w:val="single" w:color="auto" w:sz="4" w:space="0"/>
                    <w:right w:val="single" w:color="auto" w:sz="4" w:space="0"/>
                  </w:tcBorders>
                  <w:vAlign w:val="center"/>
                </w:tcPr>
                <w:p w14:paraId="0781C1C9">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本项目所在地规划用地性质为工业用地，不占用耕地，不涉及燃用高污染燃料的项目和设施。</w:t>
                  </w:r>
                </w:p>
              </w:tc>
              <w:tc>
                <w:tcPr>
                  <w:tcW w:w="593" w:type="pct"/>
                  <w:tcBorders>
                    <w:top w:val="single" w:color="auto" w:sz="4" w:space="0"/>
                    <w:left w:val="single" w:color="auto" w:sz="4" w:space="0"/>
                    <w:bottom w:val="single" w:color="auto" w:sz="4" w:space="0"/>
                    <w:right w:val="single" w:color="auto" w:sz="4" w:space="0"/>
                  </w:tcBorders>
                  <w:vAlign w:val="center"/>
                </w:tcPr>
                <w:p w14:paraId="17F3E8E8">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是</w:t>
                  </w:r>
                </w:p>
              </w:tc>
            </w:tr>
          </w:tbl>
          <w:p w14:paraId="7EB8F435">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4、根据《常州市“三线一单”生态环境分区管控实施方案》附件3中常州市环境管控单元名录，本项目位于江苏金坛经济开发区，属于“重点管控单元”。</w:t>
            </w:r>
          </w:p>
          <w:p w14:paraId="187D8F3E">
            <w:pPr>
              <w:spacing w:line="480" w:lineRule="exact"/>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表1-8 与江苏金坛经济开发区生态环境准入清单符合性预判情况</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3873"/>
              <w:gridCol w:w="2295"/>
              <w:gridCol w:w="912"/>
            </w:tblGrid>
            <w:tr w14:paraId="0E42A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4" w:type="pct"/>
                  <w:tcBorders>
                    <w:top w:val="single" w:color="auto" w:sz="4" w:space="0"/>
                    <w:left w:val="single" w:color="auto" w:sz="4" w:space="0"/>
                    <w:bottom w:val="single" w:color="auto" w:sz="4" w:space="0"/>
                    <w:right w:val="single" w:color="auto" w:sz="4" w:space="0"/>
                  </w:tcBorders>
                  <w:vAlign w:val="center"/>
                </w:tcPr>
                <w:p w14:paraId="23ECFCFD">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名称</w:t>
                  </w:r>
                </w:p>
              </w:tc>
              <w:tc>
                <w:tcPr>
                  <w:tcW w:w="2432" w:type="pct"/>
                  <w:tcBorders>
                    <w:top w:val="single" w:color="auto" w:sz="4" w:space="0"/>
                    <w:left w:val="single" w:color="auto" w:sz="4" w:space="0"/>
                    <w:bottom w:val="single" w:color="auto" w:sz="4" w:space="0"/>
                    <w:right w:val="single" w:color="auto" w:sz="4" w:space="0"/>
                  </w:tcBorders>
                  <w:vAlign w:val="center"/>
                </w:tcPr>
                <w:p w14:paraId="55B249FB">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生态环境准入清单</w:t>
                  </w:r>
                </w:p>
              </w:tc>
              <w:tc>
                <w:tcPr>
                  <w:tcW w:w="1441" w:type="pct"/>
                  <w:tcBorders>
                    <w:top w:val="single" w:color="auto" w:sz="4" w:space="0"/>
                    <w:left w:val="single" w:color="auto" w:sz="4" w:space="0"/>
                    <w:bottom w:val="single" w:color="auto" w:sz="4" w:space="0"/>
                    <w:right w:val="single" w:color="auto" w:sz="4" w:space="0"/>
                  </w:tcBorders>
                  <w:vAlign w:val="center"/>
                </w:tcPr>
                <w:p w14:paraId="33CCF462">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本项目情况</w:t>
                  </w:r>
                </w:p>
              </w:tc>
              <w:tc>
                <w:tcPr>
                  <w:tcW w:w="573" w:type="pct"/>
                  <w:tcBorders>
                    <w:top w:val="single" w:color="auto" w:sz="4" w:space="0"/>
                    <w:left w:val="single" w:color="auto" w:sz="4" w:space="0"/>
                    <w:bottom w:val="single" w:color="auto" w:sz="4" w:space="0"/>
                    <w:right w:val="single" w:color="auto" w:sz="4" w:space="0"/>
                  </w:tcBorders>
                  <w:vAlign w:val="center"/>
                </w:tcPr>
                <w:p w14:paraId="58C8110B">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相符性</w:t>
                  </w:r>
                </w:p>
              </w:tc>
            </w:tr>
            <w:tr w14:paraId="600B9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4" w:type="pct"/>
                  <w:tcBorders>
                    <w:top w:val="single" w:color="auto" w:sz="4" w:space="0"/>
                    <w:left w:val="single" w:color="auto" w:sz="4" w:space="0"/>
                    <w:bottom w:val="single" w:color="auto" w:sz="4" w:space="0"/>
                    <w:right w:val="single" w:color="auto" w:sz="4" w:space="0"/>
                  </w:tcBorders>
                  <w:vAlign w:val="center"/>
                </w:tcPr>
                <w:p w14:paraId="2E9CE309">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空间布局约束</w:t>
                  </w:r>
                </w:p>
              </w:tc>
              <w:tc>
                <w:tcPr>
                  <w:tcW w:w="2432" w:type="pct"/>
                  <w:tcBorders>
                    <w:top w:val="single" w:color="auto" w:sz="4" w:space="0"/>
                    <w:left w:val="single" w:color="auto" w:sz="4" w:space="0"/>
                    <w:bottom w:val="single" w:color="auto" w:sz="4" w:space="0"/>
                    <w:right w:val="single" w:color="auto" w:sz="4" w:space="0"/>
                  </w:tcBorders>
                  <w:vAlign w:val="center"/>
                </w:tcPr>
                <w:p w14:paraId="53BEA9F5">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1</w:t>
                  </w:r>
                  <w:r>
                    <w:rPr>
                      <w:rFonts w:ascii="仿宋" w:hAnsi="仿宋" w:eastAsia="仿宋"/>
                      <w:color w:val="000000" w:themeColor="text1"/>
                      <w:szCs w:val="21"/>
                      <w14:textFill>
                        <w14:solidFill>
                          <w14:schemeClr w14:val="tx1"/>
                        </w14:solidFill>
                      </w14:textFill>
                    </w:rPr>
                    <w:t>）禁止引入纺织服装中废水排放量较大的纯印染和纯染整类企业（除金坛时尚织染集聚区）。</w:t>
                  </w:r>
                </w:p>
                <w:p w14:paraId="548B061A">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2</w:t>
                  </w:r>
                  <w:r>
                    <w:rPr>
                      <w:rFonts w:ascii="仿宋" w:hAnsi="仿宋" w:eastAsia="仿宋"/>
                      <w:color w:val="000000" w:themeColor="text1"/>
                      <w:szCs w:val="21"/>
                      <w14:textFill>
                        <w14:solidFill>
                          <w14:schemeClr w14:val="tx1"/>
                        </w14:solidFill>
                      </w14:textFill>
                    </w:rPr>
                    <w:t>）禁止引入机械电子、高端装备制造业中电镀、表面处理类企业，淘汰、限制类的如普通高速钢钻头、铣刀、锯片、丝锥、板牙项目、普通微小型球轴承制造项目；禁止生产国家禁止或公告停止销售的车辆；有害物质含量超标准的汽车。</w:t>
                  </w:r>
                </w:p>
                <w:p w14:paraId="7475F513">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3</w:t>
                  </w:r>
                  <w:r>
                    <w:rPr>
                      <w:rFonts w:ascii="仿宋" w:hAnsi="仿宋" w:eastAsia="仿宋"/>
                      <w:color w:val="000000" w:themeColor="text1"/>
                      <w:szCs w:val="21"/>
                      <w14:textFill>
                        <w14:solidFill>
                          <w14:schemeClr w14:val="tx1"/>
                        </w14:solidFill>
                      </w14:textFill>
                    </w:rPr>
                    <w:t>）禁止引入化工中与盐化工及下游产品生产不相关的化工项目。</w:t>
                  </w:r>
                </w:p>
                <w:p w14:paraId="6C47CDBD">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4</w:t>
                  </w:r>
                  <w:r>
                    <w:rPr>
                      <w:rFonts w:ascii="仿宋" w:hAnsi="仿宋" w:eastAsia="仿宋"/>
                      <w:color w:val="000000" w:themeColor="text1"/>
                      <w:szCs w:val="21"/>
                      <w14:textFill>
                        <w14:solidFill>
                          <w14:schemeClr w14:val="tx1"/>
                        </w14:solidFill>
                      </w14:textFill>
                    </w:rPr>
                    <w:t>）禁止引入新材料产业中太阳能电池切片生产项目。</w:t>
                  </w:r>
                </w:p>
                <w:p w14:paraId="19ACC4F9">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5</w:t>
                  </w:r>
                  <w:r>
                    <w:rPr>
                      <w:rFonts w:ascii="仿宋" w:hAnsi="仿宋" w:eastAsia="仿宋"/>
                      <w:color w:val="000000" w:themeColor="text1"/>
                      <w:szCs w:val="21"/>
                      <w14:textFill>
                        <w14:solidFill>
                          <w14:schemeClr w14:val="tx1"/>
                        </w14:solidFill>
                      </w14:textFill>
                    </w:rPr>
                    <w:t>）禁止引入化工新材料中钢铁等传统型金属材料；水泥等传统型非金属材料。</w:t>
                  </w:r>
                </w:p>
                <w:p w14:paraId="140D3AEF">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6</w:t>
                  </w:r>
                  <w:r>
                    <w:rPr>
                      <w:rFonts w:ascii="仿宋" w:hAnsi="仿宋" w:eastAsia="仿宋"/>
                      <w:color w:val="000000" w:themeColor="text1"/>
                      <w:szCs w:val="21"/>
                      <w14:textFill>
                        <w14:solidFill>
                          <w14:schemeClr w14:val="tx1"/>
                        </w14:solidFill>
                      </w14:textFill>
                    </w:rPr>
                    <w:t>）禁止引入新医药产业中不符合</w:t>
                  </w:r>
                  <w:r>
                    <w:rPr>
                      <w:rFonts w:eastAsia="仿宋"/>
                      <w:color w:val="000000" w:themeColor="text1"/>
                      <w:szCs w:val="21"/>
                      <w14:textFill>
                        <w14:solidFill>
                          <w14:schemeClr w14:val="tx1"/>
                        </w14:solidFill>
                      </w14:textFill>
                    </w:rPr>
                    <w:t>GMP</w:t>
                  </w:r>
                  <w:r>
                    <w:rPr>
                      <w:rFonts w:ascii="仿宋" w:hAnsi="仿宋" w:eastAsia="仿宋"/>
                      <w:color w:val="000000" w:themeColor="text1"/>
                      <w:szCs w:val="21"/>
                      <w14:textFill>
                        <w14:solidFill>
                          <w14:schemeClr w14:val="tx1"/>
                        </w14:solidFill>
                      </w14:textFill>
                    </w:rPr>
                    <w:t>要求的安瓿拉丝灌封机、劳动保护、安瓿灌装注射用无菌粉末、非易折安瓿等。</w:t>
                  </w:r>
                </w:p>
              </w:tc>
              <w:tc>
                <w:tcPr>
                  <w:tcW w:w="1441" w:type="pct"/>
                  <w:tcBorders>
                    <w:top w:val="single" w:color="auto" w:sz="4" w:space="0"/>
                    <w:left w:val="single" w:color="auto" w:sz="4" w:space="0"/>
                    <w:bottom w:val="single" w:color="auto" w:sz="4" w:space="0"/>
                    <w:right w:val="single" w:color="auto" w:sz="4" w:space="0"/>
                  </w:tcBorders>
                  <w:vAlign w:val="center"/>
                </w:tcPr>
                <w:p w14:paraId="5A9A9852">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本项目国民经济行业类别属于</w:t>
                  </w:r>
                  <w:r>
                    <w:rPr>
                      <w:rFonts w:eastAsia="仿宋"/>
                      <w:color w:val="000000" w:themeColor="text1"/>
                      <w:szCs w:val="21"/>
                      <w14:textFill>
                        <w14:solidFill>
                          <w14:schemeClr w14:val="tx1"/>
                        </w14:solidFill>
                      </w14:textFill>
                    </w:rPr>
                    <w:t>“</w:t>
                  </w:r>
                  <w:r>
                    <w:rPr>
                      <w:rFonts w:hint="eastAsia" w:eastAsia="仿宋"/>
                      <w:color w:val="000000" w:themeColor="text1"/>
                      <w:szCs w:val="21"/>
                      <w14:textFill>
                        <w14:solidFill>
                          <w14:schemeClr w14:val="tx1"/>
                        </w14:solidFill>
                      </w14:textFill>
                    </w:rPr>
                    <w:t>C3581医疗诊断、监护及治疗设备制造</w:t>
                  </w:r>
                  <w:r>
                    <w:rPr>
                      <w:rFonts w:eastAsia="仿宋"/>
                      <w:color w:val="000000" w:themeColor="text1"/>
                      <w:szCs w:val="21"/>
                      <w14:textFill>
                        <w14:solidFill>
                          <w14:schemeClr w14:val="tx1"/>
                        </w14:solidFill>
                      </w14:textFill>
                    </w:rPr>
                    <w:t>”</w:t>
                  </w:r>
                  <w:r>
                    <w:rPr>
                      <w:rFonts w:ascii="仿宋" w:hAnsi="仿宋" w:eastAsia="仿宋"/>
                      <w:color w:val="000000" w:themeColor="text1"/>
                      <w:szCs w:val="21"/>
                      <w14:textFill>
                        <w14:solidFill>
                          <w14:schemeClr w14:val="tx1"/>
                        </w14:solidFill>
                      </w14:textFill>
                    </w:rPr>
                    <w:t>，不属于以上禁止类别，符合空间布局约束要求。</w:t>
                  </w:r>
                </w:p>
              </w:tc>
              <w:tc>
                <w:tcPr>
                  <w:tcW w:w="573" w:type="pct"/>
                  <w:tcBorders>
                    <w:top w:val="single" w:color="auto" w:sz="4" w:space="0"/>
                    <w:left w:val="single" w:color="auto" w:sz="4" w:space="0"/>
                    <w:bottom w:val="single" w:color="auto" w:sz="4" w:space="0"/>
                    <w:right w:val="single" w:color="auto" w:sz="4" w:space="0"/>
                  </w:tcBorders>
                  <w:vAlign w:val="center"/>
                </w:tcPr>
                <w:p w14:paraId="77D27626">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符合要求</w:t>
                  </w:r>
                </w:p>
              </w:tc>
            </w:tr>
            <w:tr w14:paraId="7DA57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4" w:type="pct"/>
                  <w:tcBorders>
                    <w:top w:val="single" w:color="auto" w:sz="4" w:space="0"/>
                    <w:left w:val="single" w:color="auto" w:sz="4" w:space="0"/>
                    <w:bottom w:val="single" w:color="auto" w:sz="4" w:space="0"/>
                    <w:right w:val="single" w:color="auto" w:sz="4" w:space="0"/>
                  </w:tcBorders>
                  <w:vAlign w:val="center"/>
                </w:tcPr>
                <w:p w14:paraId="3721C894">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污染物排放管控</w:t>
                  </w:r>
                </w:p>
              </w:tc>
              <w:tc>
                <w:tcPr>
                  <w:tcW w:w="2432" w:type="pct"/>
                  <w:tcBorders>
                    <w:top w:val="single" w:color="auto" w:sz="4" w:space="0"/>
                    <w:left w:val="single" w:color="auto" w:sz="4" w:space="0"/>
                    <w:bottom w:val="single" w:color="auto" w:sz="4" w:space="0"/>
                    <w:right w:val="single" w:color="auto" w:sz="4" w:space="0"/>
                  </w:tcBorders>
                  <w:vAlign w:val="center"/>
                </w:tcPr>
                <w:p w14:paraId="2618B587">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1</w:t>
                  </w:r>
                  <w:r>
                    <w:rPr>
                      <w:rFonts w:ascii="仿宋" w:hAnsi="仿宋" w:eastAsia="仿宋"/>
                      <w:color w:val="000000" w:themeColor="text1"/>
                      <w:szCs w:val="21"/>
                      <w14:textFill>
                        <w14:solidFill>
                          <w14:schemeClr w14:val="tx1"/>
                        </w14:solidFill>
                      </w14:textFill>
                    </w:rPr>
                    <w:t>）严格实施污染物总量控制制度，根据区域环境质量改善目标，采取有效措施减少主要污染物排放总量，确保区域环境质量持续改善。</w:t>
                  </w:r>
                </w:p>
                <w:p w14:paraId="1CF8B4C4">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2</w:t>
                  </w:r>
                  <w:r>
                    <w:rPr>
                      <w:rFonts w:ascii="仿宋" w:hAnsi="仿宋" w:eastAsia="仿宋"/>
                      <w:color w:val="000000" w:themeColor="text1"/>
                      <w:szCs w:val="21"/>
                      <w14:textFill>
                        <w14:solidFill>
                          <w14:schemeClr w14:val="tx1"/>
                        </w14:solidFill>
                      </w14:textFill>
                    </w:rPr>
                    <w:t>）园区污染物排放总量不得突破环评报告及批复的总量。</w:t>
                  </w:r>
                </w:p>
              </w:tc>
              <w:tc>
                <w:tcPr>
                  <w:tcW w:w="1441" w:type="pct"/>
                  <w:tcBorders>
                    <w:top w:val="single" w:color="auto" w:sz="4" w:space="0"/>
                    <w:left w:val="single" w:color="auto" w:sz="4" w:space="0"/>
                    <w:bottom w:val="single" w:color="auto" w:sz="4" w:space="0"/>
                    <w:right w:val="single" w:color="auto" w:sz="4" w:space="0"/>
                  </w:tcBorders>
                  <w:vAlign w:val="center"/>
                </w:tcPr>
                <w:p w14:paraId="0C3B89F0">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本项目产生的废气采取相应的污染防治措施进行处理后达标排放，厂区</w:t>
                  </w:r>
                  <w:r>
                    <w:rPr>
                      <w:rFonts w:hint="eastAsia" w:ascii="仿宋" w:hAnsi="仿宋" w:eastAsia="仿宋"/>
                      <w:color w:val="000000" w:themeColor="text1"/>
                      <w:szCs w:val="21"/>
                      <w14:textFill>
                        <w14:solidFill>
                          <w14:schemeClr w14:val="tx1"/>
                        </w14:solidFill>
                      </w14:textFill>
                    </w:rPr>
                    <w:t>生活污水</w:t>
                  </w:r>
                  <w:r>
                    <w:rPr>
                      <w:rFonts w:ascii="仿宋" w:hAnsi="仿宋" w:eastAsia="仿宋"/>
                      <w:color w:val="000000" w:themeColor="text1"/>
                      <w:szCs w:val="21"/>
                      <w14:textFill>
                        <w14:solidFill>
                          <w14:schemeClr w14:val="tx1"/>
                        </w14:solidFill>
                      </w14:textFill>
                    </w:rPr>
                    <w:t>接管入金坛区第二污水处理厂。目前，本项目处于环评编制阶段，在环评审批前将严格落实主要污染物排放总量指标控制制度，取得主要污染物排放总量的控制指标和平衡方案，故符合文件要求。</w:t>
                  </w:r>
                </w:p>
              </w:tc>
              <w:tc>
                <w:tcPr>
                  <w:tcW w:w="573" w:type="pct"/>
                  <w:tcBorders>
                    <w:top w:val="single" w:color="auto" w:sz="4" w:space="0"/>
                    <w:left w:val="single" w:color="auto" w:sz="4" w:space="0"/>
                    <w:bottom w:val="single" w:color="auto" w:sz="4" w:space="0"/>
                    <w:right w:val="single" w:color="auto" w:sz="4" w:space="0"/>
                  </w:tcBorders>
                  <w:vAlign w:val="center"/>
                </w:tcPr>
                <w:p w14:paraId="632781A5">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符合要求</w:t>
                  </w:r>
                </w:p>
              </w:tc>
            </w:tr>
            <w:tr w14:paraId="1BF4C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4" w:type="pct"/>
                  <w:tcBorders>
                    <w:top w:val="single" w:color="auto" w:sz="4" w:space="0"/>
                    <w:left w:val="single" w:color="auto" w:sz="4" w:space="0"/>
                    <w:bottom w:val="single" w:color="auto" w:sz="4" w:space="0"/>
                    <w:right w:val="single" w:color="auto" w:sz="4" w:space="0"/>
                  </w:tcBorders>
                  <w:vAlign w:val="center"/>
                </w:tcPr>
                <w:p w14:paraId="5115011C">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环境风险防控</w:t>
                  </w:r>
                </w:p>
              </w:tc>
              <w:tc>
                <w:tcPr>
                  <w:tcW w:w="2432" w:type="pct"/>
                  <w:tcBorders>
                    <w:top w:val="single" w:color="auto" w:sz="4" w:space="0"/>
                    <w:left w:val="single" w:color="auto" w:sz="4" w:space="0"/>
                    <w:bottom w:val="single" w:color="auto" w:sz="4" w:space="0"/>
                    <w:right w:val="single" w:color="auto" w:sz="4" w:space="0"/>
                  </w:tcBorders>
                  <w:vAlign w:val="center"/>
                </w:tcPr>
                <w:p w14:paraId="2DD86AA9">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1</w:t>
                  </w:r>
                  <w:r>
                    <w:rPr>
                      <w:rFonts w:ascii="仿宋" w:hAnsi="仿宋" w:eastAsia="仿宋"/>
                      <w:color w:val="000000" w:themeColor="text1"/>
                      <w:szCs w:val="21"/>
                      <w14:textFill>
                        <w14:solidFill>
                          <w14:schemeClr w14:val="tx1"/>
                        </w14:solidFill>
                      </w14:textFill>
                    </w:rPr>
                    <w:t>）园区建立环境应急体系，完善事故应急救援体系，加强应急物资装备储备，编制突发环境事件应急预案，定期开展演练。</w:t>
                  </w:r>
                </w:p>
                <w:p w14:paraId="6280A6EA">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2</w:t>
                  </w:r>
                  <w:r>
                    <w:rPr>
                      <w:rFonts w:ascii="仿宋" w:hAnsi="仿宋" w:eastAsia="仿宋"/>
                      <w:color w:val="000000" w:themeColor="text1"/>
                      <w:szCs w:val="21"/>
                      <w14:textFill>
                        <w14:solidFill>
                          <w14:schemeClr w14:val="tx1"/>
                        </w14:solidFill>
                      </w14:textFill>
                    </w:rPr>
                    <w:t>）生产、使用、储存危险化学品或其他存在环境风险的企事业单位，应当制定风险防范措施，编制完善突发环境事件应急预案，防止发生环境污染事故。（</w:t>
                  </w:r>
                  <w:r>
                    <w:rPr>
                      <w:rFonts w:eastAsia="仿宋"/>
                      <w:color w:val="000000" w:themeColor="text1"/>
                      <w:szCs w:val="21"/>
                      <w14:textFill>
                        <w14:solidFill>
                          <w14:schemeClr w14:val="tx1"/>
                        </w14:solidFill>
                      </w14:textFill>
                    </w:rPr>
                    <w:t>3</w:t>
                  </w:r>
                  <w:r>
                    <w:rPr>
                      <w:rFonts w:ascii="仿宋" w:hAnsi="仿宋" w:eastAsia="仿宋"/>
                      <w:color w:val="000000" w:themeColor="text1"/>
                      <w:szCs w:val="21"/>
                      <w14:textFill>
                        <w14:solidFill>
                          <w14:schemeClr w14:val="tx1"/>
                        </w14:solidFill>
                      </w14:textFill>
                    </w:rPr>
                    <w:t>）加强环境影响跟踪监测，建立健全各环境要素监控体系，完善并落实园区日常环境监测与污染源监控计划。</w:t>
                  </w:r>
                </w:p>
              </w:tc>
              <w:tc>
                <w:tcPr>
                  <w:tcW w:w="1441" w:type="pct"/>
                  <w:tcBorders>
                    <w:top w:val="single" w:color="auto" w:sz="4" w:space="0"/>
                    <w:left w:val="single" w:color="auto" w:sz="4" w:space="0"/>
                    <w:bottom w:val="single" w:color="auto" w:sz="4" w:space="0"/>
                    <w:right w:val="single" w:color="auto" w:sz="4" w:space="0"/>
                  </w:tcBorders>
                  <w:vAlign w:val="center"/>
                </w:tcPr>
                <w:p w14:paraId="7C9050D2">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本项目在生产过程中建立事故应急救援体系，加强应急物资装备储备，编制突发环境事件应急预案，定期开展演练，与园区环境应急体系衔接。</w:t>
                  </w:r>
                </w:p>
              </w:tc>
              <w:tc>
                <w:tcPr>
                  <w:tcW w:w="573" w:type="pct"/>
                  <w:tcBorders>
                    <w:top w:val="single" w:color="auto" w:sz="4" w:space="0"/>
                    <w:left w:val="single" w:color="auto" w:sz="4" w:space="0"/>
                    <w:bottom w:val="single" w:color="auto" w:sz="4" w:space="0"/>
                    <w:right w:val="single" w:color="auto" w:sz="4" w:space="0"/>
                  </w:tcBorders>
                  <w:vAlign w:val="center"/>
                </w:tcPr>
                <w:p w14:paraId="4779851F">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符合要求</w:t>
                  </w:r>
                </w:p>
              </w:tc>
            </w:tr>
            <w:tr w14:paraId="703CE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4" w:type="pct"/>
                  <w:tcBorders>
                    <w:top w:val="single" w:color="auto" w:sz="4" w:space="0"/>
                    <w:left w:val="single" w:color="auto" w:sz="4" w:space="0"/>
                    <w:bottom w:val="single" w:color="auto" w:sz="4" w:space="0"/>
                    <w:right w:val="single" w:color="auto" w:sz="4" w:space="0"/>
                  </w:tcBorders>
                  <w:vAlign w:val="center"/>
                </w:tcPr>
                <w:p w14:paraId="17ACE078">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资源开发效率要求</w:t>
                  </w:r>
                </w:p>
              </w:tc>
              <w:tc>
                <w:tcPr>
                  <w:tcW w:w="2432" w:type="pct"/>
                  <w:tcBorders>
                    <w:top w:val="single" w:color="auto" w:sz="4" w:space="0"/>
                    <w:left w:val="single" w:color="auto" w:sz="4" w:space="0"/>
                    <w:bottom w:val="single" w:color="auto" w:sz="4" w:space="0"/>
                    <w:right w:val="single" w:color="auto" w:sz="4" w:space="0"/>
                  </w:tcBorders>
                  <w:vAlign w:val="center"/>
                </w:tcPr>
                <w:p w14:paraId="5E2C10B7">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1</w:t>
                  </w:r>
                  <w:r>
                    <w:rPr>
                      <w:rFonts w:ascii="仿宋" w:hAnsi="仿宋" w:eastAsia="仿宋"/>
                      <w:color w:val="000000" w:themeColor="text1"/>
                      <w:szCs w:val="21"/>
                      <w14:textFill>
                        <w14:solidFill>
                          <w14:schemeClr w14:val="tx1"/>
                        </w14:solidFill>
                      </w14:textFill>
                    </w:rPr>
                    <w:t>）大力倡导使用清洁能源。</w:t>
                  </w:r>
                </w:p>
                <w:p w14:paraId="5B8A345D">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2</w:t>
                  </w:r>
                  <w:r>
                    <w:rPr>
                      <w:rFonts w:ascii="仿宋" w:hAnsi="仿宋" w:eastAsia="仿宋"/>
                      <w:color w:val="000000" w:themeColor="text1"/>
                      <w:szCs w:val="21"/>
                      <w14:textFill>
                        <w14:solidFill>
                          <w14:schemeClr w14:val="tx1"/>
                        </w14:solidFill>
                      </w14:textFill>
                    </w:rPr>
                    <w:t>）提升废水资源化技术，提高水资源回用率。</w:t>
                  </w:r>
                </w:p>
                <w:p w14:paraId="6007C599">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3</w:t>
                  </w:r>
                  <w:r>
                    <w:rPr>
                      <w:rFonts w:ascii="仿宋" w:hAnsi="仿宋" w:eastAsia="仿宋"/>
                      <w:color w:val="000000" w:themeColor="text1"/>
                      <w:szCs w:val="21"/>
                      <w14:textFill>
                        <w14:solidFill>
                          <w14:schemeClr w14:val="tx1"/>
                        </w14:solidFill>
                      </w14:textFill>
                    </w:rPr>
                    <w:t>）严禁自建燃煤设施。</w:t>
                  </w:r>
                </w:p>
              </w:tc>
              <w:tc>
                <w:tcPr>
                  <w:tcW w:w="1441" w:type="pct"/>
                  <w:tcBorders>
                    <w:top w:val="single" w:color="auto" w:sz="4" w:space="0"/>
                    <w:left w:val="single" w:color="auto" w:sz="4" w:space="0"/>
                    <w:bottom w:val="single" w:color="auto" w:sz="4" w:space="0"/>
                    <w:right w:val="single" w:color="auto" w:sz="4" w:space="0"/>
                  </w:tcBorders>
                  <w:vAlign w:val="center"/>
                </w:tcPr>
                <w:p w14:paraId="25347B6A">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本项目使用电作为能源，</w:t>
                  </w:r>
                  <w:r>
                    <w:rPr>
                      <w:rFonts w:hint="eastAsia" w:ascii="仿宋" w:hAnsi="仿宋" w:eastAsia="仿宋"/>
                      <w:color w:val="000000" w:themeColor="text1"/>
                      <w:szCs w:val="21"/>
                      <w14:textFill>
                        <w14:solidFill>
                          <w14:schemeClr w14:val="tx1"/>
                        </w14:solidFill>
                      </w14:textFill>
                    </w:rPr>
                    <w:t>制纯水浓水回用于生活用水</w:t>
                  </w:r>
                  <w:r>
                    <w:rPr>
                      <w:rFonts w:ascii="仿宋" w:hAnsi="仿宋" w:eastAsia="仿宋"/>
                      <w:color w:val="000000" w:themeColor="text1"/>
                      <w:szCs w:val="21"/>
                      <w14:textFill>
                        <w14:solidFill>
                          <w14:schemeClr w14:val="tx1"/>
                        </w14:solidFill>
                      </w14:textFill>
                    </w:rPr>
                    <w:t>，无燃煤设施。</w:t>
                  </w:r>
                </w:p>
              </w:tc>
              <w:tc>
                <w:tcPr>
                  <w:tcW w:w="573" w:type="pct"/>
                  <w:tcBorders>
                    <w:top w:val="single" w:color="auto" w:sz="4" w:space="0"/>
                    <w:left w:val="single" w:color="auto" w:sz="4" w:space="0"/>
                    <w:bottom w:val="single" w:color="auto" w:sz="4" w:space="0"/>
                    <w:right w:val="single" w:color="auto" w:sz="4" w:space="0"/>
                  </w:tcBorders>
                  <w:vAlign w:val="center"/>
                </w:tcPr>
                <w:p w14:paraId="696F5C82">
                  <w:pPr>
                    <w:snapToGrid w:val="0"/>
                    <w:spacing w:line="240" w:lineRule="atLeas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符合要求</w:t>
                  </w:r>
                </w:p>
              </w:tc>
            </w:tr>
          </w:tbl>
          <w:p w14:paraId="6A81A466">
            <w:pPr>
              <w:spacing w:line="48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（三）生态环境保护规划的相符性分析</w:t>
            </w:r>
          </w:p>
          <w:p w14:paraId="0A8CD445">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省政府关于印发江苏省国家级生态保护红线规划的通知》（苏政发〔2018〕74号）及《省政府关于印发江苏省生态空间管控区域规划的通知》（苏政发〔2020〕1号），常州市共有陆域生态空间保护区域面积942.83平方公里，其中国家级生态保护红线311.02平方公里，生态空间管控区域面积937.68平方公里。本项目所在地不在常州市陆域生态空间保护区域内，本项目距离最近的红线区域为钱资荡重要湿地，直线距离约4.6km，本工程的建设与《省政府关于印发江苏省国家级生态保护红线规划的通知》（苏政发〔2018〕74号）、《省政府关于印发江苏省生态空间管控区域保护规划的通知》（苏政发〔2020〕1号）相符</w:t>
            </w:r>
            <w:r>
              <w:rPr>
                <w:rFonts w:hint="eastAsia" w:eastAsia="仿宋"/>
                <w:bCs/>
                <w:color w:val="000000" w:themeColor="text1"/>
                <w:sz w:val="24"/>
                <w14:textFill>
                  <w14:solidFill>
                    <w14:schemeClr w14:val="tx1"/>
                  </w14:solidFill>
                </w14:textFill>
              </w:rPr>
              <w:t>。</w:t>
            </w:r>
          </w:p>
          <w:p w14:paraId="57B80E2B">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国务院关于《江苏省国土空间规划（2021-2035年）》的批复（国函〔2023〕69号），到2035年，江苏省耕地保有量不低于5977万亩，其中永久基本农田保护面积不低于5344万亩；生态保护红线不低于1.82万平方千米，其中海洋生态保护红线不低于0.95万平方千米。本项目所在地块土地用地性质为工业用地，不涉及耕地占用；本项目所在地不在生态保护红线范围内。综上，本项目用地符合国务院关于《江苏省国土空间规划（2021—2035年）》的批复（国函〔2023〕69号）中相关要求。</w:t>
            </w:r>
          </w:p>
          <w:p w14:paraId="4B045CD0">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根据《常州市国土空间总体规划》（2020-2035年），到2035年，常州市永久基本农田保护面积不低于2095.03平方公里（暂定）；生态保护红线不低于346.11平方公里。</w:t>
            </w:r>
            <w:r>
              <w:rPr>
                <w:rFonts w:eastAsia="仿宋"/>
                <w:bCs/>
                <w:color w:val="000000" w:themeColor="text1"/>
                <w:sz w:val="24"/>
                <w14:textFill>
                  <w14:solidFill>
                    <w14:schemeClr w14:val="tx1"/>
                  </w14:solidFill>
                </w14:textFill>
              </w:rPr>
              <w:t>本项目所在地块土地用地性质为工业用地</w:t>
            </w:r>
            <w:r>
              <w:rPr>
                <w:rFonts w:hint="eastAsia" w:eastAsia="仿宋"/>
                <w:bCs/>
                <w:color w:val="000000" w:themeColor="text1"/>
                <w:sz w:val="24"/>
                <w14:textFill>
                  <w14:solidFill>
                    <w14:schemeClr w14:val="tx1"/>
                  </w14:solidFill>
                </w14:textFill>
              </w:rPr>
              <w:t>，不涉及耕地占用；本项目</w:t>
            </w:r>
            <w:r>
              <w:rPr>
                <w:rFonts w:eastAsia="仿宋"/>
                <w:bCs/>
                <w:color w:val="000000" w:themeColor="text1"/>
                <w:sz w:val="24"/>
                <w14:textFill>
                  <w14:solidFill>
                    <w14:schemeClr w14:val="tx1"/>
                  </w14:solidFill>
                </w14:textFill>
              </w:rPr>
              <w:t>所在地不在</w:t>
            </w:r>
            <w:r>
              <w:rPr>
                <w:rFonts w:hint="eastAsia" w:eastAsia="仿宋"/>
                <w:bCs/>
                <w:color w:val="000000" w:themeColor="text1"/>
                <w:sz w:val="24"/>
                <w14:textFill>
                  <w14:solidFill>
                    <w14:schemeClr w14:val="tx1"/>
                  </w14:solidFill>
                </w14:textFill>
              </w:rPr>
              <w:t>生态保护红线范围</w:t>
            </w:r>
            <w:r>
              <w:rPr>
                <w:rFonts w:eastAsia="仿宋"/>
                <w:bCs/>
                <w:color w:val="000000" w:themeColor="text1"/>
                <w:sz w:val="24"/>
                <w14:textFill>
                  <w14:solidFill>
                    <w14:schemeClr w14:val="tx1"/>
                  </w14:solidFill>
                </w14:textFill>
              </w:rPr>
              <w:t>内</w:t>
            </w:r>
            <w:r>
              <w:rPr>
                <w:rFonts w:hint="eastAsia" w:eastAsia="仿宋"/>
                <w:bCs/>
                <w:color w:val="000000" w:themeColor="text1"/>
                <w:sz w:val="24"/>
                <w14:textFill>
                  <w14:solidFill>
                    <w14:schemeClr w14:val="tx1"/>
                  </w14:solidFill>
                </w14:textFill>
              </w:rPr>
              <w:t>，对照《常州市国土空间总体规划（2021-2035年）市域国土空间控制线规划图》，本项目所处位置位于城镇开发区域内。综上，本项目用地符合《常州市国土空间总体规划》（2020-2035年）中相关要求。</w:t>
            </w:r>
          </w:p>
          <w:p w14:paraId="01698590">
            <w:pPr>
              <w:spacing w:line="48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（四）法律法规政策的相符性分析</w:t>
            </w:r>
          </w:p>
          <w:p w14:paraId="48358B4D">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本项目不属于《建设项目环境保护管理条例》（1998年本，2017年修订）中第十一条“有下列情形之一的，环境保护行政主管部门应当对环境影响报告书、环境影响报告表作出不予批准的决定：①建设项目类型及其选址、布局、规模等不符合环境保护法律法规和相关</w:t>
            </w:r>
            <w:bookmarkStart w:id="9" w:name="Bookmark43"/>
            <w:r>
              <w:rPr>
                <w:rFonts w:eastAsia="仿宋"/>
                <w:bCs/>
                <w:color w:val="000000" w:themeColor="text1"/>
                <w:sz w:val="24"/>
                <w14:textFill>
                  <w14:solidFill>
                    <w14:schemeClr w14:val="tx1"/>
                  </w14:solidFill>
                </w14:textFill>
              </w:rPr>
              <w:t>法定</w:t>
            </w:r>
            <w:bookmarkEnd w:id="9"/>
            <w:r>
              <w:rPr>
                <w:rFonts w:eastAsia="仿宋"/>
                <w:bCs/>
                <w:color w:val="000000" w:themeColor="text1"/>
                <w:sz w:val="24"/>
                <w14:textFill>
                  <w14:solidFill>
                    <w14:schemeClr w14:val="tx1"/>
                  </w14:solidFill>
                </w14:textFill>
              </w:rPr>
              <w:t>规划；②所在区域环境质量未达到国家或者地方环境质量标准，且建设项目拟采取的措施不能满足区域环境质量改善目标管理要求；③建设项目采取的污染防治措施无法确保污染物排放达到国家和地方排放标准，或者未采取必要措施预防和控制生态破坏；④改建、扩建和技术改造项目，未针对项目原有环境污染和生态破坏提出有效</w:t>
            </w:r>
            <w:bookmarkStart w:id="10" w:name="Bookmark44"/>
            <w:r>
              <w:rPr>
                <w:rFonts w:eastAsia="仿宋"/>
                <w:bCs/>
                <w:color w:val="000000" w:themeColor="text1"/>
                <w:sz w:val="24"/>
                <w14:textFill>
                  <w14:solidFill>
                    <w14:schemeClr w14:val="tx1"/>
                  </w14:solidFill>
                </w14:textFill>
              </w:rPr>
              <w:t>防止</w:t>
            </w:r>
            <w:bookmarkEnd w:id="10"/>
            <w:r>
              <w:rPr>
                <w:rFonts w:eastAsia="仿宋"/>
                <w:bCs/>
                <w:color w:val="000000" w:themeColor="text1"/>
                <w:sz w:val="24"/>
                <w14:textFill>
                  <w14:solidFill>
                    <w14:schemeClr w14:val="tx1"/>
                  </w14:solidFill>
                </w14:textFill>
              </w:rPr>
              <w:t>措施；⑤建设项目的环境影响报告书、环境影响报告表的基础资料数据明显不实，内容存在重大缺陷、遗漏，或者环境影响评价结论不明确、不合理”中规定的“不予批准”条款之列。</w:t>
            </w:r>
          </w:p>
          <w:p w14:paraId="492DE656">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2、根据《太湖流域管理条例》（中华人民共和国国务院令第604号），第二十八条：排污单位排放水污染物，不得超过经核定的水污染物排放总量，并应当按照规定设置便于检查、采样的规范化排污口，悬挂标志牌；不得私设暗管或者采取其他规避监管的方式排放水污染物，禁止在太湖流域设置不符合国家产业政策和水环境综合治理要求的造纸、制革、酒精、淀粉、冶金、酿造、印染、电镀等排放水污染物的生产项目，现有的生产项目不能实现达标排放的，应当依法关闭。在太湖流域新设企业应当符合国家规定的清洁生产要求，现有的企业尚未达到清洁生产要求的，应当按照清洁生产规划要求进行技术改造，两省一市人民政府应当加强监督检查。第二十九条：新孟河、望虞河以外的其他主要入太湖河道，自河口1万米上溯至5万米河道岸线内及其岸线两侧各1000米范围内，禁止下列行为：</w:t>
            </w:r>
            <w:r>
              <w:rPr>
                <w:rFonts w:hint="eastAsia" w:ascii="宋体" w:hAnsi="宋体" w:cs="宋体"/>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新建、扩建化工、医药生产项目；</w:t>
            </w:r>
            <w:r>
              <w:rPr>
                <w:rFonts w:hint="eastAsia" w:ascii="宋体" w:hAnsi="宋体" w:cs="宋体"/>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新建、扩建污水集中处理设施排污口以外的排污口；</w:t>
            </w:r>
            <w:r>
              <w:rPr>
                <w:rFonts w:hint="eastAsia" w:ascii="宋体" w:hAnsi="宋体" w:cs="宋体"/>
                <w:bCs/>
                <w:color w:val="000000" w:themeColor="text1"/>
                <w:sz w:val="24"/>
                <w14:textFill>
                  <w14:solidFill>
                    <w14:schemeClr w14:val="tx1"/>
                  </w14:solidFill>
                </w14:textFill>
              </w:rPr>
              <w:t>③</w:t>
            </w:r>
            <w:r>
              <w:rPr>
                <w:rFonts w:eastAsia="仿宋"/>
                <w:bCs/>
                <w:color w:val="000000" w:themeColor="text1"/>
                <w:sz w:val="24"/>
                <w14:textFill>
                  <w14:solidFill>
                    <w14:schemeClr w14:val="tx1"/>
                  </w14:solidFill>
                </w14:textFill>
              </w:rPr>
              <w:t>扩大水产养殖规模。第三十条：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r>
              <w:rPr>
                <w:rFonts w:hint="eastAsia" w:ascii="宋体" w:hAnsi="宋体" w:cs="宋体"/>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设置剧毒物质、危险化学品的贮存、输送设施和废物回收场、垃圾场；</w:t>
            </w:r>
            <w:r>
              <w:rPr>
                <w:rFonts w:hint="eastAsia" w:ascii="宋体" w:hAnsi="宋体" w:cs="宋体"/>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设置水上餐饮经营设施；</w:t>
            </w:r>
            <w:r>
              <w:rPr>
                <w:rFonts w:hint="eastAsia" w:ascii="宋体" w:hAnsi="宋体" w:cs="宋体"/>
                <w:bCs/>
                <w:color w:val="000000" w:themeColor="text1"/>
                <w:sz w:val="24"/>
                <w14:textFill>
                  <w14:solidFill>
                    <w14:schemeClr w14:val="tx1"/>
                  </w14:solidFill>
                </w14:textFill>
              </w:rPr>
              <w:t>③</w:t>
            </w:r>
            <w:r>
              <w:rPr>
                <w:rFonts w:eastAsia="仿宋"/>
                <w:bCs/>
                <w:color w:val="000000" w:themeColor="text1"/>
                <w:sz w:val="24"/>
                <w14:textFill>
                  <w14:solidFill>
                    <w14:schemeClr w14:val="tx1"/>
                  </w14:solidFill>
                </w14:textFill>
              </w:rPr>
              <w:t>新建、扩建高尔夫球场；</w:t>
            </w:r>
            <w:r>
              <w:rPr>
                <w:rFonts w:hint="eastAsia" w:ascii="宋体" w:hAnsi="宋体" w:cs="宋体"/>
                <w:bCs/>
                <w:color w:val="000000" w:themeColor="text1"/>
                <w:sz w:val="24"/>
                <w14:textFill>
                  <w14:solidFill>
                    <w14:schemeClr w14:val="tx1"/>
                  </w14:solidFill>
                </w14:textFill>
              </w:rPr>
              <w:t>④</w:t>
            </w:r>
            <w:r>
              <w:rPr>
                <w:rFonts w:eastAsia="仿宋"/>
                <w:bCs/>
                <w:color w:val="000000" w:themeColor="text1"/>
                <w:sz w:val="24"/>
                <w14:textFill>
                  <w14:solidFill>
                    <w14:schemeClr w14:val="tx1"/>
                  </w14:solidFill>
                </w14:textFill>
              </w:rPr>
              <w:t>新建、扩建畜禽养殖场；</w:t>
            </w:r>
            <w:r>
              <w:rPr>
                <w:rFonts w:hint="eastAsia" w:ascii="宋体" w:hAnsi="宋体" w:cs="宋体"/>
                <w:bCs/>
                <w:color w:val="000000" w:themeColor="text1"/>
                <w:sz w:val="24"/>
                <w14:textFill>
                  <w14:solidFill>
                    <w14:schemeClr w14:val="tx1"/>
                  </w14:solidFill>
                </w14:textFill>
              </w:rPr>
              <w:t>⑤</w:t>
            </w:r>
            <w:r>
              <w:rPr>
                <w:rFonts w:eastAsia="仿宋"/>
                <w:bCs/>
                <w:color w:val="000000" w:themeColor="text1"/>
                <w:sz w:val="24"/>
                <w14:textFill>
                  <w14:solidFill>
                    <w14:schemeClr w14:val="tx1"/>
                  </w14:solidFill>
                </w14:textFill>
              </w:rPr>
              <w:t>新建、扩建向水体排放污染物的建设项目；</w:t>
            </w:r>
            <w:r>
              <w:rPr>
                <w:rFonts w:hint="eastAsia" w:ascii="宋体" w:hAnsi="宋体" w:cs="宋体"/>
                <w:bCs/>
                <w:color w:val="000000" w:themeColor="text1"/>
                <w:sz w:val="24"/>
                <w14:textFill>
                  <w14:solidFill>
                    <w14:schemeClr w14:val="tx1"/>
                  </w14:solidFill>
                </w14:textFill>
              </w:rPr>
              <w:t>⑥</w:t>
            </w:r>
            <w:r>
              <w:rPr>
                <w:rFonts w:eastAsia="仿宋"/>
                <w:bCs/>
                <w:color w:val="000000" w:themeColor="text1"/>
                <w:sz w:val="24"/>
                <w14:textFill>
                  <w14:solidFill>
                    <w14:schemeClr w14:val="tx1"/>
                  </w14:solidFill>
                </w14:textFill>
              </w:rPr>
              <w:t>本条例第二十九条规定的行为。</w:t>
            </w:r>
          </w:p>
          <w:p w14:paraId="00EA3CA0">
            <w:pPr>
              <w:spacing w:line="480" w:lineRule="exact"/>
              <w:ind w:firstLine="482" w:firstLineChars="200"/>
              <w:rPr>
                <w:rFonts w:eastAsia="仿宋"/>
                <w:bCs/>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对照分析：</w:t>
            </w:r>
            <w:r>
              <w:rPr>
                <w:rFonts w:eastAsia="仿宋"/>
                <w:bCs/>
                <w:color w:val="000000" w:themeColor="text1"/>
                <w:sz w:val="24"/>
                <w14:textFill>
                  <w14:solidFill>
                    <w14:schemeClr w14:val="tx1"/>
                  </w14:solidFill>
                </w14:textFill>
              </w:rPr>
              <w:t>本项目位于</w:t>
            </w:r>
            <w:r>
              <w:rPr>
                <w:rFonts w:eastAsia="仿宋"/>
                <w:color w:val="000000" w:themeColor="text1"/>
                <w:sz w:val="24"/>
                <w14:textFill>
                  <w14:solidFill>
                    <w14:schemeClr w14:val="tx1"/>
                  </w14:solidFill>
                </w14:textFill>
              </w:rPr>
              <w:t>江苏省常州市</w:t>
            </w:r>
            <w:r>
              <w:rPr>
                <w:rFonts w:hint="eastAsia" w:eastAsia="仿宋"/>
                <w:color w:val="000000" w:themeColor="text1"/>
                <w:sz w:val="24"/>
                <w14:textFill>
                  <w14:solidFill>
                    <w14:schemeClr w14:val="tx1"/>
                  </w14:solidFill>
                </w14:textFill>
              </w:rPr>
              <w:t>江苏金坛经济开发区汇福路东侧，珠山路南侧</w:t>
            </w:r>
            <w:r>
              <w:rPr>
                <w:rFonts w:eastAsia="仿宋"/>
                <w:color w:val="000000" w:themeColor="text1"/>
                <w:sz w:val="24"/>
                <w14:textFill>
                  <w14:solidFill>
                    <w14:schemeClr w14:val="tx1"/>
                  </w14:solidFill>
                </w14:textFill>
              </w:rPr>
              <w:t>，本项目为</w:t>
            </w:r>
            <w:r>
              <w:rPr>
                <w:rFonts w:hint="eastAsia" w:eastAsia="仿宋"/>
                <w:color w:val="000000" w:themeColor="text1"/>
                <w:sz w:val="24"/>
                <w14:textFill>
                  <w14:solidFill>
                    <w14:schemeClr w14:val="tx1"/>
                  </w14:solidFill>
                </w14:textFill>
              </w:rPr>
              <w:t>医疗诊断用发生器设备制造项目，目前本项目处于环评编制阶段，在环评审批前将严格落实水污染物排放总量指标控制制度，取得水污染物排放总量的控制指标和平衡方案；项目建成后</w:t>
            </w:r>
            <w:r>
              <w:rPr>
                <w:rFonts w:eastAsia="仿宋"/>
                <w:bCs/>
                <w:color w:val="000000" w:themeColor="text1"/>
                <w:sz w:val="24"/>
                <w14:textFill>
                  <w14:solidFill>
                    <w14:schemeClr w14:val="tx1"/>
                  </w14:solidFill>
                </w14:textFill>
              </w:rPr>
              <w:t>在排放口设置标志牌等，营运期不排放含氮磷生产废水，本项目国民经济行业类别属于“</w:t>
            </w:r>
            <w:r>
              <w:rPr>
                <w:rFonts w:hint="eastAsia" w:eastAsia="仿宋"/>
                <w:bCs/>
                <w:color w:val="000000" w:themeColor="text1"/>
                <w:sz w:val="24"/>
                <w14:textFill>
                  <w14:solidFill>
                    <w14:schemeClr w14:val="tx1"/>
                  </w14:solidFill>
                </w14:textFill>
              </w:rPr>
              <w:t>C3581医疗诊断、监护及治疗设备制造</w:t>
            </w:r>
            <w:r>
              <w:rPr>
                <w:rFonts w:eastAsia="仿宋"/>
                <w:bCs/>
                <w:color w:val="000000" w:themeColor="text1"/>
                <w:sz w:val="24"/>
                <w14:textFill>
                  <w14:solidFill>
                    <w14:schemeClr w14:val="tx1"/>
                  </w14:solidFill>
                </w14:textFill>
              </w:rPr>
              <w:t>”，均不位于该条例第二十八条、第二十九条、第三十条规定的禁止建设范围内。因此本项目符合《太湖流域管理条例》（中华人民共和国国务院令第604号）相关规定。</w:t>
            </w:r>
          </w:p>
          <w:p w14:paraId="35246F43">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3</w:t>
            </w:r>
            <w:r>
              <w:rPr>
                <w:rFonts w:eastAsia="仿宋"/>
                <w:bCs/>
                <w:color w:val="000000" w:themeColor="text1"/>
                <w:sz w:val="24"/>
                <w14:textFill>
                  <w14:solidFill>
                    <w14:schemeClr w14:val="tx1"/>
                  </w14:solidFill>
                </w14:textFill>
              </w:rPr>
              <w:t>、根据《江苏省太湖水污染防治条例》规定，太湖流域一、二、三级保护区禁止下列行为：</w:t>
            </w:r>
            <w:r>
              <w:rPr>
                <w:rFonts w:hint="eastAsia" w:ascii="宋体" w:hAnsi="宋体" w:cs="宋体"/>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新建、改建、扩建化学制浆造纸、制革、酿造、染料、印染、电镀以及其他排放含磷、氮等污染物的企业和项目，城镇污水集中处理等环境基础设施项目和第四十六条规定的情形除外；</w:t>
            </w:r>
            <w:r>
              <w:rPr>
                <w:rFonts w:hint="eastAsia" w:ascii="宋体" w:hAnsi="宋体" w:cs="宋体"/>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销售、使用含磷洗涤用品；</w:t>
            </w:r>
            <w:r>
              <w:rPr>
                <w:rFonts w:hint="eastAsia" w:ascii="宋体" w:hAnsi="宋体" w:cs="宋体"/>
                <w:bCs/>
                <w:color w:val="000000" w:themeColor="text1"/>
                <w:sz w:val="24"/>
                <w14:textFill>
                  <w14:solidFill>
                    <w14:schemeClr w14:val="tx1"/>
                  </w14:solidFill>
                </w14:textFill>
              </w:rPr>
              <w:t>③</w:t>
            </w:r>
            <w:r>
              <w:rPr>
                <w:rFonts w:eastAsia="仿宋"/>
                <w:bCs/>
                <w:color w:val="000000" w:themeColor="text1"/>
                <w:sz w:val="24"/>
                <w14:textFill>
                  <w14:solidFill>
                    <w14:schemeClr w14:val="tx1"/>
                  </w14:solidFill>
                </w14:textFill>
              </w:rPr>
              <w:t>向水体排放或者倾倒油类、酸液、碱液、剧毒废渣废液、含放射性废渣废液、含病原体污水、工业废渣以及其他废弃物；</w:t>
            </w:r>
            <w:r>
              <w:rPr>
                <w:rFonts w:hint="eastAsia" w:ascii="宋体" w:hAnsi="宋体" w:cs="宋体"/>
                <w:bCs/>
                <w:color w:val="000000" w:themeColor="text1"/>
                <w:sz w:val="24"/>
                <w14:textFill>
                  <w14:solidFill>
                    <w14:schemeClr w14:val="tx1"/>
                  </w14:solidFill>
                </w14:textFill>
              </w:rPr>
              <w:t>④</w:t>
            </w:r>
            <w:r>
              <w:rPr>
                <w:rFonts w:eastAsia="仿宋"/>
                <w:bCs/>
                <w:color w:val="000000" w:themeColor="text1"/>
                <w:sz w:val="24"/>
                <w14:textFill>
                  <w14:solidFill>
                    <w14:schemeClr w14:val="tx1"/>
                  </w14:solidFill>
                </w14:textFill>
              </w:rPr>
              <w:t>在水体清洗装贮过油类或者有毒有害污染物的车辆、船舶和容器等；</w:t>
            </w:r>
            <w:r>
              <w:rPr>
                <w:rFonts w:hint="eastAsia" w:ascii="宋体" w:hAnsi="宋体" w:cs="宋体"/>
                <w:bCs/>
                <w:color w:val="000000" w:themeColor="text1"/>
                <w:sz w:val="24"/>
                <w14:textFill>
                  <w14:solidFill>
                    <w14:schemeClr w14:val="tx1"/>
                  </w14:solidFill>
                </w14:textFill>
              </w:rPr>
              <w:t>⑤</w:t>
            </w:r>
            <w:r>
              <w:rPr>
                <w:rFonts w:eastAsia="仿宋"/>
                <w:bCs/>
                <w:color w:val="000000" w:themeColor="text1"/>
                <w:sz w:val="24"/>
                <w14:textFill>
                  <w14:solidFill>
                    <w14:schemeClr w14:val="tx1"/>
                  </w14:solidFill>
                </w14:textFill>
              </w:rPr>
              <w:t>使用农药等有毒物毒杀水生生物；</w:t>
            </w:r>
            <w:r>
              <w:rPr>
                <w:rFonts w:hint="eastAsia" w:ascii="宋体" w:hAnsi="宋体" w:cs="宋体"/>
                <w:bCs/>
                <w:color w:val="000000" w:themeColor="text1"/>
                <w:sz w:val="24"/>
                <w14:textFill>
                  <w14:solidFill>
                    <w14:schemeClr w14:val="tx1"/>
                  </w14:solidFill>
                </w14:textFill>
              </w:rPr>
              <w:t>⑥</w:t>
            </w:r>
            <w:r>
              <w:rPr>
                <w:rFonts w:eastAsia="仿宋"/>
                <w:bCs/>
                <w:color w:val="000000" w:themeColor="text1"/>
                <w:sz w:val="24"/>
                <w14:textFill>
                  <w14:solidFill>
                    <w14:schemeClr w14:val="tx1"/>
                  </w14:solidFill>
                </w14:textFill>
              </w:rPr>
              <w:t>向水体直接排放人畜粪便、倾倒垃圾；</w:t>
            </w:r>
            <w:r>
              <w:rPr>
                <w:rFonts w:hint="eastAsia" w:ascii="宋体" w:hAnsi="宋体" w:cs="宋体"/>
                <w:bCs/>
                <w:color w:val="000000" w:themeColor="text1"/>
                <w:sz w:val="24"/>
                <w14:textFill>
                  <w14:solidFill>
                    <w14:schemeClr w14:val="tx1"/>
                  </w14:solidFill>
                </w14:textFill>
              </w:rPr>
              <w:t>⑦</w:t>
            </w:r>
            <w:r>
              <w:rPr>
                <w:rFonts w:eastAsia="仿宋"/>
                <w:bCs/>
                <w:color w:val="000000" w:themeColor="text1"/>
                <w:sz w:val="24"/>
                <w14:textFill>
                  <w14:solidFill>
                    <w14:schemeClr w14:val="tx1"/>
                  </w14:solidFill>
                </w14:textFill>
              </w:rPr>
              <w:t>围湖造地；</w:t>
            </w:r>
            <w:r>
              <w:rPr>
                <w:rFonts w:hint="eastAsia" w:ascii="宋体" w:hAnsi="宋体" w:cs="宋体"/>
                <w:bCs/>
                <w:color w:val="000000" w:themeColor="text1"/>
                <w:sz w:val="24"/>
                <w14:textFill>
                  <w14:solidFill>
                    <w14:schemeClr w14:val="tx1"/>
                  </w14:solidFill>
                </w14:textFill>
              </w:rPr>
              <w:t>⑧</w:t>
            </w:r>
            <w:r>
              <w:rPr>
                <w:rFonts w:eastAsia="仿宋"/>
                <w:bCs/>
                <w:color w:val="000000" w:themeColor="text1"/>
                <w:sz w:val="24"/>
                <w14:textFill>
                  <w14:solidFill>
                    <w14:schemeClr w14:val="tx1"/>
                  </w14:solidFill>
                </w14:textFill>
              </w:rPr>
              <w:t>违法开山采石，或者进行破坏林木、植被、水生生物的活动；</w:t>
            </w:r>
            <w:r>
              <w:rPr>
                <w:rFonts w:hint="eastAsia" w:ascii="宋体" w:hAnsi="宋体" w:cs="宋体"/>
                <w:bCs/>
                <w:color w:val="000000" w:themeColor="text1"/>
                <w:sz w:val="24"/>
                <w14:textFill>
                  <w14:solidFill>
                    <w14:schemeClr w14:val="tx1"/>
                  </w14:solidFill>
                </w14:textFill>
              </w:rPr>
              <w:t>⑨</w:t>
            </w:r>
            <w:r>
              <w:rPr>
                <w:rFonts w:eastAsia="仿宋"/>
                <w:bCs/>
                <w:color w:val="000000" w:themeColor="text1"/>
                <w:sz w:val="24"/>
                <w14:textFill>
                  <w14:solidFill>
                    <w14:schemeClr w14:val="tx1"/>
                  </w14:solidFill>
                </w14:textFill>
              </w:rPr>
              <w:t>法律、法规禁止的其他行为。</w:t>
            </w:r>
          </w:p>
          <w:p w14:paraId="51CD2C77">
            <w:pPr>
              <w:spacing w:line="480" w:lineRule="exact"/>
              <w:ind w:firstLine="482" w:firstLineChars="200"/>
              <w:rPr>
                <w:rFonts w:eastAsia="仿宋"/>
                <w:bCs/>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对照分析：</w:t>
            </w:r>
            <w:r>
              <w:rPr>
                <w:rFonts w:eastAsia="仿宋"/>
                <w:bCs/>
                <w:color w:val="000000" w:themeColor="text1"/>
                <w:sz w:val="24"/>
                <w14:textFill>
                  <w14:solidFill>
                    <w14:schemeClr w14:val="tx1"/>
                  </w14:solidFill>
                </w14:textFill>
              </w:rPr>
              <w:t>本项目位于太湖流域三级保护区内，国民经济行业类别属于“</w:t>
            </w:r>
            <w:r>
              <w:rPr>
                <w:rFonts w:hint="eastAsia" w:eastAsia="仿宋"/>
                <w:color w:val="000000" w:themeColor="text1"/>
                <w:sz w:val="24"/>
                <w14:textFill>
                  <w14:solidFill>
                    <w14:schemeClr w14:val="tx1"/>
                  </w14:solidFill>
                </w14:textFill>
              </w:rPr>
              <w:t>C3581医疗诊断、监护及治疗设备制造</w:t>
            </w:r>
            <w:r>
              <w:rPr>
                <w:rFonts w:eastAsia="仿宋"/>
                <w:bCs/>
                <w:color w:val="000000" w:themeColor="text1"/>
                <w:sz w:val="24"/>
                <w14:textFill>
                  <w14:solidFill>
                    <w14:schemeClr w14:val="tx1"/>
                  </w14:solidFill>
                </w14:textFill>
              </w:rPr>
              <w:t>”，本项目营运期不排放含氮磷的生产废水，因此符合《江苏省太湖水污染防治条例》相关规定。</w:t>
            </w:r>
          </w:p>
          <w:p w14:paraId="472FAF61">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4、与《关于印发江苏省重点行业挥发性有机物污染整治方案的通知》（苏环办〔2015〕19号）、《江苏省挥发性有机物污染防治管理办法》（省政府令第119号）、《市大气污染防治联席会议办公室关于印发2022年常州市挥发性有机物减排攻坚方案的通知》（常大气办〔2022〕2号）、《江苏省大气污染防治条例》（江苏省人民代表大会公告第2号）、《关于印发江苏省重点行业挥发性有机物污染控制指南的通知》（苏环办〔2014〕128号）、《关于切实加强产业园区规划环境影响评价工作的通知》（苏环办〔2017〕140号）相符性分析。</w:t>
            </w:r>
          </w:p>
          <w:p w14:paraId="0B67EBD1">
            <w:pPr>
              <w:spacing w:line="480" w:lineRule="exact"/>
              <w:jc w:val="center"/>
              <w:rPr>
                <w:rFonts w:eastAsia="仿宋"/>
                <w:b/>
                <w:bCs/>
                <w:color w:val="000000" w:themeColor="text1"/>
                <w14:textFill>
                  <w14:solidFill>
                    <w14:schemeClr w14:val="tx1"/>
                  </w14:solidFill>
                </w14:textFill>
              </w:rPr>
            </w:pPr>
            <w:r>
              <w:rPr>
                <w:rFonts w:hint="eastAsia" w:eastAsia="仿宋"/>
                <w:b/>
                <w:bCs/>
                <w:color w:val="000000" w:themeColor="text1"/>
                <w14:textFill>
                  <w14:solidFill>
                    <w14:schemeClr w14:val="tx1"/>
                  </w14:solidFill>
                </w14:textFill>
              </w:rPr>
              <w:t>表1</w:t>
            </w:r>
            <w:r>
              <w:rPr>
                <w:rFonts w:eastAsia="仿宋"/>
                <w:b/>
                <w:bCs/>
                <w:color w:val="000000" w:themeColor="text1"/>
                <w14:textFill>
                  <w14:solidFill>
                    <w14:schemeClr w14:val="tx1"/>
                  </w14:solidFill>
                </w14:textFill>
              </w:rPr>
              <w:t>-9 本项目相符性预判情况</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
              <w:gridCol w:w="989"/>
              <w:gridCol w:w="2980"/>
              <w:gridCol w:w="1556"/>
              <w:gridCol w:w="974"/>
            </w:tblGrid>
            <w:tr w14:paraId="5C2FA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7" w:type="dxa"/>
                  <w:tcBorders>
                    <w:top w:val="single" w:color="auto" w:sz="4" w:space="0"/>
                    <w:left w:val="single" w:color="auto" w:sz="4" w:space="0"/>
                    <w:bottom w:val="single" w:color="auto" w:sz="4" w:space="0"/>
                    <w:right w:val="single" w:color="auto" w:sz="4" w:space="0"/>
                  </w:tcBorders>
                  <w:vAlign w:val="center"/>
                </w:tcPr>
                <w:p w14:paraId="2CCE60A8">
                  <w:pPr>
                    <w:pStyle w:val="58"/>
                    <w:snapToGrid w:val="0"/>
                    <w:rPr>
                      <w:rFonts w:eastAsia="仿宋"/>
                      <w:b/>
                      <w:bCs/>
                      <w:color w:val="000000" w:themeColor="text1"/>
                      <w:szCs w:val="21"/>
                      <w14:textFill>
                        <w14:solidFill>
                          <w14:schemeClr w14:val="tx1"/>
                        </w14:solidFill>
                      </w14:textFill>
                    </w:rPr>
                  </w:pPr>
                  <w:r>
                    <w:rPr>
                      <w:rFonts w:ascii="仿宋" w:hAnsi="仿宋" w:eastAsia="仿宋"/>
                      <w:b/>
                      <w:bCs/>
                      <w:color w:val="000000" w:themeColor="text1"/>
                      <w14:textFill>
                        <w14:solidFill>
                          <w14:schemeClr w14:val="tx1"/>
                        </w14:solidFill>
                      </w14:textFill>
                    </w:rPr>
                    <w:t>类别</w:t>
                  </w:r>
                </w:p>
              </w:tc>
              <w:tc>
                <w:tcPr>
                  <w:tcW w:w="3969" w:type="dxa"/>
                  <w:gridSpan w:val="2"/>
                  <w:tcBorders>
                    <w:top w:val="single" w:color="auto" w:sz="4" w:space="0"/>
                    <w:left w:val="single" w:color="auto" w:sz="4" w:space="0"/>
                    <w:bottom w:val="single" w:color="auto" w:sz="4" w:space="0"/>
                    <w:right w:val="single" w:color="auto" w:sz="4" w:space="0"/>
                  </w:tcBorders>
                  <w:vAlign w:val="center"/>
                </w:tcPr>
                <w:p w14:paraId="045EDB8F">
                  <w:pPr>
                    <w:pStyle w:val="58"/>
                    <w:snapToGrid w:val="0"/>
                    <w:rPr>
                      <w:rFonts w:eastAsia="仿宋"/>
                      <w:b/>
                      <w:bCs/>
                      <w:color w:val="000000" w:themeColor="text1"/>
                      <w14:textFill>
                        <w14:solidFill>
                          <w14:schemeClr w14:val="tx1"/>
                        </w14:solidFill>
                      </w14:textFill>
                    </w:rPr>
                  </w:pPr>
                  <w:r>
                    <w:rPr>
                      <w:rFonts w:ascii="仿宋" w:hAnsi="仿宋" w:eastAsia="仿宋"/>
                      <w:b/>
                      <w:bCs/>
                      <w:color w:val="000000" w:themeColor="text1"/>
                      <w14:textFill>
                        <w14:solidFill>
                          <w14:schemeClr w14:val="tx1"/>
                        </w14:solidFill>
                      </w14:textFill>
                    </w:rPr>
                    <w:t>文件要求</w:t>
                  </w:r>
                </w:p>
              </w:tc>
              <w:tc>
                <w:tcPr>
                  <w:tcW w:w="1556" w:type="dxa"/>
                  <w:tcBorders>
                    <w:top w:val="single" w:color="auto" w:sz="4" w:space="0"/>
                    <w:left w:val="single" w:color="auto" w:sz="4" w:space="0"/>
                    <w:bottom w:val="single" w:color="auto" w:sz="4" w:space="0"/>
                    <w:right w:val="single" w:color="auto" w:sz="4" w:space="0"/>
                  </w:tcBorders>
                  <w:vAlign w:val="center"/>
                </w:tcPr>
                <w:p w14:paraId="4619BE36">
                  <w:pPr>
                    <w:pStyle w:val="58"/>
                    <w:snapToGrid w:val="0"/>
                    <w:rPr>
                      <w:rFonts w:eastAsia="仿宋"/>
                      <w:b/>
                      <w:bCs/>
                      <w:color w:val="000000" w:themeColor="text1"/>
                      <w14:textFill>
                        <w14:solidFill>
                          <w14:schemeClr w14:val="tx1"/>
                        </w14:solidFill>
                      </w14:textFill>
                    </w:rPr>
                  </w:pPr>
                  <w:r>
                    <w:rPr>
                      <w:rFonts w:ascii="仿宋" w:hAnsi="仿宋" w:eastAsia="仿宋"/>
                      <w:b/>
                      <w:bCs/>
                      <w:color w:val="000000" w:themeColor="text1"/>
                      <w14:textFill>
                        <w14:solidFill>
                          <w14:schemeClr w14:val="tx1"/>
                        </w14:solidFill>
                      </w14:textFill>
                    </w:rPr>
                    <w:t>本项目</w:t>
                  </w:r>
                </w:p>
              </w:tc>
              <w:tc>
                <w:tcPr>
                  <w:tcW w:w="974" w:type="dxa"/>
                  <w:tcBorders>
                    <w:top w:val="single" w:color="auto" w:sz="4" w:space="0"/>
                    <w:left w:val="single" w:color="auto" w:sz="4" w:space="0"/>
                    <w:bottom w:val="single" w:color="auto" w:sz="4" w:space="0"/>
                    <w:right w:val="single" w:color="auto" w:sz="4" w:space="0"/>
                  </w:tcBorders>
                  <w:vAlign w:val="center"/>
                </w:tcPr>
                <w:p w14:paraId="64A2FF79">
                  <w:pPr>
                    <w:pStyle w:val="58"/>
                    <w:snapToGrid w:val="0"/>
                    <w:rPr>
                      <w:rFonts w:eastAsia="仿宋"/>
                      <w:b/>
                      <w:bCs/>
                      <w:color w:val="000000" w:themeColor="text1"/>
                      <w14:textFill>
                        <w14:solidFill>
                          <w14:schemeClr w14:val="tx1"/>
                        </w14:solidFill>
                      </w14:textFill>
                    </w:rPr>
                  </w:pPr>
                  <w:r>
                    <w:rPr>
                      <w:rFonts w:ascii="仿宋" w:hAnsi="仿宋" w:eastAsia="仿宋"/>
                      <w:b/>
                      <w:bCs/>
                      <w:color w:val="000000" w:themeColor="text1"/>
                      <w14:textFill>
                        <w14:solidFill>
                          <w14:schemeClr w14:val="tx1"/>
                        </w14:solidFill>
                      </w14:textFill>
                    </w:rPr>
                    <w:t>相符性论证</w:t>
                  </w:r>
                </w:p>
              </w:tc>
            </w:tr>
            <w:tr w14:paraId="26475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7" w:type="dxa"/>
                  <w:tcBorders>
                    <w:top w:val="single" w:color="auto" w:sz="4" w:space="0"/>
                    <w:left w:val="single" w:color="auto" w:sz="4" w:space="0"/>
                    <w:bottom w:val="single" w:color="auto" w:sz="4" w:space="0"/>
                    <w:right w:val="single" w:color="auto" w:sz="4" w:space="0"/>
                  </w:tcBorders>
                  <w:vAlign w:val="center"/>
                </w:tcPr>
                <w:p w14:paraId="2B337B0A">
                  <w:pPr>
                    <w:pStyle w:val="58"/>
                    <w:snapToGrid w:val="0"/>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《关于印发江苏省重点行业挥发性有机物污染整治方案的通知》（苏环办〔</w:t>
                  </w:r>
                  <w:r>
                    <w:rPr>
                      <w:rFonts w:eastAsia="仿宋"/>
                      <w:color w:val="000000" w:themeColor="text1"/>
                      <w14:textFill>
                        <w14:solidFill>
                          <w14:schemeClr w14:val="tx1"/>
                        </w14:solidFill>
                      </w14:textFill>
                    </w:rPr>
                    <w:t>2015</w:t>
                  </w:r>
                  <w:r>
                    <w:rPr>
                      <w:rFonts w:ascii="仿宋" w:hAnsi="仿宋" w:eastAsia="仿宋"/>
                      <w:color w:val="000000" w:themeColor="text1"/>
                      <w14:textFill>
                        <w14:solidFill>
                          <w14:schemeClr w14:val="tx1"/>
                        </w14:solidFill>
                      </w14:textFill>
                    </w:rPr>
                    <w:t>〕</w:t>
                  </w:r>
                  <w:r>
                    <w:rPr>
                      <w:rFonts w:eastAsia="仿宋"/>
                      <w:color w:val="000000" w:themeColor="text1"/>
                      <w14:textFill>
                        <w14:solidFill>
                          <w14:schemeClr w14:val="tx1"/>
                        </w14:solidFill>
                      </w14:textFill>
                    </w:rPr>
                    <w:t>19</w:t>
                  </w:r>
                  <w:r>
                    <w:rPr>
                      <w:rFonts w:ascii="仿宋" w:hAnsi="仿宋" w:eastAsia="仿宋"/>
                      <w:color w:val="000000" w:themeColor="text1"/>
                      <w14:textFill>
                        <w14:solidFill>
                          <w14:schemeClr w14:val="tx1"/>
                        </w14:solidFill>
                      </w14:textFill>
                    </w:rPr>
                    <w:t>号）、《江苏省挥发性有机物污染防治管理办法》（省政府令第</w:t>
                  </w:r>
                  <w:r>
                    <w:rPr>
                      <w:rFonts w:eastAsia="仿宋"/>
                      <w:color w:val="000000" w:themeColor="text1"/>
                      <w14:textFill>
                        <w14:solidFill>
                          <w14:schemeClr w14:val="tx1"/>
                        </w14:solidFill>
                      </w14:textFill>
                    </w:rPr>
                    <w:t>119</w:t>
                  </w:r>
                  <w:r>
                    <w:rPr>
                      <w:rFonts w:ascii="仿宋" w:hAnsi="仿宋" w:eastAsia="仿宋"/>
                      <w:color w:val="000000" w:themeColor="text1"/>
                      <w14:textFill>
                        <w14:solidFill>
                          <w14:schemeClr w14:val="tx1"/>
                        </w14:solidFill>
                      </w14:textFill>
                    </w:rPr>
                    <w:t>号）</w:t>
                  </w:r>
                </w:p>
              </w:tc>
              <w:tc>
                <w:tcPr>
                  <w:tcW w:w="3969" w:type="dxa"/>
                  <w:gridSpan w:val="2"/>
                  <w:tcBorders>
                    <w:top w:val="single" w:color="auto" w:sz="4" w:space="0"/>
                    <w:left w:val="single" w:color="auto" w:sz="4" w:space="0"/>
                    <w:bottom w:val="single" w:color="auto" w:sz="4" w:space="0"/>
                    <w:right w:val="single" w:color="auto" w:sz="4" w:space="0"/>
                  </w:tcBorders>
                  <w:vAlign w:val="center"/>
                </w:tcPr>
                <w:p w14:paraId="7103FE94">
                  <w:pPr>
                    <w:pStyle w:val="58"/>
                    <w:snapToGrid w:val="0"/>
                    <w:jc w:val="both"/>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管理办法规定：</w:t>
                  </w:r>
                  <w:r>
                    <w:rPr>
                      <w:rFonts w:eastAsia="仿宋"/>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①</w:t>
                  </w:r>
                  <w:r>
                    <w:rPr>
                      <w:rFonts w:ascii="仿宋" w:hAnsi="仿宋" w:eastAsia="仿宋"/>
                      <w:color w:val="000000" w:themeColor="text1"/>
                      <w14:textFill>
                        <w14:solidFill>
                          <w14:schemeClr w14:val="tx1"/>
                        </w14:solidFill>
                      </w14:textFill>
                    </w:rPr>
                    <w:t>排放挥发性有机物的生产经营者应当履行防治挥发性有机物污染的义务，根据国家和省相关标准以及防治技术指南，采用挥发性有机物污染控制技术，规范操作规程，组织生产经营管理，确保挥发性有机物的排放符合相应的排放标准。</w:t>
                  </w:r>
                  <w:r>
                    <w:rPr>
                      <w:rFonts w:hint="eastAsia" w:ascii="宋体" w:hAnsi="宋体"/>
                      <w:color w:val="000000" w:themeColor="text1"/>
                      <w14:textFill>
                        <w14:solidFill>
                          <w14:schemeClr w14:val="tx1"/>
                        </w14:solidFill>
                      </w14:textFill>
                    </w:rPr>
                    <w:t>②</w:t>
                  </w:r>
                  <w:r>
                    <w:rPr>
                      <w:rFonts w:ascii="仿宋" w:hAnsi="仿宋" w:eastAsia="仿宋"/>
                      <w:color w:val="000000" w:themeColor="text1"/>
                      <w14:textFill>
                        <w14:solidFill>
                          <w14:schemeClr w14:val="tx1"/>
                        </w14:solidFill>
                      </w14:textFill>
                    </w:rPr>
                    <w:t>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w:t>
                  </w:r>
                </w:p>
              </w:tc>
              <w:tc>
                <w:tcPr>
                  <w:tcW w:w="1556" w:type="dxa"/>
                  <w:tcBorders>
                    <w:top w:val="single" w:color="auto" w:sz="4" w:space="0"/>
                    <w:left w:val="single" w:color="auto" w:sz="4" w:space="0"/>
                    <w:bottom w:val="single" w:color="auto" w:sz="4" w:space="0"/>
                    <w:right w:val="single" w:color="auto" w:sz="4" w:space="0"/>
                  </w:tcBorders>
                  <w:vAlign w:val="center"/>
                </w:tcPr>
                <w:p w14:paraId="414A6CB3">
                  <w:pPr>
                    <w:pStyle w:val="58"/>
                    <w:snapToGrid w:val="0"/>
                    <w:jc w:val="both"/>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本项目</w:t>
                  </w:r>
                  <w:r>
                    <w:rPr>
                      <w:rFonts w:hint="eastAsia" w:ascii="仿宋" w:hAnsi="仿宋" w:eastAsia="仿宋"/>
                      <w:color w:val="000000" w:themeColor="text1"/>
                      <w14:textFill>
                        <w14:solidFill>
                          <w14:schemeClr w14:val="tx1"/>
                        </w14:solidFill>
                      </w14:textFill>
                    </w:rPr>
                    <w:t>原料检测实验室实验操作均在通风橱中进行，实验室密闭</w:t>
                  </w:r>
                  <w:r>
                    <w:rPr>
                      <w:rFonts w:ascii="仿宋" w:hAnsi="仿宋" w:eastAsia="仿宋"/>
                      <w:color w:val="000000" w:themeColor="text1"/>
                      <w14:textFill>
                        <w14:solidFill>
                          <w14:schemeClr w14:val="tx1"/>
                        </w14:solidFill>
                      </w14:textFill>
                    </w:rPr>
                    <w:t>；通过严格落实污染防治措施，可做到污染可控。</w:t>
                  </w:r>
                </w:p>
              </w:tc>
              <w:tc>
                <w:tcPr>
                  <w:tcW w:w="974" w:type="dxa"/>
                  <w:tcBorders>
                    <w:top w:val="single" w:color="auto" w:sz="4" w:space="0"/>
                    <w:left w:val="single" w:color="auto" w:sz="4" w:space="0"/>
                    <w:bottom w:val="single" w:color="auto" w:sz="4" w:space="0"/>
                    <w:right w:val="single" w:color="auto" w:sz="4" w:space="0"/>
                  </w:tcBorders>
                  <w:vAlign w:val="center"/>
                </w:tcPr>
                <w:p w14:paraId="5F38EF75">
                  <w:pPr>
                    <w:pStyle w:val="58"/>
                    <w:snapToGrid w:val="0"/>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符合</w:t>
                  </w:r>
                </w:p>
              </w:tc>
            </w:tr>
            <w:tr w14:paraId="03DB3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7" w:type="dxa"/>
                  <w:vMerge w:val="restart"/>
                  <w:tcBorders>
                    <w:top w:val="nil"/>
                    <w:left w:val="single" w:color="auto" w:sz="4" w:space="0"/>
                    <w:bottom w:val="single" w:color="auto" w:sz="4" w:space="0"/>
                    <w:right w:val="single" w:color="auto" w:sz="4" w:space="0"/>
                  </w:tcBorders>
                  <w:vAlign w:val="center"/>
                </w:tcPr>
                <w:p w14:paraId="1945AF8F">
                  <w:pPr>
                    <w:pStyle w:val="58"/>
                    <w:snapToGrid w:val="0"/>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《关于印发常州市</w:t>
                  </w:r>
                  <w:r>
                    <w:rPr>
                      <w:rFonts w:eastAsia="仿宋"/>
                      <w:color w:val="000000" w:themeColor="text1"/>
                      <w14:textFill>
                        <w14:solidFill>
                          <w14:schemeClr w14:val="tx1"/>
                        </w14:solidFill>
                      </w14:textFill>
                    </w:rPr>
                    <w:t>2022</w:t>
                  </w:r>
                  <w:r>
                    <w:rPr>
                      <w:rFonts w:ascii="仿宋" w:hAnsi="仿宋" w:eastAsia="仿宋"/>
                      <w:color w:val="000000" w:themeColor="text1"/>
                      <w14:textFill>
                        <w14:solidFill>
                          <w14:schemeClr w14:val="tx1"/>
                        </w14:solidFill>
                      </w14:textFill>
                    </w:rPr>
                    <w:t>年大气污染防治工作计划的通知》（常大气办〔</w:t>
                  </w:r>
                  <w:r>
                    <w:rPr>
                      <w:rFonts w:eastAsia="仿宋"/>
                      <w:color w:val="000000" w:themeColor="text1"/>
                      <w14:textFill>
                        <w14:solidFill>
                          <w14:schemeClr w14:val="tx1"/>
                        </w14:solidFill>
                      </w14:textFill>
                    </w:rPr>
                    <w:t>2022</w:t>
                  </w:r>
                  <w:r>
                    <w:rPr>
                      <w:rFonts w:ascii="仿宋" w:hAnsi="仿宋" w:eastAsia="仿宋"/>
                      <w:color w:val="000000" w:themeColor="text1"/>
                      <w14:textFill>
                        <w14:solidFill>
                          <w14:schemeClr w14:val="tx1"/>
                        </w14:solidFill>
                      </w14:textFill>
                    </w:rPr>
                    <w:t>〕</w:t>
                  </w:r>
                  <w:r>
                    <w:rPr>
                      <w:rFonts w:eastAsia="仿宋"/>
                      <w:color w:val="000000" w:themeColor="text1"/>
                      <w14:textFill>
                        <w14:solidFill>
                          <w14:schemeClr w14:val="tx1"/>
                        </w14:solidFill>
                      </w14:textFill>
                    </w:rPr>
                    <w:t>1</w:t>
                  </w:r>
                  <w:r>
                    <w:rPr>
                      <w:rFonts w:ascii="仿宋" w:hAnsi="仿宋" w:eastAsia="仿宋"/>
                      <w:color w:val="000000" w:themeColor="text1"/>
                      <w14:textFill>
                        <w14:solidFill>
                          <w14:schemeClr w14:val="tx1"/>
                        </w14:solidFill>
                      </w14:textFill>
                    </w:rPr>
                    <w:t>号）</w:t>
                  </w:r>
                </w:p>
              </w:tc>
              <w:tc>
                <w:tcPr>
                  <w:tcW w:w="989" w:type="dxa"/>
                  <w:tcBorders>
                    <w:top w:val="single" w:color="auto" w:sz="4" w:space="0"/>
                    <w:left w:val="single" w:color="auto" w:sz="4" w:space="0"/>
                    <w:bottom w:val="single" w:color="auto" w:sz="4" w:space="0"/>
                    <w:right w:val="single" w:color="auto" w:sz="4" w:space="0"/>
                  </w:tcBorders>
                  <w:vAlign w:val="center"/>
                </w:tcPr>
                <w:p w14:paraId="216CC9C8">
                  <w:pPr>
                    <w:pStyle w:val="58"/>
                    <w:snapToGrid w:val="0"/>
                    <w:jc w:val="both"/>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（一）调整优化产业结构，推进产业绿色发展</w:t>
                  </w:r>
                </w:p>
              </w:tc>
              <w:tc>
                <w:tcPr>
                  <w:tcW w:w="2980" w:type="dxa"/>
                  <w:tcBorders>
                    <w:top w:val="single" w:color="auto" w:sz="4" w:space="0"/>
                    <w:left w:val="single" w:color="auto" w:sz="4" w:space="0"/>
                    <w:bottom w:val="single" w:color="auto" w:sz="4" w:space="0"/>
                    <w:right w:val="single" w:color="auto" w:sz="4" w:space="0"/>
                  </w:tcBorders>
                  <w:vAlign w:val="center"/>
                </w:tcPr>
                <w:p w14:paraId="6585C669">
                  <w:pPr>
                    <w:pStyle w:val="58"/>
                    <w:snapToGrid w:val="0"/>
                    <w:jc w:val="both"/>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w:t>
                  </w:r>
                  <w:r>
                    <w:rPr>
                      <w:rFonts w:ascii="仿宋" w:hAnsi="仿宋" w:eastAsia="仿宋"/>
                      <w:color w:val="000000" w:themeColor="text1"/>
                      <w14:textFill>
                        <w14:solidFill>
                          <w14:schemeClr w14:val="tx1"/>
                        </w14:solidFill>
                      </w14:textFill>
                    </w:rPr>
                    <w:t>、坚决遏制</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两高</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项目盲目发展。</w:t>
                  </w:r>
                  <w:r>
                    <w:rPr>
                      <w:rFonts w:eastAsia="仿宋"/>
                      <w:color w:val="000000" w:themeColor="text1"/>
                      <w14:textFill>
                        <w14:solidFill>
                          <w14:schemeClr w14:val="tx1"/>
                        </w14:solidFill>
                      </w14:textFill>
                    </w:rPr>
                    <w:t>……2</w:t>
                  </w:r>
                  <w:r>
                    <w:rPr>
                      <w:rFonts w:ascii="仿宋" w:hAnsi="仿宋" w:eastAsia="仿宋"/>
                      <w:color w:val="000000" w:themeColor="text1"/>
                      <w14:textFill>
                        <w14:solidFill>
                          <w14:schemeClr w14:val="tx1"/>
                        </w14:solidFill>
                      </w14:textFill>
                    </w:rPr>
                    <w:t>、依法依规淘汰落后产能和化解过剩产能。</w:t>
                  </w:r>
                  <w:r>
                    <w:rPr>
                      <w:rFonts w:eastAsia="仿宋"/>
                      <w:color w:val="000000" w:themeColor="text1"/>
                      <w14:textFill>
                        <w14:solidFill>
                          <w14:schemeClr w14:val="tx1"/>
                        </w14:solidFill>
                      </w14:textFill>
                    </w:rPr>
                    <w:t>……3</w:t>
                  </w:r>
                  <w:r>
                    <w:rPr>
                      <w:rFonts w:ascii="仿宋" w:hAnsi="仿宋" w:eastAsia="仿宋"/>
                      <w:color w:val="000000" w:themeColor="text1"/>
                      <w14:textFill>
                        <w14:solidFill>
                          <w14:schemeClr w14:val="tx1"/>
                        </w14:solidFill>
                      </w14:textFill>
                    </w:rPr>
                    <w:t>、推进产业结构转型升级。</w:t>
                  </w:r>
                  <w:r>
                    <w:rPr>
                      <w:rFonts w:eastAsia="仿宋"/>
                      <w:color w:val="000000" w:themeColor="text1"/>
                      <w14:textFill>
                        <w14:solidFill>
                          <w14:schemeClr w14:val="tx1"/>
                        </w14:solidFill>
                      </w14:textFill>
                    </w:rPr>
                    <w:t>……</w:t>
                  </w:r>
                </w:p>
              </w:tc>
              <w:tc>
                <w:tcPr>
                  <w:tcW w:w="1556" w:type="dxa"/>
                  <w:tcBorders>
                    <w:top w:val="single" w:color="auto" w:sz="4" w:space="0"/>
                    <w:left w:val="single" w:color="auto" w:sz="4" w:space="0"/>
                    <w:bottom w:val="single" w:color="auto" w:sz="4" w:space="0"/>
                    <w:right w:val="single" w:color="auto" w:sz="4" w:space="0"/>
                  </w:tcBorders>
                  <w:vAlign w:val="center"/>
                </w:tcPr>
                <w:p w14:paraId="5819924B">
                  <w:pPr>
                    <w:pStyle w:val="58"/>
                    <w:snapToGrid w:val="0"/>
                    <w:jc w:val="both"/>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本项目不属于</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两高</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中限制的项目。</w:t>
                  </w:r>
                </w:p>
              </w:tc>
              <w:tc>
                <w:tcPr>
                  <w:tcW w:w="974" w:type="dxa"/>
                  <w:tcBorders>
                    <w:top w:val="single" w:color="auto" w:sz="4" w:space="0"/>
                    <w:left w:val="single" w:color="auto" w:sz="4" w:space="0"/>
                    <w:bottom w:val="single" w:color="auto" w:sz="4" w:space="0"/>
                    <w:right w:val="single" w:color="auto" w:sz="4" w:space="0"/>
                  </w:tcBorders>
                  <w:vAlign w:val="center"/>
                </w:tcPr>
                <w:p w14:paraId="680E3384">
                  <w:pPr>
                    <w:pStyle w:val="58"/>
                    <w:snapToGrid w:val="0"/>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符合</w:t>
                  </w:r>
                </w:p>
              </w:tc>
            </w:tr>
            <w:tr w14:paraId="715ED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7" w:type="dxa"/>
                  <w:vMerge w:val="continue"/>
                  <w:tcBorders>
                    <w:top w:val="nil"/>
                    <w:left w:val="single" w:color="auto" w:sz="4" w:space="0"/>
                    <w:bottom w:val="single" w:color="auto" w:sz="4" w:space="0"/>
                    <w:right w:val="single" w:color="auto" w:sz="4" w:space="0"/>
                  </w:tcBorders>
                  <w:vAlign w:val="center"/>
                </w:tcPr>
                <w:p w14:paraId="0C6D8641">
                  <w:pPr>
                    <w:widowControl/>
                    <w:jc w:val="left"/>
                    <w:rPr>
                      <w:rFonts w:eastAsia="仿宋"/>
                      <w:color w:val="000000" w:themeColor="text1"/>
                      <w:szCs w:val="21"/>
                      <w14:textFill>
                        <w14:solidFill>
                          <w14:schemeClr w14:val="tx1"/>
                        </w14:solidFill>
                      </w14:textFill>
                    </w:rPr>
                  </w:pPr>
                </w:p>
              </w:tc>
              <w:tc>
                <w:tcPr>
                  <w:tcW w:w="989" w:type="dxa"/>
                  <w:tcBorders>
                    <w:top w:val="single" w:color="auto" w:sz="4" w:space="0"/>
                    <w:left w:val="single" w:color="auto" w:sz="4" w:space="0"/>
                    <w:bottom w:val="single" w:color="auto" w:sz="4" w:space="0"/>
                    <w:right w:val="single" w:color="auto" w:sz="4" w:space="0"/>
                  </w:tcBorders>
                  <w:vAlign w:val="center"/>
                </w:tcPr>
                <w:p w14:paraId="60C422E9">
                  <w:pPr>
                    <w:pStyle w:val="58"/>
                    <w:snapToGrid w:val="0"/>
                    <w:jc w:val="both"/>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（二）优化能源结构，推进能源清洁低碳发展</w:t>
                  </w:r>
                </w:p>
              </w:tc>
              <w:tc>
                <w:tcPr>
                  <w:tcW w:w="2980" w:type="dxa"/>
                  <w:tcBorders>
                    <w:top w:val="single" w:color="auto" w:sz="4" w:space="0"/>
                    <w:left w:val="single" w:color="auto" w:sz="4" w:space="0"/>
                    <w:bottom w:val="single" w:color="auto" w:sz="4" w:space="0"/>
                    <w:right w:val="single" w:color="auto" w:sz="4" w:space="0"/>
                  </w:tcBorders>
                  <w:vAlign w:val="center"/>
                </w:tcPr>
                <w:p w14:paraId="5F7C206E">
                  <w:pPr>
                    <w:pStyle w:val="58"/>
                    <w:snapToGrid w:val="0"/>
                    <w:jc w:val="both"/>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4</w:t>
                  </w:r>
                  <w:r>
                    <w:rPr>
                      <w:rFonts w:ascii="仿宋" w:hAnsi="仿宋" w:eastAsia="仿宋"/>
                      <w:color w:val="000000" w:themeColor="text1"/>
                      <w14:textFill>
                        <w14:solidFill>
                          <w14:schemeClr w14:val="tx1"/>
                        </w14:solidFill>
                      </w14:textFill>
                    </w:rPr>
                    <w:t>、优化能源结构。有序淘汰煤电行业落后产能</w:t>
                  </w:r>
                  <w:r>
                    <w:rPr>
                      <w:rFonts w:eastAsia="仿宋"/>
                      <w:color w:val="000000" w:themeColor="text1"/>
                      <w14:textFill>
                        <w14:solidFill>
                          <w14:schemeClr w14:val="tx1"/>
                        </w14:solidFill>
                      </w14:textFill>
                    </w:rPr>
                    <w:t>……5</w:t>
                  </w:r>
                  <w:r>
                    <w:rPr>
                      <w:rFonts w:ascii="仿宋" w:hAnsi="仿宋" w:eastAsia="仿宋"/>
                      <w:color w:val="000000" w:themeColor="text1"/>
                      <w14:textFill>
                        <w14:solidFill>
                          <w14:schemeClr w14:val="tx1"/>
                        </w14:solidFill>
                      </w14:textFill>
                    </w:rPr>
                    <w:t>、大力发展清洁能源。</w:t>
                  </w:r>
                  <w:r>
                    <w:rPr>
                      <w:rFonts w:eastAsia="仿宋"/>
                      <w:color w:val="000000" w:themeColor="text1"/>
                      <w14:textFill>
                        <w14:solidFill>
                          <w14:schemeClr w14:val="tx1"/>
                        </w14:solidFill>
                      </w14:textFill>
                    </w:rPr>
                    <w:t>……</w:t>
                  </w:r>
                </w:p>
              </w:tc>
              <w:tc>
                <w:tcPr>
                  <w:tcW w:w="1556" w:type="dxa"/>
                  <w:tcBorders>
                    <w:top w:val="single" w:color="auto" w:sz="4" w:space="0"/>
                    <w:left w:val="single" w:color="auto" w:sz="4" w:space="0"/>
                    <w:bottom w:val="single" w:color="auto" w:sz="4" w:space="0"/>
                    <w:right w:val="single" w:color="auto" w:sz="4" w:space="0"/>
                  </w:tcBorders>
                  <w:vAlign w:val="center"/>
                </w:tcPr>
                <w:p w14:paraId="37F5095B">
                  <w:pPr>
                    <w:pStyle w:val="58"/>
                    <w:snapToGrid w:val="0"/>
                    <w:jc w:val="both"/>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本项目不使用煤炭，仅使用电能。</w:t>
                  </w:r>
                </w:p>
              </w:tc>
              <w:tc>
                <w:tcPr>
                  <w:tcW w:w="974" w:type="dxa"/>
                  <w:tcBorders>
                    <w:top w:val="single" w:color="auto" w:sz="4" w:space="0"/>
                    <w:left w:val="single" w:color="auto" w:sz="4" w:space="0"/>
                    <w:bottom w:val="single" w:color="auto" w:sz="4" w:space="0"/>
                    <w:right w:val="single" w:color="auto" w:sz="4" w:space="0"/>
                  </w:tcBorders>
                  <w:vAlign w:val="center"/>
                </w:tcPr>
                <w:p w14:paraId="4E74C964">
                  <w:pPr>
                    <w:pStyle w:val="58"/>
                    <w:snapToGrid w:val="0"/>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符合</w:t>
                  </w:r>
                </w:p>
              </w:tc>
            </w:tr>
            <w:tr w14:paraId="731D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7" w:type="dxa"/>
                  <w:vMerge w:val="continue"/>
                  <w:tcBorders>
                    <w:top w:val="nil"/>
                    <w:left w:val="single" w:color="auto" w:sz="4" w:space="0"/>
                    <w:bottom w:val="single" w:color="auto" w:sz="4" w:space="0"/>
                    <w:right w:val="single" w:color="auto" w:sz="4" w:space="0"/>
                  </w:tcBorders>
                  <w:vAlign w:val="center"/>
                </w:tcPr>
                <w:p w14:paraId="5EC2F586">
                  <w:pPr>
                    <w:widowControl/>
                    <w:jc w:val="left"/>
                    <w:rPr>
                      <w:rFonts w:eastAsia="仿宋"/>
                      <w:color w:val="000000" w:themeColor="text1"/>
                      <w:szCs w:val="21"/>
                      <w14:textFill>
                        <w14:solidFill>
                          <w14:schemeClr w14:val="tx1"/>
                        </w14:solidFill>
                      </w14:textFill>
                    </w:rPr>
                  </w:pPr>
                </w:p>
              </w:tc>
              <w:tc>
                <w:tcPr>
                  <w:tcW w:w="989" w:type="dxa"/>
                  <w:tcBorders>
                    <w:top w:val="single" w:color="auto" w:sz="4" w:space="0"/>
                    <w:left w:val="single" w:color="auto" w:sz="4" w:space="0"/>
                    <w:bottom w:val="single" w:color="auto" w:sz="4" w:space="0"/>
                    <w:right w:val="single" w:color="auto" w:sz="4" w:space="0"/>
                  </w:tcBorders>
                  <w:vAlign w:val="center"/>
                </w:tcPr>
                <w:p w14:paraId="78520971">
                  <w:pPr>
                    <w:pStyle w:val="58"/>
                    <w:snapToGrid w:val="0"/>
                    <w:jc w:val="both"/>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（四）强化协同减排，切实降低</w:t>
                  </w:r>
                  <w:r>
                    <w:rPr>
                      <w:rFonts w:eastAsia="仿宋"/>
                      <w:color w:val="000000" w:themeColor="text1"/>
                      <w14:textFill>
                        <w14:solidFill>
                          <w14:schemeClr w14:val="tx1"/>
                        </w14:solidFill>
                      </w14:textFill>
                    </w:rPr>
                    <w:t>VOCs</w:t>
                  </w:r>
                  <w:r>
                    <w:rPr>
                      <w:rFonts w:ascii="仿宋" w:hAnsi="仿宋" w:eastAsia="仿宋"/>
                      <w:color w:val="000000" w:themeColor="text1"/>
                      <w14:textFill>
                        <w14:solidFill>
                          <w14:schemeClr w14:val="tx1"/>
                        </w14:solidFill>
                      </w14:textFill>
                    </w:rPr>
                    <w:t>和氮氧化物排放水平</w:t>
                  </w:r>
                </w:p>
              </w:tc>
              <w:tc>
                <w:tcPr>
                  <w:tcW w:w="2980" w:type="dxa"/>
                  <w:tcBorders>
                    <w:top w:val="single" w:color="auto" w:sz="4" w:space="0"/>
                    <w:left w:val="single" w:color="auto" w:sz="4" w:space="0"/>
                    <w:bottom w:val="single" w:color="auto" w:sz="4" w:space="0"/>
                    <w:right w:val="single" w:color="auto" w:sz="4" w:space="0"/>
                  </w:tcBorders>
                  <w:vAlign w:val="center"/>
                </w:tcPr>
                <w:p w14:paraId="7E41263D">
                  <w:pPr>
                    <w:pStyle w:val="58"/>
                    <w:snapToGrid w:val="0"/>
                    <w:jc w:val="both"/>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10</w:t>
                  </w:r>
                  <w:r>
                    <w:rPr>
                      <w:rFonts w:ascii="仿宋" w:hAnsi="仿宋" w:eastAsia="仿宋"/>
                      <w:color w:val="000000" w:themeColor="text1"/>
                      <w14:textFill>
                        <w14:solidFill>
                          <w14:schemeClr w14:val="tx1"/>
                        </w14:solidFill>
                      </w14:textFill>
                    </w:rPr>
                    <w:t>、大力推进</w:t>
                  </w:r>
                  <w:r>
                    <w:rPr>
                      <w:rFonts w:eastAsia="仿宋"/>
                      <w:color w:val="000000" w:themeColor="text1"/>
                      <w14:textFill>
                        <w14:solidFill>
                          <w14:schemeClr w14:val="tx1"/>
                        </w14:solidFill>
                      </w14:textFill>
                    </w:rPr>
                    <w:t>VOCs</w:t>
                  </w:r>
                  <w:r>
                    <w:rPr>
                      <w:rFonts w:ascii="仿宋" w:hAnsi="仿宋" w:eastAsia="仿宋"/>
                      <w:color w:val="000000" w:themeColor="text1"/>
                      <w14:textFill>
                        <w14:solidFill>
                          <w14:schemeClr w14:val="tx1"/>
                        </w14:solidFill>
                      </w14:textFill>
                    </w:rPr>
                    <w:t>含量清洁原料替代。</w:t>
                  </w:r>
                  <w:r>
                    <w:rPr>
                      <w:rFonts w:eastAsia="仿宋"/>
                      <w:color w:val="000000" w:themeColor="text1"/>
                      <w14:textFill>
                        <w14:solidFill>
                          <w14:schemeClr w14:val="tx1"/>
                        </w14:solidFill>
                      </w14:textFill>
                    </w:rPr>
                    <w:t>……11</w:t>
                  </w:r>
                  <w:r>
                    <w:rPr>
                      <w:rFonts w:ascii="仿宋" w:hAnsi="仿宋" w:eastAsia="仿宋"/>
                      <w:color w:val="000000" w:themeColor="text1"/>
                      <w14:textFill>
                        <w14:solidFill>
                          <w14:schemeClr w14:val="tx1"/>
                        </w14:solidFill>
                      </w14:textFill>
                    </w:rPr>
                    <w:t>、强化</w:t>
                  </w:r>
                  <w:r>
                    <w:rPr>
                      <w:rFonts w:eastAsia="仿宋"/>
                      <w:color w:val="000000" w:themeColor="text1"/>
                      <w14:textFill>
                        <w14:solidFill>
                          <w14:schemeClr w14:val="tx1"/>
                        </w14:solidFill>
                      </w14:textFill>
                    </w:rPr>
                    <w:t>VOCs</w:t>
                  </w:r>
                  <w:r>
                    <w:rPr>
                      <w:rFonts w:ascii="仿宋" w:hAnsi="仿宋" w:eastAsia="仿宋"/>
                      <w:color w:val="000000" w:themeColor="text1"/>
                      <w14:textFill>
                        <w14:solidFill>
                          <w14:schemeClr w14:val="tx1"/>
                        </w14:solidFill>
                      </w14:textFill>
                    </w:rPr>
                    <w:t>全流程、全环节综合治理。</w:t>
                  </w:r>
                  <w:r>
                    <w:rPr>
                      <w:rFonts w:eastAsia="仿宋"/>
                      <w:color w:val="000000" w:themeColor="text1"/>
                      <w14:textFill>
                        <w14:solidFill>
                          <w14:schemeClr w14:val="tx1"/>
                        </w14:solidFill>
                      </w14:textFill>
                    </w:rPr>
                    <w:t>……</w:t>
                  </w:r>
                </w:p>
              </w:tc>
              <w:tc>
                <w:tcPr>
                  <w:tcW w:w="1556" w:type="dxa"/>
                  <w:tcBorders>
                    <w:top w:val="single" w:color="auto" w:sz="4" w:space="0"/>
                    <w:left w:val="single" w:color="auto" w:sz="4" w:space="0"/>
                    <w:bottom w:val="single" w:color="auto" w:sz="4" w:space="0"/>
                    <w:right w:val="single" w:color="auto" w:sz="4" w:space="0"/>
                  </w:tcBorders>
                  <w:vAlign w:val="center"/>
                </w:tcPr>
                <w:p w14:paraId="2464EB79">
                  <w:pPr>
                    <w:pStyle w:val="58"/>
                    <w:snapToGrid w:val="0"/>
                    <w:jc w:val="both"/>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本项目不</w:t>
                  </w:r>
                  <w:bookmarkStart w:id="11" w:name="OLE_LINK21"/>
                  <w:r>
                    <w:rPr>
                      <w:rFonts w:eastAsia="仿宋"/>
                      <w:color w:val="000000" w:themeColor="text1"/>
                      <w14:textFill>
                        <w14:solidFill>
                          <w14:schemeClr w14:val="tx1"/>
                        </w14:solidFill>
                      </w14:textFill>
                    </w:rPr>
                    <w:t>涉及使用高VOCs含量的涂料、油墨、胶黏剂</w:t>
                  </w:r>
                  <w:bookmarkEnd w:id="11"/>
                  <w:r>
                    <w:rPr>
                      <w:rFonts w:eastAsia="仿宋"/>
                      <w:color w:val="000000" w:themeColor="text1"/>
                      <w14:textFill>
                        <w14:solidFill>
                          <w14:schemeClr w14:val="tx1"/>
                        </w14:solidFill>
                      </w14:textFill>
                    </w:rPr>
                    <w:t>等。</w:t>
                  </w:r>
                </w:p>
              </w:tc>
              <w:tc>
                <w:tcPr>
                  <w:tcW w:w="974" w:type="dxa"/>
                  <w:tcBorders>
                    <w:top w:val="single" w:color="auto" w:sz="4" w:space="0"/>
                    <w:left w:val="single" w:color="auto" w:sz="4" w:space="0"/>
                    <w:bottom w:val="single" w:color="auto" w:sz="4" w:space="0"/>
                    <w:right w:val="single" w:color="auto" w:sz="4" w:space="0"/>
                  </w:tcBorders>
                  <w:vAlign w:val="center"/>
                </w:tcPr>
                <w:p w14:paraId="4EAA376E">
                  <w:pPr>
                    <w:pStyle w:val="58"/>
                    <w:snapToGrid w:val="0"/>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符合</w:t>
                  </w:r>
                </w:p>
              </w:tc>
            </w:tr>
            <w:tr w14:paraId="13A89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7" w:type="dxa"/>
                  <w:tcBorders>
                    <w:top w:val="single" w:color="auto" w:sz="4" w:space="0"/>
                    <w:left w:val="single" w:color="auto" w:sz="4" w:space="0"/>
                    <w:bottom w:val="single" w:color="auto" w:sz="4" w:space="0"/>
                    <w:right w:val="single" w:color="auto" w:sz="4" w:space="0"/>
                  </w:tcBorders>
                  <w:vAlign w:val="center"/>
                </w:tcPr>
                <w:p w14:paraId="46FF36A7">
                  <w:pPr>
                    <w:pStyle w:val="58"/>
                    <w:snapToGrid w:val="0"/>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《市大气污染防治联席会议办公室关于印发</w:t>
                  </w:r>
                  <w:r>
                    <w:rPr>
                      <w:rFonts w:eastAsia="仿宋"/>
                      <w:color w:val="000000" w:themeColor="text1"/>
                      <w14:textFill>
                        <w14:solidFill>
                          <w14:schemeClr w14:val="tx1"/>
                        </w14:solidFill>
                      </w14:textFill>
                    </w:rPr>
                    <w:t>2022</w:t>
                  </w:r>
                  <w:r>
                    <w:rPr>
                      <w:rFonts w:ascii="仿宋" w:hAnsi="仿宋" w:eastAsia="仿宋"/>
                      <w:color w:val="000000" w:themeColor="text1"/>
                      <w14:textFill>
                        <w14:solidFill>
                          <w14:schemeClr w14:val="tx1"/>
                        </w14:solidFill>
                      </w14:textFill>
                    </w:rPr>
                    <w:t>年常州市挥发性有机物减排攻坚方案的通知》（常大气办〔</w:t>
                  </w:r>
                  <w:r>
                    <w:rPr>
                      <w:rFonts w:eastAsia="仿宋"/>
                      <w:color w:val="000000" w:themeColor="text1"/>
                      <w14:textFill>
                        <w14:solidFill>
                          <w14:schemeClr w14:val="tx1"/>
                        </w14:solidFill>
                      </w14:textFill>
                    </w:rPr>
                    <w:t>2022</w:t>
                  </w:r>
                  <w:r>
                    <w:rPr>
                      <w:rFonts w:ascii="仿宋" w:hAnsi="仿宋" w:eastAsia="仿宋"/>
                      <w:color w:val="000000" w:themeColor="text1"/>
                      <w14:textFill>
                        <w14:solidFill>
                          <w14:schemeClr w14:val="tx1"/>
                        </w14:solidFill>
                      </w14:textFill>
                    </w:rPr>
                    <w:t>〕</w:t>
                  </w:r>
                  <w:r>
                    <w:rPr>
                      <w:rFonts w:eastAsia="仿宋"/>
                      <w:color w:val="000000" w:themeColor="text1"/>
                      <w14:textFill>
                        <w14:solidFill>
                          <w14:schemeClr w14:val="tx1"/>
                        </w14:solidFill>
                      </w14:textFill>
                    </w:rPr>
                    <w:t>2</w:t>
                  </w:r>
                  <w:r>
                    <w:rPr>
                      <w:rFonts w:ascii="仿宋" w:hAnsi="仿宋" w:eastAsia="仿宋"/>
                      <w:color w:val="000000" w:themeColor="text1"/>
                      <w14:textFill>
                        <w14:solidFill>
                          <w14:schemeClr w14:val="tx1"/>
                        </w14:solidFill>
                      </w14:textFill>
                    </w:rPr>
                    <w:t>号）</w:t>
                  </w:r>
                </w:p>
              </w:tc>
              <w:tc>
                <w:tcPr>
                  <w:tcW w:w="3969" w:type="dxa"/>
                  <w:gridSpan w:val="2"/>
                  <w:tcBorders>
                    <w:top w:val="single" w:color="auto" w:sz="4" w:space="0"/>
                    <w:left w:val="single" w:color="auto" w:sz="4" w:space="0"/>
                    <w:bottom w:val="single" w:color="auto" w:sz="4" w:space="0"/>
                    <w:right w:val="single" w:color="auto" w:sz="4" w:space="0"/>
                  </w:tcBorders>
                  <w:vAlign w:val="center"/>
                </w:tcPr>
                <w:p w14:paraId="47E081F4">
                  <w:pPr>
                    <w:pStyle w:val="58"/>
                    <w:snapToGrid w:val="0"/>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（一）加快臭氧帮扶问题整改。</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二</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推进重点行业深度治理。</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汽车罐车推广采用密封式快速接头，铁路罐车推广使用锁紧式接头等；农药、医药企业废水应密闭输送，储存、处理设施应在曝气池及其之前加盖密封；其他行业敞开液面上方</w:t>
                  </w:r>
                  <w:r>
                    <w:rPr>
                      <w:rFonts w:eastAsia="仿宋"/>
                      <w:color w:val="000000" w:themeColor="text1"/>
                      <w14:textFill>
                        <w14:solidFill>
                          <w14:schemeClr w14:val="tx1"/>
                        </w14:solidFill>
                      </w14:textFill>
                    </w:rPr>
                    <w:t>100mm</w:t>
                  </w:r>
                  <w:r>
                    <w:rPr>
                      <w:rFonts w:ascii="仿宋" w:hAnsi="仿宋" w:eastAsia="仿宋"/>
                      <w:color w:val="000000" w:themeColor="text1"/>
                      <w14:textFill>
                        <w14:solidFill>
                          <w14:schemeClr w14:val="tx1"/>
                        </w14:solidFill>
                      </w14:textFill>
                    </w:rPr>
                    <w:t>处</w:t>
                  </w:r>
                  <w:r>
                    <w:rPr>
                      <w:rFonts w:eastAsia="仿宋"/>
                      <w:color w:val="000000" w:themeColor="text1"/>
                      <w14:textFill>
                        <w14:solidFill>
                          <w14:schemeClr w14:val="tx1"/>
                        </w14:solidFill>
                      </w14:textFill>
                    </w:rPr>
                    <w:t>VOCs</w:t>
                  </w:r>
                  <w:r>
                    <w:rPr>
                      <w:rFonts w:ascii="仿宋" w:hAnsi="仿宋" w:eastAsia="仿宋"/>
                      <w:color w:val="000000" w:themeColor="text1"/>
                      <w14:textFill>
                        <w14:solidFill>
                          <w14:schemeClr w14:val="tx1"/>
                        </w14:solidFill>
                      </w14:textFill>
                    </w:rPr>
                    <w:t>检测浓度</w:t>
                  </w:r>
                  <w:r>
                    <w:rPr>
                      <w:rFonts w:eastAsia="仿宋"/>
                      <w:color w:val="000000" w:themeColor="text1"/>
                      <w14:textFill>
                        <w14:solidFill>
                          <w14:schemeClr w14:val="tx1"/>
                        </w14:solidFill>
                      </w14:textFill>
                    </w:rPr>
                    <w:t>≥200μmol/mol</w:t>
                  </w:r>
                  <w:r>
                    <w:rPr>
                      <w:rFonts w:ascii="仿宋" w:hAnsi="仿宋" w:eastAsia="仿宋"/>
                      <w:color w:val="000000" w:themeColor="text1"/>
                      <w14:textFill>
                        <w14:solidFill>
                          <w14:schemeClr w14:val="tx1"/>
                        </w14:solidFill>
                      </w14:textFill>
                    </w:rPr>
                    <w:t>的需加盖密封；规范涂料、油墨等有机原辅材料的调配和使用环节无组织废气收集，采取车间环境负压改造、安装高效集气装置等措施，提高</w:t>
                  </w:r>
                  <w:r>
                    <w:rPr>
                      <w:rFonts w:eastAsia="仿宋"/>
                      <w:color w:val="000000" w:themeColor="text1"/>
                      <w14:textFill>
                        <w14:solidFill>
                          <w14:schemeClr w14:val="tx1"/>
                        </w14:solidFill>
                      </w14:textFill>
                    </w:rPr>
                    <w:t>VOCs</w:t>
                  </w:r>
                  <w:r>
                    <w:rPr>
                      <w:rFonts w:ascii="仿宋" w:hAnsi="仿宋" w:eastAsia="仿宋"/>
                      <w:color w:val="000000" w:themeColor="text1"/>
                      <w14:textFill>
                        <w14:solidFill>
                          <w14:schemeClr w14:val="tx1"/>
                        </w14:solidFill>
                      </w14:textFill>
                    </w:rPr>
                    <w:t>产生环节的废气收集率。</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三</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推进重点集群攻坚治理。</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检查车间和设备密闭情况，废气收集是否符合标准要求，采用局部集气罩的，距集气罩开口面最远处的</w:t>
                  </w:r>
                  <w:r>
                    <w:rPr>
                      <w:rFonts w:eastAsia="仿宋"/>
                      <w:color w:val="000000" w:themeColor="text1"/>
                      <w14:textFill>
                        <w14:solidFill>
                          <w14:schemeClr w14:val="tx1"/>
                        </w14:solidFill>
                      </w14:textFill>
                    </w:rPr>
                    <w:t>VOCs</w:t>
                  </w:r>
                  <w:r>
                    <w:rPr>
                      <w:rFonts w:ascii="仿宋" w:hAnsi="仿宋" w:eastAsia="仿宋"/>
                      <w:color w:val="000000" w:themeColor="text1"/>
                      <w14:textFill>
                        <w14:solidFill>
                          <w14:schemeClr w14:val="tx1"/>
                        </w14:solidFill>
                      </w14:textFill>
                    </w:rPr>
                    <w:t>无组织排放位置控制风速应不低于</w:t>
                  </w:r>
                  <w:r>
                    <w:rPr>
                      <w:rFonts w:eastAsia="仿宋"/>
                      <w:color w:val="000000" w:themeColor="text1"/>
                      <w14:textFill>
                        <w14:solidFill>
                          <w14:schemeClr w14:val="tx1"/>
                        </w14:solidFill>
                      </w14:textFill>
                    </w:rPr>
                    <w:t>0.3</w:t>
                  </w:r>
                  <w:r>
                    <w:rPr>
                      <w:rFonts w:ascii="仿宋" w:hAnsi="仿宋" w:eastAsia="仿宋"/>
                      <w:color w:val="000000" w:themeColor="text1"/>
                      <w14:textFill>
                        <w14:solidFill>
                          <w14:schemeClr w14:val="tx1"/>
                        </w14:solidFill>
                      </w14:textFill>
                    </w:rPr>
                    <w:t>米</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秒，并采用风速仪等设备开展现场抽测，废气收集系统输送管道是否有可见的破损等；</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四</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持续推进涉</w:t>
                  </w:r>
                  <w:r>
                    <w:rPr>
                      <w:rFonts w:eastAsia="仿宋"/>
                      <w:color w:val="000000" w:themeColor="text1"/>
                      <w14:textFill>
                        <w14:solidFill>
                          <w14:schemeClr w14:val="tx1"/>
                        </w14:solidFill>
                      </w14:textFill>
                    </w:rPr>
                    <w:t>VOCs</w:t>
                  </w:r>
                  <w:r>
                    <w:rPr>
                      <w:rFonts w:ascii="仿宋" w:hAnsi="仿宋" w:eastAsia="仿宋"/>
                      <w:color w:val="000000" w:themeColor="text1"/>
                      <w14:textFill>
                        <w14:solidFill>
                          <w14:schemeClr w14:val="tx1"/>
                        </w14:solidFill>
                      </w14:textFill>
                    </w:rPr>
                    <w:t>行业清洁原料替代。各地要对照《江苏省挥发性有机物清洁原料替代工作方案》</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苏大气办</w:t>
                  </w:r>
                  <w:r>
                    <w:rPr>
                      <w:rFonts w:eastAsia="仿宋"/>
                      <w:color w:val="000000" w:themeColor="text1"/>
                      <w14:textFill>
                        <w14:solidFill>
                          <w14:schemeClr w14:val="tx1"/>
                        </w14:solidFill>
                      </w14:textFill>
                    </w:rPr>
                    <w:t>[2021]2</w:t>
                  </w:r>
                  <w:r>
                    <w:rPr>
                      <w:rFonts w:ascii="仿宋" w:hAnsi="仿宋" w:eastAsia="仿宋"/>
                      <w:color w:val="000000" w:themeColor="text1"/>
                      <w14:textFill>
                        <w14:solidFill>
                          <w14:schemeClr w14:val="tx1"/>
                        </w14:solidFill>
                      </w14:textFill>
                    </w:rPr>
                    <w:t>号</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要求，持续推动</w:t>
                  </w:r>
                  <w:r>
                    <w:rPr>
                      <w:rFonts w:eastAsia="仿宋"/>
                      <w:color w:val="000000" w:themeColor="text1"/>
                      <w14:textFill>
                        <w14:solidFill>
                          <w14:schemeClr w14:val="tx1"/>
                        </w14:solidFill>
                      </w14:textFill>
                    </w:rPr>
                    <w:t>182</w:t>
                  </w:r>
                  <w:r>
                    <w:rPr>
                      <w:rFonts w:ascii="仿宋" w:hAnsi="仿宋" w:eastAsia="仿宋"/>
                      <w:color w:val="000000" w:themeColor="text1"/>
                      <w14:textFill>
                        <w14:solidFill>
                          <w14:schemeClr w14:val="tx1"/>
                        </w14:solidFill>
                      </w14:textFill>
                    </w:rPr>
                    <w:t>家企业实施源头替代，严把环评审批准入关，控增量、去存量。</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实施替代的钢结构企业需使用符合</w:t>
                  </w:r>
                  <w:r>
                    <w:rPr>
                      <w:rFonts w:eastAsia="仿宋"/>
                      <w:color w:val="000000" w:themeColor="text1"/>
                      <w14:textFill>
                        <w14:solidFill>
                          <w14:schemeClr w14:val="tx1"/>
                        </w14:solidFill>
                      </w14:textFill>
                    </w:rPr>
                    <w:t>GB/T38597</w:t>
                  </w:r>
                  <w:r>
                    <w:rPr>
                      <w:rFonts w:ascii="仿宋" w:hAnsi="仿宋" w:eastAsia="仿宋"/>
                      <w:color w:val="000000" w:themeColor="text1"/>
                      <w14:textFill>
                        <w14:solidFill>
                          <w14:schemeClr w14:val="tx1"/>
                        </w14:solidFill>
                      </w14:textFill>
                    </w:rPr>
                    <w:t>中规定的粉末、水性、无溶剂、辐射固化涂料产品；实施替代的包装印刷企业需符合</w:t>
                  </w:r>
                  <w:r>
                    <w:rPr>
                      <w:rFonts w:eastAsia="仿宋"/>
                      <w:color w:val="000000" w:themeColor="text1"/>
                      <w14:textFill>
                        <w14:solidFill>
                          <w14:schemeClr w14:val="tx1"/>
                        </w14:solidFill>
                      </w14:textFill>
                    </w:rPr>
                    <w:t>GB38507</w:t>
                  </w:r>
                  <w:r>
                    <w:rPr>
                      <w:rFonts w:ascii="仿宋" w:hAnsi="仿宋" w:eastAsia="仿宋"/>
                      <w:color w:val="000000" w:themeColor="text1"/>
                      <w14:textFill>
                        <w14:solidFill>
                          <w14:schemeClr w14:val="tx1"/>
                        </w14:solidFill>
                      </w14:textFill>
                    </w:rPr>
                    <w:t>中规定的水性、能量固化、胶印油墨产品。无法替代的应开展论证，并采用适宜的高效末端治理技术。</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五</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强化工业源日常管理与监管。</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对采用活性炭吸附技术的，按照《吸附法工业有机废气治理工程技术规范》</w:t>
                  </w:r>
                  <w:r>
                    <w:rPr>
                      <w:rFonts w:eastAsia="仿宋"/>
                      <w:color w:val="000000" w:themeColor="text1"/>
                      <w14:textFill>
                        <w14:solidFill>
                          <w14:schemeClr w14:val="tx1"/>
                        </w14:solidFill>
                      </w14:textFill>
                    </w:rPr>
                    <w:t>(HJ2026-2013)</w:t>
                  </w:r>
                  <w:r>
                    <w:rPr>
                      <w:rFonts w:ascii="仿宋" w:hAnsi="仿宋" w:eastAsia="仿宋"/>
                      <w:color w:val="000000" w:themeColor="text1"/>
                      <w14:textFill>
                        <w14:solidFill>
                          <w14:schemeClr w14:val="tx1"/>
                        </w14:solidFill>
                      </w14:textFill>
                    </w:rPr>
                    <w:t>进行管理，按要求足量添加、定期更换；一次性活性炭吸附工艺需使用柱状炭</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颗粒炭</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，碘吸附值不低于</w:t>
                  </w:r>
                  <w:r>
                    <w:rPr>
                      <w:rFonts w:eastAsia="仿宋"/>
                      <w:color w:val="000000" w:themeColor="text1"/>
                      <w14:textFill>
                        <w14:solidFill>
                          <w14:schemeClr w14:val="tx1"/>
                        </w14:solidFill>
                      </w14:textFill>
                    </w:rPr>
                    <w:t>800</w:t>
                  </w:r>
                  <w:r>
                    <w:rPr>
                      <w:rFonts w:ascii="仿宋" w:hAnsi="仿宋" w:eastAsia="仿宋"/>
                      <w:color w:val="000000" w:themeColor="text1"/>
                      <w14:textFill>
                        <w14:solidFill>
                          <w14:schemeClr w14:val="tx1"/>
                        </w14:solidFill>
                      </w14:textFill>
                    </w:rPr>
                    <w:t>毫克</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克；</w:t>
                  </w:r>
                  <w:r>
                    <w:rPr>
                      <w:rFonts w:eastAsia="仿宋"/>
                      <w:color w:val="000000" w:themeColor="text1"/>
                      <w14:textFill>
                        <w14:solidFill>
                          <w14:schemeClr w14:val="tx1"/>
                        </w14:solidFill>
                      </w14:textFill>
                    </w:rPr>
                    <w:t>VOCs</w:t>
                  </w:r>
                  <w:r>
                    <w:rPr>
                      <w:rFonts w:ascii="仿宋" w:hAnsi="仿宋" w:eastAsia="仿宋"/>
                      <w:color w:val="000000" w:themeColor="text1"/>
                      <w14:textFill>
                        <w14:solidFill>
                          <w14:schemeClr w14:val="tx1"/>
                        </w14:solidFill>
                      </w14:textFill>
                    </w:rPr>
                    <w:t>初始排放速率大于</w:t>
                  </w:r>
                  <w:r>
                    <w:rPr>
                      <w:rFonts w:eastAsia="仿宋"/>
                      <w:color w:val="000000" w:themeColor="text1"/>
                      <w14:textFill>
                        <w14:solidFill>
                          <w14:schemeClr w14:val="tx1"/>
                        </w14:solidFill>
                      </w14:textFill>
                    </w:rPr>
                    <w:t>2kg/h</w:t>
                  </w:r>
                  <w:r>
                    <w:rPr>
                      <w:rFonts w:ascii="仿宋" w:hAnsi="仿宋" w:eastAsia="仿宋"/>
                      <w:color w:val="000000" w:themeColor="text1"/>
                      <w14:textFill>
                        <w14:solidFill>
                          <w14:schemeClr w14:val="tx1"/>
                        </w14:solidFill>
                      </w14:textFill>
                    </w:rPr>
                    <w:t>的重点源排气筒进口应设施采样平台，治理效率不低于</w:t>
                  </w:r>
                  <w:r>
                    <w:rPr>
                      <w:rFonts w:eastAsia="仿宋"/>
                      <w:color w:val="000000" w:themeColor="text1"/>
                      <w14:textFill>
                        <w14:solidFill>
                          <w14:schemeClr w14:val="tx1"/>
                        </w14:solidFill>
                      </w14:textFill>
                    </w:rPr>
                    <w:t>80%</w:t>
                  </w:r>
                  <w:r>
                    <w:rPr>
                      <w:rFonts w:ascii="仿宋" w:hAnsi="仿宋" w:eastAsia="仿宋"/>
                      <w:color w:val="000000" w:themeColor="text1"/>
                      <w14:textFill>
                        <w14:solidFill>
                          <w14:schemeClr w14:val="tx1"/>
                        </w14:solidFill>
                      </w14:textFill>
                    </w:rPr>
                    <w:t>。</w:t>
                  </w:r>
                  <w:r>
                    <w:rPr>
                      <w:rFonts w:eastAsia="仿宋"/>
                      <w:color w:val="000000" w:themeColor="text1"/>
                      <w14:textFill>
                        <w14:solidFill>
                          <w14:schemeClr w14:val="tx1"/>
                        </w14:solidFill>
                      </w14:textFill>
                    </w:rPr>
                    <w:t>........</w:t>
                  </w:r>
                </w:p>
                <w:p w14:paraId="0AE64CF4">
                  <w:pPr>
                    <w:pStyle w:val="58"/>
                    <w:snapToGrid w:val="0"/>
                    <w:jc w:val="both"/>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六</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编制</w:t>
                  </w:r>
                  <w:r>
                    <w:rPr>
                      <w:rFonts w:eastAsia="仿宋"/>
                      <w:color w:val="000000" w:themeColor="text1"/>
                      <w14:textFill>
                        <w14:solidFill>
                          <w14:schemeClr w14:val="tx1"/>
                        </w14:solidFill>
                      </w14:textFill>
                    </w:rPr>
                    <w:t>2021</w:t>
                  </w:r>
                  <w:r>
                    <w:rPr>
                      <w:rFonts w:ascii="仿宋" w:hAnsi="仿宋" w:eastAsia="仿宋"/>
                      <w:color w:val="000000" w:themeColor="text1"/>
                      <w14:textFill>
                        <w14:solidFill>
                          <w14:schemeClr w14:val="tx1"/>
                        </w14:solidFill>
                      </w14:textFill>
                    </w:rPr>
                    <w:t>年大气污染源排放清单。</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七</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推进</w:t>
                  </w:r>
                  <w:r>
                    <w:rPr>
                      <w:rFonts w:eastAsia="仿宋"/>
                      <w:color w:val="000000" w:themeColor="text1"/>
                      <w14:textFill>
                        <w14:solidFill>
                          <w14:schemeClr w14:val="tx1"/>
                        </w14:solidFill>
                      </w14:textFill>
                    </w:rPr>
                    <w:t>VOCs</w:t>
                  </w:r>
                  <w:r>
                    <w:rPr>
                      <w:rFonts w:ascii="仿宋" w:hAnsi="仿宋" w:eastAsia="仿宋"/>
                      <w:color w:val="000000" w:themeColor="text1"/>
                      <w14:textFill>
                        <w14:solidFill>
                          <w14:schemeClr w14:val="tx1"/>
                        </w14:solidFill>
                      </w14:textFill>
                    </w:rPr>
                    <w:t>在线监控安装、验收与联网。各地要按照《江苏省污染源自动监控管理办法</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试行</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苏环发</w:t>
                  </w:r>
                  <w:r>
                    <w:rPr>
                      <w:rFonts w:eastAsia="仿宋"/>
                      <w:color w:val="000000" w:themeColor="text1"/>
                      <w14:textFill>
                        <w14:solidFill>
                          <w14:schemeClr w14:val="tx1"/>
                        </w14:solidFill>
                      </w14:textFill>
                    </w:rPr>
                    <w:t>[2021]3</w:t>
                  </w:r>
                  <w:r>
                    <w:rPr>
                      <w:rFonts w:ascii="仿宋" w:hAnsi="仿宋" w:eastAsia="仿宋"/>
                      <w:color w:val="000000" w:themeColor="text1"/>
                      <w14:textFill>
                        <w14:solidFill>
                          <w14:schemeClr w14:val="tx1"/>
                        </w14:solidFill>
                      </w14:textFill>
                    </w:rPr>
                    <w:t>号</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要求，全面梳理企业废气排放量信息，推动单排放口</w:t>
                  </w:r>
                  <w:r>
                    <w:rPr>
                      <w:rFonts w:eastAsia="仿宋"/>
                      <w:color w:val="000000" w:themeColor="text1"/>
                      <w14:textFill>
                        <w14:solidFill>
                          <w14:schemeClr w14:val="tx1"/>
                        </w14:solidFill>
                      </w14:textFill>
                    </w:rPr>
                    <w:t>VOCs</w:t>
                  </w:r>
                  <w:r>
                    <w:rPr>
                      <w:rFonts w:ascii="仿宋" w:hAnsi="仿宋" w:eastAsia="仿宋"/>
                      <w:color w:val="000000" w:themeColor="text1"/>
                      <w14:textFill>
                        <w14:solidFill>
                          <w14:schemeClr w14:val="tx1"/>
                        </w14:solidFill>
                      </w14:textFill>
                    </w:rPr>
                    <w:t>排放设计小时废气排放量</w:t>
                  </w:r>
                  <w:r>
                    <w:rPr>
                      <w:rFonts w:eastAsia="仿宋"/>
                      <w:color w:val="000000" w:themeColor="text1"/>
                      <w14:textFill>
                        <w14:solidFill>
                          <w14:schemeClr w14:val="tx1"/>
                        </w14:solidFill>
                      </w14:textFill>
                    </w:rPr>
                    <w:t>1</w:t>
                  </w:r>
                  <w:r>
                    <w:rPr>
                      <w:rFonts w:ascii="仿宋" w:hAnsi="仿宋" w:eastAsia="仿宋"/>
                      <w:color w:val="000000" w:themeColor="text1"/>
                      <w14:textFill>
                        <w14:solidFill>
                          <w14:schemeClr w14:val="tx1"/>
                        </w14:solidFill>
                      </w14:textFill>
                    </w:rPr>
                    <w:t>万立方米及以上的化工行业、</w:t>
                  </w:r>
                  <w:r>
                    <w:rPr>
                      <w:rFonts w:eastAsia="仿宋"/>
                      <w:color w:val="000000" w:themeColor="text1"/>
                      <w14:textFill>
                        <w14:solidFill>
                          <w14:schemeClr w14:val="tx1"/>
                        </w14:solidFill>
                      </w14:textFill>
                    </w:rPr>
                    <w:t>3</w:t>
                  </w:r>
                  <w:r>
                    <w:rPr>
                      <w:rFonts w:ascii="仿宋" w:hAnsi="仿宋" w:eastAsia="仿宋"/>
                      <w:color w:val="000000" w:themeColor="text1"/>
                      <w14:textFill>
                        <w14:solidFill>
                          <w14:schemeClr w14:val="tx1"/>
                        </w14:solidFill>
                      </w14:textFill>
                    </w:rPr>
                    <w:t>万立方米及以上的其他行业安装</w:t>
                  </w:r>
                  <w:r>
                    <w:rPr>
                      <w:rFonts w:eastAsia="仿宋"/>
                      <w:color w:val="000000" w:themeColor="text1"/>
                      <w14:textFill>
                        <w14:solidFill>
                          <w14:schemeClr w14:val="tx1"/>
                        </w14:solidFill>
                      </w14:textFill>
                    </w:rPr>
                    <w:t>VOCs</w:t>
                  </w:r>
                  <w:r>
                    <w:rPr>
                      <w:rFonts w:ascii="仿宋" w:hAnsi="仿宋" w:eastAsia="仿宋"/>
                      <w:color w:val="000000" w:themeColor="text1"/>
                      <w14:textFill>
                        <w14:solidFill>
                          <w14:schemeClr w14:val="tx1"/>
                        </w14:solidFill>
                      </w14:textFill>
                    </w:rPr>
                    <w:t>自动监测设备，</w:t>
                  </w:r>
                  <w:r>
                    <w:rPr>
                      <w:rFonts w:eastAsia="仿宋"/>
                      <w:color w:val="000000" w:themeColor="text1"/>
                      <w14:textFill>
                        <w14:solidFill>
                          <w14:schemeClr w14:val="tx1"/>
                        </w14:solidFill>
                      </w14:textFill>
                    </w:rPr>
                    <w:t>9</w:t>
                  </w:r>
                  <w:r>
                    <w:rPr>
                      <w:rFonts w:ascii="仿宋" w:hAnsi="仿宋" w:eastAsia="仿宋"/>
                      <w:color w:val="000000" w:themeColor="text1"/>
                      <w14:textFill>
                        <w14:solidFill>
                          <w14:schemeClr w14:val="tx1"/>
                        </w14:solidFill>
                      </w14:textFill>
                    </w:rPr>
                    <w:t>月底前基本完成。对已安装自动监控设备的，</w:t>
                  </w:r>
                  <w:r>
                    <w:rPr>
                      <w:rFonts w:eastAsia="仿宋"/>
                      <w:color w:val="000000" w:themeColor="text1"/>
                      <w14:textFill>
                        <w14:solidFill>
                          <w14:schemeClr w14:val="tx1"/>
                        </w14:solidFill>
                      </w14:textFill>
                    </w:rPr>
                    <w:t>7</w:t>
                  </w:r>
                  <w:r>
                    <w:rPr>
                      <w:rFonts w:ascii="仿宋" w:hAnsi="仿宋" w:eastAsia="仿宋"/>
                      <w:color w:val="000000" w:themeColor="text1"/>
                      <w14:textFill>
                        <w14:solidFill>
                          <w14:schemeClr w14:val="tx1"/>
                        </w14:solidFill>
                      </w14:textFill>
                    </w:rPr>
                    <w:t>月底前要完成验收并联网；</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八</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开展重点区域微环境整治专项行动。</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一是对采用简易低效</w:t>
                  </w:r>
                  <w:r>
                    <w:rPr>
                      <w:rFonts w:eastAsia="仿宋"/>
                      <w:color w:val="000000" w:themeColor="text1"/>
                      <w14:textFill>
                        <w14:solidFill>
                          <w14:schemeClr w14:val="tx1"/>
                        </w14:solidFill>
                      </w14:textFill>
                    </w:rPr>
                    <w:t>VOCs</w:t>
                  </w:r>
                  <w:r>
                    <w:rPr>
                      <w:rFonts w:ascii="仿宋" w:hAnsi="仿宋" w:eastAsia="仿宋"/>
                      <w:color w:val="000000" w:themeColor="text1"/>
                      <w14:textFill>
                        <w14:solidFill>
                          <w14:schemeClr w14:val="tx1"/>
                        </w14:solidFill>
                      </w14:textFill>
                    </w:rPr>
                    <w:t>治理设施企业专项执法行动，以末端治理设施仅采用低温等离子、光催化、光氧化、一次性活性炭吸附等技术的企业为重点，检查企业治理设施是否正常运行、活性炭等耗材是否及时更换等；二是开展汽修企业专项执法行动，检查企业末端治理设施是否正常运行，调漆、喷涂作业是否在密闭空间进行等；三是开展餐饮油烟企业专项执法行动，检查企业是否安装油烟净化设施，处理设备是否按要求进行清洗、维护等。各地要对违法问题依法查处，形成震慑。</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九</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推进氮氧化物协同减排。</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十</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建立全口径</w:t>
                  </w:r>
                  <w:r>
                    <w:rPr>
                      <w:rFonts w:eastAsia="仿宋"/>
                      <w:color w:val="000000" w:themeColor="text1"/>
                      <w14:textFill>
                        <w14:solidFill>
                          <w14:schemeClr w14:val="tx1"/>
                        </w14:solidFill>
                      </w14:textFill>
                    </w:rPr>
                    <w:t>VOCs</w:t>
                  </w:r>
                  <w:r>
                    <w:rPr>
                      <w:rFonts w:ascii="仿宋" w:hAnsi="仿宋" w:eastAsia="仿宋"/>
                      <w:color w:val="000000" w:themeColor="text1"/>
                      <w14:textFill>
                        <w14:solidFill>
                          <w14:schemeClr w14:val="tx1"/>
                        </w14:solidFill>
                      </w14:textFill>
                    </w:rPr>
                    <w:t>源谱</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指纹库</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十一</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建立</w:t>
                  </w:r>
                  <w:r>
                    <w:rPr>
                      <w:rFonts w:eastAsia="仿宋"/>
                      <w:color w:val="000000" w:themeColor="text1"/>
                      <w14:textFill>
                        <w14:solidFill>
                          <w14:schemeClr w14:val="tx1"/>
                        </w14:solidFill>
                      </w14:textFill>
                    </w:rPr>
                    <w:t>VOCs</w:t>
                  </w:r>
                  <w:r>
                    <w:rPr>
                      <w:rFonts w:ascii="仿宋" w:hAnsi="仿宋" w:eastAsia="仿宋"/>
                      <w:color w:val="000000" w:themeColor="text1"/>
                      <w14:textFill>
                        <w14:solidFill>
                          <w14:schemeClr w14:val="tx1"/>
                        </w14:solidFill>
                      </w14:textFill>
                    </w:rPr>
                    <w:t>行业企业</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问题库</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十二</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开发本地</w:t>
                  </w:r>
                  <w:r>
                    <w:rPr>
                      <w:rFonts w:eastAsia="仿宋"/>
                      <w:color w:val="000000" w:themeColor="text1"/>
                      <w14:textFill>
                        <w14:solidFill>
                          <w14:schemeClr w14:val="tx1"/>
                        </w14:solidFill>
                      </w14:textFill>
                    </w:rPr>
                    <w:t>VOCs</w:t>
                  </w:r>
                  <w:r>
                    <w:rPr>
                      <w:rFonts w:ascii="仿宋" w:hAnsi="仿宋" w:eastAsia="仿宋"/>
                      <w:color w:val="000000" w:themeColor="text1"/>
                      <w14:textFill>
                        <w14:solidFill>
                          <w14:schemeClr w14:val="tx1"/>
                        </w14:solidFill>
                      </w14:textFill>
                    </w:rPr>
                    <w:t>管理系统。</w:t>
                  </w:r>
                  <w:r>
                    <w:rPr>
                      <w:rFonts w:eastAsia="仿宋"/>
                      <w:color w:val="000000" w:themeColor="text1"/>
                      <w14:textFill>
                        <w14:solidFill>
                          <w14:schemeClr w14:val="tx1"/>
                        </w14:solidFill>
                      </w14:textFill>
                    </w:rPr>
                    <w:t>........</w:t>
                  </w:r>
                </w:p>
              </w:tc>
              <w:tc>
                <w:tcPr>
                  <w:tcW w:w="1556" w:type="dxa"/>
                  <w:tcBorders>
                    <w:top w:val="single" w:color="auto" w:sz="4" w:space="0"/>
                    <w:left w:val="single" w:color="auto" w:sz="4" w:space="0"/>
                    <w:bottom w:val="single" w:color="auto" w:sz="4" w:space="0"/>
                    <w:right w:val="single" w:color="auto" w:sz="4" w:space="0"/>
                  </w:tcBorders>
                  <w:vAlign w:val="center"/>
                </w:tcPr>
                <w:p w14:paraId="4022E1EA">
                  <w:pPr>
                    <w:pStyle w:val="58"/>
                    <w:snapToGrid w:val="0"/>
                    <w:jc w:val="both"/>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本项目位于江苏省常州市</w:t>
                  </w:r>
                  <w:r>
                    <w:rPr>
                      <w:rFonts w:hint="eastAsia" w:ascii="仿宋" w:hAnsi="仿宋" w:eastAsia="仿宋"/>
                      <w:color w:val="000000" w:themeColor="text1"/>
                      <w14:textFill>
                        <w14:solidFill>
                          <w14:schemeClr w14:val="tx1"/>
                        </w14:solidFill>
                      </w14:textFill>
                    </w:rPr>
                    <w:t>江苏金坛经济开发局汇福路东侧，珠山路南侧</w:t>
                  </w:r>
                  <w:r>
                    <w:rPr>
                      <w:rFonts w:ascii="仿宋" w:hAnsi="仿宋" w:eastAsia="仿宋"/>
                      <w:color w:val="000000" w:themeColor="text1"/>
                      <w14:textFill>
                        <w14:solidFill>
                          <w14:schemeClr w14:val="tx1"/>
                        </w14:solidFill>
                      </w14:textFill>
                    </w:rPr>
                    <w:t>，国民经济行业类别属于</w:t>
                  </w:r>
                  <w:r>
                    <w:rPr>
                      <w:rFonts w:eastAsia="仿宋"/>
                      <w:color w:val="000000" w:themeColor="text1"/>
                      <w14:textFill>
                        <w14:solidFill>
                          <w14:schemeClr w14:val="tx1"/>
                        </w14:solidFill>
                      </w14:textFill>
                    </w:rPr>
                    <w:t>“</w:t>
                  </w:r>
                  <w:r>
                    <w:rPr>
                      <w:rFonts w:hint="eastAsia" w:eastAsia="仿宋"/>
                      <w:color w:val="000000" w:themeColor="text1"/>
                      <w14:textFill>
                        <w14:solidFill>
                          <w14:schemeClr w14:val="tx1"/>
                        </w14:solidFill>
                      </w14:textFill>
                    </w:rPr>
                    <w:t>C3581医疗诊断、监护及治疗设备制造</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，不属于两高项目，不属于低端产业、高排放产业，项目运营期废气均配套相应污染防治措施。企业拟制定</w:t>
                  </w:r>
                  <w:r>
                    <w:rPr>
                      <w:rFonts w:eastAsia="仿宋"/>
                      <w:color w:val="000000" w:themeColor="text1"/>
                      <w14:textFill>
                        <w14:solidFill>
                          <w14:schemeClr w14:val="tx1"/>
                        </w14:solidFill>
                      </w14:textFill>
                    </w:rPr>
                    <w:t>VOCs</w:t>
                  </w:r>
                  <w:r>
                    <w:rPr>
                      <w:rFonts w:ascii="仿宋" w:hAnsi="仿宋" w:eastAsia="仿宋"/>
                      <w:color w:val="000000" w:themeColor="text1"/>
                      <w14:textFill>
                        <w14:solidFill>
                          <w14:schemeClr w14:val="tx1"/>
                        </w14:solidFill>
                      </w14:textFill>
                    </w:rPr>
                    <w:t>无组织排放控制规程，严格按照操作规程生产。根据建设单位提供的资料</w:t>
                  </w:r>
                  <w:r>
                    <w:rPr>
                      <w:rFonts w:eastAsia="仿宋"/>
                      <w:color w:val="000000" w:themeColor="text1"/>
                      <w14:textFill>
                        <w14:solidFill>
                          <w14:schemeClr w14:val="tx1"/>
                        </w14:solidFill>
                      </w14:textFill>
                    </w:rPr>
                    <w:t>，本项目</w:t>
                  </w:r>
                  <w:r>
                    <w:rPr>
                      <w:rFonts w:hint="eastAsia" w:eastAsia="仿宋"/>
                      <w:color w:val="000000" w:themeColor="text1"/>
                      <w14:textFill>
                        <w14:solidFill>
                          <w14:schemeClr w14:val="tx1"/>
                        </w14:solidFill>
                      </w14:textFill>
                    </w:rPr>
                    <w:t>不</w:t>
                  </w:r>
                  <w:r>
                    <w:rPr>
                      <w:rFonts w:eastAsia="仿宋"/>
                      <w:color w:val="000000" w:themeColor="text1"/>
                      <w14:textFill>
                        <w14:solidFill>
                          <w14:schemeClr w14:val="tx1"/>
                        </w14:solidFill>
                      </w14:textFill>
                    </w:rPr>
                    <w:t>涉及使用高VOCs含量的涂料、油墨、胶黏剂等。</w:t>
                  </w:r>
                </w:p>
              </w:tc>
              <w:tc>
                <w:tcPr>
                  <w:tcW w:w="974" w:type="dxa"/>
                  <w:tcBorders>
                    <w:top w:val="single" w:color="auto" w:sz="4" w:space="0"/>
                    <w:left w:val="single" w:color="auto" w:sz="4" w:space="0"/>
                    <w:bottom w:val="single" w:color="auto" w:sz="4" w:space="0"/>
                    <w:right w:val="single" w:color="auto" w:sz="4" w:space="0"/>
                  </w:tcBorders>
                  <w:vAlign w:val="center"/>
                </w:tcPr>
                <w:p w14:paraId="1541AD78">
                  <w:pPr>
                    <w:pStyle w:val="58"/>
                    <w:snapToGrid w:val="0"/>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符合</w:t>
                  </w:r>
                </w:p>
              </w:tc>
            </w:tr>
            <w:tr w14:paraId="0636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7" w:type="dxa"/>
                  <w:tcBorders>
                    <w:top w:val="single" w:color="auto" w:sz="4" w:space="0"/>
                    <w:left w:val="single" w:color="auto" w:sz="4" w:space="0"/>
                    <w:bottom w:val="single" w:color="auto" w:sz="4" w:space="0"/>
                    <w:right w:val="single" w:color="auto" w:sz="4" w:space="0"/>
                  </w:tcBorders>
                  <w:vAlign w:val="center"/>
                </w:tcPr>
                <w:p w14:paraId="45D4910D">
                  <w:pPr>
                    <w:pStyle w:val="58"/>
                    <w:snapToGrid w:val="0"/>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《江苏省大气污染防治条例》（江苏省人民代表大会公告第</w:t>
                  </w:r>
                  <w:r>
                    <w:rPr>
                      <w:rFonts w:eastAsia="仿宋"/>
                      <w:color w:val="000000" w:themeColor="text1"/>
                      <w14:textFill>
                        <w14:solidFill>
                          <w14:schemeClr w14:val="tx1"/>
                        </w14:solidFill>
                      </w14:textFill>
                    </w:rPr>
                    <w:t>2</w:t>
                  </w:r>
                  <w:r>
                    <w:rPr>
                      <w:rFonts w:ascii="仿宋" w:hAnsi="仿宋" w:eastAsia="仿宋"/>
                      <w:color w:val="000000" w:themeColor="text1"/>
                      <w14:textFill>
                        <w14:solidFill>
                          <w14:schemeClr w14:val="tx1"/>
                        </w14:solidFill>
                      </w14:textFill>
                    </w:rPr>
                    <w:t>号）</w:t>
                  </w:r>
                </w:p>
              </w:tc>
              <w:tc>
                <w:tcPr>
                  <w:tcW w:w="3969" w:type="dxa"/>
                  <w:gridSpan w:val="2"/>
                  <w:tcBorders>
                    <w:top w:val="single" w:color="auto" w:sz="4" w:space="0"/>
                    <w:left w:val="single" w:color="auto" w:sz="4" w:space="0"/>
                    <w:bottom w:val="single" w:color="auto" w:sz="4" w:space="0"/>
                    <w:right w:val="single" w:color="auto" w:sz="4" w:space="0"/>
                  </w:tcBorders>
                  <w:vAlign w:val="center"/>
                </w:tcPr>
                <w:p w14:paraId="06CD8A0D">
                  <w:pPr>
                    <w:pStyle w:val="58"/>
                    <w:snapToGrid w:val="0"/>
                    <w:jc w:val="both"/>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第三十八条在生产经营过程中产生有毒有害大气污染物的，排污单位应当安装收集净化装置或者采取其他措施，达到国家和省规定的排放标准或者其他相关要求。禁止直接排放有毒有害大气污染物。运输、装卸、贮存可能散发有毒有害大气污染物的物料，应当采取密闭措施或者其他防护措施。</w:t>
                  </w:r>
                </w:p>
                <w:p w14:paraId="1635BE89">
                  <w:pPr>
                    <w:pStyle w:val="58"/>
                    <w:snapToGrid w:val="0"/>
                    <w:jc w:val="both"/>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条例规定：</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产生挥发性有机物废气的生产经营活动，应当在密闭空间或者设备中进行，并设置废气收集和处理系统等污染防治设施，保持其正常使用；造船等无法在密闭空间进行的生产经营活动，应当采取有效措施，减少挥发性有机物排放量</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w:t>
                  </w:r>
                </w:p>
              </w:tc>
              <w:tc>
                <w:tcPr>
                  <w:tcW w:w="1556" w:type="dxa"/>
                  <w:tcBorders>
                    <w:top w:val="single" w:color="auto" w:sz="4" w:space="0"/>
                    <w:left w:val="single" w:color="auto" w:sz="4" w:space="0"/>
                    <w:bottom w:val="single" w:color="auto" w:sz="4" w:space="0"/>
                    <w:right w:val="single" w:color="auto" w:sz="4" w:space="0"/>
                  </w:tcBorders>
                  <w:vAlign w:val="center"/>
                </w:tcPr>
                <w:p w14:paraId="26DB4EE2">
                  <w:pPr>
                    <w:pStyle w:val="58"/>
                    <w:snapToGrid w:val="0"/>
                    <w:jc w:val="both"/>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本项目</w:t>
                  </w:r>
                  <w:r>
                    <w:rPr>
                      <w:rFonts w:hint="eastAsia" w:ascii="仿宋" w:hAnsi="仿宋" w:eastAsia="仿宋"/>
                      <w:color w:val="000000" w:themeColor="text1"/>
                      <w14:textFill>
                        <w14:solidFill>
                          <w14:schemeClr w14:val="tx1"/>
                        </w14:solidFill>
                      </w14:textFill>
                    </w:rPr>
                    <w:t>实验室</w:t>
                  </w:r>
                  <w:r>
                    <w:rPr>
                      <w:rFonts w:ascii="仿宋" w:hAnsi="仿宋" w:eastAsia="仿宋"/>
                      <w:color w:val="000000" w:themeColor="text1"/>
                      <w14:textFill>
                        <w14:solidFill>
                          <w14:schemeClr w14:val="tx1"/>
                        </w14:solidFill>
                      </w14:textFill>
                    </w:rPr>
                    <w:t>为密闭</w:t>
                  </w:r>
                  <w:r>
                    <w:rPr>
                      <w:rFonts w:hint="eastAsia" w:ascii="仿宋" w:hAnsi="仿宋" w:eastAsia="仿宋"/>
                      <w:color w:val="000000" w:themeColor="text1"/>
                      <w14:textFill>
                        <w14:solidFill>
                          <w14:schemeClr w14:val="tx1"/>
                        </w14:solidFill>
                      </w14:textFill>
                    </w:rPr>
                    <w:t>空间</w:t>
                  </w:r>
                  <w:r>
                    <w:rPr>
                      <w:rFonts w:ascii="仿宋" w:hAnsi="仿宋" w:eastAsia="仿宋"/>
                      <w:color w:val="000000" w:themeColor="text1"/>
                      <w14:textFill>
                        <w14:solidFill>
                          <w14:schemeClr w14:val="tx1"/>
                        </w14:solidFill>
                      </w14:textFill>
                    </w:rPr>
                    <w:t>，并设置废气收集装置以及处理装置，经有效措施处理后有组织排放，减少挥发性有机物的排放；通过严格落实污染防治措施，可做到污染可控。</w:t>
                  </w:r>
                </w:p>
              </w:tc>
              <w:tc>
                <w:tcPr>
                  <w:tcW w:w="974" w:type="dxa"/>
                  <w:tcBorders>
                    <w:top w:val="single" w:color="auto" w:sz="4" w:space="0"/>
                    <w:left w:val="single" w:color="auto" w:sz="4" w:space="0"/>
                    <w:bottom w:val="single" w:color="auto" w:sz="4" w:space="0"/>
                    <w:right w:val="single" w:color="auto" w:sz="4" w:space="0"/>
                  </w:tcBorders>
                  <w:vAlign w:val="center"/>
                </w:tcPr>
                <w:p w14:paraId="466E0805">
                  <w:pPr>
                    <w:pStyle w:val="58"/>
                    <w:snapToGrid w:val="0"/>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符合</w:t>
                  </w:r>
                </w:p>
              </w:tc>
            </w:tr>
            <w:tr w14:paraId="34FD3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7" w:type="dxa"/>
                  <w:tcBorders>
                    <w:top w:val="single" w:color="auto" w:sz="4" w:space="0"/>
                    <w:left w:val="single" w:color="auto" w:sz="4" w:space="0"/>
                    <w:bottom w:val="single" w:color="auto" w:sz="4" w:space="0"/>
                    <w:right w:val="single" w:color="auto" w:sz="4" w:space="0"/>
                  </w:tcBorders>
                  <w:vAlign w:val="center"/>
                </w:tcPr>
                <w:p w14:paraId="769CBEBB">
                  <w:pPr>
                    <w:pStyle w:val="58"/>
                    <w:snapToGrid w:val="0"/>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《关于印发江苏省重点行业挥发性有机物污染控制指南的通知》（苏环办〔</w:t>
                  </w:r>
                  <w:r>
                    <w:rPr>
                      <w:rFonts w:eastAsia="仿宋"/>
                      <w:color w:val="000000" w:themeColor="text1"/>
                      <w14:textFill>
                        <w14:solidFill>
                          <w14:schemeClr w14:val="tx1"/>
                        </w14:solidFill>
                      </w14:textFill>
                    </w:rPr>
                    <w:t>2014</w:t>
                  </w:r>
                  <w:r>
                    <w:rPr>
                      <w:rFonts w:ascii="仿宋" w:hAnsi="仿宋" w:eastAsia="仿宋"/>
                      <w:color w:val="000000" w:themeColor="text1"/>
                      <w14:textFill>
                        <w14:solidFill>
                          <w14:schemeClr w14:val="tx1"/>
                        </w14:solidFill>
                      </w14:textFill>
                    </w:rPr>
                    <w:t>〕</w:t>
                  </w:r>
                  <w:r>
                    <w:rPr>
                      <w:rFonts w:eastAsia="仿宋"/>
                      <w:color w:val="000000" w:themeColor="text1"/>
                      <w14:textFill>
                        <w14:solidFill>
                          <w14:schemeClr w14:val="tx1"/>
                        </w14:solidFill>
                      </w14:textFill>
                    </w:rPr>
                    <w:t>128</w:t>
                  </w:r>
                  <w:r>
                    <w:rPr>
                      <w:rFonts w:ascii="仿宋" w:hAnsi="仿宋" w:eastAsia="仿宋"/>
                      <w:color w:val="000000" w:themeColor="text1"/>
                      <w14:textFill>
                        <w14:solidFill>
                          <w14:schemeClr w14:val="tx1"/>
                        </w14:solidFill>
                      </w14:textFill>
                    </w:rPr>
                    <w:t>号）</w:t>
                  </w:r>
                </w:p>
              </w:tc>
              <w:tc>
                <w:tcPr>
                  <w:tcW w:w="3969" w:type="dxa"/>
                  <w:gridSpan w:val="2"/>
                  <w:tcBorders>
                    <w:top w:val="single" w:color="auto" w:sz="4" w:space="0"/>
                    <w:left w:val="single" w:color="auto" w:sz="4" w:space="0"/>
                    <w:bottom w:val="single" w:color="auto" w:sz="4" w:space="0"/>
                    <w:right w:val="single" w:color="auto" w:sz="4" w:space="0"/>
                  </w:tcBorders>
                  <w:vAlign w:val="center"/>
                </w:tcPr>
                <w:p w14:paraId="764E0949">
                  <w:pPr>
                    <w:pStyle w:val="58"/>
                    <w:snapToGrid w:val="0"/>
                    <w:jc w:val="both"/>
                    <w:rPr>
                      <w:rFonts w:eastAsia="仿宋"/>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①</w:t>
                  </w:r>
                  <w:r>
                    <w:rPr>
                      <w:rFonts w:ascii="仿宋" w:hAnsi="仿宋" w:eastAsia="仿宋"/>
                      <w:color w:val="000000" w:themeColor="text1"/>
                      <w14:textFill>
                        <w14:solidFill>
                          <w14:schemeClr w14:val="tx1"/>
                        </w14:solidFill>
                      </w14:textFill>
                    </w:rPr>
                    <w:t>所有产生有机废气污染的企业，应优先采用环保型原辅料、生产工艺和装备，对相应生产单元或设施进行密闭，从源头控制</w:t>
                  </w:r>
                  <w:r>
                    <w:rPr>
                      <w:rFonts w:eastAsia="仿宋"/>
                      <w:color w:val="000000" w:themeColor="text1"/>
                      <w14:textFill>
                        <w14:solidFill>
                          <w14:schemeClr w14:val="tx1"/>
                        </w14:solidFill>
                      </w14:textFill>
                    </w:rPr>
                    <w:t>VOCs</w:t>
                  </w:r>
                  <w:r>
                    <w:rPr>
                      <w:rFonts w:ascii="仿宋" w:hAnsi="仿宋" w:eastAsia="仿宋"/>
                      <w:color w:val="000000" w:themeColor="text1"/>
                      <w14:textFill>
                        <w14:solidFill>
                          <w14:schemeClr w14:val="tx1"/>
                        </w14:solidFill>
                      </w14:textFill>
                    </w:rPr>
                    <w:t>的产生，减少废气污染物排放。</w:t>
                  </w:r>
                  <w:r>
                    <w:rPr>
                      <w:rFonts w:hint="eastAsia" w:ascii="宋体" w:hAnsi="宋体"/>
                      <w:color w:val="000000" w:themeColor="text1"/>
                      <w14:textFill>
                        <w14:solidFill>
                          <w14:schemeClr w14:val="tx1"/>
                        </w14:solidFill>
                      </w14:textFill>
                    </w:rPr>
                    <w:t>②</w:t>
                  </w:r>
                  <w:r>
                    <w:rPr>
                      <w:rFonts w:ascii="仿宋" w:hAnsi="仿宋" w:eastAsia="仿宋"/>
                      <w:color w:val="000000" w:themeColor="text1"/>
                      <w14:textFill>
                        <w14:solidFill>
                          <w14:schemeClr w14:val="tx1"/>
                        </w14:solidFill>
                      </w14:textFill>
                    </w:rPr>
                    <w:t>鼓励对排放的</w:t>
                  </w:r>
                  <w:r>
                    <w:rPr>
                      <w:rFonts w:eastAsia="仿宋"/>
                      <w:color w:val="000000" w:themeColor="text1"/>
                      <w14:textFill>
                        <w14:solidFill>
                          <w14:schemeClr w14:val="tx1"/>
                        </w14:solidFill>
                      </w14:textFill>
                    </w:rPr>
                    <w:t>VOCs</w:t>
                  </w:r>
                  <w:r>
                    <w:rPr>
                      <w:rFonts w:ascii="仿宋" w:hAnsi="仿宋" w:eastAsia="仿宋"/>
                      <w:color w:val="000000" w:themeColor="text1"/>
                      <w14:textFill>
                        <w14:solidFill>
                          <w14:schemeClr w14:val="tx1"/>
                        </w14:solidFill>
                      </w14:textFill>
                    </w:rPr>
                    <w:t>进行回收利用，并优先在生产系统内回用。对浓度、性状差异较大的废气应分类收集，并采用适宜的方式进行有效处理，确保</w:t>
                  </w:r>
                  <w:r>
                    <w:rPr>
                      <w:rFonts w:eastAsia="仿宋"/>
                      <w:color w:val="000000" w:themeColor="text1"/>
                      <w14:textFill>
                        <w14:solidFill>
                          <w14:schemeClr w14:val="tx1"/>
                        </w14:solidFill>
                      </w14:textFill>
                    </w:rPr>
                    <w:t>VOCs</w:t>
                  </w:r>
                  <w:r>
                    <w:rPr>
                      <w:rFonts w:ascii="仿宋" w:hAnsi="仿宋" w:eastAsia="仿宋"/>
                      <w:color w:val="000000" w:themeColor="text1"/>
                      <w14:textFill>
                        <w14:solidFill>
                          <w14:schemeClr w14:val="tx1"/>
                        </w14:solidFill>
                      </w14:textFill>
                    </w:rPr>
                    <w:t>总去除率满足管理要求，其中有机化工、医药化工、橡胶和塑料制品（有机溶剂浸胶工艺）、溶剂型涂料表面涂装、包装印刷业的</w:t>
                  </w:r>
                  <w:r>
                    <w:rPr>
                      <w:rFonts w:eastAsia="仿宋"/>
                      <w:color w:val="000000" w:themeColor="text1"/>
                      <w14:textFill>
                        <w14:solidFill>
                          <w14:schemeClr w14:val="tx1"/>
                        </w14:solidFill>
                      </w14:textFill>
                    </w:rPr>
                    <w:t>VOCs</w:t>
                  </w:r>
                  <w:r>
                    <w:rPr>
                      <w:rFonts w:ascii="仿宋" w:hAnsi="仿宋" w:eastAsia="仿宋"/>
                      <w:color w:val="000000" w:themeColor="text1"/>
                      <w14:textFill>
                        <w14:solidFill>
                          <w14:schemeClr w14:val="tx1"/>
                        </w14:solidFill>
                      </w14:textFill>
                    </w:rPr>
                    <w:t>总收集、净化处理率均不低于</w:t>
                  </w:r>
                  <w:r>
                    <w:rPr>
                      <w:rFonts w:eastAsia="仿宋"/>
                      <w:color w:val="000000" w:themeColor="text1"/>
                      <w14:textFill>
                        <w14:solidFill>
                          <w14:schemeClr w14:val="tx1"/>
                        </w14:solidFill>
                      </w14:textFill>
                    </w:rPr>
                    <w:t>90%</w:t>
                  </w:r>
                  <w:r>
                    <w:rPr>
                      <w:rFonts w:ascii="仿宋" w:hAnsi="仿宋" w:eastAsia="仿宋"/>
                      <w:color w:val="000000" w:themeColor="text1"/>
                      <w14:textFill>
                        <w14:solidFill>
                          <w14:schemeClr w14:val="tx1"/>
                        </w14:solidFill>
                      </w14:textFill>
                    </w:rPr>
                    <w:t>，其他行业原则上不低于</w:t>
                  </w:r>
                  <w:r>
                    <w:rPr>
                      <w:rFonts w:eastAsia="仿宋"/>
                      <w:color w:val="000000" w:themeColor="text1"/>
                      <w14:textFill>
                        <w14:solidFill>
                          <w14:schemeClr w14:val="tx1"/>
                        </w14:solidFill>
                      </w14:textFill>
                    </w:rPr>
                    <w:t>75%</w:t>
                  </w:r>
                  <w:r>
                    <w:rPr>
                      <w:rFonts w:ascii="仿宋" w:hAnsi="仿宋" w:eastAsia="仿宋"/>
                      <w:color w:val="000000" w:themeColor="text1"/>
                      <w14:textFill>
                        <w14:solidFill>
                          <w14:schemeClr w14:val="tx1"/>
                        </w14:solidFill>
                      </w14:textFill>
                    </w:rPr>
                    <w:t>。</w:t>
                  </w:r>
                </w:p>
              </w:tc>
              <w:tc>
                <w:tcPr>
                  <w:tcW w:w="1556" w:type="dxa"/>
                  <w:tcBorders>
                    <w:top w:val="single" w:color="auto" w:sz="4" w:space="0"/>
                    <w:left w:val="single" w:color="auto" w:sz="4" w:space="0"/>
                    <w:bottom w:val="single" w:color="auto" w:sz="4" w:space="0"/>
                    <w:right w:val="single" w:color="auto" w:sz="4" w:space="0"/>
                  </w:tcBorders>
                  <w:vAlign w:val="center"/>
                </w:tcPr>
                <w:p w14:paraId="2AC73161">
                  <w:pPr>
                    <w:pStyle w:val="58"/>
                    <w:snapToGrid w:val="0"/>
                    <w:jc w:val="both"/>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本项目产生的废气收集后经</w:t>
                  </w:r>
                  <w:r>
                    <w:rPr>
                      <w:rFonts w:hint="eastAsia" w:ascii="仿宋" w:hAnsi="仿宋" w:eastAsia="仿宋"/>
                      <w:color w:val="000000" w:themeColor="text1"/>
                      <w14:textFill>
                        <w14:solidFill>
                          <w14:schemeClr w14:val="tx1"/>
                        </w14:solidFill>
                      </w14:textFill>
                    </w:rPr>
                    <w:t>两级</w:t>
                  </w:r>
                  <w:r>
                    <w:rPr>
                      <w:rFonts w:ascii="仿宋" w:hAnsi="仿宋" w:eastAsia="仿宋"/>
                      <w:color w:val="000000" w:themeColor="text1"/>
                      <w14:textFill>
                        <w14:solidFill>
                          <w14:schemeClr w14:val="tx1"/>
                        </w14:solidFill>
                      </w14:textFill>
                    </w:rPr>
                    <w:t>活性炭吸附处理后通过排气筒排放，</w:t>
                  </w:r>
                  <w:r>
                    <w:rPr>
                      <w:rFonts w:hint="eastAsia" w:ascii="仿宋" w:hAnsi="仿宋" w:eastAsia="仿宋"/>
                      <w:color w:val="000000" w:themeColor="text1"/>
                      <w14:textFill>
                        <w14:solidFill>
                          <w14:schemeClr w14:val="tx1"/>
                        </w14:solidFill>
                      </w14:textFill>
                    </w:rPr>
                    <w:t>有机废气</w:t>
                  </w:r>
                  <w:r>
                    <w:rPr>
                      <w:rFonts w:ascii="仿宋" w:hAnsi="仿宋" w:eastAsia="仿宋"/>
                      <w:color w:val="000000" w:themeColor="text1"/>
                      <w14:textFill>
                        <w14:solidFill>
                          <w14:schemeClr w14:val="tx1"/>
                        </w14:solidFill>
                      </w14:textFill>
                    </w:rPr>
                    <w:t>处理效率取</w:t>
                  </w:r>
                  <w:r>
                    <w:rPr>
                      <w:rFonts w:eastAsia="仿宋"/>
                      <w:color w:val="000000" w:themeColor="text1"/>
                      <w14:textFill>
                        <w14:solidFill>
                          <w14:schemeClr w14:val="tx1"/>
                        </w14:solidFill>
                      </w14:textFill>
                    </w:rPr>
                    <w:t>75%</w:t>
                  </w:r>
                  <w:r>
                    <w:rPr>
                      <w:rFonts w:hint="eastAsia"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各原辅料均按规定存储在仓库中。</w:t>
                  </w:r>
                </w:p>
              </w:tc>
              <w:tc>
                <w:tcPr>
                  <w:tcW w:w="974" w:type="dxa"/>
                  <w:tcBorders>
                    <w:top w:val="single" w:color="auto" w:sz="4" w:space="0"/>
                    <w:left w:val="single" w:color="auto" w:sz="4" w:space="0"/>
                    <w:bottom w:val="single" w:color="auto" w:sz="4" w:space="0"/>
                    <w:right w:val="single" w:color="auto" w:sz="4" w:space="0"/>
                  </w:tcBorders>
                  <w:vAlign w:val="center"/>
                </w:tcPr>
                <w:p w14:paraId="36BE1375">
                  <w:pPr>
                    <w:pStyle w:val="58"/>
                    <w:snapToGrid w:val="0"/>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符合</w:t>
                  </w:r>
                </w:p>
              </w:tc>
            </w:tr>
            <w:tr w14:paraId="29701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7" w:type="dxa"/>
                  <w:tcBorders>
                    <w:top w:val="single" w:color="auto" w:sz="4" w:space="0"/>
                    <w:left w:val="single" w:color="auto" w:sz="4" w:space="0"/>
                    <w:bottom w:val="single" w:color="auto" w:sz="4" w:space="0"/>
                    <w:right w:val="single" w:color="auto" w:sz="4" w:space="0"/>
                  </w:tcBorders>
                  <w:vAlign w:val="center"/>
                </w:tcPr>
                <w:p w14:paraId="70810E57">
                  <w:pPr>
                    <w:pStyle w:val="58"/>
                    <w:snapToGrid w:val="0"/>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《关于切实加强产业园区规划环境影响评价工作的通知》（苏环办〔</w:t>
                  </w:r>
                  <w:r>
                    <w:rPr>
                      <w:rFonts w:eastAsia="仿宋"/>
                      <w:color w:val="000000" w:themeColor="text1"/>
                      <w14:textFill>
                        <w14:solidFill>
                          <w14:schemeClr w14:val="tx1"/>
                        </w14:solidFill>
                      </w14:textFill>
                    </w:rPr>
                    <w:t>2017</w:t>
                  </w:r>
                  <w:r>
                    <w:rPr>
                      <w:rFonts w:ascii="仿宋" w:hAnsi="仿宋" w:eastAsia="仿宋"/>
                      <w:color w:val="000000" w:themeColor="text1"/>
                      <w14:textFill>
                        <w14:solidFill>
                          <w14:schemeClr w14:val="tx1"/>
                        </w14:solidFill>
                      </w14:textFill>
                    </w:rPr>
                    <w:t>〕</w:t>
                  </w:r>
                  <w:r>
                    <w:rPr>
                      <w:rFonts w:eastAsia="仿宋"/>
                      <w:color w:val="000000" w:themeColor="text1"/>
                      <w14:textFill>
                        <w14:solidFill>
                          <w14:schemeClr w14:val="tx1"/>
                        </w14:solidFill>
                      </w14:textFill>
                    </w:rPr>
                    <w:t>140</w:t>
                  </w:r>
                  <w:r>
                    <w:rPr>
                      <w:rFonts w:ascii="仿宋" w:hAnsi="仿宋" w:eastAsia="仿宋"/>
                      <w:color w:val="000000" w:themeColor="text1"/>
                      <w14:textFill>
                        <w14:solidFill>
                          <w14:schemeClr w14:val="tx1"/>
                        </w14:solidFill>
                      </w14:textFill>
                    </w:rPr>
                    <w:t>号）</w:t>
                  </w:r>
                </w:p>
              </w:tc>
              <w:tc>
                <w:tcPr>
                  <w:tcW w:w="3969" w:type="dxa"/>
                  <w:gridSpan w:val="2"/>
                  <w:tcBorders>
                    <w:top w:val="single" w:color="auto" w:sz="4" w:space="0"/>
                    <w:left w:val="single" w:color="auto" w:sz="4" w:space="0"/>
                    <w:bottom w:val="single" w:color="auto" w:sz="4" w:space="0"/>
                    <w:right w:val="single" w:color="auto" w:sz="4" w:space="0"/>
                  </w:tcBorders>
                  <w:vAlign w:val="center"/>
                </w:tcPr>
                <w:p w14:paraId="22101E89">
                  <w:pPr>
                    <w:pStyle w:val="58"/>
                    <w:snapToGrid w:val="0"/>
                    <w:jc w:val="both"/>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根据《关于切实加强产业园区规划环境影响评价工作的通知》（苏环办〔</w:t>
                  </w:r>
                  <w:r>
                    <w:rPr>
                      <w:rFonts w:eastAsia="仿宋"/>
                      <w:color w:val="000000" w:themeColor="text1"/>
                      <w14:textFill>
                        <w14:solidFill>
                          <w14:schemeClr w14:val="tx1"/>
                        </w14:solidFill>
                      </w14:textFill>
                    </w:rPr>
                    <w:t>2017</w:t>
                  </w:r>
                  <w:r>
                    <w:rPr>
                      <w:rFonts w:ascii="仿宋" w:hAnsi="仿宋" w:eastAsia="仿宋"/>
                      <w:color w:val="000000" w:themeColor="text1"/>
                      <w14:textFill>
                        <w14:solidFill>
                          <w14:schemeClr w14:val="tx1"/>
                        </w14:solidFill>
                      </w14:textFill>
                    </w:rPr>
                    <w:t>〕</w:t>
                  </w:r>
                  <w:r>
                    <w:rPr>
                      <w:rFonts w:eastAsia="仿宋"/>
                      <w:color w:val="000000" w:themeColor="text1"/>
                      <w14:textFill>
                        <w14:solidFill>
                          <w14:schemeClr w14:val="tx1"/>
                        </w14:solidFill>
                      </w14:textFill>
                    </w:rPr>
                    <w:t>140</w:t>
                  </w:r>
                  <w:r>
                    <w:rPr>
                      <w:rFonts w:ascii="仿宋" w:hAnsi="仿宋" w:eastAsia="仿宋"/>
                      <w:color w:val="000000" w:themeColor="text1"/>
                      <w14:textFill>
                        <w14:solidFill>
                          <w14:schemeClr w14:val="tx1"/>
                        </w14:solidFill>
                      </w14:textFill>
                    </w:rPr>
                    <w:t>号）中要求</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规划环评要作为规划所包含项目环评的重要依据，对于不符合规划环评结论及审查意见的项目环评，依法不予审批</w:t>
                  </w:r>
                  <w:r>
                    <w:rPr>
                      <w:rFonts w:eastAsia="仿宋"/>
                      <w:color w:val="000000" w:themeColor="text1"/>
                      <w14:textFill>
                        <w14:solidFill>
                          <w14:schemeClr w14:val="tx1"/>
                        </w14:solidFill>
                      </w14:textFill>
                    </w:rPr>
                    <w:t>”</w:t>
                  </w:r>
                  <w:r>
                    <w:rPr>
                      <w:rFonts w:ascii="仿宋" w:hAnsi="仿宋" w:eastAsia="仿宋"/>
                      <w:color w:val="000000" w:themeColor="text1"/>
                      <w14:textFill>
                        <w14:solidFill>
                          <w14:schemeClr w14:val="tx1"/>
                        </w14:solidFill>
                      </w14:textFill>
                    </w:rPr>
                    <w:t>。</w:t>
                  </w:r>
                </w:p>
              </w:tc>
              <w:tc>
                <w:tcPr>
                  <w:tcW w:w="1556" w:type="dxa"/>
                  <w:tcBorders>
                    <w:top w:val="single" w:color="auto" w:sz="4" w:space="0"/>
                    <w:left w:val="single" w:color="auto" w:sz="4" w:space="0"/>
                    <w:bottom w:val="single" w:color="auto" w:sz="4" w:space="0"/>
                    <w:right w:val="single" w:color="auto" w:sz="4" w:space="0"/>
                  </w:tcBorders>
                  <w:vAlign w:val="center"/>
                </w:tcPr>
                <w:p w14:paraId="5F703C38">
                  <w:pPr>
                    <w:pStyle w:val="58"/>
                    <w:snapToGrid w:val="0"/>
                    <w:jc w:val="both"/>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本项目符合园区规划。</w:t>
                  </w:r>
                </w:p>
              </w:tc>
              <w:tc>
                <w:tcPr>
                  <w:tcW w:w="974" w:type="dxa"/>
                  <w:tcBorders>
                    <w:top w:val="single" w:color="auto" w:sz="4" w:space="0"/>
                    <w:left w:val="single" w:color="auto" w:sz="4" w:space="0"/>
                    <w:bottom w:val="single" w:color="auto" w:sz="4" w:space="0"/>
                    <w:right w:val="single" w:color="auto" w:sz="4" w:space="0"/>
                  </w:tcBorders>
                  <w:vAlign w:val="center"/>
                </w:tcPr>
                <w:p w14:paraId="6FC31100">
                  <w:pPr>
                    <w:pStyle w:val="58"/>
                    <w:snapToGrid w:val="0"/>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符合</w:t>
                  </w:r>
                </w:p>
              </w:tc>
            </w:tr>
          </w:tbl>
          <w:p w14:paraId="4B94E2E7">
            <w:pPr>
              <w:spacing w:line="480" w:lineRule="exact"/>
              <w:ind w:firstLine="480" w:firstLineChars="200"/>
              <w:rPr>
                <w:rFonts w:eastAsia="仿宋"/>
                <w:b/>
                <w:bCs/>
                <w:color w:val="000000" w:themeColor="text1"/>
                <w14:textFill>
                  <w14:solidFill>
                    <w14:schemeClr w14:val="tx1"/>
                  </w14:solidFill>
                </w14:textFill>
              </w:rPr>
            </w:pPr>
            <w:r>
              <w:rPr>
                <w:rFonts w:hint="eastAsia" w:eastAsia="仿宋"/>
                <w:bCs/>
                <w:color w:val="000000" w:themeColor="text1"/>
                <w:sz w:val="24"/>
                <w14:textFill>
                  <w14:solidFill>
                    <w14:schemeClr w14:val="tx1"/>
                  </w14:solidFill>
                </w14:textFill>
              </w:rPr>
              <w:t>5</w:t>
            </w:r>
            <w:r>
              <w:rPr>
                <w:rFonts w:eastAsia="仿宋"/>
                <w:bCs/>
                <w:color w:val="000000" w:themeColor="text1"/>
                <w:sz w:val="24"/>
                <w14:textFill>
                  <w14:solidFill>
                    <w14:schemeClr w14:val="tx1"/>
                  </w14:solidFill>
                </w14:textFill>
              </w:rPr>
              <w:t>、项目与《省生态环境厅关于进一步做好建设项目环评审批工作的通知》（苏环办〔2019〕36号）相符性，分析如下。</w:t>
            </w:r>
          </w:p>
          <w:p w14:paraId="29D188D8">
            <w:pPr>
              <w:spacing w:line="480" w:lineRule="exact"/>
              <w:jc w:val="center"/>
              <w:rPr>
                <w:rFonts w:eastAsia="仿宋"/>
                <w:b/>
                <w:bCs/>
                <w:color w:val="000000" w:themeColor="text1"/>
                <w14:textFill>
                  <w14:solidFill>
                    <w14:schemeClr w14:val="tx1"/>
                  </w14:solidFill>
                </w14:textFill>
              </w:rPr>
            </w:pPr>
            <w:r>
              <w:rPr>
                <w:rFonts w:hint="eastAsia" w:eastAsia="仿宋"/>
                <w:b/>
                <w:bCs/>
                <w:color w:val="000000" w:themeColor="text1"/>
                <w14:textFill>
                  <w14:solidFill>
                    <w14:schemeClr w14:val="tx1"/>
                  </w14:solidFill>
                </w14:textFill>
              </w:rPr>
              <w:t>表1</w:t>
            </w:r>
            <w:r>
              <w:rPr>
                <w:rFonts w:eastAsia="仿宋"/>
                <w:b/>
                <w:bCs/>
                <w:color w:val="000000" w:themeColor="text1"/>
                <w14:textFill>
                  <w14:solidFill>
                    <w14:schemeClr w14:val="tx1"/>
                  </w14:solidFill>
                </w14:textFill>
              </w:rPr>
              <w:t>-10 与省生态环境厅关于进一步做好建设项目环评审批工作的通知对照分析</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3145"/>
              <w:gridCol w:w="2143"/>
              <w:gridCol w:w="949"/>
            </w:tblGrid>
            <w:tr w14:paraId="27BD4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83" w:type="pct"/>
                  <w:shd w:val="clear" w:color="auto" w:fill="auto"/>
                  <w:vAlign w:val="center"/>
                </w:tcPr>
                <w:p w14:paraId="667B8089">
                  <w:pPr>
                    <w:pStyle w:val="58"/>
                    <w:snapToGrid w:val="0"/>
                    <w:spacing w:line="240" w:lineRule="auto"/>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相关文献</w:t>
                  </w:r>
                </w:p>
              </w:tc>
              <w:tc>
                <w:tcPr>
                  <w:tcW w:w="1975" w:type="pct"/>
                  <w:shd w:val="clear" w:color="auto" w:fill="auto"/>
                  <w:vAlign w:val="center"/>
                </w:tcPr>
                <w:p w14:paraId="2AFEFF35">
                  <w:pPr>
                    <w:pStyle w:val="58"/>
                    <w:snapToGrid w:val="0"/>
                    <w:spacing w:line="240" w:lineRule="auto"/>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通知内容</w:t>
                  </w:r>
                </w:p>
              </w:tc>
              <w:tc>
                <w:tcPr>
                  <w:tcW w:w="1346" w:type="pct"/>
                  <w:shd w:val="clear" w:color="auto" w:fill="auto"/>
                  <w:vAlign w:val="center"/>
                </w:tcPr>
                <w:p w14:paraId="13915C43">
                  <w:pPr>
                    <w:pStyle w:val="58"/>
                    <w:snapToGrid w:val="0"/>
                    <w:spacing w:line="240" w:lineRule="auto"/>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本项目情况</w:t>
                  </w:r>
                </w:p>
              </w:tc>
              <w:tc>
                <w:tcPr>
                  <w:tcW w:w="596" w:type="pct"/>
                  <w:shd w:val="clear" w:color="auto" w:fill="auto"/>
                  <w:vAlign w:val="center"/>
                </w:tcPr>
                <w:p w14:paraId="4A8D3F2B">
                  <w:pPr>
                    <w:pStyle w:val="58"/>
                    <w:snapToGrid w:val="0"/>
                    <w:spacing w:line="240" w:lineRule="auto"/>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相符性论证</w:t>
                  </w:r>
                </w:p>
              </w:tc>
            </w:tr>
            <w:tr w14:paraId="7144F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83" w:type="pct"/>
                  <w:shd w:val="clear" w:color="auto" w:fill="auto"/>
                  <w:vAlign w:val="center"/>
                </w:tcPr>
                <w:p w14:paraId="22DC91D0">
                  <w:pPr>
                    <w:pStyle w:val="58"/>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《建设项目环境保护管理条例》</w:t>
                  </w:r>
                </w:p>
              </w:tc>
              <w:tc>
                <w:tcPr>
                  <w:tcW w:w="1975" w:type="pct"/>
                  <w:shd w:val="clear" w:color="auto" w:fill="auto"/>
                  <w:vAlign w:val="center"/>
                </w:tcPr>
                <w:p w14:paraId="02D29E7A">
                  <w:pPr>
                    <w:pStyle w:val="58"/>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止措施；（5）建设项目的环境影响报告书、环境影响报告表的基础资料数据明显不实，内容存在重大缺陷、遗漏，或者环境影响评价结论不明确、不合理。</w:t>
                  </w:r>
                </w:p>
              </w:tc>
              <w:tc>
                <w:tcPr>
                  <w:tcW w:w="1346" w:type="pct"/>
                  <w:shd w:val="clear" w:color="auto" w:fill="auto"/>
                  <w:vAlign w:val="center"/>
                </w:tcPr>
                <w:p w14:paraId="65164D7D">
                  <w:pPr>
                    <w:pStyle w:val="58"/>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（1）建设项目类型及其选址、布局、规模等符合环境保护法律法规和相关法定规划；（2）项目所在地</w:t>
                  </w:r>
                  <w:r>
                    <w:rPr>
                      <w:rFonts w:hint="eastAsia" w:eastAsia="仿宋"/>
                      <w:color w:val="000000" w:themeColor="text1"/>
                      <w:szCs w:val="21"/>
                      <w14:textFill>
                        <w14:solidFill>
                          <w14:schemeClr w14:val="tx1"/>
                        </w14:solidFill>
                      </w14:textFill>
                    </w:rPr>
                    <w:t>金坛区</w:t>
                  </w:r>
                  <w:r>
                    <w:rPr>
                      <w:rFonts w:eastAsia="仿宋"/>
                      <w:color w:val="000000" w:themeColor="text1"/>
                      <w:szCs w:val="21"/>
                      <w14:textFill>
                        <w14:solidFill>
                          <w14:schemeClr w14:val="tx1"/>
                        </w14:solidFill>
                      </w14:textFill>
                    </w:rPr>
                    <w:t>为环境质量不达标区，项目拟采取的措施满足现有环保要求；（3）建设项目采取的污染防治措施确保污染物排放达到国家和地方排放标准。</w:t>
                  </w:r>
                </w:p>
              </w:tc>
              <w:tc>
                <w:tcPr>
                  <w:tcW w:w="596" w:type="pct"/>
                  <w:shd w:val="clear" w:color="auto" w:fill="auto"/>
                  <w:vAlign w:val="center"/>
                </w:tcPr>
                <w:p w14:paraId="23A7A3D5">
                  <w:pPr>
                    <w:pStyle w:val="58"/>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r w14:paraId="6A44B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83" w:type="pct"/>
                  <w:shd w:val="clear" w:color="auto" w:fill="auto"/>
                  <w:vAlign w:val="center"/>
                </w:tcPr>
                <w:p w14:paraId="7CD215EE">
                  <w:pPr>
                    <w:pStyle w:val="58"/>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《农用地土壤环境管理办法（试行）》（环境保护部 农业部令第46号）</w:t>
                  </w:r>
                </w:p>
              </w:tc>
              <w:tc>
                <w:tcPr>
                  <w:tcW w:w="1975" w:type="pct"/>
                  <w:shd w:val="clear" w:color="auto" w:fill="auto"/>
                  <w:vAlign w:val="center"/>
                </w:tcPr>
                <w:p w14:paraId="22A039AF">
                  <w:pPr>
                    <w:pStyle w:val="58"/>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346" w:type="pct"/>
                  <w:shd w:val="clear" w:color="auto" w:fill="auto"/>
                  <w:vAlign w:val="center"/>
                </w:tcPr>
                <w:p w14:paraId="77D1A98A">
                  <w:pP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本项目用地性质是工业用地，不属于优先保护类耕地集中区域。</w:t>
                  </w:r>
                </w:p>
              </w:tc>
              <w:tc>
                <w:tcPr>
                  <w:tcW w:w="596" w:type="pct"/>
                  <w:shd w:val="clear" w:color="auto" w:fill="auto"/>
                  <w:vAlign w:val="center"/>
                </w:tcPr>
                <w:p w14:paraId="4162117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r w14:paraId="5D908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83" w:type="pct"/>
                  <w:shd w:val="clear" w:color="auto" w:fill="auto"/>
                  <w:vAlign w:val="center"/>
                </w:tcPr>
                <w:p w14:paraId="6A6BA1DF">
                  <w:pPr>
                    <w:pStyle w:val="58"/>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《关于印发&lt;建设项目主要污染物排放总量指标审核及管理暂行办法&gt;的通知》（环发〔2014〕197号）</w:t>
                  </w:r>
                </w:p>
              </w:tc>
              <w:tc>
                <w:tcPr>
                  <w:tcW w:w="1975" w:type="pct"/>
                  <w:shd w:val="clear" w:color="auto" w:fill="auto"/>
                  <w:vAlign w:val="center"/>
                </w:tcPr>
                <w:p w14:paraId="3E2DCAFE">
                  <w:pPr>
                    <w:pStyle w:val="58"/>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346" w:type="pct"/>
                  <w:shd w:val="clear" w:color="auto" w:fill="auto"/>
                  <w:vAlign w:val="center"/>
                </w:tcPr>
                <w:p w14:paraId="7DD14A16">
                  <w:pP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目前，本项目处于环评编制阶段，在环评审批前将严格落实主要污染物排放总量指标控制制度，取得主要污染物排放总量的控制指标和平衡方案。</w:t>
                  </w:r>
                </w:p>
              </w:tc>
              <w:tc>
                <w:tcPr>
                  <w:tcW w:w="596" w:type="pct"/>
                  <w:shd w:val="clear" w:color="auto" w:fill="auto"/>
                  <w:vAlign w:val="center"/>
                </w:tcPr>
                <w:p w14:paraId="611429B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r w14:paraId="53D76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83" w:type="pct"/>
                  <w:shd w:val="clear" w:color="auto" w:fill="auto"/>
                  <w:vAlign w:val="center"/>
                </w:tcPr>
                <w:p w14:paraId="0D97CA91">
                  <w:pPr>
                    <w:pStyle w:val="58"/>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《关于以改善环境质量为核心加强环境影响评价管理的通知》（环环评〔2016〕150号）</w:t>
                  </w:r>
                </w:p>
              </w:tc>
              <w:tc>
                <w:tcPr>
                  <w:tcW w:w="1975" w:type="pct"/>
                  <w:shd w:val="clear" w:color="auto" w:fill="auto"/>
                  <w:vAlign w:val="center"/>
                </w:tcPr>
                <w:p w14:paraId="1342D04E">
                  <w:pPr>
                    <w:pStyle w:val="58"/>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规划环评要作为规划所包含项目环评的重要依据，对于不符合规划环评结论及审查意见的项目环评，依法不予审批。（2）对于现有同类型项目环境污染或生态破坏严重、环境违法违规现象多发，致使环境容量接近或超过承载能力的地区，在现有问题整改到位前，依法暂停审批该地区同类行业的项目环评文件。（3）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346" w:type="pct"/>
                  <w:shd w:val="clear" w:color="auto" w:fill="auto"/>
                  <w:vAlign w:val="center"/>
                </w:tcPr>
                <w:p w14:paraId="053DF996">
                  <w:pP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（1）本项目建设内容符合所在园区规划环评结论及审查意见，且不在生态保护红线范围内；（2）项目所在地</w:t>
                  </w:r>
                  <w:r>
                    <w:rPr>
                      <w:rFonts w:hint="eastAsia" w:eastAsia="仿宋"/>
                      <w:color w:val="000000" w:themeColor="text1"/>
                      <w:szCs w:val="21"/>
                      <w14:textFill>
                        <w14:solidFill>
                          <w14:schemeClr w14:val="tx1"/>
                        </w14:solidFill>
                      </w14:textFill>
                    </w:rPr>
                    <w:t>金坛区</w:t>
                  </w:r>
                  <w:r>
                    <w:rPr>
                      <w:rFonts w:eastAsia="仿宋"/>
                      <w:color w:val="000000" w:themeColor="text1"/>
                      <w:szCs w:val="21"/>
                      <w14:textFill>
                        <w14:solidFill>
                          <w14:schemeClr w14:val="tx1"/>
                        </w14:solidFill>
                      </w14:textFill>
                    </w:rPr>
                    <w:t>为不达标区，本项目各废气因子排放量较小，对周围保护目标影响均较小，均未超过各因子的环境质量标准。因此，项目排放的大气污染物对周围空气环境影响较小。</w:t>
                  </w:r>
                </w:p>
              </w:tc>
              <w:tc>
                <w:tcPr>
                  <w:tcW w:w="596" w:type="pct"/>
                  <w:shd w:val="clear" w:color="auto" w:fill="auto"/>
                  <w:vAlign w:val="center"/>
                </w:tcPr>
                <w:p w14:paraId="359C9A4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r w14:paraId="31F96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83" w:type="pct"/>
                  <w:shd w:val="clear" w:color="auto" w:fill="auto"/>
                  <w:vAlign w:val="center"/>
                </w:tcPr>
                <w:p w14:paraId="09419E48">
                  <w:pPr>
                    <w:pStyle w:val="58"/>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《关于全面加强生态环境保护坚决打好污染防治攻坚战的实施意见》（苏发〔2018〕24号）</w:t>
                  </w:r>
                </w:p>
              </w:tc>
              <w:tc>
                <w:tcPr>
                  <w:tcW w:w="1975" w:type="pct"/>
                  <w:shd w:val="clear" w:color="auto" w:fill="auto"/>
                  <w:vAlign w:val="center"/>
                </w:tcPr>
                <w:p w14:paraId="3561D2ED">
                  <w:pPr>
                    <w:pStyle w:val="58"/>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严禁在长江干流及主要支流岸线1公里范围内新建布局化工园区和化工企业。严格化工项目环评审批，提高准入门槛，新建化工项目原则上投资额不得低于10亿元，不得新建、改建、扩建三类中间体项目。</w:t>
                  </w:r>
                </w:p>
              </w:tc>
              <w:tc>
                <w:tcPr>
                  <w:tcW w:w="1346" w:type="pct"/>
                  <w:shd w:val="clear" w:color="auto" w:fill="auto"/>
                  <w:vAlign w:val="center"/>
                </w:tcPr>
                <w:p w14:paraId="04E58C5E">
                  <w:pP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本项目不在长江干流及主要支流岸线1公里范围内，且不属于化工企业。</w:t>
                  </w:r>
                </w:p>
              </w:tc>
              <w:tc>
                <w:tcPr>
                  <w:tcW w:w="596" w:type="pct"/>
                  <w:shd w:val="clear" w:color="auto" w:fill="auto"/>
                  <w:vAlign w:val="center"/>
                </w:tcPr>
                <w:p w14:paraId="7546A37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r w14:paraId="27B52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83" w:type="pct"/>
                  <w:shd w:val="clear" w:color="auto" w:fill="auto"/>
                  <w:vAlign w:val="center"/>
                </w:tcPr>
                <w:p w14:paraId="46F9B8BF">
                  <w:pPr>
                    <w:pStyle w:val="58"/>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《省政府关于印发江苏省国家级生态保护红线规划的通知》（苏政发〔2018〕74号）</w:t>
                  </w:r>
                </w:p>
              </w:tc>
              <w:tc>
                <w:tcPr>
                  <w:tcW w:w="1975" w:type="pct"/>
                  <w:shd w:val="clear" w:color="auto" w:fill="auto"/>
                  <w:vAlign w:val="center"/>
                </w:tcPr>
                <w:p w14:paraId="753141B6">
                  <w:pPr>
                    <w:pStyle w:val="58"/>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生态保护红线原则上按禁止开发区域的要求进行管理，严禁不符合主体功能定位的各类开发活动，严禁任意改变用途。</w:t>
                  </w:r>
                </w:p>
              </w:tc>
              <w:tc>
                <w:tcPr>
                  <w:tcW w:w="1346" w:type="pct"/>
                  <w:shd w:val="clear" w:color="auto" w:fill="auto"/>
                  <w:vAlign w:val="center"/>
                </w:tcPr>
                <w:p w14:paraId="7DB2EA82">
                  <w:pP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本项目不涉及生态保护红线。</w:t>
                  </w:r>
                </w:p>
              </w:tc>
              <w:tc>
                <w:tcPr>
                  <w:tcW w:w="596" w:type="pct"/>
                  <w:shd w:val="clear" w:color="auto" w:fill="auto"/>
                  <w:vAlign w:val="center"/>
                </w:tcPr>
                <w:p w14:paraId="53DB861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r w14:paraId="00656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83" w:type="pct"/>
                  <w:shd w:val="clear" w:color="auto" w:fill="auto"/>
                  <w:vAlign w:val="center"/>
                </w:tcPr>
                <w:p w14:paraId="6BC1196D">
                  <w:pPr>
                    <w:pStyle w:val="58"/>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《省政府办公厅关于加强危险废物污染防治工作的意见》（苏政办发〔2018〕91号）</w:t>
                  </w:r>
                </w:p>
              </w:tc>
              <w:tc>
                <w:tcPr>
                  <w:tcW w:w="1975" w:type="pct"/>
                  <w:shd w:val="clear" w:color="auto" w:fill="auto"/>
                  <w:vAlign w:val="center"/>
                </w:tcPr>
                <w:p w14:paraId="69F96028">
                  <w:pPr>
                    <w:pStyle w:val="58"/>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禁止审批无法落实危险废物利用、处置途径的项目，从严审批危险废物产生量大、本地无配套利用处置能力、且需设区市统筹解决的项目。</w:t>
                  </w:r>
                </w:p>
              </w:tc>
              <w:tc>
                <w:tcPr>
                  <w:tcW w:w="1346" w:type="pct"/>
                  <w:shd w:val="clear" w:color="auto" w:fill="auto"/>
                  <w:vAlign w:val="center"/>
                </w:tcPr>
                <w:p w14:paraId="1EEADE96">
                  <w:pP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本项目危险废物合理合法利用、处置。固废处置率100%。</w:t>
                  </w:r>
                </w:p>
              </w:tc>
              <w:tc>
                <w:tcPr>
                  <w:tcW w:w="596" w:type="pct"/>
                  <w:shd w:val="clear" w:color="auto" w:fill="auto"/>
                  <w:vAlign w:val="center"/>
                </w:tcPr>
                <w:p w14:paraId="3369E43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r w14:paraId="76A08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83" w:type="pct"/>
                  <w:vAlign w:val="center"/>
                </w:tcPr>
                <w:p w14:paraId="4D21D4DE">
                  <w:pPr>
                    <w:pStyle w:val="58"/>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《关于印发&lt;长江经济带发展负面清单指南&gt;（试行，2022年版）的通知》（长江办〔2022〕7号）</w:t>
                  </w:r>
                </w:p>
              </w:tc>
              <w:tc>
                <w:tcPr>
                  <w:tcW w:w="1975" w:type="pct"/>
                  <w:vAlign w:val="center"/>
                </w:tcPr>
                <w:p w14:paraId="25F01B73">
                  <w:pPr>
                    <w:pStyle w:val="58"/>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根据《关于印发&lt;长江经济带发展负面清单指南&gt;（试行，2022年版）的通知》（长江办〔2022〕7号）：</w:t>
                  </w:r>
                  <w:r>
                    <w:rPr>
                      <w:rFonts w:hint="eastAsia" w:ascii="宋体" w:hAnsi="宋体" w:cs="宋体"/>
                      <w:color w:val="000000" w:themeColor="text1"/>
                      <w:szCs w:val="21"/>
                      <w14:textFill>
                        <w14:solidFill>
                          <w14:schemeClr w14:val="tx1"/>
                        </w14:solidFill>
                      </w14:textFill>
                    </w:rPr>
                    <w:t>①</w:t>
                  </w:r>
                  <w:r>
                    <w:rPr>
                      <w:rFonts w:eastAsia="仿宋"/>
                      <w:color w:val="000000" w:themeColor="text1"/>
                      <w:szCs w:val="21"/>
                      <w14:textFill>
                        <w14:solidFill>
                          <w14:schemeClr w14:val="tx1"/>
                        </w14:solidFill>
                      </w14:textFill>
                    </w:rPr>
                    <w:t>禁止建设不符合全国和省级港口布局规划以及港口总体规划的码头项目，禁止建设不符合《长江干线过江通道布局规划》的过长江通道项目。</w:t>
                  </w:r>
                  <w:r>
                    <w:rPr>
                      <w:rFonts w:hint="eastAsia" w:ascii="宋体" w:hAnsi="宋体" w:cs="宋体"/>
                      <w:color w:val="000000" w:themeColor="text1"/>
                      <w:szCs w:val="21"/>
                      <w14:textFill>
                        <w14:solidFill>
                          <w14:schemeClr w14:val="tx1"/>
                        </w14:solidFill>
                      </w14:textFill>
                    </w:rPr>
                    <w:t>②</w:t>
                  </w:r>
                  <w:r>
                    <w:rPr>
                      <w:rFonts w:eastAsia="仿宋"/>
                      <w:color w:val="000000" w:themeColor="text1"/>
                      <w:szCs w:val="21"/>
                      <w14:textFill>
                        <w14:solidFill>
                          <w14:schemeClr w14:val="tx1"/>
                        </w14:solidFill>
                      </w14:textFill>
                    </w:rPr>
                    <w:t>禁止在自然保护区核心区、缓冲区的岸线和河段范围内投资建设旅游和生产经营项目。禁止在风景名胜区核心景区的岸线和河段范围内投资建设与风景名胜资源保护无关的项目。</w:t>
                  </w:r>
                  <w:r>
                    <w:rPr>
                      <w:rFonts w:hint="eastAsia" w:ascii="宋体" w:hAnsi="宋体" w:cs="宋体"/>
                      <w:color w:val="000000" w:themeColor="text1"/>
                      <w:szCs w:val="21"/>
                      <w14:textFill>
                        <w14:solidFill>
                          <w14:schemeClr w14:val="tx1"/>
                        </w14:solidFill>
                      </w14:textFill>
                    </w:rPr>
                    <w:t>③</w:t>
                  </w:r>
                  <w:r>
                    <w:rPr>
                      <w:rFonts w:eastAsia="仿宋"/>
                      <w:color w:val="000000" w:themeColor="text1"/>
                      <w:szCs w:val="21"/>
                      <w14:textFill>
                        <w14:solidFill>
                          <w14:schemeClr w14:val="tx1"/>
                        </w14:solidFill>
                      </w14:textFill>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r>
                    <w:rPr>
                      <w:rFonts w:hint="eastAsia" w:ascii="宋体" w:hAnsi="宋体" w:cs="宋体"/>
                      <w:color w:val="000000" w:themeColor="text1"/>
                      <w:szCs w:val="21"/>
                      <w14:textFill>
                        <w14:solidFill>
                          <w14:schemeClr w14:val="tx1"/>
                        </w14:solidFill>
                      </w14:textFill>
                    </w:rPr>
                    <w:t>④</w:t>
                  </w:r>
                  <w:r>
                    <w:rPr>
                      <w:rFonts w:eastAsia="仿宋"/>
                      <w:color w:val="000000" w:themeColor="text1"/>
                      <w:szCs w:val="21"/>
                      <w14:textFill>
                        <w14:solidFill>
                          <w14:schemeClr w14:val="tx1"/>
                        </w14:solidFill>
                      </w14:textFill>
                    </w:rPr>
                    <w:t>禁止在水产种质资源保护区的岸线和河段范围内新建围湖造田、围海造地或围填海等投资建设项目。禁止在国家湿地公园的岸线和河段范围内挖沙、采矿，以及任何不符合主体功能定位的投资建设项目。</w:t>
                  </w:r>
                  <w:r>
                    <w:rPr>
                      <w:rFonts w:hint="eastAsia" w:ascii="宋体" w:hAnsi="宋体" w:cs="宋体"/>
                      <w:color w:val="000000" w:themeColor="text1"/>
                      <w:szCs w:val="21"/>
                      <w14:textFill>
                        <w14:solidFill>
                          <w14:schemeClr w14:val="tx1"/>
                        </w14:solidFill>
                      </w14:textFill>
                    </w:rPr>
                    <w:t>⑤</w:t>
                  </w:r>
                  <w:r>
                    <w:rPr>
                      <w:rFonts w:eastAsia="仿宋"/>
                      <w:color w:val="000000" w:themeColor="text1"/>
                      <w:szCs w:val="21"/>
                      <w14:textFill>
                        <w14:solidFill>
                          <w14:schemeClr w14:val="tx1"/>
                        </w14:solidFill>
                      </w14:textFill>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r>
                    <w:rPr>
                      <w:rFonts w:hint="eastAsia" w:ascii="宋体" w:hAnsi="宋体" w:cs="宋体"/>
                      <w:color w:val="000000" w:themeColor="text1"/>
                      <w:szCs w:val="21"/>
                      <w14:textFill>
                        <w14:solidFill>
                          <w14:schemeClr w14:val="tx1"/>
                        </w14:solidFill>
                      </w14:textFill>
                    </w:rPr>
                    <w:t>⑥</w:t>
                  </w:r>
                  <w:r>
                    <w:rPr>
                      <w:rFonts w:eastAsia="仿宋"/>
                      <w:color w:val="000000" w:themeColor="text1"/>
                      <w:szCs w:val="21"/>
                      <w14:textFill>
                        <w14:solidFill>
                          <w14:schemeClr w14:val="tx1"/>
                        </w14:solidFill>
                      </w14:textFill>
                    </w:rPr>
                    <w:t>禁止未经许可在长江干支流及湖泊新设、改设或扩大排污口。</w:t>
                  </w:r>
                  <w:r>
                    <w:rPr>
                      <w:rFonts w:hint="eastAsia" w:ascii="宋体" w:hAnsi="宋体" w:cs="宋体"/>
                      <w:color w:val="000000" w:themeColor="text1"/>
                      <w:szCs w:val="21"/>
                      <w14:textFill>
                        <w14:solidFill>
                          <w14:schemeClr w14:val="tx1"/>
                        </w14:solidFill>
                      </w14:textFill>
                    </w:rPr>
                    <w:t>⑦</w:t>
                  </w:r>
                  <w:r>
                    <w:rPr>
                      <w:rFonts w:eastAsia="仿宋"/>
                      <w:color w:val="000000" w:themeColor="text1"/>
                      <w:szCs w:val="21"/>
                      <w14:textFill>
                        <w14:solidFill>
                          <w14:schemeClr w14:val="tx1"/>
                        </w14:solidFill>
                      </w14:textFill>
                    </w:rPr>
                    <w:t>禁止在“一江一口两湖七河”和332个水生生物保护区开展生产性捕捞。</w:t>
                  </w:r>
                  <w:r>
                    <w:rPr>
                      <w:rFonts w:hint="eastAsia" w:ascii="宋体" w:hAnsi="宋体" w:cs="宋体"/>
                      <w:color w:val="000000" w:themeColor="text1"/>
                      <w:szCs w:val="21"/>
                      <w14:textFill>
                        <w14:solidFill>
                          <w14:schemeClr w14:val="tx1"/>
                        </w14:solidFill>
                      </w14:textFill>
                    </w:rPr>
                    <w:t>⑧</w:t>
                  </w:r>
                  <w:r>
                    <w:rPr>
                      <w:rFonts w:eastAsia="仿宋"/>
                      <w:color w:val="000000" w:themeColor="text1"/>
                      <w:szCs w:val="21"/>
                      <w14:textFill>
                        <w14:solidFill>
                          <w14:schemeClr w14:val="tx1"/>
                        </w14:solidFill>
                      </w14:textFill>
                    </w:rPr>
                    <w:t>禁止在长江于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r>
                    <w:rPr>
                      <w:rFonts w:hint="eastAsia" w:ascii="宋体" w:hAnsi="宋体" w:cs="宋体"/>
                      <w:color w:val="000000" w:themeColor="text1"/>
                      <w:szCs w:val="21"/>
                      <w14:textFill>
                        <w14:solidFill>
                          <w14:schemeClr w14:val="tx1"/>
                        </w14:solidFill>
                      </w14:textFill>
                    </w:rPr>
                    <w:t>⑨</w:t>
                  </w:r>
                  <w:r>
                    <w:rPr>
                      <w:rFonts w:eastAsia="仿宋"/>
                      <w:color w:val="000000" w:themeColor="text1"/>
                      <w:szCs w:val="21"/>
                      <w14:textFill>
                        <w14:solidFill>
                          <w14:schemeClr w14:val="tx1"/>
                        </w14:solidFill>
                      </w14:textFill>
                    </w:rPr>
                    <w:t>禁止在合规园区外新建、扩建钢铁、石化、化工、焦化、建材、有色、制浆造纸等高污染项目。</w:t>
                  </w:r>
                  <w:r>
                    <w:rPr>
                      <w:rFonts w:hint="eastAsia" w:ascii="宋体" w:hAnsi="宋体" w:cs="宋体"/>
                      <w:color w:val="000000" w:themeColor="text1"/>
                      <w:szCs w:val="21"/>
                      <w14:textFill>
                        <w14:solidFill>
                          <w14:schemeClr w14:val="tx1"/>
                        </w14:solidFill>
                      </w14:textFill>
                    </w:rPr>
                    <w:t>⑩</w:t>
                  </w:r>
                  <w:r>
                    <w:rPr>
                      <w:rFonts w:eastAsia="仿宋"/>
                      <w:color w:val="000000" w:themeColor="text1"/>
                      <w:szCs w:val="21"/>
                      <w14:textFill>
                        <w14:solidFill>
                          <w14:schemeClr w14:val="tx1"/>
                        </w14:solidFill>
                      </w14:textFill>
                    </w:rPr>
                    <w:t>禁止新建、扩建不符合国家石化、现代煤化工等产业布局规划的项目。</w:t>
                  </w:r>
                  <w:r>
                    <w:rPr>
                      <w:rFonts w:ascii="Cambria Math" w:hAnsi="Cambria Math" w:eastAsia="仿宋" w:cs="Cambria Math"/>
                      <w:color w:val="000000" w:themeColor="text1"/>
                      <w:szCs w:val="21"/>
                      <w14:textFill>
                        <w14:solidFill>
                          <w14:schemeClr w14:val="tx1"/>
                        </w14:solidFill>
                      </w14:textFill>
                    </w:rPr>
                    <w:t>⑪</w:t>
                  </w:r>
                  <w:r>
                    <w:rPr>
                      <w:rFonts w:eastAsia="仿宋"/>
                      <w:color w:val="000000" w:themeColor="text1"/>
                      <w:szCs w:val="21"/>
                      <w14:textFill>
                        <w14:solidFill>
                          <w14:schemeClr w14:val="tx1"/>
                        </w14:solidFill>
                      </w14:textFill>
                    </w:rPr>
                    <w:t>禁止新建、扩建法律法规和相关政策明令禁止的落后产能项目。禁止新建、扩建不符合国家产能置换要求的严重过剩产能行业的项目。禁止新建、扩建不符合要求的高耗能高排放项目。</w:t>
                  </w:r>
                  <w:r>
                    <w:rPr>
                      <w:rFonts w:ascii="Cambria Math" w:hAnsi="Cambria Math" w:eastAsia="仿宋" w:cs="Cambria Math"/>
                      <w:color w:val="000000" w:themeColor="text1"/>
                      <w:szCs w:val="21"/>
                      <w14:textFill>
                        <w14:solidFill>
                          <w14:schemeClr w14:val="tx1"/>
                        </w14:solidFill>
                      </w14:textFill>
                    </w:rPr>
                    <w:t>⑫</w:t>
                  </w:r>
                  <w:r>
                    <w:rPr>
                      <w:rFonts w:eastAsia="仿宋"/>
                      <w:color w:val="000000" w:themeColor="text1"/>
                      <w:szCs w:val="21"/>
                      <w14:textFill>
                        <w14:solidFill>
                          <w14:schemeClr w14:val="tx1"/>
                        </w14:solidFill>
                      </w14:textFill>
                    </w:rPr>
                    <w:t>法律法规及相关政策文件有更加严格规定的从其规定。</w:t>
                  </w:r>
                </w:p>
              </w:tc>
              <w:tc>
                <w:tcPr>
                  <w:tcW w:w="1346" w:type="pct"/>
                  <w:shd w:val="clear" w:color="auto" w:fill="auto"/>
                  <w:vAlign w:val="center"/>
                </w:tcPr>
                <w:p w14:paraId="0759C1A1">
                  <w:pP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本项目不属于《关于印发&lt;长江经济带发展负面清单指南&gt;（试行，2022年版）的通知》（长江办〔2022〕7号）中“禁止类”项目。</w:t>
                  </w:r>
                </w:p>
              </w:tc>
              <w:tc>
                <w:tcPr>
                  <w:tcW w:w="596" w:type="pct"/>
                  <w:shd w:val="clear" w:color="auto" w:fill="auto"/>
                  <w:vAlign w:val="center"/>
                </w:tcPr>
                <w:p w14:paraId="1965EF7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符合</w:t>
                  </w:r>
                </w:p>
              </w:tc>
            </w:tr>
          </w:tbl>
          <w:p w14:paraId="078DD3FF">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6</w:t>
            </w:r>
            <w:r>
              <w:rPr>
                <w:rFonts w:eastAsia="仿宋"/>
                <w:bCs/>
                <w:color w:val="000000" w:themeColor="text1"/>
                <w:sz w:val="24"/>
                <w14:textFill>
                  <w14:solidFill>
                    <w14:schemeClr w14:val="tx1"/>
                  </w14:solidFill>
                </w14:textFill>
              </w:rPr>
              <w:t>、项目与《省生态环境厅关于进一步加强建设项目环评审批和服务工作的指导意见》（苏环办〔2020〕225号）相符性，分析如下。</w:t>
            </w:r>
          </w:p>
          <w:p w14:paraId="670AA471">
            <w:pPr>
              <w:spacing w:line="480" w:lineRule="exact"/>
              <w:jc w:val="center"/>
              <w:rPr>
                <w:rFonts w:eastAsia="仿宋"/>
                <w:b/>
                <w:bCs/>
                <w:color w:val="000000" w:themeColor="text1"/>
                <w14:textFill>
                  <w14:solidFill>
                    <w14:schemeClr w14:val="tx1"/>
                  </w14:solidFill>
                </w14:textFill>
              </w:rPr>
            </w:pPr>
            <w:r>
              <w:rPr>
                <w:rFonts w:hint="eastAsia" w:eastAsia="仿宋"/>
                <w:b/>
                <w:bCs/>
                <w:color w:val="000000" w:themeColor="text1"/>
                <w14:textFill>
                  <w14:solidFill>
                    <w14:schemeClr w14:val="tx1"/>
                  </w14:solidFill>
                </w14:textFill>
              </w:rPr>
              <w:t>表1</w:t>
            </w:r>
            <w:r>
              <w:rPr>
                <w:rFonts w:eastAsia="仿宋"/>
                <w:b/>
                <w:bCs/>
                <w:color w:val="000000" w:themeColor="text1"/>
                <w14:textFill>
                  <w14:solidFill>
                    <w14:schemeClr w14:val="tx1"/>
                  </w14:solidFill>
                </w14:textFill>
              </w:rPr>
              <w:t>-11 与《省生态环境厅关于进一步加强建设项目环评审批和服务工作的指导意见》对照分析</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3150"/>
              <w:gridCol w:w="2819"/>
              <w:gridCol w:w="1088"/>
            </w:tblGrid>
            <w:tr w14:paraId="7A7B1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9" w:type="pct"/>
                  <w:vAlign w:val="center"/>
                </w:tcPr>
                <w:p w14:paraId="1E5375D8">
                  <w:pPr>
                    <w:pStyle w:val="58"/>
                    <w:snapToGrid w:val="0"/>
                    <w:spacing w:line="240" w:lineRule="auto"/>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类别</w:t>
                  </w:r>
                </w:p>
              </w:tc>
              <w:tc>
                <w:tcPr>
                  <w:tcW w:w="1978" w:type="pct"/>
                  <w:vAlign w:val="center"/>
                </w:tcPr>
                <w:p w14:paraId="02DC9D70">
                  <w:pPr>
                    <w:pStyle w:val="58"/>
                    <w:snapToGrid w:val="0"/>
                    <w:spacing w:line="240" w:lineRule="auto"/>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标准要求</w:t>
                  </w:r>
                </w:p>
              </w:tc>
              <w:tc>
                <w:tcPr>
                  <w:tcW w:w="1770" w:type="pct"/>
                  <w:vAlign w:val="center"/>
                </w:tcPr>
                <w:p w14:paraId="64908D7A">
                  <w:pPr>
                    <w:pStyle w:val="58"/>
                    <w:snapToGrid w:val="0"/>
                    <w:spacing w:line="240" w:lineRule="auto"/>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本项目概况</w:t>
                  </w:r>
                </w:p>
              </w:tc>
              <w:tc>
                <w:tcPr>
                  <w:tcW w:w="683" w:type="pct"/>
                  <w:vAlign w:val="center"/>
                </w:tcPr>
                <w:p w14:paraId="18907F94">
                  <w:pPr>
                    <w:pStyle w:val="58"/>
                    <w:snapToGrid w:val="0"/>
                    <w:spacing w:line="240" w:lineRule="auto"/>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是否相符</w:t>
                  </w:r>
                </w:p>
              </w:tc>
            </w:tr>
            <w:tr w14:paraId="66E9E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9" w:type="pct"/>
                  <w:vMerge w:val="restart"/>
                  <w:vAlign w:val="center"/>
                </w:tcPr>
                <w:p w14:paraId="602FE439">
                  <w:pPr>
                    <w:pStyle w:val="58"/>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严守生态环境质量底线</w:t>
                  </w:r>
                </w:p>
              </w:tc>
              <w:tc>
                <w:tcPr>
                  <w:tcW w:w="1978" w:type="pct"/>
                  <w:vAlign w:val="center"/>
                </w:tcPr>
                <w:p w14:paraId="28534A88">
                  <w:pPr>
                    <w:pStyle w:val="58"/>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（一）建设项目所在区域环境质量未达标国家或地方环境质量标准，且项目拟采取的污染防治措施不能满足区域环境质量改善目标管理要求的，一律不得审批。</w:t>
                  </w:r>
                </w:p>
              </w:tc>
              <w:tc>
                <w:tcPr>
                  <w:tcW w:w="1770" w:type="pct"/>
                  <w:vAlign w:val="center"/>
                </w:tcPr>
                <w:p w14:paraId="1E5F057F">
                  <w:pPr>
                    <w:pStyle w:val="58"/>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项目所在地为大气污染物O</w:t>
                  </w:r>
                  <w:r>
                    <w:rPr>
                      <w:rFonts w:eastAsia="仿宋"/>
                      <w:color w:val="000000" w:themeColor="text1"/>
                      <w:szCs w:val="21"/>
                      <w:vertAlign w:val="subscript"/>
                      <w14:textFill>
                        <w14:solidFill>
                          <w14:schemeClr w14:val="tx1"/>
                        </w14:solidFill>
                      </w14:textFill>
                    </w:rPr>
                    <w:t>3</w:t>
                  </w:r>
                  <w:r>
                    <w:rPr>
                      <w:rFonts w:eastAsia="仿宋"/>
                      <w:color w:val="000000" w:themeColor="text1"/>
                      <w:szCs w:val="21"/>
                      <w14:textFill>
                        <w14:solidFill>
                          <w14:schemeClr w14:val="tx1"/>
                        </w14:solidFill>
                      </w14:textFill>
                    </w:rPr>
                    <w:t>和PM</w:t>
                  </w:r>
                  <w:r>
                    <w:rPr>
                      <w:rFonts w:eastAsia="仿宋"/>
                      <w:color w:val="000000" w:themeColor="text1"/>
                      <w:szCs w:val="21"/>
                      <w:vertAlign w:val="subscript"/>
                      <w14:textFill>
                        <w14:solidFill>
                          <w14:schemeClr w14:val="tx1"/>
                        </w14:solidFill>
                      </w14:textFill>
                    </w:rPr>
                    <w:t>2.5</w:t>
                  </w:r>
                  <w:r>
                    <w:rPr>
                      <w:rFonts w:eastAsia="仿宋"/>
                      <w:color w:val="000000" w:themeColor="text1"/>
                      <w:szCs w:val="21"/>
                      <w14:textFill>
                        <w14:solidFill>
                          <w14:schemeClr w14:val="tx1"/>
                        </w14:solidFill>
                      </w14:textFill>
                    </w:rPr>
                    <w:t>环境质量不达标区，通过</w:t>
                  </w:r>
                  <w:r>
                    <w:rPr>
                      <w:rFonts w:hint="eastAsia" w:eastAsia="仿宋"/>
                      <w:color w:val="000000" w:themeColor="text1"/>
                      <w:szCs w:val="21"/>
                      <w14:textFill>
                        <w14:solidFill>
                          <w14:schemeClr w14:val="tx1"/>
                        </w14:solidFill>
                      </w14:textFill>
                    </w:rPr>
                    <w:t>实行区域削减计划、大气污染防治工作计划等,</w:t>
                  </w:r>
                  <w:r>
                    <w:rPr>
                      <w:rFonts w:eastAsia="仿宋"/>
                      <w:color w:val="000000" w:themeColor="text1"/>
                      <w:szCs w:val="21"/>
                      <w14:textFill>
                        <w14:solidFill>
                          <w14:schemeClr w14:val="tx1"/>
                        </w14:solidFill>
                      </w14:textFill>
                    </w:rPr>
                    <w:t>常州市的大气空气质量将得到进一步改善，本项目各废气因子排放量较小，对周围保护目标影响均较小，均未超过各因子的环境质量标准。</w:t>
                  </w:r>
                </w:p>
              </w:tc>
              <w:tc>
                <w:tcPr>
                  <w:tcW w:w="683" w:type="pct"/>
                  <w:vAlign w:val="center"/>
                </w:tcPr>
                <w:p w14:paraId="3E62948E">
                  <w:pPr>
                    <w:pStyle w:val="58"/>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相符</w:t>
                  </w:r>
                </w:p>
              </w:tc>
            </w:tr>
            <w:tr w14:paraId="75DAE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9" w:type="pct"/>
                  <w:vMerge w:val="continue"/>
                  <w:vAlign w:val="center"/>
                </w:tcPr>
                <w:p w14:paraId="364FB58E">
                  <w:pPr>
                    <w:pStyle w:val="58"/>
                    <w:snapToGrid w:val="0"/>
                    <w:spacing w:line="240" w:lineRule="auto"/>
                    <w:rPr>
                      <w:rFonts w:eastAsia="仿宋"/>
                      <w:color w:val="000000" w:themeColor="text1"/>
                      <w:szCs w:val="21"/>
                      <w14:textFill>
                        <w14:solidFill>
                          <w14:schemeClr w14:val="tx1"/>
                        </w14:solidFill>
                      </w14:textFill>
                    </w:rPr>
                  </w:pPr>
                </w:p>
              </w:tc>
              <w:tc>
                <w:tcPr>
                  <w:tcW w:w="1978" w:type="pct"/>
                  <w:vAlign w:val="center"/>
                </w:tcPr>
                <w:p w14:paraId="2AF4D829">
                  <w:pPr>
                    <w:pStyle w:val="58"/>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（二）加强规划环评与建设项目环评联动，对不符合规划环评结论及审查意见的项目环评，依法不予审批。规划所包含项目的环评内容，可根据规划环评结论和审查意见予以简化。</w:t>
                  </w:r>
                </w:p>
              </w:tc>
              <w:tc>
                <w:tcPr>
                  <w:tcW w:w="1770" w:type="pct"/>
                  <w:vAlign w:val="center"/>
                </w:tcPr>
                <w:p w14:paraId="0E1572FE">
                  <w:pPr>
                    <w:pStyle w:val="58"/>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本项目建设内容及其选址、布局、规模等均符合环境保护法律法规和相关法定规划内容。</w:t>
                  </w:r>
                </w:p>
              </w:tc>
              <w:tc>
                <w:tcPr>
                  <w:tcW w:w="683" w:type="pct"/>
                  <w:vAlign w:val="center"/>
                </w:tcPr>
                <w:p w14:paraId="67E9226F">
                  <w:pPr>
                    <w:pStyle w:val="58"/>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相符</w:t>
                  </w:r>
                </w:p>
              </w:tc>
            </w:tr>
            <w:tr w14:paraId="78DFC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9" w:type="pct"/>
                  <w:vMerge w:val="continue"/>
                  <w:vAlign w:val="center"/>
                </w:tcPr>
                <w:p w14:paraId="6967C322">
                  <w:pPr>
                    <w:pStyle w:val="58"/>
                    <w:snapToGrid w:val="0"/>
                    <w:spacing w:line="240" w:lineRule="auto"/>
                    <w:rPr>
                      <w:rFonts w:eastAsia="仿宋"/>
                      <w:color w:val="000000" w:themeColor="text1"/>
                      <w:szCs w:val="21"/>
                      <w14:textFill>
                        <w14:solidFill>
                          <w14:schemeClr w14:val="tx1"/>
                        </w14:solidFill>
                      </w14:textFill>
                    </w:rPr>
                  </w:pPr>
                </w:p>
              </w:tc>
              <w:tc>
                <w:tcPr>
                  <w:tcW w:w="1978" w:type="pct"/>
                  <w:vAlign w:val="center"/>
                </w:tcPr>
                <w:p w14:paraId="4CB5D1E2">
                  <w:pPr>
                    <w:pStyle w:val="58"/>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（三）切实加强区域环境容量、环境承载力研究，不得审批突破环境容量和环境承载力的建设项目。</w:t>
                  </w:r>
                </w:p>
              </w:tc>
              <w:tc>
                <w:tcPr>
                  <w:tcW w:w="1770" w:type="pct"/>
                  <w:vAlign w:val="center"/>
                </w:tcPr>
                <w:p w14:paraId="76419F78">
                  <w:pPr>
                    <w:pStyle w:val="58"/>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本项目废气和生活污水排放的污染物不突破环境容量和环境承载力。</w:t>
                  </w:r>
                </w:p>
              </w:tc>
              <w:tc>
                <w:tcPr>
                  <w:tcW w:w="683" w:type="pct"/>
                  <w:vAlign w:val="center"/>
                </w:tcPr>
                <w:p w14:paraId="4E8FACAA">
                  <w:pPr>
                    <w:pStyle w:val="58"/>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相符</w:t>
                  </w:r>
                </w:p>
              </w:tc>
            </w:tr>
            <w:tr w14:paraId="41A70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9" w:type="pct"/>
                  <w:vMerge w:val="continue"/>
                  <w:vAlign w:val="center"/>
                </w:tcPr>
                <w:p w14:paraId="3C34BD60">
                  <w:pPr>
                    <w:pStyle w:val="58"/>
                    <w:snapToGrid w:val="0"/>
                    <w:spacing w:line="240" w:lineRule="auto"/>
                    <w:rPr>
                      <w:rFonts w:eastAsia="仿宋"/>
                      <w:color w:val="000000" w:themeColor="text1"/>
                      <w:szCs w:val="21"/>
                      <w14:textFill>
                        <w14:solidFill>
                          <w14:schemeClr w14:val="tx1"/>
                        </w14:solidFill>
                      </w14:textFill>
                    </w:rPr>
                  </w:pPr>
                </w:p>
              </w:tc>
              <w:tc>
                <w:tcPr>
                  <w:tcW w:w="1978" w:type="pct"/>
                  <w:vAlign w:val="center"/>
                </w:tcPr>
                <w:p w14:paraId="4E51EE68">
                  <w:pPr>
                    <w:pStyle w:val="58"/>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（四）应将"三线一单"作为建设项目环评审批的重要依据，严格落实生态环境分区管控要求，从严把好环境准入关。</w:t>
                  </w:r>
                </w:p>
              </w:tc>
              <w:tc>
                <w:tcPr>
                  <w:tcW w:w="1770" w:type="pct"/>
                  <w:vAlign w:val="center"/>
                </w:tcPr>
                <w:p w14:paraId="3833E027">
                  <w:pPr>
                    <w:pStyle w:val="58"/>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本项目符合“三线一单”相关要求。</w:t>
                  </w:r>
                </w:p>
              </w:tc>
              <w:tc>
                <w:tcPr>
                  <w:tcW w:w="683" w:type="pct"/>
                  <w:vAlign w:val="center"/>
                </w:tcPr>
                <w:p w14:paraId="392AFFE0">
                  <w:pPr>
                    <w:pStyle w:val="58"/>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相符</w:t>
                  </w:r>
                </w:p>
              </w:tc>
            </w:tr>
          </w:tbl>
          <w:p w14:paraId="3FDF10E7">
            <w:pPr>
              <w:spacing w:line="50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7、</w:t>
            </w:r>
            <w:r>
              <w:rPr>
                <w:rFonts w:eastAsia="仿宋"/>
                <w:bCs/>
                <w:color w:val="000000" w:themeColor="text1"/>
                <w:sz w:val="24"/>
                <w14:textFill>
                  <w14:solidFill>
                    <w14:schemeClr w14:val="tx1"/>
                  </w14:solidFill>
                </w14:textFill>
              </w:rPr>
              <w:t>项目与《市生态环境局关于建设项目的审批指导意见(试行)》相符性分析如下。</w:t>
            </w:r>
          </w:p>
          <w:p w14:paraId="6B985491">
            <w:pPr>
              <w:spacing w:line="480" w:lineRule="exact"/>
              <w:jc w:val="center"/>
              <w:rPr>
                <w:rFonts w:eastAsia="仿宋"/>
                <w:b/>
                <w:bCs/>
                <w:color w:val="000000" w:themeColor="text1"/>
                <w14:textFill>
                  <w14:solidFill>
                    <w14:schemeClr w14:val="tx1"/>
                  </w14:solidFill>
                </w14:textFill>
              </w:rPr>
            </w:pPr>
            <w:r>
              <w:rPr>
                <w:rFonts w:hint="eastAsia" w:eastAsia="仿宋"/>
                <w:b/>
                <w:bCs/>
                <w:color w:val="000000" w:themeColor="text1"/>
                <w14:textFill>
                  <w14:solidFill>
                    <w14:schemeClr w14:val="tx1"/>
                  </w14:solidFill>
                </w14:textFill>
              </w:rPr>
              <w:t>表1</w:t>
            </w:r>
            <w:r>
              <w:rPr>
                <w:rFonts w:eastAsia="仿宋"/>
                <w:b/>
                <w:bCs/>
                <w:color w:val="000000" w:themeColor="text1"/>
                <w14:textFill>
                  <w14:solidFill>
                    <w14:schemeClr w14:val="tx1"/>
                  </w14:solidFill>
                </w14:textFill>
              </w:rPr>
              <w:t>-12 与《市生态环境局关于建设项目的审批指导意见(试行)》对照分析</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59"/>
              <w:gridCol w:w="3257"/>
              <w:gridCol w:w="846"/>
            </w:tblGrid>
            <w:tr w14:paraId="217C3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3" w:type="pct"/>
                  <w:vAlign w:val="center"/>
                </w:tcPr>
                <w:p w14:paraId="4DF13908">
                  <w:pPr>
                    <w:pStyle w:val="58"/>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标准要求</w:t>
                  </w:r>
                </w:p>
              </w:tc>
              <w:tc>
                <w:tcPr>
                  <w:tcW w:w="2045" w:type="pct"/>
                  <w:vAlign w:val="center"/>
                </w:tcPr>
                <w:p w14:paraId="3A25D993">
                  <w:pPr>
                    <w:pStyle w:val="58"/>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本项目概况</w:t>
                  </w:r>
                </w:p>
              </w:tc>
              <w:tc>
                <w:tcPr>
                  <w:tcW w:w="531" w:type="pct"/>
                  <w:vAlign w:val="center"/>
                </w:tcPr>
                <w:p w14:paraId="5918A4EF">
                  <w:pPr>
                    <w:pStyle w:val="58"/>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是否相符</w:t>
                  </w:r>
                </w:p>
              </w:tc>
            </w:tr>
            <w:tr w14:paraId="32145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3" w:type="pct"/>
                  <w:vAlign w:val="center"/>
                </w:tcPr>
                <w:p w14:paraId="357FDCD0">
                  <w:pPr>
                    <w:widowControl/>
                    <w:adjustRightInd w:val="0"/>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1、严格项目总量。实施建设项目大气污染物总量负增长原则，即重点区域内建设项目使用大气污染物总量，原则上在重点区域范围内实施总量平衡，且必须实行总量2倍减量替代。</w:t>
                  </w:r>
                </w:p>
                <w:p w14:paraId="0546DBFA">
                  <w:pPr>
                    <w:widowControl/>
                    <w:adjustRightInd w:val="0"/>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2、强化环评审批。对重点区域内新上的大气污染物排放的建设项目及全市范围内新上高能耗项目，审批部门对其环评文本应实施质量评估。</w:t>
                  </w:r>
                </w:p>
                <w:p w14:paraId="0A71B315">
                  <w:pPr>
                    <w:pStyle w:val="58"/>
                    <w:snapToGrid w:val="0"/>
                    <w:spacing w:line="240" w:lineRule="auto"/>
                    <w:jc w:val="both"/>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3、推进减污降碳。对重点区域内新上的涉及大气污染物排放的建设项目及全市范围内新上高能耗建设项目的严格审批，区级审批部门审批前需向市生态环境局报备，审批部门方可出具审批文件。</w:t>
                  </w:r>
                </w:p>
              </w:tc>
              <w:tc>
                <w:tcPr>
                  <w:tcW w:w="2045" w:type="pct"/>
                  <w:vAlign w:val="center"/>
                </w:tcPr>
                <w:p w14:paraId="46EFD504">
                  <w:pPr>
                    <w:pStyle w:val="58"/>
                    <w:snapToGrid w:val="0"/>
                    <w:spacing w:line="240" w:lineRule="auto"/>
                    <w:jc w:val="both"/>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目前，本项目处于环评编制阶段，不在重点区域内，在环评审批前将严格落实主要污染物排放总量指标控制制度，取得主要污染物排放总量的控制指标和平衡方案，故符合文件要求</w:t>
                  </w:r>
                  <w:r>
                    <w:rPr>
                      <w:rFonts w:eastAsia="仿宋"/>
                      <w:color w:val="000000" w:themeColor="text1"/>
                      <w:szCs w:val="21"/>
                      <w14:textFill>
                        <w14:solidFill>
                          <w14:schemeClr w14:val="tx1"/>
                        </w14:solidFill>
                      </w14:textFill>
                    </w:rPr>
                    <w:t>。</w:t>
                  </w:r>
                </w:p>
                <w:p w14:paraId="79CBD09E">
                  <w:pPr>
                    <w:pStyle w:val="58"/>
                    <w:snapToGrid w:val="0"/>
                    <w:spacing w:line="240" w:lineRule="auto"/>
                    <w:jc w:val="both"/>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对照</w:t>
                  </w:r>
                  <w:r>
                    <w:rPr>
                      <w:rFonts w:eastAsia="仿宋"/>
                      <w:color w:val="000000" w:themeColor="text1"/>
                      <w:szCs w:val="21"/>
                      <w14:textFill>
                        <w14:solidFill>
                          <w14:schemeClr w14:val="tx1"/>
                        </w14:solidFill>
                      </w14:textFill>
                    </w:rPr>
                    <w:t>《高耗能行业重点领域能效标杆水平和基准水平（2021年版）》</w:t>
                  </w:r>
                  <w:r>
                    <w:rPr>
                      <w:rFonts w:hint="eastAsia"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《关于加强高耗能、高排放建设项目生态环境源头防控的指导意见》（环环评〔2021〕45号）</w:t>
                  </w:r>
                  <w:r>
                    <w:rPr>
                      <w:rFonts w:hint="eastAsia" w:eastAsia="仿宋"/>
                      <w:color w:val="000000" w:themeColor="text1"/>
                      <w:szCs w:val="21"/>
                      <w14:textFill>
                        <w14:solidFill>
                          <w14:schemeClr w14:val="tx1"/>
                        </w14:solidFill>
                      </w14:textFill>
                    </w:rPr>
                    <w:t>，本项目</w:t>
                  </w:r>
                  <w:r>
                    <w:rPr>
                      <w:rFonts w:eastAsia="仿宋"/>
                      <w:color w:val="000000" w:themeColor="text1"/>
                      <w:szCs w:val="21"/>
                      <w14:textFill>
                        <w14:solidFill>
                          <w14:schemeClr w14:val="tx1"/>
                        </w14:solidFill>
                      </w14:textFill>
                    </w:rPr>
                    <w:t>不属于高能耗项目</w:t>
                  </w:r>
                  <w:r>
                    <w:rPr>
                      <w:rFonts w:hint="eastAsia" w:eastAsia="仿宋"/>
                      <w:color w:val="000000" w:themeColor="text1"/>
                      <w:szCs w:val="21"/>
                      <w14:textFill>
                        <w14:solidFill>
                          <w14:schemeClr w14:val="tx1"/>
                        </w14:solidFill>
                      </w14:textFill>
                    </w:rPr>
                    <w:t>。</w:t>
                  </w:r>
                </w:p>
              </w:tc>
              <w:tc>
                <w:tcPr>
                  <w:tcW w:w="531" w:type="pct"/>
                  <w:vAlign w:val="center"/>
                </w:tcPr>
                <w:p w14:paraId="1B0F3942">
                  <w:pPr>
                    <w:pStyle w:val="58"/>
                    <w:snapToGrid w:val="0"/>
                    <w:spacing w:line="240" w:lineRule="auto"/>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相符</w:t>
                  </w:r>
                </w:p>
              </w:tc>
            </w:tr>
          </w:tbl>
          <w:p w14:paraId="513B7F00">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8</w:t>
            </w:r>
            <w:r>
              <w:rPr>
                <w:rFonts w:eastAsia="仿宋"/>
                <w:bCs/>
                <w:color w:val="000000" w:themeColor="text1"/>
                <w:sz w:val="24"/>
                <w14:textFill>
                  <w14:solidFill>
                    <w14:schemeClr w14:val="tx1"/>
                  </w14:solidFill>
                </w14:textFill>
              </w:rPr>
              <w:t>、与</w:t>
            </w:r>
            <w:bookmarkStart w:id="12" w:name="_Hlk119418291"/>
            <w:r>
              <w:rPr>
                <w:rFonts w:eastAsia="仿宋"/>
                <w:bCs/>
                <w:color w:val="000000" w:themeColor="text1"/>
                <w:sz w:val="24"/>
                <w14:textFill>
                  <w14:solidFill>
                    <w14:schemeClr w14:val="tx1"/>
                  </w14:solidFill>
                </w14:textFill>
              </w:rPr>
              <w:t>《省生态环境厅关于深入开展涉VOCs治理重点工作核查的通知》（苏环办〔2022〕218号）</w:t>
            </w:r>
            <w:bookmarkEnd w:id="12"/>
            <w:r>
              <w:rPr>
                <w:rFonts w:eastAsia="仿宋"/>
                <w:bCs/>
                <w:color w:val="000000" w:themeColor="text1"/>
                <w:sz w:val="24"/>
                <w14:textFill>
                  <w14:solidFill>
                    <w14:schemeClr w14:val="tx1"/>
                  </w14:solidFill>
                </w14:textFill>
              </w:rPr>
              <w:t>相符性分析</w:t>
            </w:r>
          </w:p>
          <w:p w14:paraId="7283FDBC">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省生态环境厅关于深入开展涉VOCs治理重点工作核查的通知》，为遏制臭氧污染严峻形势，进一步压降我省VOCs排放总量，切实解决涉气企业在使用活性炭处理工艺存在的设计不规范、以次充好、填充量不足、更换不及时等实际问题，强化排污单位废气治理规范化，省厅决定开展涉VOCs治理重点工作入户核查工作。</w:t>
            </w:r>
          </w:p>
          <w:p w14:paraId="4CAA143A">
            <w:pPr>
              <w:spacing w:line="480" w:lineRule="exact"/>
              <w:ind w:firstLine="480" w:firstLineChars="200"/>
              <w:rPr>
                <w:rFonts w:eastAsia="仿宋"/>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全面开展入户核查。各级生态环境部门要组织第三方专家团队，对辖区内采用活性炭吸附处理工艺的企业进行一轮入户核查。对照《活性炭吸附装置入户核查要求》，从设计风量、设备质量、气体流速、活性炭质量及填充量等六个方面进行现场核查，并使用省厅云桌面移动端（政府“环保脸谱”App）逐一录入相关信息，录入时间另行通知。对于其中有一项或多项指标不达标的，要求企业按照相关标准规范逐项整改，并给出整改期限。有条件的城市可以对第三方治理单位开展评估，对问题企业予以曝光；对发现涉及活性炭产品质量问题线索，及时移交同级市场监管部门。</w:t>
            </w:r>
          </w:p>
          <w:p w14:paraId="33D6C385">
            <w:pPr>
              <w:spacing w:line="480" w:lineRule="exact"/>
              <w:ind w:firstLine="480" w:firstLineChars="200"/>
              <w:rPr>
                <w:rFonts w:eastAsia="仿宋"/>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健全制度规范管理。活性炭吸附处理装置应先于产生废气的生产工艺设备开启、晚于生产工艺设备停机，鼓励有条件的实现与生产装置的连锁控制。所有活性炭吸附装置应设置铭牌并张贴在装置醒目位置（可参照排污口设置规范），包含环保产品名称、型号、风量、活性炭名称、装填量、装填方式、活性炭碘值、比表面积等内容。企业应做好活性炭吸附日常运行维护台账记录，主要包括设备运行启停时间、设备运行参数、耗材消耗（采购量、使用量、装填量、更换量和更换时间、处置记录等）及能源消耗（电耗）等，台账记录保存期限不得少于5年。</w:t>
            </w:r>
          </w:p>
          <w:p w14:paraId="5117A5F9">
            <w:pPr>
              <w:spacing w:line="480" w:lineRule="exact"/>
              <w:ind w:firstLine="480" w:firstLineChars="200"/>
              <w:rPr>
                <w:rFonts w:eastAsia="仿宋"/>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③</w:t>
            </w:r>
            <w:r>
              <w:rPr>
                <w:rFonts w:eastAsia="仿宋"/>
                <w:bCs/>
                <w:color w:val="000000" w:themeColor="text1"/>
                <w:sz w:val="24"/>
                <w14:textFill>
                  <w14:solidFill>
                    <w14:schemeClr w14:val="tx1"/>
                  </w14:solidFill>
                </w14:textFill>
              </w:rPr>
              <w:t>建立长效管理机制。各地要组织企业登录江苏省污染源“一企一档”管理系统（企业“环保脸谱”）录入活性炭吸附设施相关信息、定期上传设施运行维护记录、签收活性炭状态预警及超期信息，录入时间另行通知。各级生态环境工作人员要及时在省厅云桌面电脑端（政府“环保脸谱”管理端）内查看活性炭状态预警及超期信息，督促企业定期、规范更换优质活性炭。一旦发现企业不及时整改，或整改后预警信息仍然存在等情况，应及时组织执法人员开展现场检查。</w:t>
            </w:r>
          </w:p>
          <w:p w14:paraId="13472770">
            <w:pPr>
              <w:spacing w:line="480" w:lineRule="exact"/>
              <w:ind w:firstLine="480" w:firstLineChars="200"/>
              <w:rPr>
                <w:rFonts w:eastAsia="仿宋"/>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④</w:t>
            </w:r>
            <w:r>
              <w:rPr>
                <w:rFonts w:eastAsia="仿宋"/>
                <w:bCs/>
                <w:color w:val="000000" w:themeColor="text1"/>
                <w:sz w:val="24"/>
                <w14:textFill>
                  <w14:solidFill>
                    <w14:schemeClr w14:val="tx1"/>
                  </w14:solidFill>
                </w14:textFill>
              </w:rPr>
              <w:t>加强领导和业务指导。各地要充分认识当前臭氧污染防治的严峻形势，牢固树立求真务实、严谨细致的工作作风扎扎实实深入一线，切实增强紧迫感、责任感，主动指导企业运行维护好活性炭吸附装置。各地要提前谋划，组织有大气污染治理工程经验的专家成立专家团队，制定周密具体、操作性强的工作方案，明确入户核查的工作任务、人员分工和时间安排。通过现场核查、专题培训、帮扶指导、新媒体信息推送等多种方式，解决一批活性炭吸附装置管理工作中存在的普遍性问题，确保污染物稳定达标排放。省厅将就“环保脸谱”的使用及填报要求进行培训。各地在对活性炭吸附装置开展入户核查的同时，同步对辖区涉VOCs企业末端治理设施开展入户摸底排查。对未配套建设废气治理设施的企业依法责令停产，限期整改</w:t>
            </w:r>
            <w:r>
              <w:rPr>
                <w:rFonts w:hint="eastAsia"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除恶臭异味治理外，新建企业一律不得采用单一低温等离子、光催化、光氧化、水喷淋等低效末端治理技术，对于已建企业应采用组合式或其他高效治理工艺进行改造，各地根据实际情况确定各企业改造时间，最长不超过3个月。</w:t>
            </w:r>
          </w:p>
          <w:p w14:paraId="2BC0AF55">
            <w:pPr>
              <w:spacing w:line="480" w:lineRule="exact"/>
              <w:ind w:firstLine="482" w:firstLineChars="200"/>
              <w:rPr>
                <w:rFonts w:eastAsia="仿宋"/>
                <w:bCs/>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对照分析：</w:t>
            </w:r>
            <w:r>
              <w:rPr>
                <w:rFonts w:eastAsia="仿宋"/>
                <w:bCs/>
                <w:color w:val="000000" w:themeColor="text1"/>
                <w:sz w:val="24"/>
                <w14:textFill>
                  <w14:solidFill>
                    <w14:schemeClr w14:val="tx1"/>
                  </w14:solidFill>
                </w14:textFill>
              </w:rPr>
              <w:t>本项目建成后将针对活性炭处理工艺设计风量、设备质量、气体流速、活性炭质量及填充量等方面进行完善，强化废气治理规范化。</w:t>
            </w:r>
          </w:p>
          <w:p w14:paraId="78FD317E">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由上表可知，本项目符合</w:t>
            </w:r>
            <w:r>
              <w:rPr>
                <w:rFonts w:hint="eastAsia" w:eastAsia="仿宋"/>
                <w:bCs/>
                <w:color w:val="000000" w:themeColor="text1"/>
                <w:sz w:val="24"/>
                <w14:textFill>
                  <w14:solidFill>
                    <w14:schemeClr w14:val="tx1"/>
                  </w14:solidFill>
                </w14:textFill>
              </w:rPr>
              <w:t>《江苏省挥发性有机物清洁原料替代工作方案的通知》（苏大气办〔2021〕2号）</w:t>
            </w:r>
            <w:r>
              <w:rPr>
                <w:rFonts w:eastAsia="仿宋"/>
                <w:bCs/>
                <w:color w:val="000000" w:themeColor="text1"/>
                <w:sz w:val="24"/>
                <w14:textFill>
                  <w14:solidFill>
                    <w14:schemeClr w14:val="tx1"/>
                  </w14:solidFill>
                </w14:textFill>
              </w:rPr>
              <w:t>的相关要求。</w:t>
            </w:r>
          </w:p>
          <w:p w14:paraId="184B5854">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11、与《实验室废气污染控制技术规范》（DB32/T4455-2023）的</w:t>
            </w:r>
            <w:r>
              <w:rPr>
                <w:rFonts w:eastAsia="仿宋"/>
                <w:bCs/>
                <w:color w:val="000000" w:themeColor="text1"/>
                <w:sz w:val="24"/>
                <w14:textFill>
                  <w14:solidFill>
                    <w14:schemeClr w14:val="tx1"/>
                  </w14:solidFill>
                </w14:textFill>
              </w:rPr>
              <w:t>对照分析</w:t>
            </w:r>
          </w:p>
          <w:p w14:paraId="1D8842E5">
            <w:pPr>
              <w:spacing w:line="480" w:lineRule="exact"/>
              <w:jc w:val="center"/>
              <w:rPr>
                <w:rFonts w:eastAsia="仿宋"/>
                <w:b/>
                <w:bCs/>
                <w:color w:val="000000" w:themeColor="text1"/>
                <w14:textFill>
                  <w14:solidFill>
                    <w14:schemeClr w14:val="tx1"/>
                  </w14:solidFill>
                </w14:textFill>
              </w:rPr>
            </w:pPr>
            <w:r>
              <w:rPr>
                <w:rFonts w:hint="eastAsia" w:eastAsia="仿宋"/>
                <w:b/>
                <w:bCs/>
                <w:color w:val="000000" w:themeColor="text1"/>
                <w14:textFill>
                  <w14:solidFill>
                    <w14:schemeClr w14:val="tx1"/>
                  </w14:solidFill>
                </w14:textFill>
              </w:rPr>
              <w:t>表1</w:t>
            </w:r>
            <w:r>
              <w:rPr>
                <w:rFonts w:eastAsia="仿宋"/>
                <w:b/>
                <w:bCs/>
                <w:color w:val="000000" w:themeColor="text1"/>
                <w14:textFill>
                  <w14:solidFill>
                    <w14:schemeClr w14:val="tx1"/>
                  </w14:solidFill>
                </w14:textFill>
              </w:rPr>
              <w:t>-13 与</w:t>
            </w:r>
            <w:r>
              <w:rPr>
                <w:rFonts w:hint="eastAsia" w:eastAsia="仿宋"/>
                <w:b/>
                <w:bCs/>
                <w:color w:val="000000" w:themeColor="text1"/>
                <w14:textFill>
                  <w14:solidFill>
                    <w14:schemeClr w14:val="tx1"/>
                  </w14:solidFill>
                </w14:textFill>
              </w:rPr>
              <w:t>DB32/T4455-2023</w:t>
            </w:r>
            <w:r>
              <w:rPr>
                <w:rFonts w:eastAsia="仿宋"/>
                <w:b/>
                <w:bCs/>
                <w:color w:val="000000" w:themeColor="text1"/>
                <w14:textFill>
                  <w14:solidFill>
                    <w14:schemeClr w14:val="tx1"/>
                  </w14:solidFill>
                </w14:textFill>
              </w:rPr>
              <w:t>对照分析</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4921"/>
              <w:gridCol w:w="1976"/>
            </w:tblGrid>
            <w:tr w14:paraId="6D69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669" w:type="pct"/>
                  <w:shd w:val="clear" w:color="auto" w:fill="auto"/>
                  <w:vAlign w:val="center"/>
                </w:tcPr>
                <w:p w14:paraId="0F7AFD66">
                  <w:pPr>
                    <w:autoSpaceDE w:val="0"/>
                    <w:autoSpaceDN w:val="0"/>
                    <w:adjustRightInd w:val="0"/>
                    <w:snapToGrid w:val="0"/>
                    <w:spacing w:line="276" w:lineRule="exact"/>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类别</w:t>
                  </w:r>
                </w:p>
              </w:tc>
              <w:tc>
                <w:tcPr>
                  <w:tcW w:w="3090" w:type="pct"/>
                  <w:shd w:val="clear" w:color="auto" w:fill="auto"/>
                  <w:vAlign w:val="center"/>
                </w:tcPr>
                <w:p w14:paraId="7C57D9FD">
                  <w:pPr>
                    <w:autoSpaceDE w:val="0"/>
                    <w:autoSpaceDN w:val="0"/>
                    <w:adjustRightInd w:val="0"/>
                    <w:snapToGrid w:val="0"/>
                    <w:spacing w:line="276" w:lineRule="exact"/>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文件要求</w:t>
                  </w:r>
                </w:p>
              </w:tc>
              <w:tc>
                <w:tcPr>
                  <w:tcW w:w="1242" w:type="pct"/>
                  <w:shd w:val="clear" w:color="auto" w:fill="auto"/>
                  <w:vAlign w:val="center"/>
                </w:tcPr>
                <w:p w14:paraId="5152B7FE">
                  <w:pPr>
                    <w:autoSpaceDE w:val="0"/>
                    <w:autoSpaceDN w:val="0"/>
                    <w:adjustRightInd w:val="0"/>
                    <w:snapToGrid w:val="0"/>
                    <w:spacing w:line="276" w:lineRule="exact"/>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对照分析</w:t>
                  </w:r>
                </w:p>
              </w:tc>
            </w:tr>
            <w:tr w14:paraId="1B98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9" w:type="pct"/>
                  <w:shd w:val="clear" w:color="auto" w:fill="auto"/>
                  <w:vAlign w:val="center"/>
                </w:tcPr>
                <w:p w14:paraId="0266B809">
                  <w:pPr>
                    <w:autoSpaceDE w:val="0"/>
                    <w:autoSpaceDN w:val="0"/>
                    <w:adjustRightInd w:val="0"/>
                    <w:snapToGrid w:val="0"/>
                    <w:spacing w:line="276" w:lineRule="exact"/>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4.总体要求</w:t>
                  </w:r>
                </w:p>
              </w:tc>
              <w:tc>
                <w:tcPr>
                  <w:tcW w:w="3090" w:type="pct"/>
                  <w:shd w:val="clear" w:color="auto" w:fill="auto"/>
                  <w:vAlign w:val="center"/>
                </w:tcPr>
                <w:p w14:paraId="39AEDC0E">
                  <w:pPr>
                    <w:autoSpaceDE w:val="0"/>
                    <w:autoSpaceDN w:val="0"/>
                    <w:adjustRightInd w:val="0"/>
                    <w:snapToGrid w:val="0"/>
                    <w:spacing w:line="276" w:lineRule="exact"/>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实验室单位产生的废气应经过排风柜或排风罩等方式收集，按照相关工程技术规范对净化工艺和设备进行科学设计和施工，排出室外的有机、无机废气应符合GB14554和DB32/4041的规定(国家或地方行业污染物排放标准中对实验室废气已作规定的，按相应行业排放标准规定执行)；</w:t>
                  </w:r>
                </w:p>
                <w:p w14:paraId="043CD411">
                  <w:pPr>
                    <w:autoSpaceDE w:val="0"/>
                    <w:autoSpaceDN w:val="0"/>
                    <w:adjustRightInd w:val="0"/>
                    <w:snapToGrid w:val="0"/>
                    <w:spacing w:line="276" w:lineRule="exact"/>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收集废气中NMHC初始排放速率大于或等于2kg/h的实验室单元，废气净化效率不低于80%；收集废气中NMHC初始排放速率在0.2kg/h~2kg/h(0.2kg/h)范围内的实验室单元，废气净化效率不低于60%；收集废气中NMHC初始排放速率在0.02kg/h~0.2kg/h(含0.02kg/h)范围内的实验室单元。废气净化效率不低于50%。</w:t>
                  </w:r>
                </w:p>
              </w:tc>
              <w:tc>
                <w:tcPr>
                  <w:tcW w:w="1242" w:type="pct"/>
                  <w:vMerge w:val="restart"/>
                  <w:shd w:val="clear" w:color="auto" w:fill="auto"/>
                  <w:vAlign w:val="center"/>
                </w:tcPr>
                <w:p w14:paraId="2CA04587">
                  <w:pPr>
                    <w:wordWrap w:val="0"/>
                    <w:autoSpaceDE w:val="0"/>
                    <w:autoSpaceDN w:val="0"/>
                    <w:adjustRightInd w:val="0"/>
                    <w:snapToGrid w:val="0"/>
                    <w:rPr>
                      <w:rFonts w:eastAsia="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本项目产生的废气主要是指挥发性有机废气；本项目运营过程中产生的废气均通过集气管道/密闭房间整体换风/集气罩收集方式进行收集，收集后的废气经两级活性炭吸附装置处理后有组织排放；本项目有机废气初始排放速</w:t>
                  </w:r>
                  <w:r>
                    <w:rPr>
                      <w:rFonts w:eastAsia="仿宋"/>
                      <w:bCs/>
                      <w:color w:val="000000" w:themeColor="text1"/>
                      <w:szCs w:val="21"/>
                      <w14:textFill>
                        <w14:solidFill>
                          <w14:schemeClr w14:val="tx1"/>
                        </w14:solidFill>
                      </w14:textFill>
                    </w:rPr>
                    <w:t>率为0.075kg/h</w:t>
                  </w:r>
                  <w:r>
                    <w:rPr>
                      <w:rFonts w:hint="eastAsia" w:eastAsia="仿宋"/>
                      <w:bCs/>
                      <w:color w:val="000000" w:themeColor="text1"/>
                      <w:szCs w:val="21"/>
                      <w14:textFill>
                        <w14:solidFill>
                          <w14:schemeClr w14:val="tx1"/>
                        </w14:solidFill>
                      </w14:textFill>
                    </w:rPr>
                    <w:t>（0.02kg/h＜</w:t>
                  </w:r>
                  <w:r>
                    <w:rPr>
                      <w:rFonts w:eastAsia="仿宋"/>
                      <w:bCs/>
                      <w:color w:val="000000" w:themeColor="text1"/>
                      <w:szCs w:val="21"/>
                      <w14:textFill>
                        <w14:solidFill>
                          <w14:schemeClr w14:val="tx1"/>
                        </w14:solidFill>
                      </w14:textFill>
                    </w:rPr>
                    <w:t>0.075kg/h</w:t>
                  </w:r>
                  <w:r>
                    <w:rPr>
                      <w:rFonts w:hint="eastAsia" w:eastAsia="仿宋"/>
                      <w:bCs/>
                      <w:color w:val="000000" w:themeColor="text1"/>
                      <w:szCs w:val="21"/>
                      <w14:textFill>
                        <w14:solidFill>
                          <w14:schemeClr w14:val="tx1"/>
                        </w14:solidFill>
                      </w14:textFill>
                    </w:rPr>
                    <w:t>＜0</w:t>
                  </w:r>
                  <w:r>
                    <w:rPr>
                      <w:rFonts w:eastAsia="仿宋"/>
                      <w:bCs/>
                      <w:color w:val="000000" w:themeColor="text1"/>
                      <w:szCs w:val="21"/>
                      <w14:textFill>
                        <w14:solidFill>
                          <w14:schemeClr w14:val="tx1"/>
                        </w14:solidFill>
                      </w14:textFill>
                    </w:rPr>
                    <w:t>.2kg/h</w:t>
                  </w:r>
                  <w:r>
                    <w:rPr>
                      <w:rFonts w:hint="eastAsia" w:eastAsia="仿宋"/>
                      <w:bCs/>
                      <w:color w:val="000000" w:themeColor="text1"/>
                      <w:szCs w:val="21"/>
                      <w14:textFill>
                        <w14:solidFill>
                          <w14:schemeClr w14:val="tx1"/>
                        </w14:solidFill>
                      </w14:textFill>
                    </w:rPr>
                    <w:t>），考虑</w:t>
                  </w:r>
                  <w:r>
                    <w:rPr>
                      <w:rFonts w:eastAsia="仿宋"/>
                      <w:bCs/>
                      <w:color w:val="000000" w:themeColor="text1"/>
                      <w:szCs w:val="21"/>
                      <w14:textFill>
                        <w14:solidFill>
                          <w14:schemeClr w14:val="tx1"/>
                        </w14:solidFill>
                      </w14:textFill>
                    </w:rPr>
                    <w:t>到初始浓度较低，本项目两级活性炭对挥发性有机废气的净化效率取75%</w:t>
                  </w:r>
                  <w:r>
                    <w:rPr>
                      <w:rFonts w:hint="eastAsia" w:eastAsia="仿宋"/>
                      <w:bCs/>
                      <w:color w:val="000000" w:themeColor="text1"/>
                      <w:szCs w:val="21"/>
                      <w14:textFill>
                        <w14:solidFill>
                          <w14:schemeClr w14:val="tx1"/>
                        </w14:solidFill>
                      </w14:textFill>
                    </w:rPr>
                    <w:t>。根据设计单位提供的《活性炭技术参数》，本项目采用的活性炭碘值为800mg/g，比表面积≥1400</w:t>
                  </w:r>
                  <w:r>
                    <w:rPr>
                      <w:rFonts w:eastAsia="仿宋"/>
                      <w:color w:val="000000" w:themeColor="text1"/>
                      <w:szCs w:val="21"/>
                      <w14:textFill>
                        <w14:solidFill>
                          <w14:schemeClr w14:val="tx1"/>
                        </w14:solidFill>
                      </w14:textFill>
                    </w:rPr>
                    <w:t>m</w:t>
                  </w:r>
                  <w:r>
                    <w:rPr>
                      <w:rFonts w:eastAsia="仿宋"/>
                      <w:color w:val="000000" w:themeColor="text1"/>
                      <w:szCs w:val="21"/>
                      <w:vertAlign w:val="superscript"/>
                      <w14:textFill>
                        <w14:solidFill>
                          <w14:schemeClr w14:val="tx1"/>
                        </w14:solidFill>
                      </w14:textFill>
                    </w:rPr>
                    <w:t>2</w:t>
                  </w:r>
                  <w:r>
                    <w:rPr>
                      <w:rFonts w:eastAsia="仿宋"/>
                      <w:color w:val="000000" w:themeColor="text1"/>
                      <w:szCs w:val="21"/>
                      <w14:textFill>
                        <w14:solidFill>
                          <w14:schemeClr w14:val="tx1"/>
                        </w14:solidFill>
                      </w14:textFill>
                    </w:rPr>
                    <w:t>/g</w:t>
                  </w:r>
                  <w:r>
                    <w:rPr>
                      <w:rFonts w:hint="eastAsia" w:eastAsia="仿宋"/>
                      <w:color w:val="000000" w:themeColor="text1"/>
                      <w:szCs w:val="21"/>
                      <w14:textFill>
                        <w14:solidFill>
                          <w14:schemeClr w14:val="tx1"/>
                        </w14:solidFill>
                      </w14:textFill>
                    </w:rPr>
                    <w:t>，停留时间可达3s</w:t>
                  </w:r>
                  <w:r>
                    <w:rPr>
                      <w:rFonts w:eastAsia="仿宋"/>
                      <w:color w:val="000000" w:themeColor="text1"/>
                      <w:szCs w:val="21"/>
                      <w14:textFill>
                        <w14:solidFill>
                          <w14:schemeClr w14:val="tx1"/>
                        </w14:solidFill>
                      </w14:textFill>
                    </w:rPr>
                    <w:t>；本项目活性炭更换频次按照90天（3个月），不超过6个月。</w:t>
                  </w:r>
                </w:p>
              </w:tc>
            </w:tr>
            <w:tr w14:paraId="75715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9" w:type="pct"/>
                  <w:shd w:val="clear" w:color="auto" w:fill="auto"/>
                  <w:vAlign w:val="center"/>
                </w:tcPr>
                <w:p w14:paraId="33154D43">
                  <w:pPr>
                    <w:autoSpaceDE w:val="0"/>
                    <w:autoSpaceDN w:val="0"/>
                    <w:adjustRightInd w:val="0"/>
                    <w:snapToGrid w:val="0"/>
                    <w:spacing w:line="276" w:lineRule="exact"/>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5.废气收集</w:t>
                  </w:r>
                </w:p>
              </w:tc>
              <w:tc>
                <w:tcPr>
                  <w:tcW w:w="3090" w:type="pct"/>
                  <w:shd w:val="clear" w:color="auto" w:fill="auto"/>
                  <w:vAlign w:val="center"/>
                </w:tcPr>
                <w:p w14:paraId="5341DAEE">
                  <w:pPr>
                    <w:autoSpaceDE w:val="0"/>
                    <w:autoSpaceDN w:val="0"/>
                    <w:adjustRightInd w:val="0"/>
                    <w:snapToGrid w:val="0"/>
                    <w:spacing w:line="276" w:lineRule="exact"/>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应根据实验室单元易挥发物质的产生和使用情况，统筹设置废气收集装置，实验室门窗或通风口等排放口外废气无组织排放监控点浓度限值和监测应符合GB37822和DB32/4041的要求；</w:t>
                  </w:r>
                </w:p>
                <w:p w14:paraId="2078C344">
                  <w:pPr>
                    <w:autoSpaceDE w:val="0"/>
                    <w:autoSpaceDN w:val="0"/>
                    <w:adjustRightInd w:val="0"/>
                    <w:snapToGrid w:val="0"/>
                    <w:spacing w:line="276" w:lineRule="exact"/>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根据易挥发物质的产生和使用情况、废气特征等因素，在条件允许的情况下，进行分质收集处理。同类废气宜集中收集处理；</w:t>
                  </w:r>
                </w:p>
                <w:p w14:paraId="53E7C345">
                  <w:pPr>
                    <w:autoSpaceDE w:val="0"/>
                    <w:autoSpaceDN w:val="0"/>
                    <w:adjustRightInd w:val="0"/>
                    <w:snapToGrid w:val="0"/>
                    <w:spacing w:line="276" w:lineRule="exact"/>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有废气产生的实验设备和操作工位宜设置在排风柜中，进行实验操作时排风柜应正常开启，操作口平均面风速不宜低于0.4m/s。排风柜应符合JB/T6412的要求，变风量排风柜应符合JG/T222的要求，可在排风柜出口选配活性炭过滤器；</w:t>
                  </w:r>
                </w:p>
                <w:p w14:paraId="7D3B176A">
                  <w:pPr>
                    <w:autoSpaceDE w:val="0"/>
                    <w:autoSpaceDN w:val="0"/>
                    <w:adjustRightInd w:val="0"/>
                    <w:snapToGrid w:val="0"/>
                    <w:spacing w:line="276" w:lineRule="exact"/>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产生和使用易挥发物质的仪器或操作工位，以及其他产生废气的实验室设备，未在排风柜中进行的，应在其上方安装废气收集排风罩，排风罩设置应符合GB/T16758的规定。距排风罩开口面最远处废气无组织排放位置控制风速不应低于0.3m/s，控制风速的测量按照GB/T6758、WS/T757执行；</w:t>
                  </w:r>
                </w:p>
                <w:p w14:paraId="5EFE262E">
                  <w:pPr>
                    <w:autoSpaceDE w:val="0"/>
                    <w:autoSpaceDN w:val="0"/>
                    <w:adjustRightInd w:val="0"/>
                    <w:snapToGrid w:val="0"/>
                    <w:spacing w:line="276" w:lineRule="exact"/>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含易挥发物质的试剂库应设置废气收集装置，换气次数不应低于6次/h。</w:t>
                  </w:r>
                </w:p>
              </w:tc>
              <w:tc>
                <w:tcPr>
                  <w:tcW w:w="1242" w:type="pct"/>
                  <w:vMerge w:val="continue"/>
                  <w:shd w:val="clear" w:color="auto" w:fill="auto"/>
                  <w:vAlign w:val="center"/>
                </w:tcPr>
                <w:p w14:paraId="570BA979">
                  <w:pPr>
                    <w:autoSpaceDE w:val="0"/>
                    <w:autoSpaceDN w:val="0"/>
                    <w:adjustRightInd w:val="0"/>
                    <w:snapToGrid w:val="0"/>
                    <w:spacing w:line="276" w:lineRule="exact"/>
                    <w:jc w:val="center"/>
                    <w:rPr>
                      <w:rFonts w:eastAsia="仿宋"/>
                      <w:bCs/>
                      <w:color w:val="000000" w:themeColor="text1"/>
                      <w:szCs w:val="21"/>
                      <w14:textFill>
                        <w14:solidFill>
                          <w14:schemeClr w14:val="tx1"/>
                        </w14:solidFill>
                      </w14:textFill>
                    </w:rPr>
                  </w:pPr>
                </w:p>
              </w:tc>
            </w:tr>
            <w:tr w14:paraId="65FB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69" w:type="pct"/>
                  <w:shd w:val="clear" w:color="auto" w:fill="auto"/>
                  <w:vAlign w:val="center"/>
                </w:tcPr>
                <w:p w14:paraId="1908AA61">
                  <w:pPr>
                    <w:autoSpaceDE w:val="0"/>
                    <w:autoSpaceDN w:val="0"/>
                    <w:adjustRightInd w:val="0"/>
                    <w:snapToGrid w:val="0"/>
                    <w:spacing w:line="276" w:lineRule="exact"/>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6.废气净化</w:t>
                  </w:r>
                </w:p>
              </w:tc>
              <w:tc>
                <w:tcPr>
                  <w:tcW w:w="3090" w:type="pct"/>
                  <w:shd w:val="clear" w:color="auto" w:fill="auto"/>
                  <w:vAlign w:val="center"/>
                </w:tcPr>
                <w:p w14:paraId="7C7D10B2">
                  <w:pPr>
                    <w:autoSpaceDE w:val="0"/>
                    <w:autoSpaceDN w:val="0"/>
                    <w:adjustRightInd w:val="0"/>
                    <w:snapToGrid w:val="0"/>
                    <w:spacing w:line="276" w:lineRule="exact"/>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实验室单位应根据废气特性选用适用的净化技术，常见的有吸附法、吸收法等。有机废气可采用吸附法进行处理；混合废气宜采取组合式净化技术。根据技术发展鼓励采用更加高效的技术手段，并根据实际情况采取适当的预处理措施，符合HJ2000的要求；净化装置采样口的设置应符合HJ/T1、HJ/T397和GB/T16157的要求。自行监测应符合HI819的要求，排放同类实验室废气的排气筒宜合并；</w:t>
                  </w:r>
                </w:p>
                <w:p w14:paraId="64F6651D">
                  <w:pPr>
                    <w:autoSpaceDE w:val="0"/>
                    <w:autoSpaceDN w:val="0"/>
                    <w:adjustRightInd w:val="0"/>
                    <w:snapToGrid w:val="0"/>
                    <w:spacing w:line="276" w:lineRule="exact"/>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吸附法处理有机废气可采用活性炭、活性炭纤维等作为吸附介质，并满足以下要求：</w:t>
                  </w:r>
                </w:p>
                <w:p w14:paraId="5B91EB77">
                  <w:pPr>
                    <w:autoSpaceDE w:val="0"/>
                    <w:autoSpaceDN w:val="0"/>
                    <w:adjustRightInd w:val="0"/>
                    <w:snapToGrid w:val="0"/>
                    <w:spacing w:line="276" w:lineRule="exact"/>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（1）选用的颗粒活性炭碘值不应低于800mg/g；吸附法处理有机废气的工艺设计应符合HJ2026和HJ/T386的相关规定，废气在吸附装置中应有足够的停留时间，应大于0.3s；</w:t>
                  </w:r>
                </w:p>
                <w:p w14:paraId="08031D95">
                  <w:pPr>
                    <w:autoSpaceDE w:val="0"/>
                    <w:autoSpaceDN w:val="0"/>
                    <w:adjustRightInd w:val="0"/>
                    <w:snapToGrid w:val="0"/>
                    <w:spacing w:line="276" w:lineRule="exact"/>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2）应根据废气排放特征，明确吸附剂更换周期，不宜超过6个月，有环境影响评价或者排污许证等法定文件的，可按其核定的更换周期执行，具有原位再生功能的吸附剂可根据再生后吸附性能情况适当延长更换周期</w:t>
                  </w:r>
                </w:p>
              </w:tc>
              <w:tc>
                <w:tcPr>
                  <w:tcW w:w="1242" w:type="pct"/>
                  <w:vMerge w:val="continue"/>
                  <w:shd w:val="clear" w:color="auto" w:fill="auto"/>
                  <w:vAlign w:val="center"/>
                </w:tcPr>
                <w:p w14:paraId="7A929F70">
                  <w:pPr>
                    <w:autoSpaceDE w:val="0"/>
                    <w:autoSpaceDN w:val="0"/>
                    <w:adjustRightInd w:val="0"/>
                    <w:snapToGrid w:val="0"/>
                    <w:spacing w:line="276" w:lineRule="exact"/>
                    <w:jc w:val="center"/>
                    <w:rPr>
                      <w:rFonts w:eastAsia="仿宋"/>
                      <w:bCs/>
                      <w:color w:val="000000" w:themeColor="text1"/>
                      <w:szCs w:val="21"/>
                      <w14:textFill>
                        <w14:solidFill>
                          <w14:schemeClr w14:val="tx1"/>
                        </w14:solidFill>
                      </w14:textFill>
                    </w:rPr>
                  </w:pPr>
                </w:p>
              </w:tc>
            </w:tr>
          </w:tbl>
          <w:p w14:paraId="7CC56BEC">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由上表可知，本项目符合</w:t>
            </w:r>
            <w:r>
              <w:rPr>
                <w:rFonts w:hint="eastAsia" w:eastAsia="仿宋"/>
                <w:bCs/>
                <w:color w:val="000000" w:themeColor="text1"/>
                <w:sz w:val="24"/>
                <w14:textFill>
                  <w14:solidFill>
                    <w14:schemeClr w14:val="tx1"/>
                  </w14:solidFill>
                </w14:textFill>
              </w:rPr>
              <w:t>《实验室废气污染控制技术规范》（DB32/T4455-2023）</w:t>
            </w:r>
            <w:r>
              <w:rPr>
                <w:rFonts w:eastAsia="仿宋"/>
                <w:bCs/>
                <w:color w:val="000000" w:themeColor="text1"/>
                <w:sz w:val="24"/>
                <w14:textFill>
                  <w14:solidFill>
                    <w14:schemeClr w14:val="tx1"/>
                  </w14:solidFill>
                </w14:textFill>
              </w:rPr>
              <w:t>的相关要求</w:t>
            </w:r>
            <w:r>
              <w:rPr>
                <w:rFonts w:hint="eastAsia" w:eastAsia="仿宋"/>
                <w:bCs/>
                <w:color w:val="000000" w:themeColor="text1"/>
                <w:sz w:val="24"/>
                <w14:textFill>
                  <w14:solidFill>
                    <w14:schemeClr w14:val="tx1"/>
                  </w14:solidFill>
                </w14:textFill>
              </w:rPr>
              <w:t>。</w:t>
            </w:r>
          </w:p>
          <w:p w14:paraId="3CCA2EC7">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综上所述，本项目与区域规划、规划环评相符，基础设施完备，选址合理，且项目正常排放的废气、废水、噪声、固废对周围环境及敏感点的影响均较小。同时建设单位必须加强管理，确保各污染物稳定达标排放，防止各类污染事故的发生，同时作好应急措施。因此，本项目选址合理</w:t>
            </w:r>
            <w:r>
              <w:rPr>
                <w:rFonts w:hint="eastAsia" w:eastAsia="仿宋"/>
                <w:bCs/>
                <w:color w:val="000000" w:themeColor="text1"/>
                <w:sz w:val="24"/>
                <w14:textFill>
                  <w14:solidFill>
                    <w14:schemeClr w14:val="tx1"/>
                  </w14:solidFill>
                </w14:textFill>
              </w:rPr>
              <w:t>。</w:t>
            </w:r>
          </w:p>
        </w:tc>
      </w:tr>
    </w:tbl>
    <w:p w14:paraId="57CE3E4D">
      <w:pPr>
        <w:spacing w:line="360" w:lineRule="auto"/>
        <w:outlineLvl w:val="0"/>
        <w:rPr>
          <w:rFonts w:eastAsia="仿宋"/>
          <w:color w:val="000000" w:themeColor="text1"/>
          <w:sz w:val="30"/>
          <w14:textFill>
            <w14:solidFill>
              <w14:schemeClr w14:val="tx1"/>
            </w14:solidFill>
          </w14:textFill>
        </w:rPr>
        <w:sectPr>
          <w:footerReference r:id="rId5" w:type="default"/>
          <w:pgSz w:w="11906" w:h="16838"/>
          <w:pgMar w:top="1701" w:right="1531" w:bottom="1701" w:left="1531" w:header="851" w:footer="1077" w:gutter="0"/>
          <w:pgNumType w:start="1"/>
          <w:cols w:space="720" w:num="1"/>
          <w:docGrid w:linePitch="312" w:charSpace="0"/>
        </w:sectPr>
      </w:pPr>
    </w:p>
    <w:p w14:paraId="1E38E89D">
      <w:pPr>
        <w:pStyle w:val="21"/>
        <w:rPr>
          <w:color w:val="000000" w:themeColor="text1"/>
          <w14:textFill>
            <w14:solidFill>
              <w14:schemeClr w14:val="tx1"/>
            </w14:solidFill>
          </w14:textFill>
        </w:rPr>
      </w:pPr>
      <w:r>
        <w:rPr>
          <w:color w:val="000000" w:themeColor="text1"/>
          <w14:textFill>
            <w14:solidFill>
              <w14:schemeClr w14:val="tx1"/>
            </w14:solidFill>
          </w14:textFill>
        </w:rPr>
        <w:t>二、建设项目工程分析</w:t>
      </w:r>
    </w:p>
    <w:tbl>
      <w:tblPr>
        <w:tblStyle w:val="25"/>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8930"/>
      </w:tblGrid>
      <w:tr w14:paraId="24326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9" w:hRule="atLeast"/>
          <w:jc w:val="center"/>
        </w:trPr>
        <w:tc>
          <w:tcPr>
            <w:tcW w:w="704" w:type="dxa"/>
            <w:vAlign w:val="center"/>
          </w:tcPr>
          <w:p w14:paraId="0840A44F">
            <w:pPr>
              <w:pStyle w:val="21"/>
              <w:rPr>
                <w:color w:val="000000" w:themeColor="text1"/>
                <w14:textFill>
                  <w14:solidFill>
                    <w14:schemeClr w14:val="tx1"/>
                  </w14:solidFill>
                </w14:textFill>
              </w:rPr>
            </w:pPr>
            <w:r>
              <w:rPr>
                <w:color w:val="000000" w:themeColor="text1"/>
                <w14:textFill>
                  <w14:solidFill>
                    <w14:schemeClr w14:val="tx1"/>
                  </w14:solidFill>
                </w14:textFill>
              </w:rPr>
              <w:t>建设内容</w:t>
            </w:r>
          </w:p>
        </w:tc>
        <w:tc>
          <w:tcPr>
            <w:tcW w:w="8930" w:type="dxa"/>
          </w:tcPr>
          <w:p w14:paraId="32EC12F0">
            <w:pPr>
              <w:adjustRightInd w:val="0"/>
              <w:snapToGrid w:val="0"/>
              <w:spacing w:line="48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（一）项目概况</w:t>
            </w:r>
          </w:p>
          <w:p w14:paraId="259F496C">
            <w:pPr>
              <w:autoSpaceDE w:val="0"/>
              <w:autoSpaceDN w:val="0"/>
              <w:adjustRightInd w:val="0"/>
              <w:spacing w:line="480" w:lineRule="exact"/>
              <w:ind w:firstLine="480" w:firstLineChars="200"/>
              <w:rPr>
                <w:rFonts w:eastAsia="仿宋"/>
                <w:color w:val="000000" w:themeColor="text1"/>
                <w:kern w:val="0"/>
                <w:sz w:val="24"/>
                <w14:textFill>
                  <w14:solidFill>
                    <w14:schemeClr w14:val="tx1"/>
                  </w14:solidFill>
                </w14:textFill>
              </w:rPr>
            </w:pPr>
            <w:r>
              <w:rPr>
                <w:rFonts w:hint="eastAsia" w:eastAsia="仿宋"/>
                <w:color w:val="000000" w:themeColor="text1"/>
                <w:kern w:val="0"/>
                <w:sz w:val="24"/>
                <w14:textFill>
                  <w14:solidFill>
                    <w14:schemeClr w14:val="tx1"/>
                  </w14:solidFill>
                </w14:textFill>
              </w:rPr>
              <w:t>齐康原医疗科技（常州）有限公司是埃齐公司在中国的全资子公司，</w:t>
            </w:r>
            <w:r>
              <w:rPr>
                <w:rFonts w:eastAsia="仿宋"/>
                <w:color w:val="000000" w:themeColor="text1"/>
                <w:kern w:val="0"/>
                <w:sz w:val="24"/>
                <w14:textFill>
                  <w14:solidFill>
                    <w14:schemeClr w14:val="tx1"/>
                  </w14:solidFill>
                </w14:textFill>
              </w:rPr>
              <w:t>位于江苏省常州市</w:t>
            </w:r>
            <w:r>
              <w:rPr>
                <w:rFonts w:hint="eastAsia" w:eastAsia="仿宋"/>
                <w:color w:val="000000" w:themeColor="text1"/>
                <w:kern w:val="0"/>
                <w:sz w:val="24"/>
                <w14:textFill>
                  <w14:solidFill>
                    <w14:schemeClr w14:val="tx1"/>
                  </w14:solidFill>
                </w14:textFill>
              </w:rPr>
              <w:t>江苏金坛经济开发区，成立于2021年4月，公司主要从事放射性同位素的生产。</w:t>
            </w:r>
          </w:p>
          <w:p w14:paraId="67D49852">
            <w:pPr>
              <w:autoSpaceDE w:val="0"/>
              <w:autoSpaceDN w:val="0"/>
              <w:adjustRightInd w:val="0"/>
              <w:spacing w:line="480" w:lineRule="exact"/>
              <w:ind w:firstLine="480" w:firstLineChars="200"/>
              <w:rPr>
                <w:rFonts w:eastAsia="仿宋"/>
                <w:color w:val="000000" w:themeColor="text1"/>
                <w:kern w:val="0"/>
                <w:sz w:val="24"/>
                <w14:textFill>
                  <w14:solidFill>
                    <w14:schemeClr w14:val="tx1"/>
                  </w14:solidFill>
                </w14:textFill>
              </w:rPr>
            </w:pPr>
            <w:r>
              <w:rPr>
                <w:rFonts w:hint="eastAsia" w:eastAsia="仿宋"/>
                <w:color w:val="000000" w:themeColor="text1"/>
                <w:kern w:val="0"/>
                <w:sz w:val="24"/>
                <w14:textFill>
                  <w14:solidFill>
                    <w14:schemeClr w14:val="tx1"/>
                  </w14:solidFill>
                </w14:textFill>
              </w:rPr>
              <w:t>齐康原医疗科技（常州）有限公司在金坛的生产厂区规划分两期建设。一期生产放射性同位素</w:t>
            </w:r>
            <w:r>
              <w:rPr>
                <w:rFonts w:eastAsia="仿宋"/>
                <w:color w:val="000000" w:themeColor="text1"/>
                <w:kern w:val="0"/>
                <w:sz w:val="24"/>
                <w:vertAlign w:val="superscript"/>
                <w14:textFill>
                  <w14:solidFill>
                    <w14:schemeClr w14:val="tx1"/>
                  </w14:solidFill>
                </w14:textFill>
              </w:rPr>
              <w:t>68</w:t>
            </w:r>
            <w:r>
              <w:rPr>
                <w:rFonts w:hint="eastAsia" w:eastAsia="仿宋"/>
                <w:color w:val="000000" w:themeColor="text1"/>
                <w:kern w:val="0"/>
                <w:sz w:val="24"/>
                <w14:textFill>
                  <w14:solidFill>
                    <w14:schemeClr w14:val="tx1"/>
                  </w14:solidFill>
                </w14:textFill>
              </w:rPr>
              <w:t>Ge，该项目已获得江苏省生态环境厅的批复（苏环审〔2</w:t>
            </w:r>
            <w:r>
              <w:rPr>
                <w:rFonts w:eastAsia="仿宋"/>
                <w:color w:val="000000" w:themeColor="text1"/>
                <w:kern w:val="0"/>
                <w:sz w:val="24"/>
                <w14:textFill>
                  <w14:solidFill>
                    <w14:schemeClr w14:val="tx1"/>
                  </w14:solidFill>
                </w14:textFill>
              </w:rPr>
              <w:t>023</w:t>
            </w:r>
            <w:r>
              <w:rPr>
                <w:rFonts w:hint="eastAsia" w:eastAsia="仿宋"/>
                <w:color w:val="000000" w:themeColor="text1"/>
                <w:kern w:val="0"/>
                <w:sz w:val="24"/>
                <w14:textFill>
                  <w14:solidFill>
                    <w14:schemeClr w14:val="tx1"/>
                  </w14:solidFill>
                </w14:textFill>
              </w:rPr>
              <w:t>〕1</w:t>
            </w:r>
            <w:r>
              <w:rPr>
                <w:rFonts w:eastAsia="仿宋"/>
                <w:color w:val="000000" w:themeColor="text1"/>
                <w:kern w:val="0"/>
                <w:sz w:val="24"/>
                <w14:textFill>
                  <w14:solidFill>
                    <w14:schemeClr w14:val="tx1"/>
                  </w14:solidFill>
                </w14:textFill>
              </w:rPr>
              <w:t>7</w:t>
            </w:r>
            <w:r>
              <w:rPr>
                <w:rFonts w:hint="eastAsia" w:eastAsia="仿宋"/>
                <w:color w:val="000000" w:themeColor="text1"/>
                <w:kern w:val="0"/>
                <w:sz w:val="24"/>
                <w14:textFill>
                  <w14:solidFill>
                    <w14:schemeClr w14:val="tx1"/>
                  </w14:solidFill>
                </w14:textFill>
              </w:rPr>
              <w:t>号）。</w:t>
            </w:r>
          </w:p>
          <w:p w14:paraId="4B529FA4">
            <w:pPr>
              <w:autoSpaceDE w:val="0"/>
              <w:autoSpaceDN w:val="0"/>
              <w:adjustRightInd w:val="0"/>
              <w:spacing w:line="480" w:lineRule="exact"/>
              <w:ind w:firstLine="480" w:firstLineChars="200"/>
              <w:rPr>
                <w:rFonts w:eastAsia="仿宋"/>
                <w:color w:val="000000" w:themeColor="text1"/>
                <w:kern w:val="0"/>
                <w:sz w:val="24"/>
                <w14:textFill>
                  <w14:solidFill>
                    <w14:schemeClr w14:val="tx1"/>
                  </w14:solidFill>
                </w14:textFill>
              </w:rPr>
            </w:pPr>
            <w:r>
              <w:rPr>
                <w:rFonts w:hint="eastAsia" w:eastAsia="仿宋"/>
                <w:color w:val="000000" w:themeColor="text1"/>
                <w:kern w:val="0"/>
                <w:sz w:val="24"/>
                <w14:textFill>
                  <w14:solidFill>
                    <w14:schemeClr w14:val="tx1"/>
                  </w14:solidFill>
                </w14:textFill>
              </w:rPr>
              <w:t>二期工程拟投资</w:t>
            </w:r>
            <w:bookmarkStart w:id="13" w:name="_Hlk193960302"/>
            <w:r>
              <w:rPr>
                <w:rFonts w:eastAsia="仿宋"/>
                <w:color w:val="000000" w:themeColor="text1"/>
                <w:kern w:val="0"/>
                <w:sz w:val="24"/>
                <w14:textFill>
                  <w14:solidFill>
                    <w14:schemeClr w14:val="tx1"/>
                  </w14:solidFill>
                </w14:textFill>
              </w:rPr>
              <w:t>42350</w:t>
            </w:r>
            <w:bookmarkEnd w:id="13"/>
            <w:r>
              <w:rPr>
                <w:rFonts w:hint="eastAsia" w:eastAsia="仿宋"/>
                <w:color w:val="000000" w:themeColor="text1"/>
                <w:kern w:val="0"/>
                <w:sz w:val="24"/>
                <w14:textFill>
                  <w14:solidFill>
                    <w14:schemeClr w14:val="tx1"/>
                  </w14:solidFill>
                </w14:textFill>
              </w:rPr>
              <w:t>万元依托现有厂房建设“医疗诊断用G</w:t>
            </w:r>
            <w:r>
              <w:rPr>
                <w:rFonts w:eastAsia="仿宋"/>
                <w:color w:val="000000" w:themeColor="text1"/>
                <w:kern w:val="0"/>
                <w:sz w:val="24"/>
                <w14:textFill>
                  <w14:solidFill>
                    <w14:schemeClr w14:val="tx1"/>
                  </w14:solidFill>
                </w14:textFill>
              </w:rPr>
              <w:t>e68/Ga68</w:t>
            </w:r>
            <w:r>
              <w:rPr>
                <w:rFonts w:hint="eastAsia" w:eastAsia="仿宋"/>
                <w:color w:val="000000" w:themeColor="text1"/>
                <w:kern w:val="0"/>
                <w:sz w:val="24"/>
                <w14:textFill>
                  <w14:solidFill>
                    <w14:schemeClr w14:val="tx1"/>
                  </w14:solidFill>
                </w14:textFill>
              </w:rPr>
              <w:t>发生器设备生产项目”，该项目主要建设内容为年产G</w:t>
            </w:r>
            <w:r>
              <w:rPr>
                <w:rFonts w:eastAsia="仿宋"/>
                <w:color w:val="000000" w:themeColor="text1"/>
                <w:kern w:val="0"/>
                <w:sz w:val="24"/>
                <w14:textFill>
                  <w14:solidFill>
                    <w14:schemeClr w14:val="tx1"/>
                  </w14:solidFill>
                </w14:textFill>
              </w:rPr>
              <w:t>e68/Ga68</w:t>
            </w:r>
            <w:r>
              <w:rPr>
                <w:rFonts w:hint="eastAsia" w:eastAsia="仿宋"/>
                <w:color w:val="000000" w:themeColor="text1"/>
                <w:kern w:val="0"/>
                <w:sz w:val="24"/>
                <w14:textFill>
                  <w14:solidFill>
                    <w14:schemeClr w14:val="tx1"/>
                  </w14:solidFill>
                </w14:textFill>
              </w:rPr>
              <w:t>发生器2</w:t>
            </w:r>
            <w:r>
              <w:rPr>
                <w:rFonts w:eastAsia="仿宋"/>
                <w:color w:val="000000" w:themeColor="text1"/>
                <w:kern w:val="0"/>
                <w:sz w:val="24"/>
                <w14:textFill>
                  <w14:solidFill>
                    <w14:schemeClr w14:val="tx1"/>
                  </w14:solidFill>
                </w14:textFill>
              </w:rPr>
              <w:t>000</w:t>
            </w:r>
            <w:r>
              <w:rPr>
                <w:rFonts w:hint="eastAsia" w:eastAsia="仿宋"/>
                <w:color w:val="000000" w:themeColor="text1"/>
                <w:kern w:val="0"/>
                <w:sz w:val="24"/>
                <w14:textFill>
                  <w14:solidFill>
                    <w14:schemeClr w14:val="tx1"/>
                  </w14:solidFill>
                </w14:textFill>
              </w:rPr>
              <w:t>台，该项目</w:t>
            </w:r>
            <w:bookmarkStart w:id="14" w:name="_Hlk193960400"/>
            <w:bookmarkStart w:id="15" w:name="OLE_LINK17"/>
            <w:r>
              <w:rPr>
                <w:rFonts w:hint="eastAsia" w:eastAsia="仿宋"/>
                <w:color w:val="000000" w:themeColor="text1"/>
                <w:kern w:val="0"/>
                <w:sz w:val="24"/>
                <w14:textFill>
                  <w14:solidFill>
                    <w14:schemeClr w14:val="tx1"/>
                  </w14:solidFill>
                </w14:textFill>
              </w:rPr>
              <w:t>已获得江苏金坛经济开发区经济发展局出具的《江苏省投资项目备案证》（坛开经发备字〔</w:t>
            </w:r>
            <w:bookmarkStart w:id="16" w:name="OLE_LINK7"/>
            <w:r>
              <w:rPr>
                <w:rFonts w:eastAsia="仿宋"/>
                <w:color w:val="000000" w:themeColor="text1"/>
                <w:kern w:val="0"/>
                <w:sz w:val="24"/>
                <w14:textFill>
                  <w14:solidFill>
                    <w14:schemeClr w14:val="tx1"/>
                  </w14:solidFill>
                </w14:textFill>
              </w:rPr>
              <w:t>2024</w:t>
            </w:r>
            <w:r>
              <w:rPr>
                <w:rFonts w:hint="eastAsia" w:eastAsia="仿宋"/>
                <w:color w:val="000000" w:themeColor="text1"/>
                <w:kern w:val="0"/>
                <w:sz w:val="24"/>
                <w14:textFill>
                  <w14:solidFill>
                    <w14:schemeClr w14:val="tx1"/>
                  </w14:solidFill>
                </w14:textFill>
              </w:rPr>
              <w:t>〕</w:t>
            </w:r>
            <w:bookmarkEnd w:id="16"/>
            <w:r>
              <w:rPr>
                <w:rFonts w:eastAsia="仿宋"/>
                <w:color w:val="000000" w:themeColor="text1"/>
                <w:kern w:val="0"/>
                <w:sz w:val="24"/>
                <w14:textFill>
                  <w14:solidFill>
                    <w14:schemeClr w14:val="tx1"/>
                  </w14:solidFill>
                </w14:textFill>
              </w:rPr>
              <w:t>222</w:t>
            </w:r>
            <w:r>
              <w:rPr>
                <w:rFonts w:hint="eastAsia" w:eastAsia="仿宋"/>
                <w:color w:val="000000" w:themeColor="text1"/>
                <w:kern w:val="0"/>
                <w:sz w:val="24"/>
                <w14:textFill>
                  <w14:solidFill>
                    <w14:schemeClr w14:val="tx1"/>
                  </w14:solidFill>
                </w14:textFill>
              </w:rPr>
              <w:t>号）</w:t>
            </w:r>
            <w:bookmarkEnd w:id="14"/>
            <w:bookmarkEnd w:id="15"/>
            <w:r>
              <w:rPr>
                <w:rFonts w:hint="eastAsia" w:eastAsia="仿宋"/>
                <w:color w:val="000000" w:themeColor="text1"/>
                <w:kern w:val="0"/>
                <w:sz w:val="24"/>
                <w14:textFill>
                  <w14:solidFill>
                    <w14:schemeClr w14:val="tx1"/>
                  </w14:solidFill>
                </w14:textFill>
              </w:rPr>
              <w:t>，</w:t>
            </w:r>
            <w:bookmarkStart w:id="17" w:name="_Hlk193961162"/>
            <w:r>
              <w:rPr>
                <w:rFonts w:hint="eastAsia" w:eastAsia="仿宋"/>
                <w:color w:val="000000" w:themeColor="text1"/>
                <w:kern w:val="0"/>
                <w:sz w:val="24"/>
                <w14:textFill>
                  <w14:solidFill>
                    <w14:schemeClr w14:val="tx1"/>
                  </w14:solidFill>
                </w14:textFill>
              </w:rPr>
              <w:t>备案文件明确了建设内容和规模，包括采购回旋加速器、高功率气体靶系统、靶站、放射性化学设备（锗Ge-68化学处理设备）、热室等设备，年产Ge68/Ga68发生器2000台。</w:t>
            </w:r>
          </w:p>
          <w:bookmarkEnd w:id="17"/>
          <w:p w14:paraId="651EDB3C">
            <w:pPr>
              <w:autoSpaceDE w:val="0"/>
              <w:autoSpaceDN w:val="0"/>
              <w:adjustRightInd w:val="0"/>
              <w:spacing w:line="480" w:lineRule="exact"/>
              <w:ind w:firstLine="480" w:firstLineChars="200"/>
              <w:rPr>
                <w:rFonts w:eastAsia="仿宋"/>
                <w:color w:val="000000" w:themeColor="text1"/>
                <w:kern w:val="0"/>
                <w:sz w:val="24"/>
                <w14:textFill>
                  <w14:solidFill>
                    <w14:schemeClr w14:val="tx1"/>
                  </w14:solidFill>
                </w14:textFill>
              </w:rPr>
            </w:pPr>
            <w:r>
              <w:rPr>
                <w:rFonts w:hint="eastAsia" w:eastAsia="仿宋"/>
                <w:color w:val="000000" w:themeColor="text1"/>
                <w:kern w:val="0"/>
                <w:sz w:val="24"/>
                <w14:textFill>
                  <w14:solidFill>
                    <w14:schemeClr w14:val="tx1"/>
                  </w14:solidFill>
                </w14:textFill>
              </w:rPr>
              <w:t>本项目新增员工</w:t>
            </w:r>
            <w:r>
              <w:rPr>
                <w:rFonts w:eastAsia="仿宋"/>
                <w:color w:val="000000" w:themeColor="text1"/>
                <w:kern w:val="0"/>
                <w:sz w:val="24"/>
                <w14:textFill>
                  <w14:solidFill>
                    <w14:schemeClr w14:val="tx1"/>
                  </w14:solidFill>
                </w14:textFill>
              </w:rPr>
              <w:t>40</w:t>
            </w:r>
            <w:r>
              <w:rPr>
                <w:rFonts w:hint="eastAsia" w:eastAsia="仿宋"/>
                <w:color w:val="000000" w:themeColor="text1"/>
                <w:kern w:val="0"/>
                <w:sz w:val="24"/>
                <w14:textFill>
                  <w14:solidFill>
                    <w14:schemeClr w14:val="tx1"/>
                  </w14:solidFill>
                </w14:textFill>
              </w:rPr>
              <w:t>人，工作班制为一班制，每班8小时，年工作时间</w:t>
            </w:r>
            <w:r>
              <w:rPr>
                <w:rFonts w:eastAsia="仿宋"/>
                <w:color w:val="000000" w:themeColor="text1"/>
                <w:kern w:val="0"/>
                <w:sz w:val="24"/>
                <w14:textFill>
                  <w14:solidFill>
                    <w14:schemeClr w14:val="tx1"/>
                  </w14:solidFill>
                </w14:textFill>
              </w:rPr>
              <w:t>300</w:t>
            </w:r>
            <w:r>
              <w:rPr>
                <w:rFonts w:hint="eastAsia" w:eastAsia="仿宋"/>
                <w:color w:val="000000" w:themeColor="text1"/>
                <w:kern w:val="0"/>
                <w:sz w:val="24"/>
                <w14:textFill>
                  <w14:solidFill>
                    <w14:schemeClr w14:val="tx1"/>
                  </w14:solidFill>
                </w14:textFill>
              </w:rPr>
              <w:t>天，年工作时长2400小时。</w:t>
            </w:r>
          </w:p>
          <w:p w14:paraId="6BCD7C70">
            <w:pPr>
              <w:autoSpaceDE w:val="0"/>
              <w:autoSpaceDN w:val="0"/>
              <w:adjustRightInd w:val="0"/>
              <w:spacing w:line="480" w:lineRule="exact"/>
              <w:ind w:firstLine="480" w:firstLineChars="200"/>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依据《中华人民共和国环境影响评价法》和国务院第682号令《建设项目环境保护管理条例》（2017年修订）及《建设项目环境影响评价分类管理名录》（2021年版）的有关规定，本项目产品类别属于“</w:t>
            </w:r>
            <w:r>
              <w:rPr>
                <w:rFonts w:hint="eastAsia" w:eastAsia="仿宋"/>
                <w:color w:val="000000" w:themeColor="text1"/>
                <w:kern w:val="0"/>
                <w:sz w:val="24"/>
                <w14:textFill>
                  <w14:solidFill>
                    <w14:schemeClr w14:val="tx1"/>
                  </w14:solidFill>
                </w14:textFill>
              </w:rPr>
              <w:t>三十二</w:t>
            </w:r>
            <w:r>
              <w:rPr>
                <w:rFonts w:eastAsia="仿宋"/>
                <w:color w:val="000000" w:themeColor="text1"/>
                <w:kern w:val="0"/>
                <w:sz w:val="24"/>
                <w14:textFill>
                  <w14:solidFill>
                    <w14:schemeClr w14:val="tx1"/>
                  </w14:solidFill>
                </w14:textFill>
              </w:rPr>
              <w:t>、</w:t>
            </w:r>
            <w:r>
              <w:rPr>
                <w:rFonts w:hint="eastAsia" w:eastAsia="仿宋"/>
                <w:color w:val="000000" w:themeColor="text1"/>
                <w:kern w:val="0"/>
                <w:sz w:val="24"/>
                <w14:textFill>
                  <w14:solidFill>
                    <w14:schemeClr w14:val="tx1"/>
                  </w14:solidFill>
                </w14:textFill>
              </w:rPr>
              <w:t>专用设备制造业</w:t>
            </w:r>
            <w:r>
              <w:rPr>
                <w:rFonts w:eastAsia="仿宋"/>
                <w:color w:val="000000" w:themeColor="text1"/>
                <w:kern w:val="0"/>
                <w:sz w:val="24"/>
                <w14:textFill>
                  <w14:solidFill>
                    <w14:schemeClr w14:val="tx1"/>
                  </w14:solidFill>
                </w14:textFill>
              </w:rPr>
              <w:t>”中“70.</w:t>
            </w:r>
            <w:r>
              <w:rPr>
                <w:rFonts w:hint="eastAsia" w:eastAsia="仿宋"/>
                <w:color w:val="000000" w:themeColor="text1"/>
                <w:kern w:val="0"/>
                <w:sz w:val="24"/>
                <w14:textFill>
                  <w14:solidFill>
                    <w14:schemeClr w14:val="tx1"/>
                  </w14:solidFill>
                </w14:textFill>
              </w:rPr>
              <w:t>医疗仪器设备及器械制造3</w:t>
            </w:r>
            <w:r>
              <w:rPr>
                <w:rFonts w:eastAsia="仿宋"/>
                <w:color w:val="000000" w:themeColor="text1"/>
                <w:kern w:val="0"/>
                <w:sz w:val="24"/>
                <w14:textFill>
                  <w14:solidFill>
                    <w14:schemeClr w14:val="tx1"/>
                  </w14:solidFill>
                </w14:textFill>
              </w:rPr>
              <w:t>58”中</w:t>
            </w:r>
            <w:r>
              <w:rPr>
                <w:rFonts w:hint="eastAsia" w:eastAsia="仿宋"/>
                <w:color w:val="000000" w:themeColor="text1"/>
                <w:kern w:val="0"/>
                <w:sz w:val="24"/>
                <w14:textFill>
                  <w14:solidFill>
                    <w14:schemeClr w14:val="tx1"/>
                  </w14:solidFill>
                </w14:textFill>
              </w:rPr>
              <w:t>“其他”</w:t>
            </w:r>
            <w:r>
              <w:rPr>
                <w:rFonts w:eastAsia="仿宋"/>
                <w:color w:val="000000" w:themeColor="text1"/>
                <w:kern w:val="0"/>
                <w:sz w:val="24"/>
                <w14:textFill>
                  <w14:solidFill>
                    <w14:schemeClr w14:val="tx1"/>
                  </w14:solidFill>
                </w14:textFill>
              </w:rPr>
              <w:t>，应该编制环境影响报告表，为此</w:t>
            </w:r>
            <w:r>
              <w:rPr>
                <w:rFonts w:hint="eastAsia" w:eastAsia="仿宋"/>
                <w:color w:val="000000" w:themeColor="text1"/>
                <w:kern w:val="0"/>
                <w:sz w:val="24"/>
                <w14:textFill>
                  <w14:solidFill>
                    <w14:schemeClr w14:val="tx1"/>
                  </w14:solidFill>
                </w14:textFill>
              </w:rPr>
              <w:t>，齐康原医疗科技（常州）有限公司</w:t>
            </w:r>
            <w:r>
              <w:rPr>
                <w:rFonts w:eastAsia="仿宋"/>
                <w:color w:val="000000" w:themeColor="text1"/>
                <w:kern w:val="0"/>
                <w:sz w:val="24"/>
                <w14:textFill>
                  <w14:solidFill>
                    <w14:schemeClr w14:val="tx1"/>
                  </w14:solidFill>
                </w14:textFill>
              </w:rPr>
              <w:t>委托江苏龙环环境科技有限公司承担该项目的环境影响评价工作，龙环公司接受委托后，对项目拟建现场进行了踏勘，在资料收集的基础上，根据环评技术导则及其它相关文件，编制了该项目的环境影响报告表，提交给建设单位上报主管部门审批。</w:t>
            </w:r>
          </w:p>
          <w:p w14:paraId="77ECDC45">
            <w:pPr>
              <w:autoSpaceDE w:val="0"/>
              <w:autoSpaceDN w:val="0"/>
              <w:adjustRightInd w:val="0"/>
              <w:spacing w:line="480" w:lineRule="exact"/>
              <w:ind w:firstLine="480" w:firstLineChars="200"/>
              <w:rPr>
                <w:rFonts w:eastAsia="仿宋"/>
                <w:color w:val="000000" w:themeColor="text1"/>
                <w:kern w:val="0"/>
                <w:sz w:val="24"/>
                <w14:textFill>
                  <w14:solidFill>
                    <w14:schemeClr w14:val="tx1"/>
                  </w14:solidFill>
                </w14:textFill>
              </w:rPr>
            </w:pPr>
            <w:r>
              <w:rPr>
                <w:rFonts w:hint="eastAsia" w:eastAsia="仿宋"/>
                <w:color w:val="000000" w:themeColor="text1"/>
                <w:kern w:val="0"/>
                <w:sz w:val="24"/>
                <w14:textFill>
                  <w14:solidFill>
                    <w14:schemeClr w14:val="tx1"/>
                  </w14:solidFill>
                </w14:textFill>
              </w:rPr>
              <w:t>根据齐康原医疗科技（常州）有限公司出具的《齐康原医疗科技（常州）有限公司医疗诊断用Ge68/Ga68发生器设备生产项目（非辐射部分）项目建设内容情况说明》，本项目的主体工程及部分配套设施涉及放射性辐射，辐射相关部分将单独进行环保手续的办理。</w:t>
            </w:r>
            <w:bookmarkStart w:id="18" w:name="OLE_LINK29"/>
            <w:bookmarkStart w:id="19" w:name="OLE_LINK30"/>
            <w:r>
              <w:rPr>
                <w:rFonts w:hint="eastAsia" w:eastAsia="仿宋"/>
                <w:color w:val="000000" w:themeColor="text1"/>
                <w:kern w:val="0"/>
                <w:sz w:val="24"/>
                <w14:textFill>
                  <w14:solidFill>
                    <w14:schemeClr w14:val="tx1"/>
                  </w14:solidFill>
                </w14:textFill>
              </w:rPr>
              <w:t>齐康原医疗科技（常州）有限公司</w:t>
            </w:r>
            <w:bookmarkEnd w:id="18"/>
            <w:bookmarkEnd w:id="19"/>
            <w:r>
              <w:rPr>
                <w:rFonts w:hint="eastAsia" w:eastAsia="仿宋"/>
                <w:color w:val="000000" w:themeColor="text1"/>
                <w:kern w:val="0"/>
                <w:sz w:val="24"/>
                <w14:textFill>
                  <w14:solidFill>
                    <w14:schemeClr w14:val="tx1"/>
                  </w14:solidFill>
                </w14:textFill>
              </w:rPr>
              <w:t>已委托江苏辐环环境科技有限公司负责辐射部分的环境影响评价报告的编制工作，目前该报告正在编制中。为了保障项目的正常运行，齐康原医疗科技（常州）有限公司还将建设原料检测实验室、燃气锅炉和蒸汽发生器、危险废物仓库以及污染防治设施等配套设施。这些配套设施不涉及放射性辐射，因此，本次医疗诊断用Ge68/Ga68发生器设备生产项目（非辐射部分）的建设内容仅包括：原料检测实验室、燃气锅炉和蒸汽发生器、危险废物仓库以及污染防治措施。本次环评评价内容仅针对该建设内容。</w:t>
            </w:r>
          </w:p>
          <w:p w14:paraId="452BC741">
            <w:pPr>
              <w:spacing w:line="48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（二）主体工程及产品方案</w:t>
            </w:r>
          </w:p>
          <w:p w14:paraId="3B87D81D">
            <w:pPr>
              <w:autoSpaceDE w:val="0"/>
              <w:autoSpaceDN w:val="0"/>
              <w:adjustRightInd w:val="0"/>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w:t>
            </w:r>
            <w:r>
              <w:rPr>
                <w:rFonts w:hint="eastAsia" w:eastAsia="仿宋"/>
                <w:bCs/>
                <w:color w:val="000000" w:themeColor="text1"/>
                <w:sz w:val="24"/>
                <w14:textFill>
                  <w14:solidFill>
                    <w14:schemeClr w14:val="tx1"/>
                  </w14:solidFill>
                </w14:textFill>
              </w:rPr>
              <w:t>新建原料入厂检测实验室，主要检测主体工程生产所需要的原辅材料，本次评价仅涉及原料入厂检测试验，项目建成后不影响企业主体产品种类及产量变动，本项目检测试验方案及本项目建成后全厂</w:t>
            </w:r>
            <w:r>
              <w:rPr>
                <w:rFonts w:eastAsia="仿宋"/>
                <w:bCs/>
                <w:color w:val="000000" w:themeColor="text1"/>
                <w:sz w:val="24"/>
                <w14:textFill>
                  <w14:solidFill>
                    <w14:schemeClr w14:val="tx1"/>
                  </w14:solidFill>
                </w14:textFill>
              </w:rPr>
              <w:t>主体工程及产品方案如下表所示。</w:t>
            </w:r>
          </w:p>
          <w:p w14:paraId="657A9FA8">
            <w:pPr>
              <w:spacing w:line="480" w:lineRule="exact"/>
              <w:jc w:val="center"/>
              <w:rPr>
                <w:rFonts w:hAnsi="仿宋" w:eastAsia="仿宋"/>
                <w:b/>
                <w:bCs/>
                <w:color w:val="000000" w:themeColor="text1"/>
                <w:szCs w:val="28"/>
                <w14:textFill>
                  <w14:solidFill>
                    <w14:schemeClr w14:val="tx1"/>
                  </w14:solidFill>
                </w14:textFill>
              </w:rPr>
            </w:pPr>
            <w:r>
              <w:rPr>
                <w:rFonts w:hint="eastAsia" w:hAnsi="仿宋" w:eastAsia="仿宋"/>
                <w:b/>
                <w:bCs/>
                <w:color w:val="000000" w:themeColor="text1"/>
                <w:szCs w:val="28"/>
                <w14:textFill>
                  <w14:solidFill>
                    <w14:schemeClr w14:val="tx1"/>
                  </w14:solidFill>
                </w14:textFill>
              </w:rPr>
              <w:t>表2</w:t>
            </w:r>
            <w:r>
              <w:rPr>
                <w:rFonts w:hAnsi="仿宋" w:eastAsia="仿宋"/>
                <w:b/>
                <w:bCs/>
                <w:color w:val="000000" w:themeColor="text1"/>
                <w:szCs w:val="28"/>
                <w14:textFill>
                  <w14:solidFill>
                    <w14:schemeClr w14:val="tx1"/>
                  </w14:solidFill>
                </w14:textFill>
              </w:rPr>
              <w:t xml:space="preserve">-1 </w:t>
            </w:r>
            <w:r>
              <w:rPr>
                <w:rFonts w:hint="eastAsia" w:hAnsi="仿宋" w:eastAsia="仿宋"/>
                <w:b/>
                <w:bCs/>
                <w:color w:val="000000" w:themeColor="text1"/>
                <w:szCs w:val="28"/>
                <w14:textFill>
                  <w14:solidFill>
                    <w14:schemeClr w14:val="tx1"/>
                  </w14:solidFill>
                </w14:textFill>
              </w:rPr>
              <w:t>本项目检测试验方案</w:t>
            </w:r>
            <w:r>
              <w:rPr>
                <w:rFonts w:eastAsia="仿宋"/>
                <w:b/>
                <w:bCs/>
                <w:color w:val="000000" w:themeColor="text1"/>
                <w14:textFill>
                  <w14:solidFill>
                    <w14:schemeClr w14:val="tx1"/>
                  </w14:solidFill>
                </w14:textFill>
              </w:rPr>
              <w:t>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1874"/>
              <w:gridCol w:w="1440"/>
              <w:gridCol w:w="1153"/>
              <w:gridCol w:w="2478"/>
            </w:tblGrid>
            <w:tr w14:paraId="2D1E7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1" w:type="pct"/>
                  <w:vAlign w:val="center"/>
                </w:tcPr>
                <w:p w14:paraId="2C4BE90B">
                  <w:pPr>
                    <w:pStyle w:val="63"/>
                    <w:rPr>
                      <w:color w:val="000000" w:themeColor="text1"/>
                      <w14:textFill>
                        <w14:solidFill>
                          <w14:schemeClr w14:val="tx1"/>
                        </w14:solidFill>
                      </w14:textFill>
                    </w:rPr>
                  </w:pPr>
                  <w:r>
                    <w:rPr>
                      <w:rFonts w:hint="eastAsia"/>
                      <w:color w:val="000000" w:themeColor="text1"/>
                      <w14:textFill>
                        <w14:solidFill>
                          <w14:schemeClr w14:val="tx1"/>
                        </w14:solidFill>
                      </w14:textFill>
                    </w:rPr>
                    <w:t>实验类型</w:t>
                  </w:r>
                </w:p>
              </w:tc>
              <w:tc>
                <w:tcPr>
                  <w:tcW w:w="1076" w:type="pct"/>
                  <w:vAlign w:val="center"/>
                </w:tcPr>
                <w:p w14:paraId="77380BE2">
                  <w:pPr>
                    <w:pStyle w:val="63"/>
                    <w:rPr>
                      <w:color w:val="000000" w:themeColor="text1"/>
                      <w14:textFill>
                        <w14:solidFill>
                          <w14:schemeClr w14:val="tx1"/>
                        </w14:solidFill>
                      </w14:textFill>
                    </w:rPr>
                  </w:pPr>
                  <w:r>
                    <w:rPr>
                      <w:rFonts w:hint="eastAsia"/>
                      <w:color w:val="000000" w:themeColor="text1"/>
                      <w14:textFill>
                        <w14:solidFill>
                          <w14:schemeClr w14:val="tx1"/>
                        </w14:solidFill>
                      </w14:textFill>
                    </w:rPr>
                    <w:t>检测原料名称</w:t>
                  </w:r>
                </w:p>
              </w:tc>
              <w:tc>
                <w:tcPr>
                  <w:tcW w:w="827" w:type="pct"/>
                  <w:vAlign w:val="center"/>
                </w:tcPr>
                <w:p w14:paraId="3C2CC27B">
                  <w:pPr>
                    <w:pStyle w:val="63"/>
                    <w:rPr>
                      <w:color w:val="000000" w:themeColor="text1"/>
                      <w14:textFill>
                        <w14:solidFill>
                          <w14:schemeClr w14:val="tx1"/>
                        </w14:solidFill>
                      </w14:textFill>
                    </w:rPr>
                  </w:pPr>
                  <w:r>
                    <w:rPr>
                      <w:rFonts w:hint="eastAsia"/>
                      <w:color w:val="000000" w:themeColor="text1"/>
                      <w14:textFill>
                        <w14:solidFill>
                          <w14:schemeClr w14:val="tx1"/>
                        </w14:solidFill>
                      </w14:textFill>
                    </w:rPr>
                    <w:t>年进行批次（次/a）</w:t>
                  </w:r>
                </w:p>
              </w:tc>
              <w:tc>
                <w:tcPr>
                  <w:tcW w:w="662" w:type="pct"/>
                  <w:vAlign w:val="center"/>
                </w:tcPr>
                <w:p w14:paraId="167EA38A">
                  <w:pPr>
                    <w:pStyle w:val="63"/>
                    <w:rPr>
                      <w:color w:val="000000" w:themeColor="text1"/>
                      <w14:textFill>
                        <w14:solidFill>
                          <w14:schemeClr w14:val="tx1"/>
                        </w14:solidFill>
                      </w14:textFill>
                    </w:rPr>
                  </w:pPr>
                  <w:r>
                    <w:rPr>
                      <w:rFonts w:hint="eastAsia"/>
                      <w:color w:val="000000" w:themeColor="text1"/>
                      <w14:textFill>
                        <w14:solidFill>
                          <w14:schemeClr w14:val="tx1"/>
                        </w14:solidFill>
                      </w14:textFill>
                    </w:rPr>
                    <w:t>年检测取样量</w:t>
                  </w:r>
                </w:p>
              </w:tc>
              <w:tc>
                <w:tcPr>
                  <w:tcW w:w="1423" w:type="pct"/>
                  <w:vAlign w:val="center"/>
                </w:tcPr>
                <w:p w14:paraId="70CABF6C">
                  <w:pPr>
                    <w:pStyle w:val="63"/>
                    <w:rPr>
                      <w:color w:val="000000" w:themeColor="text1"/>
                      <w14:textFill>
                        <w14:solidFill>
                          <w14:schemeClr w14:val="tx1"/>
                        </w14:solidFill>
                      </w14:textFill>
                    </w:rPr>
                  </w:pPr>
                  <w:r>
                    <w:rPr>
                      <w:rFonts w:hint="eastAsia"/>
                      <w:color w:val="000000" w:themeColor="text1"/>
                      <w14:textFill>
                        <w14:solidFill>
                          <w14:schemeClr w14:val="tx1"/>
                        </w14:solidFill>
                      </w14:textFill>
                    </w:rPr>
                    <w:t>用途</w:t>
                  </w:r>
                </w:p>
              </w:tc>
            </w:tr>
            <w:tr w14:paraId="2C4F0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1" w:type="pct"/>
                  <w:vMerge w:val="restart"/>
                  <w:vAlign w:val="center"/>
                </w:tcPr>
                <w:p w14:paraId="060D653C">
                  <w:pPr>
                    <w:pStyle w:val="63"/>
                    <w:rPr>
                      <w:b w:val="0"/>
                      <w:bCs w:val="0"/>
                      <w:color w:val="000000" w:themeColor="text1"/>
                      <w14:textFill>
                        <w14:solidFill>
                          <w14:schemeClr w14:val="tx1"/>
                        </w14:solidFill>
                      </w14:textFill>
                    </w:rPr>
                  </w:pPr>
                  <w:bookmarkStart w:id="20" w:name="_Hlk193723312"/>
                  <w:r>
                    <w:rPr>
                      <w:rFonts w:hint="eastAsia"/>
                      <w:b w:val="0"/>
                      <w:bCs w:val="0"/>
                      <w:color w:val="000000" w:themeColor="text1"/>
                      <w14:textFill>
                        <w14:solidFill>
                          <w14:schemeClr w14:val="tx1"/>
                        </w14:solidFill>
                      </w14:textFill>
                    </w:rPr>
                    <w:t>化学成分、重金属、炽灼残渣、相对密度等的检测</w:t>
                  </w:r>
                </w:p>
              </w:tc>
              <w:tc>
                <w:tcPr>
                  <w:tcW w:w="1076" w:type="pct"/>
                  <w:vAlign w:val="center"/>
                </w:tcPr>
                <w:p w14:paraId="269F2845">
                  <w:pPr>
                    <w:pStyle w:val="63"/>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98%硫酸</w:t>
                  </w:r>
                </w:p>
              </w:tc>
              <w:tc>
                <w:tcPr>
                  <w:tcW w:w="827" w:type="pct"/>
                  <w:vAlign w:val="center"/>
                </w:tcPr>
                <w:p w14:paraId="42D8B42F">
                  <w:pPr>
                    <w:pStyle w:val="58"/>
                    <w:snapToGrid w:val="0"/>
                    <w:rPr>
                      <w:rFonts w:eastAsia="仿宋"/>
                      <w:color w:val="000000" w:themeColor="text1"/>
                      <w:szCs w:val="21"/>
                      <w14:textFill>
                        <w14:solidFill>
                          <w14:schemeClr w14:val="tx1"/>
                        </w14:solidFill>
                      </w14:textFill>
                    </w:rPr>
                  </w:pPr>
                  <w:r>
                    <w:rPr>
                      <w:rFonts w:hint="eastAsia" w:eastAsia="仿宋"/>
                      <w:color w:val="000000" w:themeColor="text1"/>
                      <w14:textFill>
                        <w14:solidFill>
                          <w14:schemeClr w14:val="tx1"/>
                        </w14:solidFill>
                      </w14:textFill>
                    </w:rPr>
                    <w:t>1</w:t>
                  </w:r>
                </w:p>
              </w:tc>
              <w:tc>
                <w:tcPr>
                  <w:tcW w:w="662" w:type="pct"/>
                  <w:vAlign w:val="center"/>
                </w:tcPr>
                <w:p w14:paraId="30D3DA4F">
                  <w:pPr>
                    <w:pStyle w:val="63"/>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5</w:t>
                  </w:r>
                  <w:r>
                    <w:rPr>
                      <w:b w:val="0"/>
                      <w:bCs w:val="0"/>
                      <w:color w:val="000000" w:themeColor="text1"/>
                      <w14:textFill>
                        <w14:solidFill>
                          <w14:schemeClr w14:val="tx1"/>
                        </w14:solidFill>
                      </w14:textFill>
                    </w:rPr>
                    <w:t>00mL</w:t>
                  </w:r>
                </w:p>
              </w:tc>
              <w:tc>
                <w:tcPr>
                  <w:tcW w:w="1423" w:type="pct"/>
                  <w:vMerge w:val="restart"/>
                  <w:vAlign w:val="center"/>
                </w:tcPr>
                <w:p w14:paraId="15139BDC">
                  <w:pPr>
                    <w:pStyle w:val="63"/>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检测分析原料中杂质成分，控制原料入厂标准</w:t>
                  </w:r>
                </w:p>
              </w:tc>
            </w:tr>
            <w:tr w14:paraId="7644B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1" w:type="pct"/>
                  <w:vMerge w:val="continue"/>
                  <w:vAlign w:val="center"/>
                </w:tcPr>
                <w:p w14:paraId="6FA64D2B">
                  <w:pPr>
                    <w:pStyle w:val="63"/>
                    <w:rPr>
                      <w:b w:val="0"/>
                      <w:bCs w:val="0"/>
                      <w:color w:val="000000" w:themeColor="text1"/>
                      <w14:textFill>
                        <w14:solidFill>
                          <w14:schemeClr w14:val="tx1"/>
                        </w14:solidFill>
                      </w14:textFill>
                    </w:rPr>
                  </w:pPr>
                </w:p>
              </w:tc>
              <w:tc>
                <w:tcPr>
                  <w:tcW w:w="1076" w:type="pct"/>
                  <w:vAlign w:val="center"/>
                </w:tcPr>
                <w:p w14:paraId="59EB6248">
                  <w:pPr>
                    <w:pStyle w:val="63"/>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36%盐酸</w:t>
                  </w:r>
                </w:p>
              </w:tc>
              <w:tc>
                <w:tcPr>
                  <w:tcW w:w="827" w:type="pct"/>
                  <w:vAlign w:val="center"/>
                </w:tcPr>
                <w:p w14:paraId="36264125">
                  <w:pPr>
                    <w:pStyle w:val="58"/>
                    <w:snapToGrid w:val="0"/>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1</w:t>
                  </w:r>
                </w:p>
              </w:tc>
              <w:tc>
                <w:tcPr>
                  <w:tcW w:w="662" w:type="pct"/>
                  <w:vAlign w:val="center"/>
                </w:tcPr>
                <w:p w14:paraId="7F98EFC9">
                  <w:pPr>
                    <w:pStyle w:val="63"/>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500mL</w:t>
                  </w:r>
                </w:p>
              </w:tc>
              <w:tc>
                <w:tcPr>
                  <w:tcW w:w="1423" w:type="pct"/>
                  <w:vMerge w:val="continue"/>
                  <w:vAlign w:val="center"/>
                </w:tcPr>
                <w:p w14:paraId="5D0DD22C">
                  <w:pPr>
                    <w:pStyle w:val="63"/>
                    <w:rPr>
                      <w:color w:val="000000" w:themeColor="text1"/>
                      <w14:textFill>
                        <w14:solidFill>
                          <w14:schemeClr w14:val="tx1"/>
                        </w14:solidFill>
                      </w14:textFill>
                    </w:rPr>
                  </w:pPr>
                </w:p>
              </w:tc>
            </w:tr>
            <w:tr w14:paraId="1826C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1" w:type="pct"/>
                  <w:vMerge w:val="continue"/>
                  <w:vAlign w:val="center"/>
                </w:tcPr>
                <w:p w14:paraId="45AA020A">
                  <w:pPr>
                    <w:pStyle w:val="63"/>
                    <w:rPr>
                      <w:b w:val="0"/>
                      <w:bCs w:val="0"/>
                      <w:color w:val="000000" w:themeColor="text1"/>
                      <w14:textFill>
                        <w14:solidFill>
                          <w14:schemeClr w14:val="tx1"/>
                        </w14:solidFill>
                      </w14:textFill>
                    </w:rPr>
                  </w:pPr>
                </w:p>
              </w:tc>
              <w:tc>
                <w:tcPr>
                  <w:tcW w:w="1076" w:type="pct"/>
                  <w:vAlign w:val="center"/>
                </w:tcPr>
                <w:p w14:paraId="261D1CEA">
                  <w:pPr>
                    <w:pStyle w:val="63"/>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30%过氧化氢</w:t>
                  </w:r>
                </w:p>
              </w:tc>
              <w:tc>
                <w:tcPr>
                  <w:tcW w:w="827" w:type="pct"/>
                  <w:vAlign w:val="center"/>
                </w:tcPr>
                <w:p w14:paraId="45EB0A55">
                  <w:pPr>
                    <w:pStyle w:val="58"/>
                    <w:snapToGrid w:val="0"/>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1</w:t>
                  </w:r>
                </w:p>
              </w:tc>
              <w:tc>
                <w:tcPr>
                  <w:tcW w:w="662" w:type="pct"/>
                  <w:vAlign w:val="center"/>
                </w:tcPr>
                <w:p w14:paraId="4A5035E6">
                  <w:pPr>
                    <w:pStyle w:val="63"/>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500mL</w:t>
                  </w:r>
                </w:p>
              </w:tc>
              <w:tc>
                <w:tcPr>
                  <w:tcW w:w="1423" w:type="pct"/>
                  <w:vMerge w:val="continue"/>
                  <w:vAlign w:val="center"/>
                </w:tcPr>
                <w:p w14:paraId="37B0E3FA">
                  <w:pPr>
                    <w:pStyle w:val="63"/>
                    <w:rPr>
                      <w:color w:val="000000" w:themeColor="text1"/>
                      <w14:textFill>
                        <w14:solidFill>
                          <w14:schemeClr w14:val="tx1"/>
                        </w14:solidFill>
                      </w14:textFill>
                    </w:rPr>
                  </w:pPr>
                </w:p>
              </w:tc>
            </w:tr>
            <w:tr w14:paraId="5E82D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1" w:type="pct"/>
                  <w:vMerge w:val="continue"/>
                  <w:vAlign w:val="center"/>
                </w:tcPr>
                <w:p w14:paraId="228FD287">
                  <w:pPr>
                    <w:pStyle w:val="63"/>
                    <w:rPr>
                      <w:b w:val="0"/>
                      <w:bCs w:val="0"/>
                      <w:color w:val="000000" w:themeColor="text1"/>
                      <w14:textFill>
                        <w14:solidFill>
                          <w14:schemeClr w14:val="tx1"/>
                        </w14:solidFill>
                      </w14:textFill>
                    </w:rPr>
                  </w:pPr>
                </w:p>
              </w:tc>
              <w:tc>
                <w:tcPr>
                  <w:tcW w:w="1076" w:type="pct"/>
                  <w:vAlign w:val="center"/>
                </w:tcPr>
                <w:p w14:paraId="028C39A6">
                  <w:pPr>
                    <w:pStyle w:val="63"/>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枸橼酸</w:t>
                  </w:r>
                </w:p>
              </w:tc>
              <w:tc>
                <w:tcPr>
                  <w:tcW w:w="827" w:type="pct"/>
                  <w:vAlign w:val="center"/>
                </w:tcPr>
                <w:p w14:paraId="588C360C">
                  <w:pPr>
                    <w:pStyle w:val="58"/>
                    <w:snapToGrid w:val="0"/>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1</w:t>
                  </w:r>
                </w:p>
              </w:tc>
              <w:tc>
                <w:tcPr>
                  <w:tcW w:w="662" w:type="pct"/>
                  <w:vAlign w:val="center"/>
                </w:tcPr>
                <w:p w14:paraId="1ED7028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500mL</w:t>
                  </w:r>
                </w:p>
              </w:tc>
              <w:tc>
                <w:tcPr>
                  <w:tcW w:w="1423" w:type="pct"/>
                  <w:vMerge w:val="continue"/>
                  <w:vAlign w:val="center"/>
                </w:tcPr>
                <w:p w14:paraId="518B0D1C">
                  <w:pPr>
                    <w:rPr>
                      <w:color w:val="000000" w:themeColor="text1"/>
                      <w:szCs w:val="21"/>
                      <w14:textFill>
                        <w14:solidFill>
                          <w14:schemeClr w14:val="tx1"/>
                        </w14:solidFill>
                      </w14:textFill>
                    </w:rPr>
                  </w:pPr>
                </w:p>
              </w:tc>
            </w:tr>
            <w:tr w14:paraId="56F1A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1" w:type="pct"/>
                  <w:vMerge w:val="continue"/>
                  <w:vAlign w:val="center"/>
                </w:tcPr>
                <w:p w14:paraId="5D47EDAB">
                  <w:pPr>
                    <w:pStyle w:val="63"/>
                    <w:rPr>
                      <w:b w:val="0"/>
                      <w:bCs w:val="0"/>
                      <w:color w:val="000000" w:themeColor="text1"/>
                      <w14:textFill>
                        <w14:solidFill>
                          <w14:schemeClr w14:val="tx1"/>
                        </w14:solidFill>
                      </w14:textFill>
                    </w:rPr>
                  </w:pPr>
                </w:p>
              </w:tc>
              <w:tc>
                <w:tcPr>
                  <w:tcW w:w="1076" w:type="pct"/>
                  <w:vAlign w:val="center"/>
                </w:tcPr>
                <w:p w14:paraId="2B75AD56">
                  <w:pPr>
                    <w:pStyle w:val="63"/>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注射用水/纯化水</w:t>
                  </w:r>
                </w:p>
              </w:tc>
              <w:tc>
                <w:tcPr>
                  <w:tcW w:w="827" w:type="pct"/>
                  <w:vAlign w:val="center"/>
                </w:tcPr>
                <w:p w14:paraId="5C878B84">
                  <w:pPr>
                    <w:pStyle w:val="58"/>
                    <w:snapToGrid w:val="0"/>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12</w:t>
                  </w:r>
                </w:p>
              </w:tc>
              <w:tc>
                <w:tcPr>
                  <w:tcW w:w="662" w:type="pct"/>
                  <w:vAlign w:val="center"/>
                </w:tcPr>
                <w:p w14:paraId="7DD5722B">
                  <w:pPr>
                    <w:pStyle w:val="63"/>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1L</w:t>
                  </w:r>
                </w:p>
              </w:tc>
              <w:tc>
                <w:tcPr>
                  <w:tcW w:w="1423" w:type="pct"/>
                  <w:vMerge w:val="continue"/>
                  <w:vAlign w:val="center"/>
                </w:tcPr>
                <w:p w14:paraId="705A656B">
                  <w:pPr>
                    <w:pStyle w:val="63"/>
                    <w:rPr>
                      <w:color w:val="000000" w:themeColor="text1"/>
                      <w14:textFill>
                        <w14:solidFill>
                          <w14:schemeClr w14:val="tx1"/>
                        </w14:solidFill>
                      </w14:textFill>
                    </w:rPr>
                  </w:pPr>
                </w:p>
              </w:tc>
            </w:tr>
            <w:tr w14:paraId="3C1BF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1" w:type="pct"/>
                  <w:vMerge w:val="restart"/>
                  <w:vAlign w:val="center"/>
                </w:tcPr>
                <w:p w14:paraId="100C78CA">
                  <w:pPr>
                    <w:pStyle w:val="63"/>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外观、不挥发物含量、灰分的检测</w:t>
                  </w:r>
                </w:p>
              </w:tc>
              <w:tc>
                <w:tcPr>
                  <w:tcW w:w="1076" w:type="pct"/>
                  <w:vAlign w:val="center"/>
                </w:tcPr>
                <w:p w14:paraId="34CA8DC1">
                  <w:pPr>
                    <w:pStyle w:val="120"/>
                    <w:jc w:val="center"/>
                    <w:rPr>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玻璃瓶</w:t>
                  </w:r>
                </w:p>
              </w:tc>
              <w:tc>
                <w:tcPr>
                  <w:tcW w:w="827" w:type="pct"/>
                  <w:vAlign w:val="center"/>
                </w:tcPr>
                <w:p w14:paraId="59ACEE8B">
                  <w:pPr>
                    <w:pStyle w:val="58"/>
                    <w:snapToGrid w:val="0"/>
                    <w:rPr>
                      <w:rFonts w:eastAsia="仿宋"/>
                      <w:color w:val="000000" w:themeColor="text1"/>
                      <w:szCs w:val="21"/>
                      <w14:textFill>
                        <w14:solidFill>
                          <w14:schemeClr w14:val="tx1"/>
                        </w14:solidFill>
                      </w14:textFill>
                    </w:rPr>
                  </w:pPr>
                  <w:r>
                    <w:rPr>
                      <w:rFonts w:hint="eastAsia" w:eastAsia="仿宋"/>
                      <w:color w:val="000000" w:themeColor="text1"/>
                      <w14:textFill>
                        <w14:solidFill>
                          <w14:schemeClr w14:val="tx1"/>
                        </w14:solidFill>
                      </w14:textFill>
                    </w:rPr>
                    <w:t>1</w:t>
                  </w:r>
                </w:p>
              </w:tc>
              <w:tc>
                <w:tcPr>
                  <w:tcW w:w="662" w:type="pct"/>
                  <w:vAlign w:val="center"/>
                </w:tcPr>
                <w:p w14:paraId="41CED5E7">
                  <w:pPr>
                    <w:pStyle w:val="63"/>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30支</w:t>
                  </w:r>
                </w:p>
              </w:tc>
              <w:tc>
                <w:tcPr>
                  <w:tcW w:w="1423" w:type="pct"/>
                  <w:vMerge w:val="restart"/>
                  <w:vAlign w:val="center"/>
                </w:tcPr>
                <w:p w14:paraId="7E9039F5">
                  <w:pPr>
                    <w:pStyle w:val="63"/>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检测分析包装材料中的不挥发物量及灰分，控制其包装材料符合要求</w:t>
                  </w:r>
                </w:p>
              </w:tc>
            </w:tr>
            <w:tr w14:paraId="5DF86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1" w:type="pct"/>
                  <w:vMerge w:val="continue"/>
                  <w:vAlign w:val="center"/>
                </w:tcPr>
                <w:p w14:paraId="16E1CC53">
                  <w:pPr>
                    <w:rPr>
                      <w:color w:val="000000" w:themeColor="text1"/>
                      <w14:textFill>
                        <w14:solidFill>
                          <w14:schemeClr w14:val="tx1"/>
                        </w14:solidFill>
                      </w14:textFill>
                    </w:rPr>
                  </w:pPr>
                </w:p>
              </w:tc>
              <w:tc>
                <w:tcPr>
                  <w:tcW w:w="1076" w:type="pct"/>
                  <w:vAlign w:val="center"/>
                </w:tcPr>
                <w:p w14:paraId="6F685521">
                  <w:pPr>
                    <w:pStyle w:val="120"/>
                    <w:jc w:val="center"/>
                    <w:rPr>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注射液用卤化丁基橡胶塞</w:t>
                  </w:r>
                </w:p>
              </w:tc>
              <w:tc>
                <w:tcPr>
                  <w:tcW w:w="827" w:type="pct"/>
                  <w:vAlign w:val="center"/>
                </w:tcPr>
                <w:p w14:paraId="1096D00C">
                  <w:pPr>
                    <w:pStyle w:val="58"/>
                    <w:snapToGrid w:val="0"/>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1</w:t>
                  </w:r>
                </w:p>
              </w:tc>
              <w:tc>
                <w:tcPr>
                  <w:tcW w:w="662" w:type="pct"/>
                  <w:vAlign w:val="center"/>
                </w:tcPr>
                <w:p w14:paraId="4FEC50C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30个</w:t>
                  </w:r>
                </w:p>
              </w:tc>
              <w:tc>
                <w:tcPr>
                  <w:tcW w:w="1423" w:type="pct"/>
                  <w:vMerge w:val="continue"/>
                  <w:vAlign w:val="center"/>
                </w:tcPr>
                <w:p w14:paraId="3F41E4EF">
                  <w:pPr>
                    <w:rPr>
                      <w:color w:val="000000" w:themeColor="text1"/>
                      <w:szCs w:val="21"/>
                      <w14:textFill>
                        <w14:solidFill>
                          <w14:schemeClr w14:val="tx1"/>
                        </w14:solidFill>
                      </w14:textFill>
                    </w:rPr>
                  </w:pPr>
                </w:p>
              </w:tc>
            </w:tr>
            <w:tr w14:paraId="72AC6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1" w:type="pct"/>
                  <w:vMerge w:val="continue"/>
                  <w:vAlign w:val="center"/>
                </w:tcPr>
                <w:p w14:paraId="1E3D52AB">
                  <w:pPr>
                    <w:pStyle w:val="63"/>
                    <w:rPr>
                      <w:color w:val="000000" w:themeColor="text1"/>
                      <w14:textFill>
                        <w14:solidFill>
                          <w14:schemeClr w14:val="tx1"/>
                        </w14:solidFill>
                      </w14:textFill>
                    </w:rPr>
                  </w:pPr>
                </w:p>
              </w:tc>
              <w:tc>
                <w:tcPr>
                  <w:tcW w:w="1076" w:type="pct"/>
                  <w:vAlign w:val="center"/>
                </w:tcPr>
                <w:p w14:paraId="31993473">
                  <w:pPr>
                    <w:pStyle w:val="120"/>
                    <w:jc w:val="center"/>
                    <w:rPr>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铝盖</w:t>
                  </w:r>
                </w:p>
              </w:tc>
              <w:tc>
                <w:tcPr>
                  <w:tcW w:w="827" w:type="pct"/>
                  <w:vAlign w:val="center"/>
                </w:tcPr>
                <w:p w14:paraId="5D7E00CF">
                  <w:pPr>
                    <w:pStyle w:val="58"/>
                    <w:snapToGrid w:val="0"/>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1</w:t>
                  </w:r>
                </w:p>
              </w:tc>
              <w:tc>
                <w:tcPr>
                  <w:tcW w:w="662" w:type="pct"/>
                  <w:vAlign w:val="center"/>
                </w:tcPr>
                <w:p w14:paraId="500A1243">
                  <w:pPr>
                    <w:pStyle w:val="63"/>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30个</w:t>
                  </w:r>
                </w:p>
              </w:tc>
              <w:tc>
                <w:tcPr>
                  <w:tcW w:w="1423" w:type="pct"/>
                  <w:vMerge w:val="continue"/>
                  <w:vAlign w:val="center"/>
                </w:tcPr>
                <w:p w14:paraId="767E9F26">
                  <w:pPr>
                    <w:pStyle w:val="63"/>
                    <w:rPr>
                      <w:color w:val="000000" w:themeColor="text1"/>
                      <w14:textFill>
                        <w14:solidFill>
                          <w14:schemeClr w14:val="tx1"/>
                        </w14:solidFill>
                      </w14:textFill>
                    </w:rPr>
                  </w:pPr>
                </w:p>
              </w:tc>
            </w:tr>
            <w:bookmarkEnd w:id="20"/>
          </w:tbl>
          <w:p w14:paraId="5C092B5F">
            <w:pPr>
              <w:rPr>
                <w:color w:val="000000" w:themeColor="text1"/>
                <w:szCs w:val="21"/>
                <w14:textFill>
                  <w14:solidFill>
                    <w14:schemeClr w14:val="tx1"/>
                  </w14:solidFill>
                </w14:textFill>
              </w:rPr>
            </w:pPr>
            <w:r>
              <w:rPr>
                <w:rFonts w:hint="eastAsia" w:hAnsi="仿宋" w:eastAsia="仿宋"/>
                <w:b/>
                <w:bCs/>
                <w:color w:val="000000" w:themeColor="text1"/>
                <w:szCs w:val="28"/>
                <w14:textFill>
                  <w14:solidFill>
                    <w14:schemeClr w14:val="tx1"/>
                  </w14:solidFill>
                </w14:textFill>
              </w:rPr>
              <w:t>注：</w:t>
            </w:r>
            <w:r>
              <w:rPr>
                <w:rFonts w:hint="eastAsia" w:ascii="宋体" w:hAnsi="宋体" w:cs="宋体"/>
                <w:b/>
                <w:bCs/>
                <w:color w:val="000000" w:themeColor="text1"/>
                <w:szCs w:val="28"/>
                <w:lang w:eastAsia="ja-JP"/>
                <w14:textFill>
                  <w14:solidFill>
                    <w14:schemeClr w14:val="tx1"/>
                  </w14:solidFill>
                </w14:textFill>
              </w:rPr>
              <w:t>①</w:t>
            </w:r>
            <w:r>
              <w:rPr>
                <w:rFonts w:hint="eastAsia" w:hAnsi="仿宋" w:eastAsia="仿宋"/>
                <w:b/>
                <w:bCs/>
                <w:color w:val="000000" w:themeColor="text1"/>
                <w:szCs w:val="28"/>
                <w14:textFill>
                  <w14:solidFill>
                    <w14:schemeClr w14:val="tx1"/>
                  </w14:solidFill>
                </w14:textFill>
              </w:rPr>
              <w:t>本项目仅进行原料的入厂检测试验，不涉及外售产品；②本项目入厂原料经检验后，不合格原料进入不合格品库，通知供应商进入退货流程；合格原料入库储存，以待后续使用。</w:t>
            </w:r>
          </w:p>
          <w:p w14:paraId="66D1B772">
            <w:pPr>
              <w:spacing w:line="480" w:lineRule="exact"/>
              <w:jc w:val="center"/>
              <w:rPr>
                <w:rFonts w:eastAsia="仿宋"/>
                <w:b/>
                <w:bCs/>
                <w:color w:val="000000" w:themeColor="text1"/>
                <w14:textFill>
                  <w14:solidFill>
                    <w14:schemeClr w14:val="tx1"/>
                  </w14:solidFill>
                </w14:textFill>
              </w:rPr>
            </w:pPr>
            <w:r>
              <w:rPr>
                <w:rFonts w:hint="eastAsia" w:hAnsi="仿宋" w:eastAsia="仿宋"/>
                <w:b/>
                <w:bCs/>
                <w:color w:val="000000" w:themeColor="text1"/>
                <w:szCs w:val="28"/>
                <w14:textFill>
                  <w14:solidFill>
                    <w14:schemeClr w14:val="tx1"/>
                  </w14:solidFill>
                </w14:textFill>
              </w:rPr>
              <w:t>表2</w:t>
            </w:r>
            <w:r>
              <w:rPr>
                <w:rFonts w:hAnsi="仿宋" w:eastAsia="仿宋"/>
                <w:b/>
                <w:bCs/>
                <w:color w:val="000000" w:themeColor="text1"/>
                <w:szCs w:val="28"/>
                <w14:textFill>
                  <w14:solidFill>
                    <w14:schemeClr w14:val="tx1"/>
                  </w14:solidFill>
                </w14:textFill>
              </w:rPr>
              <w:t xml:space="preserve">-2 </w:t>
            </w:r>
            <w:r>
              <w:rPr>
                <w:rFonts w:hint="eastAsia" w:hAnsi="仿宋" w:eastAsia="仿宋"/>
                <w:b/>
                <w:bCs/>
                <w:color w:val="000000" w:themeColor="text1"/>
                <w:szCs w:val="28"/>
                <w14:textFill>
                  <w14:solidFill>
                    <w14:schemeClr w14:val="tx1"/>
                  </w14:solidFill>
                </w14:textFill>
              </w:rPr>
              <w:t>本项目</w:t>
            </w:r>
            <w:r>
              <w:rPr>
                <w:rFonts w:hAnsi="仿宋" w:eastAsia="仿宋"/>
                <w:b/>
                <w:bCs/>
                <w:color w:val="000000" w:themeColor="text1"/>
                <w:szCs w:val="28"/>
                <w14:textFill>
                  <w14:solidFill>
                    <w14:schemeClr w14:val="tx1"/>
                  </w14:solidFill>
                </w14:textFill>
              </w:rPr>
              <w:t>建成后</w:t>
            </w:r>
            <w:r>
              <w:rPr>
                <w:rFonts w:hint="eastAsia" w:hAnsi="仿宋" w:eastAsia="仿宋"/>
                <w:b/>
                <w:bCs/>
                <w:color w:val="000000" w:themeColor="text1"/>
                <w:szCs w:val="28"/>
                <w14:textFill>
                  <w14:solidFill>
                    <w14:schemeClr w14:val="tx1"/>
                  </w14:solidFill>
                </w14:textFill>
              </w:rPr>
              <w:t>全厂</w:t>
            </w:r>
            <w:r>
              <w:rPr>
                <w:rFonts w:hAnsi="仿宋" w:eastAsia="仿宋"/>
                <w:b/>
                <w:bCs/>
                <w:color w:val="000000" w:themeColor="text1"/>
                <w:szCs w:val="28"/>
                <w14:textFill>
                  <w14:solidFill>
                    <w14:schemeClr w14:val="tx1"/>
                  </w14:solidFill>
                </w14:textFill>
              </w:rPr>
              <w:t>主体工程及产品方案</w:t>
            </w:r>
            <w:r>
              <w:rPr>
                <w:rFonts w:eastAsia="仿宋"/>
                <w:b/>
                <w:bCs/>
                <w:color w:val="000000" w:themeColor="text1"/>
                <w14:textFill>
                  <w14:solidFill>
                    <w14:schemeClr w14:val="tx1"/>
                  </w14:solidFill>
                </w14:textFill>
              </w:rPr>
              <w:t>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2038"/>
              <w:gridCol w:w="1401"/>
              <w:gridCol w:w="1401"/>
              <w:gridCol w:w="1401"/>
              <w:gridCol w:w="1768"/>
            </w:tblGrid>
            <w:tr w14:paraId="170A5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398" w:type="pct"/>
                  <w:vMerge w:val="restart"/>
                  <w:vAlign w:val="center"/>
                </w:tcPr>
                <w:p w14:paraId="16778BC0">
                  <w:pPr>
                    <w:pStyle w:val="63"/>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171" w:type="pct"/>
                  <w:vMerge w:val="restart"/>
                  <w:vAlign w:val="center"/>
                </w:tcPr>
                <w:p w14:paraId="0338F77B">
                  <w:pPr>
                    <w:pStyle w:val="63"/>
                    <w:rPr>
                      <w:color w:val="000000" w:themeColor="text1"/>
                      <w14:textFill>
                        <w14:solidFill>
                          <w14:schemeClr w14:val="tx1"/>
                        </w14:solidFill>
                      </w14:textFill>
                    </w:rPr>
                  </w:pPr>
                  <w:r>
                    <w:rPr>
                      <w:color w:val="000000" w:themeColor="text1"/>
                      <w14:textFill>
                        <w14:solidFill>
                          <w14:schemeClr w14:val="tx1"/>
                        </w14:solidFill>
                      </w14:textFill>
                    </w:rPr>
                    <w:t>产品名称</w:t>
                  </w:r>
                </w:p>
              </w:tc>
              <w:tc>
                <w:tcPr>
                  <w:tcW w:w="2415" w:type="pct"/>
                  <w:gridSpan w:val="3"/>
                  <w:vAlign w:val="center"/>
                </w:tcPr>
                <w:p w14:paraId="3B7ADC09">
                  <w:pPr>
                    <w:pStyle w:val="63"/>
                    <w:rPr>
                      <w:color w:val="000000" w:themeColor="text1"/>
                      <w14:textFill>
                        <w14:solidFill>
                          <w14:schemeClr w14:val="tx1"/>
                        </w14:solidFill>
                      </w14:textFill>
                    </w:rPr>
                  </w:pPr>
                  <w:r>
                    <w:rPr>
                      <w:color w:val="000000" w:themeColor="text1"/>
                      <w14:textFill>
                        <w14:solidFill>
                          <w14:schemeClr w14:val="tx1"/>
                        </w14:solidFill>
                      </w14:textFill>
                    </w:rPr>
                    <w:t>产能</w:t>
                  </w:r>
                </w:p>
              </w:tc>
              <w:tc>
                <w:tcPr>
                  <w:tcW w:w="1016" w:type="pct"/>
                  <w:vMerge w:val="restart"/>
                  <w:vAlign w:val="center"/>
                </w:tcPr>
                <w:p w14:paraId="73582181">
                  <w:pPr>
                    <w:pStyle w:val="63"/>
                    <w:rPr>
                      <w:color w:val="000000" w:themeColor="text1"/>
                      <w14:textFill>
                        <w14:solidFill>
                          <w14:schemeClr w14:val="tx1"/>
                        </w14:solidFill>
                      </w14:textFill>
                    </w:rPr>
                  </w:pPr>
                  <w:r>
                    <w:rPr>
                      <w:color w:val="000000" w:themeColor="text1"/>
                      <w14:textFill>
                        <w14:solidFill>
                          <w14:schemeClr w14:val="tx1"/>
                        </w14:solidFill>
                      </w14:textFill>
                    </w:rPr>
                    <w:t>年运行时数（h/a）</w:t>
                  </w:r>
                </w:p>
              </w:tc>
            </w:tr>
            <w:tr w14:paraId="0AEF0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398" w:type="pct"/>
                  <w:vMerge w:val="continue"/>
                  <w:vAlign w:val="center"/>
                </w:tcPr>
                <w:p w14:paraId="1865B796">
                  <w:pPr>
                    <w:pStyle w:val="63"/>
                    <w:rPr>
                      <w:color w:val="000000" w:themeColor="text1"/>
                      <w14:textFill>
                        <w14:solidFill>
                          <w14:schemeClr w14:val="tx1"/>
                        </w14:solidFill>
                      </w14:textFill>
                    </w:rPr>
                  </w:pPr>
                </w:p>
              </w:tc>
              <w:tc>
                <w:tcPr>
                  <w:tcW w:w="1171" w:type="pct"/>
                  <w:vMerge w:val="continue"/>
                  <w:vAlign w:val="center"/>
                </w:tcPr>
                <w:p w14:paraId="1140C748">
                  <w:pPr>
                    <w:pStyle w:val="63"/>
                    <w:rPr>
                      <w:color w:val="000000" w:themeColor="text1"/>
                      <w14:textFill>
                        <w14:solidFill>
                          <w14:schemeClr w14:val="tx1"/>
                        </w14:solidFill>
                      </w14:textFill>
                    </w:rPr>
                  </w:pPr>
                </w:p>
              </w:tc>
              <w:tc>
                <w:tcPr>
                  <w:tcW w:w="805" w:type="pct"/>
                  <w:vAlign w:val="center"/>
                </w:tcPr>
                <w:p w14:paraId="5AD03E20">
                  <w:pPr>
                    <w:pStyle w:val="63"/>
                    <w:rPr>
                      <w:color w:val="000000" w:themeColor="text1"/>
                      <w14:textFill>
                        <w14:solidFill>
                          <w14:schemeClr w14:val="tx1"/>
                        </w14:solidFill>
                      </w14:textFill>
                    </w:rPr>
                  </w:pPr>
                  <w:r>
                    <w:rPr>
                      <w:rFonts w:hint="eastAsia"/>
                      <w:color w:val="000000" w:themeColor="text1"/>
                      <w14:textFill>
                        <w14:solidFill>
                          <w14:schemeClr w14:val="tx1"/>
                        </w14:solidFill>
                      </w14:textFill>
                    </w:rPr>
                    <w:t>扩建前</w:t>
                  </w:r>
                </w:p>
              </w:tc>
              <w:tc>
                <w:tcPr>
                  <w:tcW w:w="805" w:type="pct"/>
                  <w:vAlign w:val="center"/>
                </w:tcPr>
                <w:p w14:paraId="01EC276C">
                  <w:pPr>
                    <w:pStyle w:val="63"/>
                    <w:rPr>
                      <w:color w:val="000000" w:themeColor="text1"/>
                      <w14:textFill>
                        <w14:solidFill>
                          <w14:schemeClr w14:val="tx1"/>
                        </w14:solidFill>
                      </w14:textFill>
                    </w:rPr>
                  </w:pPr>
                  <w:r>
                    <w:rPr>
                      <w:rFonts w:hint="eastAsia"/>
                      <w:color w:val="000000" w:themeColor="text1"/>
                      <w14:textFill>
                        <w14:solidFill>
                          <w14:schemeClr w14:val="tx1"/>
                        </w14:solidFill>
                      </w14:textFill>
                    </w:rPr>
                    <w:t>扩建后</w:t>
                  </w:r>
                </w:p>
              </w:tc>
              <w:tc>
                <w:tcPr>
                  <w:tcW w:w="805" w:type="pct"/>
                  <w:vAlign w:val="center"/>
                </w:tcPr>
                <w:p w14:paraId="7D29BF73">
                  <w:pPr>
                    <w:pStyle w:val="63"/>
                    <w:rPr>
                      <w:color w:val="000000" w:themeColor="text1"/>
                      <w14:textFill>
                        <w14:solidFill>
                          <w14:schemeClr w14:val="tx1"/>
                        </w14:solidFill>
                      </w14:textFill>
                    </w:rPr>
                  </w:pPr>
                  <w:r>
                    <w:rPr>
                      <w:rFonts w:hint="eastAsia"/>
                      <w:color w:val="000000" w:themeColor="text1"/>
                      <w14:textFill>
                        <w14:solidFill>
                          <w14:schemeClr w14:val="tx1"/>
                        </w14:solidFill>
                      </w14:textFill>
                    </w:rPr>
                    <w:t>增减量</w:t>
                  </w:r>
                </w:p>
              </w:tc>
              <w:tc>
                <w:tcPr>
                  <w:tcW w:w="1016" w:type="pct"/>
                  <w:vMerge w:val="continue"/>
                  <w:vAlign w:val="center"/>
                </w:tcPr>
                <w:p w14:paraId="45A2A05E">
                  <w:pPr>
                    <w:pStyle w:val="63"/>
                    <w:rPr>
                      <w:color w:val="000000" w:themeColor="text1"/>
                      <w14:textFill>
                        <w14:solidFill>
                          <w14:schemeClr w14:val="tx1"/>
                        </w14:solidFill>
                      </w14:textFill>
                    </w:rPr>
                  </w:pPr>
                </w:p>
              </w:tc>
            </w:tr>
            <w:tr w14:paraId="6D6EB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8" w:type="pct"/>
                  <w:vAlign w:val="center"/>
                </w:tcPr>
                <w:p w14:paraId="5799EE04">
                  <w:pPr>
                    <w:pStyle w:val="63"/>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1</w:t>
                  </w:r>
                </w:p>
              </w:tc>
              <w:tc>
                <w:tcPr>
                  <w:tcW w:w="1171" w:type="pct"/>
                  <w:vAlign w:val="center"/>
                </w:tcPr>
                <w:p w14:paraId="474CE6AB">
                  <w:pPr>
                    <w:pStyle w:val="63"/>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放射性核素</w:t>
                  </w:r>
                  <w:r>
                    <w:rPr>
                      <w:b w:val="0"/>
                      <w:bCs w:val="0"/>
                      <w:color w:val="000000" w:themeColor="text1"/>
                      <w:vertAlign w:val="superscript"/>
                      <w14:textFill>
                        <w14:solidFill>
                          <w14:schemeClr w14:val="tx1"/>
                        </w14:solidFill>
                      </w14:textFill>
                    </w:rPr>
                    <w:t>68</w:t>
                  </w:r>
                  <w:r>
                    <w:rPr>
                      <w:b w:val="0"/>
                      <w:bCs w:val="0"/>
                      <w:color w:val="000000" w:themeColor="text1"/>
                      <w14:textFill>
                        <w14:solidFill>
                          <w14:schemeClr w14:val="tx1"/>
                        </w14:solidFill>
                      </w14:textFill>
                    </w:rPr>
                    <w:t>Ge</w:t>
                  </w:r>
                  <w:r>
                    <w:rPr>
                      <w:rFonts w:hint="eastAsia"/>
                      <w:b w:val="0"/>
                      <w:bCs w:val="0"/>
                      <w:color w:val="000000" w:themeColor="text1"/>
                      <w14:textFill>
                        <w14:solidFill>
                          <w14:schemeClr w14:val="tx1"/>
                        </w14:solidFill>
                      </w14:textFill>
                    </w:rPr>
                    <w:t>（盐酸溶液）</w:t>
                  </w:r>
                </w:p>
              </w:tc>
              <w:tc>
                <w:tcPr>
                  <w:tcW w:w="805" w:type="pct"/>
                  <w:vAlign w:val="center"/>
                </w:tcPr>
                <w:p w14:paraId="262A9CC7">
                  <w:pPr>
                    <w:pStyle w:val="63"/>
                    <w:rPr>
                      <w:b w:val="0"/>
                      <w:bCs w:val="0"/>
                      <w:color w:val="000000" w:themeColor="text1"/>
                      <w14:textFill>
                        <w14:solidFill>
                          <w14:schemeClr w14:val="tx1"/>
                        </w14:solidFill>
                      </w14:textFill>
                    </w:rPr>
                  </w:pPr>
                  <w:bookmarkStart w:id="21" w:name="OLE_LINK25"/>
                  <w:bookmarkStart w:id="22" w:name="OLE_LINK24"/>
                  <w:r>
                    <w:rPr>
                      <w:b w:val="0"/>
                      <w:bCs w:val="0"/>
                      <w:color w:val="000000" w:themeColor="text1"/>
                      <w14:textFill>
                        <w14:solidFill>
                          <w14:schemeClr w14:val="tx1"/>
                        </w14:solidFill>
                      </w14:textFill>
                    </w:rPr>
                    <w:t>4.70×10</w:t>
                  </w:r>
                  <w:r>
                    <w:rPr>
                      <w:b w:val="0"/>
                      <w:bCs w:val="0"/>
                      <w:color w:val="000000" w:themeColor="text1"/>
                      <w:vertAlign w:val="superscript"/>
                      <w14:textFill>
                        <w14:solidFill>
                          <w14:schemeClr w14:val="tx1"/>
                        </w14:solidFill>
                      </w14:textFill>
                    </w:rPr>
                    <w:t>12</w:t>
                  </w:r>
                  <w:r>
                    <w:rPr>
                      <w:b w:val="0"/>
                      <w:bCs w:val="0"/>
                      <w:color w:val="000000" w:themeColor="text1"/>
                      <w14:textFill>
                        <w14:solidFill>
                          <w14:schemeClr w14:val="tx1"/>
                        </w14:solidFill>
                      </w14:textFill>
                    </w:rPr>
                    <w:t>Bq</w:t>
                  </w:r>
                  <w:bookmarkEnd w:id="21"/>
                  <w:bookmarkEnd w:id="22"/>
                </w:p>
              </w:tc>
              <w:tc>
                <w:tcPr>
                  <w:tcW w:w="805" w:type="pct"/>
                  <w:vAlign w:val="center"/>
                </w:tcPr>
                <w:p w14:paraId="4BCD439A">
                  <w:pPr>
                    <w:pStyle w:val="63"/>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4.70×10</w:t>
                  </w:r>
                  <w:r>
                    <w:rPr>
                      <w:b w:val="0"/>
                      <w:bCs w:val="0"/>
                      <w:color w:val="000000" w:themeColor="text1"/>
                      <w:vertAlign w:val="superscript"/>
                      <w14:textFill>
                        <w14:solidFill>
                          <w14:schemeClr w14:val="tx1"/>
                        </w14:solidFill>
                      </w14:textFill>
                    </w:rPr>
                    <w:t>12</w:t>
                  </w:r>
                  <w:r>
                    <w:rPr>
                      <w:b w:val="0"/>
                      <w:bCs w:val="0"/>
                      <w:color w:val="000000" w:themeColor="text1"/>
                      <w14:textFill>
                        <w14:solidFill>
                          <w14:schemeClr w14:val="tx1"/>
                        </w14:solidFill>
                      </w14:textFill>
                    </w:rPr>
                    <w:t>Bq</w:t>
                  </w:r>
                </w:p>
              </w:tc>
              <w:tc>
                <w:tcPr>
                  <w:tcW w:w="805" w:type="pct"/>
                  <w:vAlign w:val="center"/>
                </w:tcPr>
                <w:p w14:paraId="2A526B1F">
                  <w:pPr>
                    <w:pStyle w:val="63"/>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0</w:t>
                  </w:r>
                </w:p>
              </w:tc>
              <w:tc>
                <w:tcPr>
                  <w:tcW w:w="1016" w:type="pct"/>
                  <w:vMerge w:val="restart"/>
                  <w:vAlign w:val="center"/>
                </w:tcPr>
                <w:p w14:paraId="36E43FC1">
                  <w:pPr>
                    <w:pStyle w:val="63"/>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7920</w:t>
                  </w:r>
                </w:p>
              </w:tc>
            </w:tr>
            <w:tr w14:paraId="4AE95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pct"/>
                  <w:gridSpan w:val="2"/>
                  <w:vAlign w:val="center"/>
                </w:tcPr>
                <w:p w14:paraId="4A9C1B92">
                  <w:pPr>
                    <w:pStyle w:val="63"/>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合计</w:t>
                  </w:r>
                </w:p>
              </w:tc>
              <w:tc>
                <w:tcPr>
                  <w:tcW w:w="805" w:type="pct"/>
                  <w:vAlign w:val="center"/>
                </w:tcPr>
                <w:p w14:paraId="0FF3791E">
                  <w:pPr>
                    <w:pStyle w:val="63"/>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4.70×10</w:t>
                  </w:r>
                  <w:r>
                    <w:rPr>
                      <w:b w:val="0"/>
                      <w:bCs w:val="0"/>
                      <w:color w:val="000000" w:themeColor="text1"/>
                      <w:vertAlign w:val="superscript"/>
                      <w14:textFill>
                        <w14:solidFill>
                          <w14:schemeClr w14:val="tx1"/>
                        </w14:solidFill>
                      </w14:textFill>
                    </w:rPr>
                    <w:t>12</w:t>
                  </w:r>
                  <w:r>
                    <w:rPr>
                      <w:b w:val="0"/>
                      <w:bCs w:val="0"/>
                      <w:color w:val="000000" w:themeColor="text1"/>
                      <w14:textFill>
                        <w14:solidFill>
                          <w14:schemeClr w14:val="tx1"/>
                        </w14:solidFill>
                      </w14:textFill>
                    </w:rPr>
                    <w:t>Bq</w:t>
                  </w:r>
                </w:p>
              </w:tc>
              <w:tc>
                <w:tcPr>
                  <w:tcW w:w="805" w:type="pct"/>
                  <w:vAlign w:val="center"/>
                </w:tcPr>
                <w:p w14:paraId="0A7A3B29">
                  <w:pPr>
                    <w:pStyle w:val="63"/>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4.70×10</w:t>
                  </w:r>
                  <w:r>
                    <w:rPr>
                      <w:b w:val="0"/>
                      <w:bCs w:val="0"/>
                      <w:color w:val="000000" w:themeColor="text1"/>
                      <w:vertAlign w:val="superscript"/>
                      <w14:textFill>
                        <w14:solidFill>
                          <w14:schemeClr w14:val="tx1"/>
                        </w14:solidFill>
                      </w14:textFill>
                    </w:rPr>
                    <w:t>12</w:t>
                  </w:r>
                  <w:r>
                    <w:rPr>
                      <w:b w:val="0"/>
                      <w:bCs w:val="0"/>
                      <w:color w:val="000000" w:themeColor="text1"/>
                      <w14:textFill>
                        <w14:solidFill>
                          <w14:schemeClr w14:val="tx1"/>
                        </w14:solidFill>
                      </w14:textFill>
                    </w:rPr>
                    <w:t>Bq</w:t>
                  </w:r>
                </w:p>
              </w:tc>
              <w:tc>
                <w:tcPr>
                  <w:tcW w:w="805" w:type="pct"/>
                  <w:vAlign w:val="center"/>
                </w:tcPr>
                <w:p w14:paraId="69C651F7">
                  <w:pPr>
                    <w:pStyle w:val="63"/>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0</w:t>
                  </w:r>
                </w:p>
              </w:tc>
              <w:tc>
                <w:tcPr>
                  <w:tcW w:w="1016" w:type="pct"/>
                  <w:vMerge w:val="continue"/>
                  <w:vAlign w:val="center"/>
                </w:tcPr>
                <w:p w14:paraId="78435A3A">
                  <w:pPr>
                    <w:pStyle w:val="63"/>
                    <w:rPr>
                      <w:color w:val="000000" w:themeColor="text1"/>
                      <w14:textFill>
                        <w14:solidFill>
                          <w14:schemeClr w14:val="tx1"/>
                        </w14:solidFill>
                      </w14:textFill>
                    </w:rPr>
                  </w:pPr>
                </w:p>
              </w:tc>
            </w:tr>
          </w:tbl>
          <w:p w14:paraId="752256BA">
            <w:pPr>
              <w:rPr>
                <w:rFonts w:hAnsi="仿宋" w:eastAsia="仿宋"/>
                <w:b/>
                <w:bCs/>
                <w:color w:val="000000" w:themeColor="text1"/>
                <w:szCs w:val="28"/>
                <w14:textFill>
                  <w14:solidFill>
                    <w14:schemeClr w14:val="tx1"/>
                  </w14:solidFill>
                </w14:textFill>
              </w:rPr>
            </w:pPr>
            <w:r>
              <w:rPr>
                <w:rFonts w:hint="eastAsia" w:hAnsi="仿宋" w:eastAsia="仿宋"/>
                <w:b/>
                <w:bCs/>
                <w:color w:val="000000" w:themeColor="text1"/>
                <w:szCs w:val="28"/>
                <w14:textFill>
                  <w14:solidFill>
                    <w14:schemeClr w14:val="tx1"/>
                  </w14:solidFill>
                </w14:textFill>
              </w:rPr>
              <w:t>注：本项目仅进行入厂原料检测试验，不涉及外售产品。</w:t>
            </w:r>
          </w:p>
          <w:p w14:paraId="41661AB3">
            <w:pPr>
              <w:spacing w:line="480" w:lineRule="exact"/>
              <w:ind w:firstLine="482" w:firstLineChars="200"/>
              <w:rPr>
                <w:rFonts w:eastAsia="仿宋"/>
                <w:b/>
                <w:bCs/>
                <w:color w:val="000000" w:themeColor="text1"/>
                <w:sz w:val="24"/>
                <w14:textFill>
                  <w14:solidFill>
                    <w14:schemeClr w14:val="tx1"/>
                  </w14:solidFill>
                </w14:textFill>
              </w:rPr>
            </w:pPr>
            <w:r>
              <w:rPr>
                <w:rFonts w:hint="eastAsia" w:eastAsia="仿宋"/>
                <w:b/>
                <w:bCs/>
                <w:color w:val="000000" w:themeColor="text1"/>
                <w:sz w:val="24"/>
                <w14:textFill>
                  <w14:solidFill>
                    <w14:schemeClr w14:val="tx1"/>
                  </w14:solidFill>
                </w14:textFill>
              </w:rPr>
              <w:t>（三）入厂原料检测控制指标</w:t>
            </w:r>
          </w:p>
          <w:p w14:paraId="051B2C0F">
            <w:pPr>
              <w:spacing w:line="480" w:lineRule="exact"/>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本项目主要检测主体工程生产所需要的原辅材料，因此，入厂原料需要达到生产所需的控制标准，本项目入厂原料检测控制指标如下所示。</w:t>
            </w:r>
          </w:p>
          <w:p w14:paraId="737A70AF">
            <w:pPr>
              <w:spacing w:line="480" w:lineRule="exact"/>
              <w:jc w:val="center"/>
              <w:rPr>
                <w:rFonts w:eastAsia="仿宋"/>
                <w:b/>
                <w:color w:val="000000" w:themeColor="text1"/>
                <w:szCs w:val="21"/>
                <w14:textFill>
                  <w14:solidFill>
                    <w14:schemeClr w14:val="tx1"/>
                  </w14:solidFill>
                </w14:textFill>
              </w:rPr>
            </w:pPr>
          </w:p>
          <w:p w14:paraId="7E75E58E">
            <w:pPr>
              <w:spacing w:line="48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表2-3 本项目入厂原料检测控制指标一览表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2411"/>
              <w:gridCol w:w="2691"/>
              <w:gridCol w:w="2575"/>
            </w:tblGrid>
            <w:tr w14:paraId="4773D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tcPr>
                <w:p w14:paraId="0BF47BF0">
                  <w:pPr>
                    <w:pStyle w:val="76"/>
                    <w:spacing w:line="240" w:lineRule="auto"/>
                    <w:ind w:left="0" w:leftChars="0" w:right="0" w:rightChars="0"/>
                    <w:rPr>
                      <w:b/>
                      <w:bCs/>
                      <w:color w:val="000000" w:themeColor="text1"/>
                      <w:spacing w:val="-6"/>
                      <w14:textFill>
                        <w14:solidFill>
                          <w14:schemeClr w14:val="tx1"/>
                        </w14:solidFill>
                      </w14:textFill>
                    </w:rPr>
                  </w:pPr>
                  <w:r>
                    <w:rPr>
                      <w:b/>
                      <w:bCs/>
                      <w:color w:val="000000" w:themeColor="text1"/>
                      <w:spacing w:val="-6"/>
                      <w14:textFill>
                        <w14:solidFill>
                          <w14:schemeClr w14:val="tx1"/>
                        </w14:solidFill>
                      </w14:textFill>
                    </w:rPr>
                    <w:t>序号</w:t>
                  </w:r>
                </w:p>
              </w:tc>
              <w:tc>
                <w:tcPr>
                  <w:tcW w:w="1385" w:type="pct"/>
                </w:tcPr>
                <w:p w14:paraId="3D4369B3">
                  <w:pPr>
                    <w:pStyle w:val="76"/>
                    <w:spacing w:line="240" w:lineRule="auto"/>
                    <w:ind w:left="0" w:leftChars="0" w:right="0" w:rightChars="0"/>
                    <w:rPr>
                      <w:b/>
                      <w:bCs/>
                      <w:color w:val="000000" w:themeColor="text1"/>
                      <w:spacing w:val="-6"/>
                      <w14:textFill>
                        <w14:solidFill>
                          <w14:schemeClr w14:val="tx1"/>
                        </w14:solidFill>
                      </w14:textFill>
                    </w:rPr>
                  </w:pPr>
                  <w:r>
                    <w:rPr>
                      <w:b/>
                      <w:bCs/>
                      <w:color w:val="000000" w:themeColor="text1"/>
                      <w:spacing w:val="-6"/>
                      <w14:textFill>
                        <w14:solidFill>
                          <w14:schemeClr w14:val="tx1"/>
                        </w14:solidFill>
                      </w14:textFill>
                    </w:rPr>
                    <w:t>原料名称</w:t>
                  </w:r>
                </w:p>
              </w:tc>
              <w:tc>
                <w:tcPr>
                  <w:tcW w:w="1546" w:type="pct"/>
                </w:tcPr>
                <w:p w14:paraId="5E3AC4C1">
                  <w:pPr>
                    <w:pStyle w:val="76"/>
                    <w:spacing w:line="240" w:lineRule="auto"/>
                    <w:ind w:left="0" w:leftChars="0" w:right="0" w:rightChars="0"/>
                    <w:rPr>
                      <w:b/>
                      <w:bCs/>
                      <w:color w:val="000000" w:themeColor="text1"/>
                      <w:spacing w:val="-6"/>
                      <w14:textFill>
                        <w14:solidFill>
                          <w14:schemeClr w14:val="tx1"/>
                        </w14:solidFill>
                      </w14:textFill>
                    </w:rPr>
                  </w:pPr>
                  <w:r>
                    <w:rPr>
                      <w:b/>
                      <w:bCs/>
                      <w:color w:val="000000" w:themeColor="text1"/>
                      <w:spacing w:val="-6"/>
                      <w14:textFill>
                        <w14:solidFill>
                          <w14:schemeClr w14:val="tx1"/>
                        </w14:solidFill>
                      </w14:textFill>
                    </w:rPr>
                    <w:t>检测指标</w:t>
                  </w:r>
                </w:p>
              </w:tc>
              <w:tc>
                <w:tcPr>
                  <w:tcW w:w="1479" w:type="pct"/>
                </w:tcPr>
                <w:p w14:paraId="0F9AF9F5">
                  <w:pPr>
                    <w:pStyle w:val="76"/>
                    <w:spacing w:line="240" w:lineRule="auto"/>
                    <w:ind w:left="0" w:leftChars="0" w:right="0" w:rightChars="0"/>
                    <w:rPr>
                      <w:b/>
                      <w:bCs/>
                      <w:color w:val="000000" w:themeColor="text1"/>
                      <w:spacing w:val="-6"/>
                      <w14:textFill>
                        <w14:solidFill>
                          <w14:schemeClr w14:val="tx1"/>
                        </w14:solidFill>
                      </w14:textFill>
                    </w:rPr>
                  </w:pPr>
                  <w:r>
                    <w:rPr>
                      <w:b/>
                      <w:bCs/>
                      <w:color w:val="000000" w:themeColor="text1"/>
                      <w:spacing w:val="-6"/>
                      <w14:textFill>
                        <w14:solidFill>
                          <w14:schemeClr w14:val="tx1"/>
                        </w14:solidFill>
                      </w14:textFill>
                    </w:rPr>
                    <w:t>指标限值</w:t>
                  </w:r>
                </w:p>
              </w:tc>
            </w:tr>
            <w:tr w14:paraId="68CFB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restart"/>
                  <w:vAlign w:val="center"/>
                </w:tcPr>
                <w:p w14:paraId="4217F174">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1</w:t>
                  </w:r>
                </w:p>
              </w:tc>
              <w:tc>
                <w:tcPr>
                  <w:tcW w:w="1385" w:type="pct"/>
                  <w:vMerge w:val="restart"/>
                  <w:vAlign w:val="center"/>
                </w:tcPr>
                <w:p w14:paraId="2B96BD5E">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98%硫酸</w:t>
                  </w:r>
                </w:p>
              </w:tc>
              <w:tc>
                <w:tcPr>
                  <w:tcW w:w="1546" w:type="pct"/>
                  <w:vAlign w:val="center"/>
                </w:tcPr>
                <w:p w14:paraId="50EB8AE6">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氯化物</w:t>
                  </w:r>
                </w:p>
              </w:tc>
              <w:tc>
                <w:tcPr>
                  <w:tcW w:w="1479" w:type="pct"/>
                  <w:vAlign w:val="center"/>
                </w:tcPr>
                <w:p w14:paraId="773C8BE4">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≤0.05%</w:t>
                  </w:r>
                </w:p>
              </w:tc>
            </w:tr>
            <w:tr w14:paraId="1F8A1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continue"/>
                  <w:vAlign w:val="center"/>
                </w:tcPr>
                <w:p w14:paraId="02C8FA80">
                  <w:pPr>
                    <w:jc w:val="center"/>
                    <w:rPr>
                      <w:rFonts w:eastAsia="仿宋"/>
                      <w:color w:val="000000" w:themeColor="text1"/>
                      <w:szCs w:val="28"/>
                      <w14:textFill>
                        <w14:solidFill>
                          <w14:schemeClr w14:val="tx1"/>
                        </w14:solidFill>
                      </w14:textFill>
                    </w:rPr>
                  </w:pPr>
                </w:p>
              </w:tc>
              <w:tc>
                <w:tcPr>
                  <w:tcW w:w="1385" w:type="pct"/>
                  <w:vMerge w:val="continue"/>
                  <w:vAlign w:val="center"/>
                </w:tcPr>
                <w:p w14:paraId="733EB6BF">
                  <w:pPr>
                    <w:jc w:val="center"/>
                    <w:rPr>
                      <w:rFonts w:eastAsia="仿宋"/>
                      <w:color w:val="000000" w:themeColor="text1"/>
                      <w:szCs w:val="28"/>
                      <w14:textFill>
                        <w14:solidFill>
                          <w14:schemeClr w14:val="tx1"/>
                        </w14:solidFill>
                      </w14:textFill>
                    </w:rPr>
                  </w:pPr>
                </w:p>
              </w:tc>
              <w:tc>
                <w:tcPr>
                  <w:tcW w:w="1546" w:type="pct"/>
                  <w:vAlign w:val="center"/>
                </w:tcPr>
                <w:p w14:paraId="47F5AAB6">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炽灼残渣</w:t>
                  </w:r>
                </w:p>
              </w:tc>
              <w:tc>
                <w:tcPr>
                  <w:tcW w:w="1479" w:type="pct"/>
                  <w:vAlign w:val="center"/>
                </w:tcPr>
                <w:p w14:paraId="36A2D31F">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≤0.05%</w:t>
                  </w:r>
                </w:p>
              </w:tc>
            </w:tr>
            <w:tr w14:paraId="478E8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continue"/>
                  <w:vAlign w:val="center"/>
                </w:tcPr>
                <w:p w14:paraId="10DEF0E4">
                  <w:pPr>
                    <w:jc w:val="center"/>
                    <w:rPr>
                      <w:rFonts w:eastAsia="仿宋"/>
                      <w:color w:val="000000" w:themeColor="text1"/>
                      <w:szCs w:val="28"/>
                      <w14:textFill>
                        <w14:solidFill>
                          <w14:schemeClr w14:val="tx1"/>
                        </w14:solidFill>
                      </w14:textFill>
                    </w:rPr>
                  </w:pPr>
                </w:p>
              </w:tc>
              <w:tc>
                <w:tcPr>
                  <w:tcW w:w="1385" w:type="pct"/>
                  <w:vMerge w:val="continue"/>
                  <w:vAlign w:val="center"/>
                </w:tcPr>
                <w:p w14:paraId="53CC053D">
                  <w:pPr>
                    <w:jc w:val="center"/>
                    <w:rPr>
                      <w:rFonts w:eastAsia="仿宋"/>
                      <w:color w:val="000000" w:themeColor="text1"/>
                      <w:szCs w:val="28"/>
                      <w14:textFill>
                        <w14:solidFill>
                          <w14:schemeClr w14:val="tx1"/>
                        </w14:solidFill>
                      </w14:textFill>
                    </w:rPr>
                  </w:pPr>
                </w:p>
              </w:tc>
              <w:tc>
                <w:tcPr>
                  <w:tcW w:w="1546" w:type="pct"/>
                  <w:vAlign w:val="center"/>
                </w:tcPr>
                <w:p w14:paraId="54F1C7A8">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铁盐</w:t>
                  </w:r>
                </w:p>
              </w:tc>
              <w:tc>
                <w:tcPr>
                  <w:tcW w:w="1479" w:type="pct"/>
                  <w:vAlign w:val="center"/>
                </w:tcPr>
                <w:p w14:paraId="5A855158">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≤0.025%</w:t>
                  </w:r>
                </w:p>
              </w:tc>
            </w:tr>
            <w:tr w14:paraId="34A6F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continue"/>
                  <w:vAlign w:val="center"/>
                </w:tcPr>
                <w:p w14:paraId="426792BB">
                  <w:pPr>
                    <w:jc w:val="center"/>
                    <w:rPr>
                      <w:rFonts w:eastAsia="仿宋"/>
                      <w:color w:val="000000" w:themeColor="text1"/>
                      <w:szCs w:val="28"/>
                      <w14:textFill>
                        <w14:solidFill>
                          <w14:schemeClr w14:val="tx1"/>
                        </w14:solidFill>
                      </w14:textFill>
                    </w:rPr>
                  </w:pPr>
                </w:p>
              </w:tc>
              <w:tc>
                <w:tcPr>
                  <w:tcW w:w="1385" w:type="pct"/>
                  <w:vMerge w:val="continue"/>
                  <w:vAlign w:val="center"/>
                </w:tcPr>
                <w:p w14:paraId="1A74DB8A">
                  <w:pPr>
                    <w:jc w:val="center"/>
                    <w:rPr>
                      <w:rFonts w:eastAsia="仿宋"/>
                      <w:color w:val="000000" w:themeColor="text1"/>
                      <w:szCs w:val="28"/>
                      <w14:textFill>
                        <w14:solidFill>
                          <w14:schemeClr w14:val="tx1"/>
                        </w14:solidFill>
                      </w14:textFill>
                    </w:rPr>
                  </w:pPr>
                </w:p>
              </w:tc>
              <w:tc>
                <w:tcPr>
                  <w:tcW w:w="1546" w:type="pct"/>
                  <w:vAlign w:val="center"/>
                </w:tcPr>
                <w:p w14:paraId="1016FB2D">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重金属</w:t>
                  </w:r>
                </w:p>
              </w:tc>
              <w:tc>
                <w:tcPr>
                  <w:tcW w:w="1479" w:type="pct"/>
                  <w:vAlign w:val="center"/>
                </w:tcPr>
                <w:p w14:paraId="5CAEB01B">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≤0.0005%</w:t>
                  </w:r>
                </w:p>
              </w:tc>
            </w:tr>
            <w:tr w14:paraId="61B44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restart"/>
                  <w:vAlign w:val="center"/>
                </w:tcPr>
                <w:p w14:paraId="0435FB3E">
                  <w:pPr>
                    <w:jc w:val="center"/>
                    <w:rPr>
                      <w:rFonts w:eastAsia="仿宋"/>
                      <w:color w:val="000000" w:themeColor="text1"/>
                      <w:szCs w:val="28"/>
                      <w14:textFill>
                        <w14:solidFill>
                          <w14:schemeClr w14:val="tx1"/>
                        </w14:solidFill>
                      </w14:textFill>
                    </w:rPr>
                  </w:pPr>
                  <w:r>
                    <w:rPr>
                      <w:rFonts w:hint="eastAsia" w:eastAsia="仿宋"/>
                      <w:color w:val="000000" w:themeColor="text1"/>
                      <w:szCs w:val="28"/>
                      <w14:textFill>
                        <w14:solidFill>
                          <w14:schemeClr w14:val="tx1"/>
                        </w14:solidFill>
                      </w14:textFill>
                    </w:rPr>
                    <w:t>2</w:t>
                  </w:r>
                </w:p>
              </w:tc>
              <w:tc>
                <w:tcPr>
                  <w:tcW w:w="1385" w:type="pct"/>
                  <w:vMerge w:val="restart"/>
                  <w:vAlign w:val="center"/>
                </w:tcPr>
                <w:p w14:paraId="25F42116">
                  <w:pPr>
                    <w:jc w:val="center"/>
                    <w:rPr>
                      <w:rFonts w:eastAsia="仿宋"/>
                      <w:color w:val="000000" w:themeColor="text1"/>
                      <w:szCs w:val="28"/>
                      <w14:textFill>
                        <w14:solidFill>
                          <w14:schemeClr w14:val="tx1"/>
                        </w14:solidFill>
                      </w14:textFill>
                    </w:rPr>
                  </w:pPr>
                  <w:r>
                    <w:rPr>
                      <w:rFonts w:hint="eastAsia" w:eastAsia="仿宋"/>
                      <w:color w:val="000000" w:themeColor="text1"/>
                      <w:szCs w:val="28"/>
                      <w14:textFill>
                        <w14:solidFill>
                          <w14:schemeClr w14:val="tx1"/>
                        </w14:solidFill>
                      </w14:textFill>
                    </w:rPr>
                    <w:t>36%盐酸</w:t>
                  </w:r>
                </w:p>
              </w:tc>
              <w:tc>
                <w:tcPr>
                  <w:tcW w:w="1546" w:type="pct"/>
                  <w:vAlign w:val="center"/>
                </w:tcPr>
                <w:p w14:paraId="21A61F3D">
                  <w:pPr>
                    <w:jc w:val="center"/>
                    <w:rPr>
                      <w:rFonts w:eastAsia="仿宋"/>
                      <w:color w:val="000000" w:themeColor="text1"/>
                      <w:szCs w:val="28"/>
                      <w14:textFill>
                        <w14:solidFill>
                          <w14:schemeClr w14:val="tx1"/>
                        </w14:solidFill>
                      </w14:textFill>
                    </w:rPr>
                  </w:pPr>
                  <w:r>
                    <w:rPr>
                      <w:rFonts w:hint="eastAsia" w:eastAsia="仿宋"/>
                      <w:color w:val="000000" w:themeColor="text1"/>
                      <w:szCs w:val="28"/>
                      <w14:textFill>
                        <w14:solidFill>
                          <w14:schemeClr w14:val="tx1"/>
                        </w14:solidFill>
                      </w14:textFill>
                    </w:rPr>
                    <w:t>硫酸盐</w:t>
                  </w:r>
                </w:p>
              </w:tc>
              <w:tc>
                <w:tcPr>
                  <w:tcW w:w="1479" w:type="pct"/>
                  <w:vAlign w:val="center"/>
                </w:tcPr>
                <w:p w14:paraId="7D091D41">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≤0.005%</w:t>
                  </w:r>
                </w:p>
              </w:tc>
            </w:tr>
            <w:tr w14:paraId="5C840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continue"/>
                  <w:vAlign w:val="center"/>
                </w:tcPr>
                <w:p w14:paraId="5CE2481A">
                  <w:pPr>
                    <w:jc w:val="center"/>
                    <w:rPr>
                      <w:rFonts w:eastAsia="仿宋"/>
                      <w:color w:val="000000" w:themeColor="text1"/>
                      <w:szCs w:val="28"/>
                      <w14:textFill>
                        <w14:solidFill>
                          <w14:schemeClr w14:val="tx1"/>
                        </w14:solidFill>
                      </w14:textFill>
                    </w:rPr>
                  </w:pPr>
                </w:p>
              </w:tc>
              <w:tc>
                <w:tcPr>
                  <w:tcW w:w="1385" w:type="pct"/>
                  <w:vMerge w:val="continue"/>
                  <w:vAlign w:val="center"/>
                </w:tcPr>
                <w:p w14:paraId="6FF4EFC0">
                  <w:pPr>
                    <w:jc w:val="center"/>
                    <w:rPr>
                      <w:rFonts w:eastAsia="仿宋"/>
                      <w:color w:val="000000" w:themeColor="text1"/>
                      <w:szCs w:val="28"/>
                      <w14:textFill>
                        <w14:solidFill>
                          <w14:schemeClr w14:val="tx1"/>
                        </w14:solidFill>
                      </w14:textFill>
                    </w:rPr>
                  </w:pPr>
                </w:p>
              </w:tc>
              <w:tc>
                <w:tcPr>
                  <w:tcW w:w="1546" w:type="pct"/>
                  <w:vAlign w:val="center"/>
                </w:tcPr>
                <w:p w14:paraId="229E7E94">
                  <w:pPr>
                    <w:jc w:val="center"/>
                    <w:rPr>
                      <w:rFonts w:eastAsia="仿宋"/>
                      <w:color w:val="000000" w:themeColor="text1"/>
                      <w:szCs w:val="28"/>
                      <w14:textFill>
                        <w14:solidFill>
                          <w14:schemeClr w14:val="tx1"/>
                        </w14:solidFill>
                      </w14:textFill>
                    </w:rPr>
                  </w:pPr>
                  <w:r>
                    <w:rPr>
                      <w:rFonts w:hint="eastAsia" w:eastAsia="仿宋"/>
                      <w:color w:val="000000" w:themeColor="text1"/>
                      <w:szCs w:val="28"/>
                      <w14:textFill>
                        <w14:solidFill>
                          <w14:schemeClr w14:val="tx1"/>
                        </w14:solidFill>
                      </w14:textFill>
                    </w:rPr>
                    <w:t>炽灼残渣</w:t>
                  </w:r>
                </w:p>
              </w:tc>
              <w:tc>
                <w:tcPr>
                  <w:tcW w:w="1479" w:type="pct"/>
                  <w:vAlign w:val="center"/>
                </w:tcPr>
                <w:p w14:paraId="356AC7E9">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≤0.02</w:t>
                  </w:r>
                </w:p>
              </w:tc>
            </w:tr>
            <w:tr w14:paraId="75AD0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continue"/>
                  <w:vAlign w:val="center"/>
                </w:tcPr>
                <w:p w14:paraId="5138FAE2">
                  <w:pPr>
                    <w:jc w:val="center"/>
                    <w:rPr>
                      <w:rFonts w:eastAsia="仿宋"/>
                      <w:color w:val="000000" w:themeColor="text1"/>
                      <w:szCs w:val="28"/>
                      <w14:textFill>
                        <w14:solidFill>
                          <w14:schemeClr w14:val="tx1"/>
                        </w14:solidFill>
                      </w14:textFill>
                    </w:rPr>
                  </w:pPr>
                </w:p>
              </w:tc>
              <w:tc>
                <w:tcPr>
                  <w:tcW w:w="1385" w:type="pct"/>
                  <w:vMerge w:val="continue"/>
                  <w:vAlign w:val="center"/>
                </w:tcPr>
                <w:p w14:paraId="11FD8838">
                  <w:pPr>
                    <w:jc w:val="center"/>
                    <w:rPr>
                      <w:rFonts w:eastAsia="仿宋"/>
                      <w:color w:val="000000" w:themeColor="text1"/>
                      <w:szCs w:val="28"/>
                      <w14:textFill>
                        <w14:solidFill>
                          <w14:schemeClr w14:val="tx1"/>
                        </w14:solidFill>
                      </w14:textFill>
                    </w:rPr>
                  </w:pPr>
                </w:p>
              </w:tc>
              <w:tc>
                <w:tcPr>
                  <w:tcW w:w="1546" w:type="pct"/>
                  <w:vAlign w:val="center"/>
                </w:tcPr>
                <w:p w14:paraId="465F9732">
                  <w:pPr>
                    <w:jc w:val="center"/>
                    <w:rPr>
                      <w:rFonts w:eastAsia="仿宋"/>
                      <w:color w:val="000000" w:themeColor="text1"/>
                      <w:szCs w:val="28"/>
                      <w14:textFill>
                        <w14:solidFill>
                          <w14:schemeClr w14:val="tx1"/>
                        </w14:solidFill>
                      </w14:textFill>
                    </w:rPr>
                  </w:pPr>
                  <w:r>
                    <w:rPr>
                      <w:rFonts w:hint="eastAsia" w:eastAsia="仿宋"/>
                      <w:color w:val="000000" w:themeColor="text1"/>
                      <w:szCs w:val="28"/>
                      <w14:textFill>
                        <w14:solidFill>
                          <w14:schemeClr w14:val="tx1"/>
                        </w14:solidFill>
                      </w14:textFill>
                    </w:rPr>
                    <w:t>铁盐</w:t>
                  </w:r>
                </w:p>
              </w:tc>
              <w:tc>
                <w:tcPr>
                  <w:tcW w:w="1479" w:type="pct"/>
                  <w:vAlign w:val="center"/>
                </w:tcPr>
                <w:p w14:paraId="5C38449C">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≤0.001%</w:t>
                  </w:r>
                </w:p>
              </w:tc>
            </w:tr>
            <w:tr w14:paraId="1E523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continue"/>
                  <w:vAlign w:val="center"/>
                </w:tcPr>
                <w:p w14:paraId="08FE89F8">
                  <w:pPr>
                    <w:jc w:val="center"/>
                    <w:rPr>
                      <w:rFonts w:eastAsia="仿宋"/>
                      <w:color w:val="000000" w:themeColor="text1"/>
                      <w:szCs w:val="28"/>
                      <w14:textFill>
                        <w14:solidFill>
                          <w14:schemeClr w14:val="tx1"/>
                        </w14:solidFill>
                      </w14:textFill>
                    </w:rPr>
                  </w:pPr>
                </w:p>
              </w:tc>
              <w:tc>
                <w:tcPr>
                  <w:tcW w:w="1385" w:type="pct"/>
                  <w:vMerge w:val="continue"/>
                  <w:vAlign w:val="center"/>
                </w:tcPr>
                <w:p w14:paraId="27FFA246">
                  <w:pPr>
                    <w:jc w:val="center"/>
                    <w:rPr>
                      <w:rFonts w:eastAsia="仿宋"/>
                      <w:color w:val="000000" w:themeColor="text1"/>
                      <w:szCs w:val="28"/>
                      <w14:textFill>
                        <w14:solidFill>
                          <w14:schemeClr w14:val="tx1"/>
                        </w14:solidFill>
                      </w14:textFill>
                    </w:rPr>
                  </w:pPr>
                </w:p>
              </w:tc>
              <w:tc>
                <w:tcPr>
                  <w:tcW w:w="1546" w:type="pct"/>
                  <w:vAlign w:val="center"/>
                </w:tcPr>
                <w:p w14:paraId="15010D3B">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重金属</w:t>
                  </w:r>
                </w:p>
              </w:tc>
              <w:tc>
                <w:tcPr>
                  <w:tcW w:w="1479" w:type="pct"/>
                  <w:vAlign w:val="center"/>
                </w:tcPr>
                <w:p w14:paraId="646553F1">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≤0.002%</w:t>
                  </w:r>
                </w:p>
              </w:tc>
            </w:tr>
            <w:tr w14:paraId="18499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continue"/>
                  <w:vAlign w:val="center"/>
                </w:tcPr>
                <w:p w14:paraId="532D686B">
                  <w:pPr>
                    <w:jc w:val="center"/>
                    <w:rPr>
                      <w:rFonts w:eastAsia="仿宋"/>
                      <w:color w:val="000000" w:themeColor="text1"/>
                      <w:szCs w:val="28"/>
                      <w14:textFill>
                        <w14:solidFill>
                          <w14:schemeClr w14:val="tx1"/>
                        </w14:solidFill>
                      </w14:textFill>
                    </w:rPr>
                  </w:pPr>
                </w:p>
              </w:tc>
              <w:tc>
                <w:tcPr>
                  <w:tcW w:w="1385" w:type="pct"/>
                  <w:vMerge w:val="continue"/>
                  <w:vAlign w:val="center"/>
                </w:tcPr>
                <w:p w14:paraId="100BA28C">
                  <w:pPr>
                    <w:jc w:val="center"/>
                    <w:rPr>
                      <w:rFonts w:eastAsia="仿宋"/>
                      <w:color w:val="000000" w:themeColor="text1"/>
                      <w:szCs w:val="28"/>
                      <w14:textFill>
                        <w14:solidFill>
                          <w14:schemeClr w14:val="tx1"/>
                        </w14:solidFill>
                      </w14:textFill>
                    </w:rPr>
                  </w:pPr>
                </w:p>
              </w:tc>
              <w:tc>
                <w:tcPr>
                  <w:tcW w:w="1546" w:type="pct"/>
                  <w:vAlign w:val="center"/>
                </w:tcPr>
                <w:p w14:paraId="296787E3">
                  <w:pPr>
                    <w:jc w:val="center"/>
                    <w:rPr>
                      <w:rFonts w:eastAsia="仿宋"/>
                      <w:color w:val="000000" w:themeColor="text1"/>
                      <w:szCs w:val="28"/>
                      <w14:textFill>
                        <w14:solidFill>
                          <w14:schemeClr w14:val="tx1"/>
                        </w14:solidFill>
                      </w14:textFill>
                    </w:rPr>
                  </w:pPr>
                  <w:r>
                    <w:rPr>
                      <w:rFonts w:hint="eastAsia" w:eastAsia="仿宋"/>
                      <w:color w:val="000000" w:themeColor="text1"/>
                      <w:szCs w:val="28"/>
                      <w14:textFill>
                        <w14:solidFill>
                          <w14:schemeClr w14:val="tx1"/>
                        </w14:solidFill>
                      </w14:textFill>
                    </w:rPr>
                    <w:t>砷盐</w:t>
                  </w:r>
                </w:p>
              </w:tc>
              <w:tc>
                <w:tcPr>
                  <w:tcW w:w="1479" w:type="pct"/>
                  <w:vAlign w:val="center"/>
                </w:tcPr>
                <w:p w14:paraId="03D4DDB2">
                  <w:pPr>
                    <w:jc w:val="center"/>
                    <w:rPr>
                      <w:rFonts w:eastAsia="仿宋"/>
                      <w:color w:val="000000" w:themeColor="text1"/>
                      <w:szCs w:val="28"/>
                      <w14:textFill>
                        <w14:solidFill>
                          <w14:schemeClr w14:val="tx1"/>
                        </w14:solidFill>
                      </w14:textFill>
                    </w:rPr>
                  </w:pPr>
                  <w:r>
                    <w:rPr>
                      <w:rFonts w:hint="eastAsia" w:eastAsia="仿宋"/>
                      <w:color w:val="000000" w:themeColor="text1"/>
                      <w:szCs w:val="28"/>
                      <w14:textFill>
                        <w14:solidFill>
                          <w14:schemeClr w14:val="tx1"/>
                        </w14:solidFill>
                      </w14:textFill>
                    </w:rPr>
                    <w:t>≤0</w:t>
                  </w:r>
                  <w:r>
                    <w:rPr>
                      <w:rFonts w:eastAsia="仿宋"/>
                      <w:color w:val="000000" w:themeColor="text1"/>
                      <w:szCs w:val="28"/>
                      <w14:textFill>
                        <w14:solidFill>
                          <w14:schemeClr w14:val="tx1"/>
                        </w14:solidFill>
                      </w14:textFill>
                    </w:rPr>
                    <w:t>.001%</w:t>
                  </w:r>
                </w:p>
              </w:tc>
            </w:tr>
            <w:tr w14:paraId="6122D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Align w:val="center"/>
                </w:tcPr>
                <w:p w14:paraId="5ACE3410">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3</w:t>
                  </w:r>
                </w:p>
              </w:tc>
              <w:tc>
                <w:tcPr>
                  <w:tcW w:w="1385" w:type="pct"/>
                  <w:vAlign w:val="center"/>
                </w:tcPr>
                <w:p w14:paraId="33B02AB2">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30%过氧化氢</w:t>
                  </w:r>
                </w:p>
              </w:tc>
              <w:tc>
                <w:tcPr>
                  <w:tcW w:w="1546" w:type="pct"/>
                  <w:vAlign w:val="center"/>
                </w:tcPr>
                <w:p w14:paraId="0862C330">
                  <w:pPr>
                    <w:jc w:val="center"/>
                    <w:rPr>
                      <w:rFonts w:eastAsia="仿宋"/>
                      <w:color w:val="000000" w:themeColor="text1"/>
                      <w:szCs w:val="28"/>
                      <w14:textFill>
                        <w14:solidFill>
                          <w14:schemeClr w14:val="tx1"/>
                        </w14:solidFill>
                      </w14:textFill>
                    </w:rPr>
                  </w:pPr>
                  <w:r>
                    <w:rPr>
                      <w:rFonts w:hint="eastAsia" w:eastAsia="仿宋"/>
                      <w:color w:val="000000" w:themeColor="text1"/>
                      <w:szCs w:val="28"/>
                      <w14:textFill>
                        <w14:solidFill>
                          <w14:schemeClr w14:val="tx1"/>
                        </w14:solidFill>
                      </w14:textFill>
                    </w:rPr>
                    <w:t>不挥发物</w:t>
                  </w:r>
                </w:p>
              </w:tc>
              <w:tc>
                <w:tcPr>
                  <w:tcW w:w="1479" w:type="pct"/>
                  <w:vAlign w:val="center"/>
                </w:tcPr>
                <w:p w14:paraId="4FE6B7B7">
                  <w:pPr>
                    <w:jc w:val="center"/>
                    <w:rPr>
                      <w:rFonts w:eastAsia="仿宋"/>
                      <w:color w:val="000000" w:themeColor="text1"/>
                      <w:szCs w:val="28"/>
                      <w14:textFill>
                        <w14:solidFill>
                          <w14:schemeClr w14:val="tx1"/>
                        </w14:solidFill>
                      </w14:textFill>
                    </w:rPr>
                  </w:pPr>
                  <w:r>
                    <w:rPr>
                      <w:rFonts w:hint="eastAsia" w:eastAsia="仿宋"/>
                      <w:color w:val="000000" w:themeColor="text1"/>
                      <w:szCs w:val="28"/>
                      <w14:textFill>
                        <w14:solidFill>
                          <w14:schemeClr w14:val="tx1"/>
                        </w14:solidFill>
                      </w14:textFill>
                    </w:rPr>
                    <w:t>≤</w:t>
                  </w:r>
                  <w:r>
                    <w:rPr>
                      <w:rFonts w:eastAsia="仿宋"/>
                      <w:color w:val="000000" w:themeColor="text1"/>
                      <w:szCs w:val="28"/>
                      <w14:textFill>
                        <w14:solidFill>
                          <w14:schemeClr w14:val="tx1"/>
                        </w14:solidFill>
                      </w14:textFill>
                    </w:rPr>
                    <w:t>15</w:t>
                  </w:r>
                  <w:r>
                    <w:rPr>
                      <w:rFonts w:hint="eastAsia" w:eastAsia="仿宋"/>
                      <w:color w:val="000000" w:themeColor="text1"/>
                      <w:szCs w:val="28"/>
                      <w14:textFill>
                        <w14:solidFill>
                          <w14:schemeClr w14:val="tx1"/>
                        </w14:solidFill>
                      </w14:textFill>
                    </w:rPr>
                    <w:t>mg</w:t>
                  </w:r>
                </w:p>
              </w:tc>
            </w:tr>
            <w:tr w14:paraId="1E117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restart"/>
                  <w:vAlign w:val="center"/>
                </w:tcPr>
                <w:p w14:paraId="10E8AFBA">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4</w:t>
                  </w:r>
                </w:p>
              </w:tc>
              <w:tc>
                <w:tcPr>
                  <w:tcW w:w="1385" w:type="pct"/>
                  <w:vMerge w:val="restart"/>
                  <w:vAlign w:val="center"/>
                </w:tcPr>
                <w:p w14:paraId="49AA2BD1">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枸橼酸</w:t>
                  </w:r>
                </w:p>
              </w:tc>
              <w:tc>
                <w:tcPr>
                  <w:tcW w:w="1546" w:type="pct"/>
                  <w:vAlign w:val="center"/>
                </w:tcPr>
                <w:p w14:paraId="205FC213">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氯化物</w:t>
                  </w:r>
                </w:p>
              </w:tc>
              <w:tc>
                <w:tcPr>
                  <w:tcW w:w="1479" w:type="pct"/>
                  <w:vAlign w:val="center"/>
                </w:tcPr>
                <w:p w14:paraId="14A521E1">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≤0.005%</w:t>
                  </w:r>
                </w:p>
              </w:tc>
            </w:tr>
            <w:tr w14:paraId="5443F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continue"/>
                  <w:vAlign w:val="center"/>
                </w:tcPr>
                <w:p w14:paraId="1F6CF9E9">
                  <w:pPr>
                    <w:jc w:val="center"/>
                    <w:rPr>
                      <w:rFonts w:eastAsia="仿宋"/>
                      <w:color w:val="000000" w:themeColor="text1"/>
                      <w:szCs w:val="28"/>
                      <w14:textFill>
                        <w14:solidFill>
                          <w14:schemeClr w14:val="tx1"/>
                        </w14:solidFill>
                      </w14:textFill>
                    </w:rPr>
                  </w:pPr>
                </w:p>
              </w:tc>
              <w:tc>
                <w:tcPr>
                  <w:tcW w:w="1385" w:type="pct"/>
                  <w:vMerge w:val="continue"/>
                  <w:vAlign w:val="center"/>
                </w:tcPr>
                <w:p w14:paraId="32BC1DE9">
                  <w:pPr>
                    <w:jc w:val="center"/>
                    <w:rPr>
                      <w:rFonts w:eastAsia="仿宋"/>
                      <w:color w:val="000000" w:themeColor="text1"/>
                      <w:szCs w:val="28"/>
                      <w14:textFill>
                        <w14:solidFill>
                          <w14:schemeClr w14:val="tx1"/>
                        </w14:solidFill>
                      </w14:textFill>
                    </w:rPr>
                  </w:pPr>
                </w:p>
              </w:tc>
              <w:tc>
                <w:tcPr>
                  <w:tcW w:w="1546" w:type="pct"/>
                  <w:vAlign w:val="center"/>
                </w:tcPr>
                <w:p w14:paraId="75D44B4F">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硫酸盐</w:t>
                  </w:r>
                </w:p>
              </w:tc>
              <w:tc>
                <w:tcPr>
                  <w:tcW w:w="1479" w:type="pct"/>
                  <w:vAlign w:val="center"/>
                </w:tcPr>
                <w:p w14:paraId="6C5A0377">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≤0.15%</w:t>
                  </w:r>
                </w:p>
              </w:tc>
            </w:tr>
            <w:tr w14:paraId="70872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continue"/>
                  <w:vAlign w:val="center"/>
                </w:tcPr>
                <w:p w14:paraId="4D6D6916">
                  <w:pPr>
                    <w:jc w:val="center"/>
                    <w:rPr>
                      <w:rFonts w:eastAsia="仿宋"/>
                      <w:color w:val="000000" w:themeColor="text1"/>
                      <w:szCs w:val="28"/>
                      <w14:textFill>
                        <w14:solidFill>
                          <w14:schemeClr w14:val="tx1"/>
                        </w14:solidFill>
                      </w14:textFill>
                    </w:rPr>
                  </w:pPr>
                </w:p>
              </w:tc>
              <w:tc>
                <w:tcPr>
                  <w:tcW w:w="1385" w:type="pct"/>
                  <w:vMerge w:val="continue"/>
                  <w:vAlign w:val="center"/>
                </w:tcPr>
                <w:p w14:paraId="796558FD">
                  <w:pPr>
                    <w:jc w:val="center"/>
                    <w:rPr>
                      <w:rFonts w:eastAsia="仿宋"/>
                      <w:color w:val="000000" w:themeColor="text1"/>
                      <w:szCs w:val="28"/>
                      <w14:textFill>
                        <w14:solidFill>
                          <w14:schemeClr w14:val="tx1"/>
                        </w14:solidFill>
                      </w14:textFill>
                    </w:rPr>
                  </w:pPr>
                </w:p>
              </w:tc>
              <w:tc>
                <w:tcPr>
                  <w:tcW w:w="1546" w:type="pct"/>
                  <w:vAlign w:val="center"/>
                </w:tcPr>
                <w:p w14:paraId="4013E69C">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铝含量</w:t>
                  </w:r>
                </w:p>
              </w:tc>
              <w:tc>
                <w:tcPr>
                  <w:tcW w:w="1479" w:type="pct"/>
                  <w:vAlign w:val="center"/>
                </w:tcPr>
                <w:p w14:paraId="5682BC85">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≤0.00002%</w:t>
                  </w:r>
                </w:p>
              </w:tc>
            </w:tr>
            <w:tr w14:paraId="07E64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continue"/>
                  <w:vAlign w:val="center"/>
                </w:tcPr>
                <w:p w14:paraId="0D47843A">
                  <w:pPr>
                    <w:jc w:val="center"/>
                    <w:rPr>
                      <w:rFonts w:eastAsia="仿宋"/>
                      <w:color w:val="000000" w:themeColor="text1"/>
                      <w:szCs w:val="28"/>
                      <w14:textFill>
                        <w14:solidFill>
                          <w14:schemeClr w14:val="tx1"/>
                        </w14:solidFill>
                      </w14:textFill>
                    </w:rPr>
                  </w:pPr>
                </w:p>
              </w:tc>
              <w:tc>
                <w:tcPr>
                  <w:tcW w:w="1385" w:type="pct"/>
                  <w:vMerge w:val="continue"/>
                  <w:vAlign w:val="center"/>
                </w:tcPr>
                <w:p w14:paraId="0BA85DCB">
                  <w:pPr>
                    <w:jc w:val="center"/>
                    <w:rPr>
                      <w:rFonts w:eastAsia="仿宋"/>
                      <w:color w:val="000000" w:themeColor="text1"/>
                      <w:szCs w:val="28"/>
                      <w14:textFill>
                        <w14:solidFill>
                          <w14:schemeClr w14:val="tx1"/>
                        </w14:solidFill>
                      </w14:textFill>
                    </w:rPr>
                  </w:pPr>
                </w:p>
              </w:tc>
              <w:tc>
                <w:tcPr>
                  <w:tcW w:w="1546" w:type="pct"/>
                  <w:vAlign w:val="center"/>
                </w:tcPr>
                <w:p w14:paraId="5522FB7A">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水分</w:t>
                  </w:r>
                </w:p>
              </w:tc>
              <w:tc>
                <w:tcPr>
                  <w:tcW w:w="1479" w:type="pct"/>
                  <w:vAlign w:val="center"/>
                </w:tcPr>
                <w:p w14:paraId="3A166325">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≤7.5%~9%</w:t>
                  </w:r>
                </w:p>
              </w:tc>
            </w:tr>
            <w:tr w14:paraId="33B36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continue"/>
                  <w:vAlign w:val="center"/>
                </w:tcPr>
                <w:p w14:paraId="27DFD0D4">
                  <w:pPr>
                    <w:jc w:val="center"/>
                    <w:rPr>
                      <w:rFonts w:eastAsia="仿宋"/>
                      <w:color w:val="000000" w:themeColor="text1"/>
                      <w:szCs w:val="28"/>
                      <w14:textFill>
                        <w14:solidFill>
                          <w14:schemeClr w14:val="tx1"/>
                        </w14:solidFill>
                      </w14:textFill>
                    </w:rPr>
                  </w:pPr>
                </w:p>
              </w:tc>
              <w:tc>
                <w:tcPr>
                  <w:tcW w:w="1385" w:type="pct"/>
                  <w:vMerge w:val="continue"/>
                  <w:vAlign w:val="center"/>
                </w:tcPr>
                <w:p w14:paraId="505B0A10">
                  <w:pPr>
                    <w:jc w:val="center"/>
                    <w:rPr>
                      <w:rFonts w:eastAsia="仿宋"/>
                      <w:color w:val="000000" w:themeColor="text1"/>
                      <w:szCs w:val="28"/>
                      <w14:textFill>
                        <w14:solidFill>
                          <w14:schemeClr w14:val="tx1"/>
                        </w14:solidFill>
                      </w14:textFill>
                    </w:rPr>
                  </w:pPr>
                </w:p>
              </w:tc>
              <w:tc>
                <w:tcPr>
                  <w:tcW w:w="1546" w:type="pct"/>
                  <w:vAlign w:val="center"/>
                </w:tcPr>
                <w:p w14:paraId="4F9DF8BB">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炽灼残渣</w:t>
                  </w:r>
                </w:p>
              </w:tc>
              <w:tc>
                <w:tcPr>
                  <w:tcW w:w="1479" w:type="pct"/>
                  <w:vAlign w:val="center"/>
                </w:tcPr>
                <w:p w14:paraId="7A5BED81">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≤0.1%</w:t>
                  </w:r>
                </w:p>
              </w:tc>
            </w:tr>
            <w:tr w14:paraId="02831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continue"/>
                  <w:vAlign w:val="center"/>
                </w:tcPr>
                <w:p w14:paraId="05029A65">
                  <w:pPr>
                    <w:jc w:val="center"/>
                    <w:rPr>
                      <w:rFonts w:eastAsia="仿宋"/>
                      <w:color w:val="000000" w:themeColor="text1"/>
                      <w:szCs w:val="28"/>
                      <w14:textFill>
                        <w14:solidFill>
                          <w14:schemeClr w14:val="tx1"/>
                        </w14:solidFill>
                      </w14:textFill>
                    </w:rPr>
                  </w:pPr>
                </w:p>
              </w:tc>
              <w:tc>
                <w:tcPr>
                  <w:tcW w:w="1385" w:type="pct"/>
                  <w:vMerge w:val="continue"/>
                  <w:vAlign w:val="center"/>
                </w:tcPr>
                <w:p w14:paraId="4FE9B68F">
                  <w:pPr>
                    <w:jc w:val="center"/>
                    <w:rPr>
                      <w:rFonts w:eastAsia="仿宋"/>
                      <w:color w:val="000000" w:themeColor="text1"/>
                      <w:szCs w:val="28"/>
                      <w14:textFill>
                        <w14:solidFill>
                          <w14:schemeClr w14:val="tx1"/>
                        </w14:solidFill>
                      </w14:textFill>
                    </w:rPr>
                  </w:pPr>
                </w:p>
              </w:tc>
              <w:tc>
                <w:tcPr>
                  <w:tcW w:w="1546" w:type="pct"/>
                  <w:vAlign w:val="center"/>
                </w:tcPr>
                <w:p w14:paraId="540D69AF">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铁盐</w:t>
                  </w:r>
                </w:p>
              </w:tc>
              <w:tc>
                <w:tcPr>
                  <w:tcW w:w="1479" w:type="pct"/>
                  <w:vAlign w:val="center"/>
                </w:tcPr>
                <w:p w14:paraId="219C4155">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≤0.01%</w:t>
                  </w:r>
                </w:p>
              </w:tc>
            </w:tr>
            <w:tr w14:paraId="1E12F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continue"/>
                  <w:vAlign w:val="center"/>
                </w:tcPr>
                <w:p w14:paraId="7AF45316">
                  <w:pPr>
                    <w:jc w:val="center"/>
                    <w:rPr>
                      <w:rFonts w:eastAsia="仿宋"/>
                      <w:color w:val="000000" w:themeColor="text1"/>
                      <w:szCs w:val="28"/>
                      <w14:textFill>
                        <w14:solidFill>
                          <w14:schemeClr w14:val="tx1"/>
                        </w14:solidFill>
                      </w14:textFill>
                    </w:rPr>
                  </w:pPr>
                </w:p>
              </w:tc>
              <w:tc>
                <w:tcPr>
                  <w:tcW w:w="1385" w:type="pct"/>
                  <w:vMerge w:val="continue"/>
                  <w:vAlign w:val="center"/>
                </w:tcPr>
                <w:p w14:paraId="0A246DCE">
                  <w:pPr>
                    <w:jc w:val="center"/>
                    <w:rPr>
                      <w:rFonts w:eastAsia="仿宋"/>
                      <w:color w:val="000000" w:themeColor="text1"/>
                      <w:szCs w:val="28"/>
                      <w14:textFill>
                        <w14:solidFill>
                          <w14:schemeClr w14:val="tx1"/>
                        </w14:solidFill>
                      </w14:textFill>
                    </w:rPr>
                  </w:pPr>
                </w:p>
              </w:tc>
              <w:tc>
                <w:tcPr>
                  <w:tcW w:w="1546" w:type="pct"/>
                  <w:vAlign w:val="center"/>
                </w:tcPr>
                <w:p w14:paraId="32953727">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重金属</w:t>
                  </w:r>
                </w:p>
              </w:tc>
              <w:tc>
                <w:tcPr>
                  <w:tcW w:w="1479" w:type="pct"/>
                  <w:vAlign w:val="center"/>
                </w:tcPr>
                <w:p w14:paraId="2171994E">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≤0.0005%</w:t>
                  </w:r>
                </w:p>
              </w:tc>
            </w:tr>
            <w:tr w14:paraId="54372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continue"/>
                  <w:vAlign w:val="center"/>
                </w:tcPr>
                <w:p w14:paraId="58F71433">
                  <w:pPr>
                    <w:jc w:val="center"/>
                    <w:rPr>
                      <w:rFonts w:eastAsia="仿宋"/>
                      <w:color w:val="000000" w:themeColor="text1"/>
                      <w:szCs w:val="28"/>
                      <w14:textFill>
                        <w14:solidFill>
                          <w14:schemeClr w14:val="tx1"/>
                        </w14:solidFill>
                      </w14:textFill>
                    </w:rPr>
                  </w:pPr>
                </w:p>
              </w:tc>
              <w:tc>
                <w:tcPr>
                  <w:tcW w:w="1385" w:type="pct"/>
                  <w:vMerge w:val="continue"/>
                  <w:vAlign w:val="center"/>
                </w:tcPr>
                <w:p w14:paraId="19CEC750">
                  <w:pPr>
                    <w:jc w:val="center"/>
                    <w:rPr>
                      <w:rFonts w:eastAsia="仿宋"/>
                      <w:color w:val="000000" w:themeColor="text1"/>
                      <w:szCs w:val="28"/>
                      <w14:textFill>
                        <w14:solidFill>
                          <w14:schemeClr w14:val="tx1"/>
                        </w14:solidFill>
                      </w14:textFill>
                    </w:rPr>
                  </w:pPr>
                </w:p>
              </w:tc>
              <w:tc>
                <w:tcPr>
                  <w:tcW w:w="1546" w:type="pct"/>
                  <w:vAlign w:val="center"/>
                </w:tcPr>
                <w:p w14:paraId="2CC11949">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砷盐</w:t>
                  </w:r>
                </w:p>
              </w:tc>
              <w:tc>
                <w:tcPr>
                  <w:tcW w:w="1479" w:type="pct"/>
                  <w:vAlign w:val="center"/>
                </w:tcPr>
                <w:p w14:paraId="06F3DB77">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≤0.001%</w:t>
                  </w:r>
                </w:p>
              </w:tc>
            </w:tr>
            <w:tr w14:paraId="59B39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restart"/>
                  <w:vAlign w:val="center"/>
                </w:tcPr>
                <w:p w14:paraId="628C55CB">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5</w:t>
                  </w:r>
                </w:p>
              </w:tc>
              <w:tc>
                <w:tcPr>
                  <w:tcW w:w="1385" w:type="pct"/>
                  <w:vMerge w:val="restart"/>
                  <w:vAlign w:val="center"/>
                </w:tcPr>
                <w:p w14:paraId="3CC42DDB">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注射用水/纯化水</w:t>
                  </w:r>
                </w:p>
              </w:tc>
              <w:tc>
                <w:tcPr>
                  <w:tcW w:w="1546" w:type="pct"/>
                  <w:vAlign w:val="center"/>
                </w:tcPr>
                <w:p w14:paraId="4D1FED9E">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酸碱度</w:t>
                  </w:r>
                </w:p>
              </w:tc>
              <w:tc>
                <w:tcPr>
                  <w:tcW w:w="1479" w:type="pct"/>
                  <w:vAlign w:val="center"/>
                </w:tcPr>
                <w:p w14:paraId="5CEBB60A">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5~7</w:t>
                  </w:r>
                </w:p>
              </w:tc>
            </w:tr>
            <w:tr w14:paraId="754EA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continue"/>
                  <w:vAlign w:val="center"/>
                </w:tcPr>
                <w:p w14:paraId="58AFC3F3">
                  <w:pPr>
                    <w:jc w:val="center"/>
                    <w:rPr>
                      <w:rFonts w:eastAsia="仿宋"/>
                      <w:color w:val="000000" w:themeColor="text1"/>
                      <w:szCs w:val="28"/>
                      <w14:textFill>
                        <w14:solidFill>
                          <w14:schemeClr w14:val="tx1"/>
                        </w14:solidFill>
                      </w14:textFill>
                    </w:rPr>
                  </w:pPr>
                </w:p>
              </w:tc>
              <w:tc>
                <w:tcPr>
                  <w:tcW w:w="1385" w:type="pct"/>
                  <w:vMerge w:val="continue"/>
                  <w:vAlign w:val="center"/>
                </w:tcPr>
                <w:p w14:paraId="69FD2FCB">
                  <w:pPr>
                    <w:jc w:val="center"/>
                    <w:rPr>
                      <w:rFonts w:eastAsia="仿宋"/>
                      <w:color w:val="000000" w:themeColor="text1"/>
                      <w:szCs w:val="28"/>
                      <w14:textFill>
                        <w14:solidFill>
                          <w14:schemeClr w14:val="tx1"/>
                        </w14:solidFill>
                      </w14:textFill>
                    </w:rPr>
                  </w:pPr>
                </w:p>
              </w:tc>
              <w:tc>
                <w:tcPr>
                  <w:tcW w:w="1546" w:type="pct"/>
                  <w:vAlign w:val="center"/>
                </w:tcPr>
                <w:p w14:paraId="311F7BE1">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硝酸盐</w:t>
                  </w:r>
                </w:p>
              </w:tc>
              <w:tc>
                <w:tcPr>
                  <w:tcW w:w="1479" w:type="pct"/>
                  <w:vAlign w:val="center"/>
                </w:tcPr>
                <w:p w14:paraId="1FE02741">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≤0.00006%</w:t>
                  </w:r>
                </w:p>
              </w:tc>
            </w:tr>
            <w:tr w14:paraId="7C01F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continue"/>
                  <w:vAlign w:val="center"/>
                </w:tcPr>
                <w:p w14:paraId="6608B608">
                  <w:pPr>
                    <w:jc w:val="center"/>
                    <w:rPr>
                      <w:rFonts w:eastAsia="仿宋"/>
                      <w:color w:val="000000" w:themeColor="text1"/>
                      <w:szCs w:val="28"/>
                      <w14:textFill>
                        <w14:solidFill>
                          <w14:schemeClr w14:val="tx1"/>
                        </w14:solidFill>
                      </w14:textFill>
                    </w:rPr>
                  </w:pPr>
                </w:p>
              </w:tc>
              <w:tc>
                <w:tcPr>
                  <w:tcW w:w="1385" w:type="pct"/>
                  <w:vMerge w:val="continue"/>
                  <w:vAlign w:val="center"/>
                </w:tcPr>
                <w:p w14:paraId="773C3A07">
                  <w:pPr>
                    <w:jc w:val="center"/>
                    <w:rPr>
                      <w:rFonts w:eastAsia="仿宋"/>
                      <w:color w:val="000000" w:themeColor="text1"/>
                      <w:szCs w:val="28"/>
                      <w14:textFill>
                        <w14:solidFill>
                          <w14:schemeClr w14:val="tx1"/>
                        </w14:solidFill>
                      </w14:textFill>
                    </w:rPr>
                  </w:pPr>
                </w:p>
              </w:tc>
              <w:tc>
                <w:tcPr>
                  <w:tcW w:w="1546" w:type="pct"/>
                  <w:vAlign w:val="center"/>
                </w:tcPr>
                <w:p w14:paraId="5C8B18AD">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亚硝酸盐</w:t>
                  </w:r>
                </w:p>
              </w:tc>
              <w:tc>
                <w:tcPr>
                  <w:tcW w:w="1479" w:type="pct"/>
                  <w:vAlign w:val="center"/>
                </w:tcPr>
                <w:p w14:paraId="5F3E81AF">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≤0.00002%</w:t>
                  </w:r>
                </w:p>
              </w:tc>
            </w:tr>
            <w:tr w14:paraId="7E1D2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continue"/>
                  <w:vAlign w:val="center"/>
                </w:tcPr>
                <w:p w14:paraId="71BE80AF">
                  <w:pPr>
                    <w:jc w:val="center"/>
                    <w:rPr>
                      <w:rFonts w:eastAsia="仿宋"/>
                      <w:color w:val="000000" w:themeColor="text1"/>
                      <w:szCs w:val="28"/>
                      <w14:textFill>
                        <w14:solidFill>
                          <w14:schemeClr w14:val="tx1"/>
                        </w14:solidFill>
                      </w14:textFill>
                    </w:rPr>
                  </w:pPr>
                </w:p>
              </w:tc>
              <w:tc>
                <w:tcPr>
                  <w:tcW w:w="1385" w:type="pct"/>
                  <w:vMerge w:val="continue"/>
                  <w:vAlign w:val="center"/>
                </w:tcPr>
                <w:p w14:paraId="345BBD39">
                  <w:pPr>
                    <w:jc w:val="center"/>
                    <w:rPr>
                      <w:rFonts w:eastAsia="仿宋"/>
                      <w:color w:val="000000" w:themeColor="text1"/>
                      <w:szCs w:val="28"/>
                      <w14:textFill>
                        <w14:solidFill>
                          <w14:schemeClr w14:val="tx1"/>
                        </w14:solidFill>
                      </w14:textFill>
                    </w:rPr>
                  </w:pPr>
                </w:p>
              </w:tc>
              <w:tc>
                <w:tcPr>
                  <w:tcW w:w="1546" w:type="pct"/>
                  <w:vAlign w:val="center"/>
                </w:tcPr>
                <w:p w14:paraId="3E771317">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氨</w:t>
                  </w:r>
                </w:p>
              </w:tc>
              <w:tc>
                <w:tcPr>
                  <w:tcW w:w="1479" w:type="pct"/>
                  <w:vAlign w:val="center"/>
                </w:tcPr>
                <w:p w14:paraId="79243BF5">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≤0.0003%</w:t>
                  </w:r>
                </w:p>
              </w:tc>
            </w:tr>
            <w:tr w14:paraId="2557A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continue"/>
                  <w:vAlign w:val="center"/>
                </w:tcPr>
                <w:p w14:paraId="3F890E6A">
                  <w:pPr>
                    <w:jc w:val="center"/>
                    <w:rPr>
                      <w:rFonts w:eastAsia="仿宋"/>
                      <w:color w:val="000000" w:themeColor="text1"/>
                      <w:szCs w:val="28"/>
                      <w14:textFill>
                        <w14:solidFill>
                          <w14:schemeClr w14:val="tx1"/>
                        </w14:solidFill>
                      </w14:textFill>
                    </w:rPr>
                  </w:pPr>
                </w:p>
              </w:tc>
              <w:tc>
                <w:tcPr>
                  <w:tcW w:w="1385" w:type="pct"/>
                  <w:vMerge w:val="continue"/>
                  <w:vAlign w:val="center"/>
                </w:tcPr>
                <w:p w14:paraId="07FAD340">
                  <w:pPr>
                    <w:jc w:val="center"/>
                    <w:rPr>
                      <w:rFonts w:eastAsia="仿宋"/>
                      <w:color w:val="000000" w:themeColor="text1"/>
                      <w:szCs w:val="28"/>
                      <w14:textFill>
                        <w14:solidFill>
                          <w14:schemeClr w14:val="tx1"/>
                        </w14:solidFill>
                      </w14:textFill>
                    </w:rPr>
                  </w:pPr>
                </w:p>
              </w:tc>
              <w:tc>
                <w:tcPr>
                  <w:tcW w:w="1546" w:type="pct"/>
                  <w:vAlign w:val="center"/>
                </w:tcPr>
                <w:p w14:paraId="3C86F074">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重金属</w:t>
                  </w:r>
                </w:p>
              </w:tc>
              <w:tc>
                <w:tcPr>
                  <w:tcW w:w="1479" w:type="pct"/>
                  <w:vAlign w:val="center"/>
                </w:tcPr>
                <w:p w14:paraId="1FC36071">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≤0.0001%</w:t>
                  </w:r>
                </w:p>
              </w:tc>
            </w:tr>
            <w:tr w14:paraId="208FE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continue"/>
                  <w:vAlign w:val="center"/>
                </w:tcPr>
                <w:p w14:paraId="2DE5F0CA">
                  <w:pPr>
                    <w:jc w:val="center"/>
                    <w:rPr>
                      <w:rFonts w:eastAsia="仿宋"/>
                      <w:color w:val="000000" w:themeColor="text1"/>
                      <w:szCs w:val="28"/>
                      <w14:textFill>
                        <w14:solidFill>
                          <w14:schemeClr w14:val="tx1"/>
                        </w14:solidFill>
                      </w14:textFill>
                    </w:rPr>
                  </w:pPr>
                </w:p>
              </w:tc>
              <w:tc>
                <w:tcPr>
                  <w:tcW w:w="1385" w:type="pct"/>
                  <w:vMerge w:val="continue"/>
                  <w:vAlign w:val="center"/>
                </w:tcPr>
                <w:p w14:paraId="69533046">
                  <w:pPr>
                    <w:jc w:val="center"/>
                    <w:rPr>
                      <w:rFonts w:eastAsia="仿宋"/>
                      <w:color w:val="000000" w:themeColor="text1"/>
                      <w:szCs w:val="28"/>
                      <w14:textFill>
                        <w14:solidFill>
                          <w14:schemeClr w14:val="tx1"/>
                        </w14:solidFill>
                      </w14:textFill>
                    </w:rPr>
                  </w:pPr>
                </w:p>
              </w:tc>
              <w:tc>
                <w:tcPr>
                  <w:tcW w:w="1546" w:type="pct"/>
                  <w:vAlign w:val="center"/>
                </w:tcPr>
                <w:p w14:paraId="376FE4CB">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需氧菌总数</w:t>
                  </w:r>
                </w:p>
              </w:tc>
              <w:tc>
                <w:tcPr>
                  <w:tcW w:w="1479" w:type="pct"/>
                  <w:vAlign w:val="center"/>
                </w:tcPr>
                <w:p w14:paraId="5AA900C8">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≤100cfu</w:t>
                  </w:r>
                </w:p>
              </w:tc>
            </w:tr>
            <w:tr w14:paraId="1A39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restart"/>
                  <w:vAlign w:val="center"/>
                </w:tcPr>
                <w:p w14:paraId="4C5C77D6">
                  <w:pPr>
                    <w:jc w:val="center"/>
                    <w:rPr>
                      <w:rFonts w:eastAsia="仿宋"/>
                      <w:color w:val="000000" w:themeColor="text1"/>
                      <w:szCs w:val="28"/>
                      <w14:textFill>
                        <w14:solidFill>
                          <w14:schemeClr w14:val="tx1"/>
                        </w14:solidFill>
                      </w14:textFill>
                    </w:rPr>
                  </w:pPr>
                  <w:r>
                    <w:rPr>
                      <w:rFonts w:eastAsia="仿宋"/>
                      <w:color w:val="000000" w:themeColor="text1"/>
                      <w:szCs w:val="28"/>
                      <w14:textFill>
                        <w14:solidFill>
                          <w14:schemeClr w14:val="tx1"/>
                        </w14:solidFill>
                      </w14:textFill>
                    </w:rPr>
                    <w:t>6</w:t>
                  </w:r>
                </w:p>
              </w:tc>
              <w:tc>
                <w:tcPr>
                  <w:tcW w:w="1385" w:type="pct"/>
                  <w:vMerge w:val="restart"/>
                  <w:vAlign w:val="center"/>
                </w:tcPr>
                <w:p w14:paraId="126E386B">
                  <w:pPr>
                    <w:jc w:val="center"/>
                    <w:rPr>
                      <w:rFonts w:eastAsia="仿宋"/>
                      <w:color w:val="000000" w:themeColor="text1"/>
                      <w:szCs w:val="28"/>
                      <w14:textFill>
                        <w14:solidFill>
                          <w14:schemeClr w14:val="tx1"/>
                        </w14:solidFill>
                      </w14:textFill>
                    </w:rPr>
                  </w:pPr>
                  <w:r>
                    <w:rPr>
                      <w:rFonts w:hint="eastAsia" w:eastAsia="仿宋"/>
                      <w:color w:val="000000" w:themeColor="text1"/>
                      <w:szCs w:val="28"/>
                      <w14:textFill>
                        <w14:solidFill>
                          <w14:schemeClr w14:val="tx1"/>
                        </w14:solidFill>
                      </w14:textFill>
                    </w:rPr>
                    <w:t>注射液用卤化丁基橡胶塞</w:t>
                  </w:r>
                </w:p>
              </w:tc>
              <w:tc>
                <w:tcPr>
                  <w:tcW w:w="1546" w:type="pct"/>
                  <w:vAlign w:val="center"/>
                </w:tcPr>
                <w:p w14:paraId="29771506">
                  <w:pPr>
                    <w:jc w:val="center"/>
                    <w:rPr>
                      <w:rFonts w:eastAsia="仿宋"/>
                      <w:color w:val="000000" w:themeColor="text1"/>
                      <w:szCs w:val="28"/>
                      <w14:textFill>
                        <w14:solidFill>
                          <w14:schemeClr w14:val="tx1"/>
                        </w14:solidFill>
                      </w14:textFill>
                    </w:rPr>
                  </w:pPr>
                  <w:r>
                    <w:rPr>
                      <w:rFonts w:hint="eastAsia" w:eastAsia="仿宋"/>
                      <w:color w:val="000000" w:themeColor="text1"/>
                      <w:szCs w:val="28"/>
                      <w14:textFill>
                        <w14:solidFill>
                          <w14:schemeClr w14:val="tx1"/>
                        </w14:solidFill>
                      </w14:textFill>
                    </w:rPr>
                    <w:t>燃烧灰分</w:t>
                  </w:r>
                </w:p>
              </w:tc>
              <w:tc>
                <w:tcPr>
                  <w:tcW w:w="1479" w:type="pct"/>
                  <w:vAlign w:val="center"/>
                </w:tcPr>
                <w:p w14:paraId="586E4AD7">
                  <w:pPr>
                    <w:jc w:val="center"/>
                    <w:rPr>
                      <w:rFonts w:eastAsia="仿宋"/>
                      <w:color w:val="000000" w:themeColor="text1"/>
                      <w:szCs w:val="28"/>
                      <w14:textFill>
                        <w14:solidFill>
                          <w14:schemeClr w14:val="tx1"/>
                        </w14:solidFill>
                      </w14:textFill>
                    </w:rPr>
                  </w:pPr>
                  <w:r>
                    <w:rPr>
                      <w:rFonts w:hint="eastAsia" w:eastAsia="仿宋"/>
                      <w:color w:val="000000" w:themeColor="text1"/>
                      <w:szCs w:val="28"/>
                      <w14:textFill>
                        <w14:solidFill>
                          <w14:schemeClr w14:val="tx1"/>
                        </w14:solidFill>
                      </w14:textFill>
                    </w:rPr>
                    <w:t>≤4</w:t>
                  </w:r>
                  <w:r>
                    <w:rPr>
                      <w:rFonts w:eastAsia="仿宋"/>
                      <w:color w:val="000000" w:themeColor="text1"/>
                      <w:szCs w:val="28"/>
                      <w14:textFill>
                        <w14:solidFill>
                          <w14:schemeClr w14:val="tx1"/>
                        </w14:solidFill>
                      </w14:textFill>
                    </w:rPr>
                    <w:t>5%</w:t>
                  </w:r>
                </w:p>
              </w:tc>
            </w:tr>
            <w:tr w14:paraId="11096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continue"/>
                  <w:vAlign w:val="center"/>
                </w:tcPr>
                <w:p w14:paraId="3C6FFB2A">
                  <w:pPr>
                    <w:jc w:val="center"/>
                    <w:rPr>
                      <w:rFonts w:eastAsia="仿宋"/>
                      <w:color w:val="000000" w:themeColor="text1"/>
                      <w:szCs w:val="28"/>
                      <w14:textFill>
                        <w14:solidFill>
                          <w14:schemeClr w14:val="tx1"/>
                        </w14:solidFill>
                      </w14:textFill>
                    </w:rPr>
                  </w:pPr>
                </w:p>
              </w:tc>
              <w:tc>
                <w:tcPr>
                  <w:tcW w:w="1385" w:type="pct"/>
                  <w:vMerge w:val="continue"/>
                  <w:vAlign w:val="center"/>
                </w:tcPr>
                <w:p w14:paraId="2F034CAE">
                  <w:pPr>
                    <w:jc w:val="center"/>
                    <w:rPr>
                      <w:rFonts w:eastAsia="仿宋"/>
                      <w:color w:val="000000" w:themeColor="text1"/>
                      <w:szCs w:val="28"/>
                      <w14:textFill>
                        <w14:solidFill>
                          <w14:schemeClr w14:val="tx1"/>
                        </w14:solidFill>
                      </w14:textFill>
                    </w:rPr>
                  </w:pPr>
                </w:p>
              </w:tc>
              <w:tc>
                <w:tcPr>
                  <w:tcW w:w="1546" w:type="pct"/>
                  <w:vAlign w:val="center"/>
                </w:tcPr>
                <w:p w14:paraId="2CA1818F">
                  <w:pPr>
                    <w:jc w:val="center"/>
                    <w:rPr>
                      <w:rFonts w:eastAsia="仿宋"/>
                      <w:color w:val="000000" w:themeColor="text1"/>
                      <w:szCs w:val="28"/>
                      <w14:textFill>
                        <w14:solidFill>
                          <w14:schemeClr w14:val="tx1"/>
                        </w14:solidFill>
                      </w14:textFill>
                    </w:rPr>
                  </w:pPr>
                  <w:r>
                    <w:rPr>
                      <w:rFonts w:hint="eastAsia" w:eastAsia="仿宋"/>
                      <w:color w:val="000000" w:themeColor="text1"/>
                      <w:szCs w:val="28"/>
                      <w14:textFill>
                        <w14:solidFill>
                          <w14:schemeClr w14:val="tx1"/>
                        </w14:solidFill>
                      </w14:textFill>
                    </w:rPr>
                    <w:t>不挥发物</w:t>
                  </w:r>
                </w:p>
              </w:tc>
              <w:tc>
                <w:tcPr>
                  <w:tcW w:w="1479" w:type="pct"/>
                  <w:vAlign w:val="center"/>
                </w:tcPr>
                <w:p w14:paraId="4AF41654">
                  <w:pPr>
                    <w:jc w:val="center"/>
                    <w:rPr>
                      <w:rFonts w:eastAsia="仿宋"/>
                      <w:color w:val="000000" w:themeColor="text1"/>
                      <w:szCs w:val="28"/>
                      <w14:textFill>
                        <w14:solidFill>
                          <w14:schemeClr w14:val="tx1"/>
                        </w14:solidFill>
                      </w14:textFill>
                    </w:rPr>
                  </w:pPr>
                  <w:r>
                    <w:rPr>
                      <w:rFonts w:hint="eastAsia" w:eastAsia="仿宋"/>
                      <w:color w:val="000000" w:themeColor="text1"/>
                      <w:szCs w:val="28"/>
                      <w14:textFill>
                        <w14:solidFill>
                          <w14:schemeClr w14:val="tx1"/>
                        </w14:solidFill>
                      </w14:textFill>
                    </w:rPr>
                    <w:t>≤4</w:t>
                  </w:r>
                  <w:r>
                    <w:rPr>
                      <w:rFonts w:eastAsia="仿宋"/>
                      <w:color w:val="000000" w:themeColor="text1"/>
                      <w:szCs w:val="28"/>
                      <w14:textFill>
                        <w14:solidFill>
                          <w14:schemeClr w14:val="tx1"/>
                        </w14:solidFill>
                      </w14:textFill>
                    </w:rPr>
                    <w:t>mg</w:t>
                  </w:r>
                </w:p>
              </w:tc>
            </w:tr>
            <w:tr w14:paraId="25DBE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continue"/>
                  <w:vAlign w:val="center"/>
                </w:tcPr>
                <w:p w14:paraId="304EBC94">
                  <w:pPr>
                    <w:jc w:val="center"/>
                    <w:rPr>
                      <w:rFonts w:eastAsia="仿宋"/>
                      <w:color w:val="000000" w:themeColor="text1"/>
                      <w:szCs w:val="28"/>
                      <w14:textFill>
                        <w14:solidFill>
                          <w14:schemeClr w14:val="tx1"/>
                        </w14:solidFill>
                      </w14:textFill>
                    </w:rPr>
                  </w:pPr>
                </w:p>
              </w:tc>
              <w:tc>
                <w:tcPr>
                  <w:tcW w:w="1385" w:type="pct"/>
                  <w:vMerge w:val="continue"/>
                  <w:vAlign w:val="center"/>
                </w:tcPr>
                <w:p w14:paraId="57A54C69">
                  <w:pPr>
                    <w:jc w:val="center"/>
                    <w:rPr>
                      <w:rFonts w:eastAsia="仿宋"/>
                      <w:color w:val="000000" w:themeColor="text1"/>
                      <w:szCs w:val="28"/>
                      <w14:textFill>
                        <w14:solidFill>
                          <w14:schemeClr w14:val="tx1"/>
                        </w14:solidFill>
                      </w14:textFill>
                    </w:rPr>
                  </w:pPr>
                </w:p>
              </w:tc>
              <w:tc>
                <w:tcPr>
                  <w:tcW w:w="1546" w:type="pct"/>
                  <w:vAlign w:val="center"/>
                </w:tcPr>
                <w:p w14:paraId="7B713F64">
                  <w:pPr>
                    <w:jc w:val="center"/>
                    <w:rPr>
                      <w:rFonts w:eastAsia="仿宋"/>
                      <w:color w:val="000000" w:themeColor="text1"/>
                      <w:szCs w:val="28"/>
                      <w14:textFill>
                        <w14:solidFill>
                          <w14:schemeClr w14:val="tx1"/>
                        </w14:solidFill>
                      </w14:textFill>
                    </w:rPr>
                  </w:pPr>
                  <w:r>
                    <w:rPr>
                      <w:rFonts w:hint="eastAsia" w:eastAsia="仿宋"/>
                      <w:color w:val="000000" w:themeColor="text1"/>
                      <w:szCs w:val="28"/>
                      <w14:textFill>
                        <w14:solidFill>
                          <w14:schemeClr w14:val="tx1"/>
                        </w14:solidFill>
                      </w14:textFill>
                    </w:rPr>
                    <w:t>重金属</w:t>
                  </w:r>
                </w:p>
              </w:tc>
              <w:tc>
                <w:tcPr>
                  <w:tcW w:w="1479" w:type="pct"/>
                  <w:vAlign w:val="center"/>
                </w:tcPr>
                <w:p w14:paraId="4299EB12">
                  <w:pPr>
                    <w:jc w:val="center"/>
                    <w:rPr>
                      <w:rFonts w:eastAsia="仿宋"/>
                      <w:color w:val="000000" w:themeColor="text1"/>
                      <w:szCs w:val="28"/>
                      <w14:textFill>
                        <w14:solidFill>
                          <w14:schemeClr w14:val="tx1"/>
                        </w14:solidFill>
                      </w14:textFill>
                    </w:rPr>
                  </w:pPr>
                  <w:r>
                    <w:rPr>
                      <w:rFonts w:hint="eastAsia" w:eastAsia="仿宋"/>
                      <w:color w:val="000000" w:themeColor="text1"/>
                      <w:szCs w:val="28"/>
                      <w14:textFill>
                        <w14:solidFill>
                          <w14:schemeClr w14:val="tx1"/>
                        </w14:solidFill>
                      </w14:textFill>
                    </w:rPr>
                    <w:t>≤0</w:t>
                  </w:r>
                  <w:r>
                    <w:rPr>
                      <w:rFonts w:eastAsia="仿宋"/>
                      <w:color w:val="000000" w:themeColor="text1"/>
                      <w:szCs w:val="28"/>
                      <w14:textFill>
                        <w14:solidFill>
                          <w14:schemeClr w14:val="tx1"/>
                        </w14:solidFill>
                      </w14:textFill>
                    </w:rPr>
                    <w:t>.0001%</w:t>
                  </w:r>
                </w:p>
              </w:tc>
            </w:tr>
            <w:tr w14:paraId="7548A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continue"/>
                  <w:vAlign w:val="center"/>
                </w:tcPr>
                <w:p w14:paraId="7F8309AF">
                  <w:pPr>
                    <w:jc w:val="center"/>
                    <w:rPr>
                      <w:rFonts w:eastAsia="仿宋"/>
                      <w:color w:val="000000" w:themeColor="text1"/>
                      <w:szCs w:val="28"/>
                      <w14:textFill>
                        <w14:solidFill>
                          <w14:schemeClr w14:val="tx1"/>
                        </w14:solidFill>
                      </w14:textFill>
                    </w:rPr>
                  </w:pPr>
                </w:p>
              </w:tc>
              <w:tc>
                <w:tcPr>
                  <w:tcW w:w="1385" w:type="pct"/>
                  <w:vMerge w:val="continue"/>
                  <w:vAlign w:val="center"/>
                </w:tcPr>
                <w:p w14:paraId="6117825F">
                  <w:pPr>
                    <w:jc w:val="center"/>
                    <w:rPr>
                      <w:rFonts w:eastAsia="仿宋"/>
                      <w:color w:val="000000" w:themeColor="text1"/>
                      <w:szCs w:val="28"/>
                      <w14:textFill>
                        <w14:solidFill>
                          <w14:schemeClr w14:val="tx1"/>
                        </w14:solidFill>
                      </w14:textFill>
                    </w:rPr>
                  </w:pPr>
                </w:p>
              </w:tc>
              <w:tc>
                <w:tcPr>
                  <w:tcW w:w="1546" w:type="pct"/>
                  <w:vAlign w:val="center"/>
                </w:tcPr>
                <w:p w14:paraId="5DF163D5">
                  <w:pPr>
                    <w:jc w:val="center"/>
                    <w:rPr>
                      <w:rFonts w:eastAsia="仿宋"/>
                      <w:color w:val="000000" w:themeColor="text1"/>
                      <w:szCs w:val="28"/>
                      <w14:textFill>
                        <w14:solidFill>
                          <w14:schemeClr w14:val="tx1"/>
                        </w14:solidFill>
                      </w14:textFill>
                    </w:rPr>
                  </w:pPr>
                  <w:r>
                    <w:rPr>
                      <w:rFonts w:hint="eastAsia" w:eastAsia="仿宋"/>
                      <w:color w:val="000000" w:themeColor="text1"/>
                      <w:szCs w:val="28"/>
                      <w14:textFill>
                        <w14:solidFill>
                          <w14:schemeClr w14:val="tx1"/>
                        </w14:solidFill>
                      </w14:textFill>
                    </w:rPr>
                    <w:t>铵离子</w:t>
                  </w:r>
                </w:p>
              </w:tc>
              <w:tc>
                <w:tcPr>
                  <w:tcW w:w="1479" w:type="pct"/>
                  <w:vAlign w:val="center"/>
                </w:tcPr>
                <w:p w14:paraId="108FBCBF">
                  <w:pPr>
                    <w:jc w:val="center"/>
                    <w:rPr>
                      <w:rFonts w:eastAsia="仿宋"/>
                      <w:color w:val="000000" w:themeColor="text1"/>
                      <w:szCs w:val="28"/>
                      <w14:textFill>
                        <w14:solidFill>
                          <w14:schemeClr w14:val="tx1"/>
                        </w14:solidFill>
                      </w14:textFill>
                    </w:rPr>
                  </w:pPr>
                  <w:r>
                    <w:rPr>
                      <w:rFonts w:hint="eastAsia" w:eastAsia="仿宋"/>
                      <w:color w:val="000000" w:themeColor="text1"/>
                      <w:szCs w:val="28"/>
                      <w14:textFill>
                        <w14:solidFill>
                          <w14:schemeClr w14:val="tx1"/>
                        </w14:solidFill>
                      </w14:textFill>
                    </w:rPr>
                    <w:t>≤0</w:t>
                  </w:r>
                  <w:r>
                    <w:rPr>
                      <w:rFonts w:eastAsia="仿宋"/>
                      <w:color w:val="000000" w:themeColor="text1"/>
                      <w:szCs w:val="28"/>
                      <w14:textFill>
                        <w14:solidFill>
                          <w14:schemeClr w14:val="tx1"/>
                        </w14:solidFill>
                      </w14:textFill>
                    </w:rPr>
                    <w:t>.002%</w:t>
                  </w:r>
                </w:p>
              </w:tc>
            </w:tr>
            <w:tr w14:paraId="47B99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continue"/>
                  <w:vAlign w:val="center"/>
                </w:tcPr>
                <w:p w14:paraId="7E599213">
                  <w:pPr>
                    <w:jc w:val="center"/>
                    <w:rPr>
                      <w:rFonts w:eastAsia="仿宋"/>
                      <w:color w:val="000000" w:themeColor="text1"/>
                      <w:szCs w:val="28"/>
                      <w14:textFill>
                        <w14:solidFill>
                          <w14:schemeClr w14:val="tx1"/>
                        </w14:solidFill>
                      </w14:textFill>
                    </w:rPr>
                  </w:pPr>
                </w:p>
              </w:tc>
              <w:tc>
                <w:tcPr>
                  <w:tcW w:w="1385" w:type="pct"/>
                  <w:vMerge w:val="continue"/>
                  <w:vAlign w:val="center"/>
                </w:tcPr>
                <w:p w14:paraId="4D45DA1D">
                  <w:pPr>
                    <w:jc w:val="center"/>
                    <w:rPr>
                      <w:rFonts w:eastAsia="仿宋"/>
                      <w:color w:val="000000" w:themeColor="text1"/>
                      <w:szCs w:val="28"/>
                      <w14:textFill>
                        <w14:solidFill>
                          <w14:schemeClr w14:val="tx1"/>
                        </w14:solidFill>
                      </w14:textFill>
                    </w:rPr>
                  </w:pPr>
                </w:p>
              </w:tc>
              <w:tc>
                <w:tcPr>
                  <w:tcW w:w="1546" w:type="pct"/>
                  <w:vAlign w:val="center"/>
                </w:tcPr>
                <w:p w14:paraId="0BCD6414">
                  <w:pPr>
                    <w:jc w:val="center"/>
                    <w:rPr>
                      <w:rFonts w:eastAsia="仿宋"/>
                      <w:color w:val="000000" w:themeColor="text1"/>
                      <w:szCs w:val="28"/>
                      <w14:textFill>
                        <w14:solidFill>
                          <w14:schemeClr w14:val="tx1"/>
                        </w14:solidFill>
                      </w14:textFill>
                    </w:rPr>
                  </w:pPr>
                  <w:r>
                    <w:rPr>
                      <w:rFonts w:hint="eastAsia" w:eastAsia="仿宋"/>
                      <w:color w:val="000000" w:themeColor="text1"/>
                      <w:szCs w:val="28"/>
                      <w14:textFill>
                        <w14:solidFill>
                          <w14:schemeClr w14:val="tx1"/>
                        </w14:solidFill>
                      </w14:textFill>
                    </w:rPr>
                    <w:t>锌离子</w:t>
                  </w:r>
                </w:p>
              </w:tc>
              <w:tc>
                <w:tcPr>
                  <w:tcW w:w="1479" w:type="pct"/>
                  <w:vAlign w:val="center"/>
                </w:tcPr>
                <w:p w14:paraId="61850910">
                  <w:pPr>
                    <w:jc w:val="center"/>
                    <w:rPr>
                      <w:rFonts w:eastAsia="仿宋"/>
                      <w:color w:val="000000" w:themeColor="text1"/>
                      <w:szCs w:val="28"/>
                      <w14:textFill>
                        <w14:solidFill>
                          <w14:schemeClr w14:val="tx1"/>
                        </w14:solidFill>
                      </w14:textFill>
                    </w:rPr>
                  </w:pPr>
                  <w:r>
                    <w:rPr>
                      <w:rFonts w:hint="eastAsia" w:eastAsia="仿宋"/>
                      <w:color w:val="000000" w:themeColor="text1"/>
                      <w:szCs w:val="28"/>
                      <w14:textFill>
                        <w14:solidFill>
                          <w14:schemeClr w14:val="tx1"/>
                        </w14:solidFill>
                      </w14:textFill>
                    </w:rPr>
                    <w:t>≤0</w:t>
                  </w:r>
                  <w:r>
                    <w:rPr>
                      <w:rFonts w:eastAsia="仿宋"/>
                      <w:color w:val="000000" w:themeColor="text1"/>
                      <w:szCs w:val="28"/>
                      <w14:textFill>
                        <w14:solidFill>
                          <w14:schemeClr w14:val="tx1"/>
                        </w14:solidFill>
                      </w14:textFill>
                    </w:rPr>
                    <w:t>.003%</w:t>
                  </w:r>
                </w:p>
              </w:tc>
            </w:tr>
            <w:tr w14:paraId="17845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0" w:type="pct"/>
                  <w:vMerge w:val="continue"/>
                  <w:vAlign w:val="center"/>
                </w:tcPr>
                <w:p w14:paraId="3589F0AA">
                  <w:pPr>
                    <w:jc w:val="center"/>
                    <w:rPr>
                      <w:rFonts w:eastAsia="仿宋"/>
                      <w:color w:val="000000" w:themeColor="text1"/>
                      <w:szCs w:val="28"/>
                      <w14:textFill>
                        <w14:solidFill>
                          <w14:schemeClr w14:val="tx1"/>
                        </w14:solidFill>
                      </w14:textFill>
                    </w:rPr>
                  </w:pPr>
                </w:p>
              </w:tc>
              <w:tc>
                <w:tcPr>
                  <w:tcW w:w="1385" w:type="pct"/>
                  <w:vMerge w:val="continue"/>
                  <w:vAlign w:val="center"/>
                </w:tcPr>
                <w:p w14:paraId="07E2839A">
                  <w:pPr>
                    <w:jc w:val="center"/>
                    <w:rPr>
                      <w:rFonts w:eastAsia="仿宋"/>
                      <w:color w:val="000000" w:themeColor="text1"/>
                      <w:szCs w:val="28"/>
                      <w14:textFill>
                        <w14:solidFill>
                          <w14:schemeClr w14:val="tx1"/>
                        </w14:solidFill>
                      </w14:textFill>
                    </w:rPr>
                  </w:pPr>
                </w:p>
              </w:tc>
              <w:tc>
                <w:tcPr>
                  <w:tcW w:w="1546" w:type="pct"/>
                  <w:vAlign w:val="center"/>
                </w:tcPr>
                <w:p w14:paraId="17DF5642">
                  <w:pPr>
                    <w:jc w:val="center"/>
                    <w:rPr>
                      <w:rFonts w:eastAsia="仿宋"/>
                      <w:color w:val="000000" w:themeColor="text1"/>
                      <w:szCs w:val="28"/>
                      <w14:textFill>
                        <w14:solidFill>
                          <w14:schemeClr w14:val="tx1"/>
                        </w14:solidFill>
                      </w14:textFill>
                    </w:rPr>
                  </w:pPr>
                  <w:r>
                    <w:rPr>
                      <w:rFonts w:hint="eastAsia" w:eastAsia="仿宋"/>
                      <w:color w:val="000000" w:themeColor="text1"/>
                      <w:szCs w:val="28"/>
                      <w14:textFill>
                        <w14:solidFill>
                          <w14:schemeClr w14:val="tx1"/>
                        </w14:solidFill>
                      </w14:textFill>
                    </w:rPr>
                    <w:t>电导率</w:t>
                  </w:r>
                </w:p>
              </w:tc>
              <w:tc>
                <w:tcPr>
                  <w:tcW w:w="1479" w:type="pct"/>
                  <w:vAlign w:val="center"/>
                </w:tcPr>
                <w:p w14:paraId="6DFCD500">
                  <w:pPr>
                    <w:jc w:val="center"/>
                    <w:rPr>
                      <w:rFonts w:eastAsia="仿宋"/>
                      <w:color w:val="000000" w:themeColor="text1"/>
                      <w:szCs w:val="28"/>
                      <w14:textFill>
                        <w14:solidFill>
                          <w14:schemeClr w14:val="tx1"/>
                        </w14:solidFill>
                      </w14:textFill>
                    </w:rPr>
                  </w:pPr>
                  <w:r>
                    <w:rPr>
                      <w:rFonts w:hint="eastAsia" w:eastAsia="仿宋"/>
                      <w:color w:val="000000" w:themeColor="text1"/>
                      <w:szCs w:val="28"/>
                      <w14:textFill>
                        <w14:solidFill>
                          <w14:schemeClr w14:val="tx1"/>
                        </w14:solidFill>
                      </w14:textFill>
                    </w:rPr>
                    <w:t>≤</w:t>
                  </w:r>
                  <w:r>
                    <w:rPr>
                      <w:rFonts w:eastAsia="仿宋"/>
                      <w:color w:val="000000" w:themeColor="text1"/>
                      <w:szCs w:val="28"/>
                      <w14:textFill>
                        <w14:solidFill>
                          <w14:schemeClr w14:val="tx1"/>
                        </w14:solidFill>
                      </w14:textFill>
                    </w:rPr>
                    <w:t>3μs/cm</w:t>
                  </w:r>
                </w:p>
              </w:tc>
            </w:tr>
          </w:tbl>
          <w:p w14:paraId="4AD44D9C">
            <w:pPr>
              <w:spacing w:line="48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w:t>
            </w:r>
            <w:r>
              <w:rPr>
                <w:rFonts w:hint="eastAsia" w:eastAsia="仿宋"/>
                <w:b/>
                <w:bCs/>
                <w:color w:val="000000" w:themeColor="text1"/>
                <w:sz w:val="24"/>
                <w14:textFill>
                  <w14:solidFill>
                    <w14:schemeClr w14:val="tx1"/>
                  </w14:solidFill>
                </w14:textFill>
              </w:rPr>
              <w:t>四</w:t>
            </w:r>
            <w:r>
              <w:rPr>
                <w:rFonts w:eastAsia="仿宋"/>
                <w:b/>
                <w:bCs/>
                <w:color w:val="000000" w:themeColor="text1"/>
                <w:sz w:val="24"/>
                <w14:textFill>
                  <w14:solidFill>
                    <w14:schemeClr w14:val="tx1"/>
                  </w14:solidFill>
                </w14:textFill>
              </w:rPr>
              <w:t>）</w:t>
            </w:r>
            <w:r>
              <w:rPr>
                <w:rFonts w:hint="eastAsia" w:eastAsia="仿宋"/>
                <w:b/>
                <w:bCs/>
                <w:color w:val="000000" w:themeColor="text1"/>
                <w:sz w:val="24"/>
                <w14:textFill>
                  <w14:solidFill>
                    <w14:schemeClr w14:val="tx1"/>
                  </w14:solidFill>
                </w14:textFill>
              </w:rPr>
              <w:t>主要建筑物一览表</w:t>
            </w:r>
          </w:p>
          <w:p w14:paraId="4DB225A6">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本项目平面布置介绍：</w:t>
            </w:r>
            <w:r>
              <w:rPr>
                <w:rFonts w:hint="eastAsia" w:ascii="仿宋" w:hAnsi="仿宋" w:eastAsia="仿宋"/>
                <w:bCs/>
                <w:color w:val="000000" w:themeColor="text1"/>
                <w:sz w:val="24"/>
                <w14:textFill>
                  <w14:solidFill>
                    <w14:schemeClr w14:val="tx1"/>
                  </w14:solidFill>
                </w14:textFill>
              </w:rPr>
              <w:t>齐康原医疗科技（常州）有限公司位</w:t>
            </w:r>
            <w:r>
              <w:rPr>
                <w:rFonts w:ascii="仿宋" w:hAnsi="仿宋" w:eastAsia="仿宋"/>
                <w:bCs/>
                <w:color w:val="000000" w:themeColor="text1"/>
                <w:sz w:val="24"/>
                <w14:textFill>
                  <w14:solidFill>
                    <w14:schemeClr w14:val="tx1"/>
                  </w14:solidFill>
                </w14:textFill>
              </w:rPr>
              <w:t>于江苏省常州市</w:t>
            </w:r>
            <w:r>
              <w:rPr>
                <w:rFonts w:hint="eastAsia" w:ascii="仿宋" w:hAnsi="仿宋" w:eastAsia="仿宋"/>
                <w:bCs/>
                <w:color w:val="000000" w:themeColor="text1"/>
                <w:sz w:val="24"/>
                <w14:textFill>
                  <w14:solidFill>
                    <w14:schemeClr w14:val="tx1"/>
                  </w14:solidFill>
                </w14:textFill>
              </w:rPr>
              <w:t>江苏金坛经济开发区汇福路东侧、珠山路南侧</w:t>
            </w:r>
            <w:r>
              <w:rPr>
                <w:rFonts w:ascii="仿宋" w:hAnsi="仿宋" w:eastAsia="仿宋"/>
                <w:bCs/>
                <w:color w:val="000000" w:themeColor="text1"/>
                <w:sz w:val="24"/>
                <w14:textFill>
                  <w14:solidFill>
                    <w14:schemeClr w14:val="tx1"/>
                  </w14:solidFill>
                </w14:textFill>
              </w:rPr>
              <w:t>，</w:t>
            </w:r>
            <w:r>
              <w:rPr>
                <w:rFonts w:hint="eastAsia" w:ascii="仿宋" w:hAnsi="仿宋" w:eastAsia="仿宋"/>
                <w:bCs/>
                <w:color w:val="000000" w:themeColor="text1"/>
                <w:sz w:val="24"/>
                <w14:textFill>
                  <w14:solidFill>
                    <w14:schemeClr w14:val="tx1"/>
                  </w14:solidFill>
                </w14:textFill>
              </w:rPr>
              <w:t>本项目依托现有厂房进行建设</w:t>
            </w:r>
            <w:r>
              <w:rPr>
                <w:rFonts w:ascii="仿宋" w:hAnsi="仿宋" w:eastAsia="仿宋"/>
                <w:bCs/>
                <w:color w:val="000000" w:themeColor="text1"/>
                <w:sz w:val="24"/>
                <w14:textFill>
                  <w14:solidFill>
                    <w14:schemeClr w14:val="tx1"/>
                  </w14:solidFill>
                </w14:textFill>
              </w:rPr>
              <w:t>。</w:t>
            </w:r>
            <w:r>
              <w:rPr>
                <w:rFonts w:hint="eastAsia" w:ascii="仿宋" w:hAnsi="仿宋" w:eastAsia="仿宋"/>
                <w:bCs/>
                <w:color w:val="000000" w:themeColor="text1"/>
                <w:sz w:val="24"/>
                <w14:textFill>
                  <w14:solidFill>
                    <w14:schemeClr w14:val="tx1"/>
                  </w14:solidFill>
                </w14:textFill>
              </w:rPr>
              <w:t>本项目全厂建构筑物情况如下所示。</w:t>
            </w:r>
          </w:p>
          <w:p w14:paraId="465B3230">
            <w:pPr>
              <w:spacing w:line="480" w:lineRule="exact"/>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表2-4 本项目全厂建构筑物情况一览表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812"/>
              <w:gridCol w:w="1645"/>
              <w:gridCol w:w="1497"/>
              <w:gridCol w:w="749"/>
              <w:gridCol w:w="1452"/>
              <w:gridCol w:w="724"/>
            </w:tblGrid>
            <w:tr w14:paraId="0A0DC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14:paraId="33A12FF5">
                  <w:pPr>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序号</w:t>
                  </w:r>
                </w:p>
              </w:tc>
              <w:tc>
                <w:tcPr>
                  <w:tcW w:w="1041" w:type="pct"/>
                  <w:tcBorders>
                    <w:top w:val="single" w:color="auto" w:sz="4" w:space="0"/>
                    <w:left w:val="single" w:color="auto" w:sz="4" w:space="0"/>
                    <w:bottom w:val="single" w:color="auto" w:sz="4" w:space="0"/>
                    <w:right w:val="single" w:color="auto" w:sz="4" w:space="0"/>
                  </w:tcBorders>
                  <w:vAlign w:val="center"/>
                </w:tcPr>
                <w:p w14:paraId="49B99FA6">
                  <w:pPr>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建构筑物名称</w:t>
                  </w:r>
                </w:p>
              </w:tc>
              <w:tc>
                <w:tcPr>
                  <w:tcW w:w="945" w:type="pct"/>
                  <w:tcBorders>
                    <w:top w:val="single" w:color="auto" w:sz="4" w:space="0"/>
                    <w:left w:val="single" w:color="auto" w:sz="4" w:space="0"/>
                    <w:bottom w:val="single" w:color="auto" w:sz="4" w:space="0"/>
                    <w:right w:val="single" w:color="auto" w:sz="4" w:space="0"/>
                  </w:tcBorders>
                  <w:vAlign w:val="center"/>
                </w:tcPr>
                <w:p w14:paraId="712E6E61">
                  <w:pPr>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占地面积（</w:t>
                  </w:r>
                  <w:r>
                    <w:rPr>
                      <w:rFonts w:eastAsia="仿宋"/>
                      <w:b/>
                      <w:bCs/>
                      <w:color w:val="000000" w:themeColor="text1"/>
                      <w:szCs w:val="21"/>
                      <w14:textFill>
                        <w14:solidFill>
                          <w14:schemeClr w14:val="tx1"/>
                        </w14:solidFill>
                      </w14:textFill>
                    </w:rPr>
                    <w:t>m</w:t>
                  </w:r>
                  <w:r>
                    <w:rPr>
                      <w:rFonts w:eastAsia="仿宋"/>
                      <w:b/>
                      <w:bCs/>
                      <w:color w:val="000000" w:themeColor="text1"/>
                      <w:szCs w:val="21"/>
                      <w:vertAlign w:val="superscript"/>
                      <w14:textFill>
                        <w14:solidFill>
                          <w14:schemeClr w14:val="tx1"/>
                        </w14:solidFill>
                      </w14:textFill>
                    </w:rPr>
                    <w:t>2</w:t>
                  </w:r>
                  <w:r>
                    <w:rPr>
                      <w:rFonts w:ascii="仿宋" w:hAnsi="仿宋" w:eastAsia="仿宋"/>
                      <w:b/>
                      <w:bCs/>
                      <w:color w:val="000000" w:themeColor="text1"/>
                      <w:szCs w:val="21"/>
                      <w14:textFill>
                        <w14:solidFill>
                          <w14:schemeClr w14:val="tx1"/>
                        </w14:solidFill>
                      </w14:textFill>
                    </w:rPr>
                    <w:t>）</w:t>
                  </w:r>
                </w:p>
              </w:tc>
              <w:tc>
                <w:tcPr>
                  <w:tcW w:w="860" w:type="pct"/>
                  <w:tcBorders>
                    <w:top w:val="single" w:color="auto" w:sz="4" w:space="0"/>
                    <w:left w:val="single" w:color="auto" w:sz="4" w:space="0"/>
                    <w:bottom w:val="single" w:color="auto" w:sz="4" w:space="0"/>
                    <w:right w:val="single" w:color="auto" w:sz="4" w:space="0"/>
                  </w:tcBorders>
                  <w:vAlign w:val="center"/>
                </w:tcPr>
                <w:p w14:paraId="1D4D7F98">
                  <w:pPr>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建筑面积（</w:t>
                  </w:r>
                  <w:r>
                    <w:rPr>
                      <w:rFonts w:eastAsia="仿宋"/>
                      <w:b/>
                      <w:bCs/>
                      <w:color w:val="000000" w:themeColor="text1"/>
                      <w:szCs w:val="21"/>
                      <w14:textFill>
                        <w14:solidFill>
                          <w14:schemeClr w14:val="tx1"/>
                        </w14:solidFill>
                      </w14:textFill>
                    </w:rPr>
                    <w:t>m</w:t>
                  </w:r>
                  <w:r>
                    <w:rPr>
                      <w:rFonts w:eastAsia="仿宋"/>
                      <w:b/>
                      <w:bCs/>
                      <w:color w:val="000000" w:themeColor="text1"/>
                      <w:szCs w:val="21"/>
                      <w:vertAlign w:val="superscript"/>
                      <w14:textFill>
                        <w14:solidFill>
                          <w14:schemeClr w14:val="tx1"/>
                        </w14:solidFill>
                      </w14:textFill>
                    </w:rPr>
                    <w:t>2</w:t>
                  </w:r>
                  <w:r>
                    <w:rPr>
                      <w:rFonts w:ascii="仿宋" w:hAnsi="仿宋" w:eastAsia="仿宋"/>
                      <w:b/>
                      <w:bCs/>
                      <w:color w:val="000000" w:themeColor="text1"/>
                      <w:szCs w:val="21"/>
                      <w14:textFill>
                        <w14:solidFill>
                          <w14:schemeClr w14:val="tx1"/>
                        </w14:solidFill>
                      </w14:textFill>
                    </w:rPr>
                    <w:t>）</w:t>
                  </w:r>
                </w:p>
              </w:tc>
              <w:tc>
                <w:tcPr>
                  <w:tcW w:w="430" w:type="pct"/>
                  <w:tcBorders>
                    <w:top w:val="single" w:color="auto" w:sz="4" w:space="0"/>
                    <w:left w:val="single" w:color="auto" w:sz="4" w:space="0"/>
                    <w:bottom w:val="single" w:color="auto" w:sz="4" w:space="0"/>
                    <w:right w:val="single" w:color="auto" w:sz="4" w:space="0"/>
                  </w:tcBorders>
                  <w:vAlign w:val="center"/>
                </w:tcPr>
                <w:p w14:paraId="4124A38A">
                  <w:pPr>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层数</w:t>
                  </w:r>
                </w:p>
              </w:tc>
              <w:tc>
                <w:tcPr>
                  <w:tcW w:w="834" w:type="pct"/>
                  <w:tcBorders>
                    <w:top w:val="single" w:color="auto" w:sz="4" w:space="0"/>
                    <w:left w:val="single" w:color="auto" w:sz="4" w:space="0"/>
                    <w:bottom w:val="single" w:color="auto" w:sz="4" w:space="0"/>
                    <w:right w:val="single" w:color="auto" w:sz="4" w:space="0"/>
                  </w:tcBorders>
                  <w:vAlign w:val="center"/>
                </w:tcPr>
                <w:p w14:paraId="35A2BD40">
                  <w:pPr>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火灾危险性</w:t>
                  </w:r>
                </w:p>
              </w:tc>
              <w:tc>
                <w:tcPr>
                  <w:tcW w:w="417" w:type="pct"/>
                  <w:tcBorders>
                    <w:top w:val="single" w:color="auto" w:sz="4" w:space="0"/>
                    <w:left w:val="single" w:color="auto" w:sz="4" w:space="0"/>
                    <w:bottom w:val="single" w:color="auto" w:sz="4" w:space="0"/>
                    <w:right w:val="single" w:color="auto" w:sz="4" w:space="0"/>
                  </w:tcBorders>
                  <w:vAlign w:val="center"/>
                </w:tcPr>
                <w:p w14:paraId="3F430B1B">
                  <w:pPr>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备注</w:t>
                  </w:r>
                </w:p>
              </w:tc>
            </w:tr>
            <w:tr w14:paraId="28DF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14:paraId="4EED49C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1041" w:type="pct"/>
                  <w:tcBorders>
                    <w:top w:val="single" w:color="auto" w:sz="4" w:space="0"/>
                    <w:left w:val="single" w:color="auto" w:sz="4" w:space="0"/>
                    <w:bottom w:val="single" w:color="auto" w:sz="4" w:space="0"/>
                    <w:right w:val="single" w:color="auto" w:sz="4" w:space="0"/>
                  </w:tcBorders>
                  <w:vAlign w:val="center"/>
                </w:tcPr>
                <w:p w14:paraId="00350D80">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联合厂房</w:t>
                  </w:r>
                  <w:r>
                    <w:rPr>
                      <w:rFonts w:hint="eastAsia" w:eastAsia="仿宋"/>
                      <w:color w:val="000000" w:themeColor="text1"/>
                      <w:szCs w:val="21"/>
                      <w:vertAlign w:val="superscript"/>
                      <w14:textFill>
                        <w14:solidFill>
                          <w14:schemeClr w14:val="tx1"/>
                        </w14:solidFill>
                      </w14:textFill>
                    </w:rPr>
                    <w:t>①</w:t>
                  </w:r>
                </w:p>
              </w:tc>
              <w:tc>
                <w:tcPr>
                  <w:tcW w:w="945" w:type="pct"/>
                  <w:tcBorders>
                    <w:top w:val="single" w:color="auto" w:sz="4" w:space="0"/>
                    <w:left w:val="single" w:color="auto" w:sz="4" w:space="0"/>
                    <w:bottom w:val="single" w:color="auto" w:sz="4" w:space="0"/>
                    <w:right w:val="single" w:color="auto" w:sz="4" w:space="0"/>
                  </w:tcBorders>
                  <w:vAlign w:val="center"/>
                </w:tcPr>
                <w:p w14:paraId="0E539AA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666</w:t>
                  </w:r>
                </w:p>
              </w:tc>
              <w:tc>
                <w:tcPr>
                  <w:tcW w:w="860" w:type="pct"/>
                  <w:tcBorders>
                    <w:top w:val="single" w:color="auto" w:sz="4" w:space="0"/>
                    <w:left w:val="single" w:color="auto" w:sz="4" w:space="0"/>
                    <w:bottom w:val="single" w:color="auto" w:sz="4" w:space="0"/>
                    <w:right w:val="single" w:color="auto" w:sz="4" w:space="0"/>
                  </w:tcBorders>
                  <w:vAlign w:val="center"/>
                </w:tcPr>
                <w:p w14:paraId="3861BB03">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10123</w:t>
                  </w:r>
                </w:p>
              </w:tc>
              <w:tc>
                <w:tcPr>
                  <w:tcW w:w="430" w:type="pct"/>
                  <w:tcBorders>
                    <w:top w:val="single" w:color="auto" w:sz="4" w:space="0"/>
                    <w:left w:val="single" w:color="auto" w:sz="4" w:space="0"/>
                    <w:bottom w:val="single" w:color="auto" w:sz="4" w:space="0"/>
                    <w:right w:val="single" w:color="auto" w:sz="4" w:space="0"/>
                  </w:tcBorders>
                  <w:vAlign w:val="center"/>
                </w:tcPr>
                <w:p w14:paraId="185033F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w:t>
                  </w:r>
                </w:p>
              </w:tc>
              <w:tc>
                <w:tcPr>
                  <w:tcW w:w="834" w:type="pct"/>
                  <w:tcBorders>
                    <w:top w:val="single" w:color="auto" w:sz="4" w:space="0"/>
                    <w:left w:val="single" w:color="auto" w:sz="4" w:space="0"/>
                    <w:bottom w:val="single" w:color="auto" w:sz="4" w:space="0"/>
                    <w:right w:val="single" w:color="auto" w:sz="4" w:space="0"/>
                  </w:tcBorders>
                  <w:vAlign w:val="center"/>
                </w:tcPr>
                <w:p w14:paraId="57E680E4">
                  <w:pPr>
                    <w:jc w:val="center"/>
                    <w:rPr>
                      <w:rFonts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戊类</w:t>
                  </w:r>
                </w:p>
              </w:tc>
              <w:tc>
                <w:tcPr>
                  <w:tcW w:w="417" w:type="pct"/>
                  <w:tcBorders>
                    <w:top w:val="single" w:color="auto" w:sz="4" w:space="0"/>
                    <w:left w:val="single" w:color="auto" w:sz="4" w:space="0"/>
                    <w:bottom w:val="single" w:color="auto" w:sz="4" w:space="0"/>
                    <w:right w:val="single" w:color="auto" w:sz="4" w:space="0"/>
                  </w:tcBorders>
                  <w:vAlign w:val="center"/>
                </w:tcPr>
                <w:p w14:paraId="40EB95D3">
                  <w:pPr>
                    <w:jc w:val="center"/>
                    <w:rPr>
                      <w:rFonts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已建</w:t>
                  </w:r>
                </w:p>
              </w:tc>
            </w:tr>
            <w:tr w14:paraId="121A8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op w:val="single" w:color="auto" w:sz="4" w:space="0"/>
                    <w:left w:val="single" w:color="auto" w:sz="4" w:space="0"/>
                    <w:bottom w:val="single" w:color="auto" w:sz="4" w:space="0"/>
                    <w:right w:val="single" w:color="auto" w:sz="4" w:space="0"/>
                  </w:tcBorders>
                  <w:vAlign w:val="center"/>
                </w:tcPr>
                <w:p w14:paraId="2743AF1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1041" w:type="pct"/>
                  <w:tcBorders>
                    <w:top w:val="single" w:color="auto" w:sz="4" w:space="0"/>
                    <w:left w:val="single" w:color="auto" w:sz="4" w:space="0"/>
                    <w:bottom w:val="single" w:color="auto" w:sz="4" w:space="0"/>
                    <w:right w:val="single" w:color="auto" w:sz="4" w:space="0"/>
                  </w:tcBorders>
                  <w:vAlign w:val="center"/>
                </w:tcPr>
                <w:p w14:paraId="6AA1295F">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消控室及警卫室</w:t>
                  </w:r>
                </w:p>
              </w:tc>
              <w:tc>
                <w:tcPr>
                  <w:tcW w:w="945" w:type="pct"/>
                  <w:tcBorders>
                    <w:top w:val="single" w:color="auto" w:sz="4" w:space="0"/>
                    <w:left w:val="single" w:color="auto" w:sz="4" w:space="0"/>
                    <w:bottom w:val="single" w:color="auto" w:sz="4" w:space="0"/>
                    <w:right w:val="single" w:color="auto" w:sz="4" w:space="0"/>
                  </w:tcBorders>
                  <w:vAlign w:val="center"/>
                </w:tcPr>
                <w:p w14:paraId="43BD12C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47</w:t>
                  </w:r>
                </w:p>
              </w:tc>
              <w:tc>
                <w:tcPr>
                  <w:tcW w:w="860" w:type="pct"/>
                  <w:tcBorders>
                    <w:top w:val="single" w:color="auto" w:sz="4" w:space="0"/>
                    <w:left w:val="single" w:color="auto" w:sz="4" w:space="0"/>
                    <w:bottom w:val="single" w:color="auto" w:sz="4" w:space="0"/>
                    <w:right w:val="single" w:color="auto" w:sz="4" w:space="0"/>
                  </w:tcBorders>
                  <w:vAlign w:val="center"/>
                </w:tcPr>
                <w:p w14:paraId="478734E3">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47</w:t>
                  </w:r>
                </w:p>
              </w:tc>
              <w:tc>
                <w:tcPr>
                  <w:tcW w:w="430" w:type="pct"/>
                  <w:tcBorders>
                    <w:top w:val="single" w:color="auto" w:sz="4" w:space="0"/>
                    <w:left w:val="single" w:color="auto" w:sz="4" w:space="0"/>
                    <w:bottom w:val="single" w:color="auto" w:sz="4" w:space="0"/>
                    <w:right w:val="single" w:color="auto" w:sz="4" w:space="0"/>
                  </w:tcBorders>
                  <w:vAlign w:val="center"/>
                </w:tcPr>
                <w:p w14:paraId="2904D05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834" w:type="pct"/>
                  <w:tcBorders>
                    <w:top w:val="single" w:color="auto" w:sz="4" w:space="0"/>
                    <w:left w:val="single" w:color="auto" w:sz="4" w:space="0"/>
                    <w:bottom w:val="single" w:color="auto" w:sz="4" w:space="0"/>
                    <w:right w:val="single" w:color="auto" w:sz="4" w:space="0"/>
                  </w:tcBorders>
                  <w:vAlign w:val="center"/>
                </w:tcPr>
                <w:p w14:paraId="38B883D3">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戊类</w:t>
                  </w:r>
                </w:p>
              </w:tc>
              <w:tc>
                <w:tcPr>
                  <w:tcW w:w="417" w:type="pct"/>
                  <w:tcBorders>
                    <w:top w:val="single" w:color="auto" w:sz="4" w:space="0"/>
                    <w:left w:val="single" w:color="auto" w:sz="4" w:space="0"/>
                    <w:bottom w:val="single" w:color="auto" w:sz="4" w:space="0"/>
                    <w:right w:val="single" w:color="auto" w:sz="4" w:space="0"/>
                  </w:tcBorders>
                  <w:vAlign w:val="center"/>
                </w:tcPr>
                <w:p w14:paraId="19A60BAC">
                  <w:pPr>
                    <w:jc w:val="center"/>
                    <w:rPr>
                      <w:rFonts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已建</w:t>
                  </w:r>
                </w:p>
              </w:tc>
            </w:tr>
          </w:tbl>
          <w:p w14:paraId="1FA1A462">
            <w:pP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注：</w:t>
            </w:r>
            <w:r>
              <w:rPr>
                <w:rFonts w:hint="eastAsia" w:ascii="宋体" w:hAnsi="宋体" w:cs="宋体"/>
                <w:bCs/>
                <w:color w:val="000000" w:themeColor="text1"/>
                <w:szCs w:val="21"/>
                <w14:textFill>
                  <w14:solidFill>
                    <w14:schemeClr w14:val="tx1"/>
                  </w14:solidFill>
                </w14:textFill>
              </w:rPr>
              <w:t>①</w:t>
            </w:r>
            <w:r>
              <w:rPr>
                <w:rFonts w:eastAsia="仿宋"/>
                <w:bCs/>
                <w:color w:val="000000" w:themeColor="text1"/>
                <w:szCs w:val="21"/>
                <w14:textFill>
                  <w14:solidFill>
                    <w14:schemeClr w14:val="tx1"/>
                  </w14:solidFill>
                </w14:textFill>
              </w:rPr>
              <w:t>该厂房一层开展放射性核素</w:t>
            </w:r>
            <w:r>
              <w:rPr>
                <w:rFonts w:eastAsia="仿宋"/>
                <w:bCs/>
                <w:color w:val="000000" w:themeColor="text1"/>
                <w:szCs w:val="21"/>
                <w:vertAlign w:val="superscript"/>
                <w14:textFill>
                  <w14:solidFill>
                    <w14:schemeClr w14:val="tx1"/>
                  </w14:solidFill>
                </w14:textFill>
              </w:rPr>
              <w:t>68</w:t>
            </w:r>
            <w:r>
              <w:rPr>
                <w:rFonts w:eastAsia="仿宋"/>
                <w:bCs/>
                <w:color w:val="000000" w:themeColor="text1"/>
                <w:szCs w:val="21"/>
                <w14:textFill>
                  <w14:solidFill>
                    <w14:schemeClr w14:val="tx1"/>
                  </w14:solidFill>
                </w14:textFill>
              </w:rPr>
              <w:t>Ge的生产（合成、分装）；二层主要是质控实验和微生物实验；地下一层贮存放射性核素生产和核素操作过程中产生的放射性废物；三层是办公和研发区，四层是参观展厅。本项目位于该厂房的</w:t>
            </w:r>
            <w:r>
              <w:rPr>
                <w:rFonts w:hint="eastAsia" w:eastAsia="仿宋"/>
                <w:bCs/>
                <w:color w:val="000000" w:themeColor="text1"/>
                <w:szCs w:val="21"/>
                <w14:textFill>
                  <w14:solidFill>
                    <w14:schemeClr w14:val="tx1"/>
                  </w14:solidFill>
                </w14:textFill>
              </w:rPr>
              <w:t>二</w:t>
            </w:r>
            <w:r>
              <w:rPr>
                <w:rFonts w:eastAsia="仿宋"/>
                <w:bCs/>
                <w:color w:val="000000" w:themeColor="text1"/>
                <w:szCs w:val="21"/>
                <w14:textFill>
                  <w14:solidFill>
                    <w14:schemeClr w14:val="tx1"/>
                  </w14:solidFill>
                </w14:textFill>
              </w:rPr>
              <w:t>层，属于非辐射区域。</w:t>
            </w:r>
          </w:p>
          <w:p w14:paraId="172BFEB9">
            <w:pPr>
              <w:spacing w:line="480" w:lineRule="exact"/>
              <w:ind w:firstLine="482" w:firstLineChars="200"/>
              <w:rPr>
                <w:rFonts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五</w:t>
            </w:r>
            <w:r>
              <w:rPr>
                <w:rFonts w:ascii="仿宋" w:hAnsi="仿宋" w:eastAsia="仿宋"/>
                <w:b/>
                <w:color w:val="000000" w:themeColor="text1"/>
                <w:sz w:val="24"/>
                <w14:textFill>
                  <w14:solidFill>
                    <w14:schemeClr w14:val="tx1"/>
                  </w14:solidFill>
                </w14:textFill>
              </w:rPr>
              <w:t>）公用及辅助工程</w:t>
            </w:r>
          </w:p>
          <w:p w14:paraId="0DD7BEC0">
            <w:pPr>
              <w:spacing w:line="480" w:lineRule="exact"/>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表2-5 本项目公用及辅助工程表</w:t>
            </w:r>
          </w:p>
          <w:tbl>
            <w:tblPr>
              <w:tblStyle w:val="2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30" w:type="dxa"/>
                <w:bottom w:w="0" w:type="dxa"/>
                <w:right w:w="30" w:type="dxa"/>
              </w:tblCellMar>
            </w:tblPr>
            <w:tblGrid>
              <w:gridCol w:w="1076"/>
              <w:gridCol w:w="1373"/>
              <w:gridCol w:w="1008"/>
              <w:gridCol w:w="5247"/>
            </w:tblGrid>
            <w:tr w14:paraId="7F86F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618" w:type="pct"/>
                  <w:tcBorders>
                    <w:top w:val="single" w:color="000000" w:sz="4" w:space="0"/>
                    <w:left w:val="single" w:color="000000" w:sz="4" w:space="0"/>
                    <w:bottom w:val="single" w:color="000000" w:sz="4" w:space="0"/>
                    <w:right w:val="single" w:color="000000" w:sz="4" w:space="0"/>
                  </w:tcBorders>
                  <w:vAlign w:val="center"/>
                </w:tcPr>
                <w:p w14:paraId="28BD806D">
                  <w:pPr>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工程类别</w:t>
                  </w:r>
                </w:p>
              </w:tc>
              <w:tc>
                <w:tcPr>
                  <w:tcW w:w="789" w:type="pct"/>
                  <w:tcBorders>
                    <w:top w:val="single" w:color="000000" w:sz="4" w:space="0"/>
                    <w:left w:val="single" w:color="000000" w:sz="4" w:space="0"/>
                    <w:bottom w:val="single" w:color="000000" w:sz="4" w:space="0"/>
                    <w:right w:val="single" w:color="000000" w:sz="4" w:space="0"/>
                  </w:tcBorders>
                  <w:vAlign w:val="center"/>
                </w:tcPr>
                <w:p w14:paraId="08F4A3AD">
                  <w:pPr>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建设名称</w:t>
                  </w:r>
                </w:p>
              </w:tc>
              <w:tc>
                <w:tcPr>
                  <w:tcW w:w="579" w:type="pct"/>
                  <w:tcBorders>
                    <w:top w:val="single" w:color="000000" w:sz="4" w:space="0"/>
                    <w:left w:val="single" w:color="000000" w:sz="4" w:space="0"/>
                    <w:bottom w:val="single" w:color="000000" w:sz="4" w:space="0"/>
                    <w:right w:val="single" w:color="000000" w:sz="4" w:space="0"/>
                  </w:tcBorders>
                  <w:vAlign w:val="center"/>
                </w:tcPr>
                <w:p w14:paraId="2C37E1AA">
                  <w:pPr>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设计能力</w:t>
                  </w:r>
                </w:p>
              </w:tc>
              <w:tc>
                <w:tcPr>
                  <w:tcW w:w="3014" w:type="pct"/>
                  <w:tcBorders>
                    <w:top w:val="single" w:color="000000" w:sz="4" w:space="0"/>
                    <w:left w:val="single" w:color="000000" w:sz="4" w:space="0"/>
                    <w:bottom w:val="single" w:color="000000" w:sz="4" w:space="0"/>
                    <w:right w:val="single" w:color="000000" w:sz="4" w:space="0"/>
                  </w:tcBorders>
                  <w:vAlign w:val="center"/>
                </w:tcPr>
                <w:p w14:paraId="76D90AF9">
                  <w:pPr>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备注</w:t>
                  </w:r>
                </w:p>
              </w:tc>
            </w:tr>
            <w:tr w14:paraId="191E3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618" w:type="pct"/>
                  <w:tcBorders>
                    <w:top w:val="nil"/>
                    <w:left w:val="single" w:color="000000" w:sz="4" w:space="0"/>
                    <w:bottom w:val="single" w:color="000000" w:sz="4" w:space="0"/>
                    <w:right w:val="single" w:color="000000" w:sz="4" w:space="0"/>
                  </w:tcBorders>
                  <w:vAlign w:val="center"/>
                </w:tcPr>
                <w:p w14:paraId="78098446">
                  <w:pPr>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贮运工程</w:t>
                  </w:r>
                </w:p>
              </w:tc>
              <w:tc>
                <w:tcPr>
                  <w:tcW w:w="789" w:type="pct"/>
                  <w:tcBorders>
                    <w:top w:val="single" w:color="000000" w:sz="4" w:space="0"/>
                    <w:left w:val="single" w:color="000000" w:sz="4" w:space="0"/>
                    <w:bottom w:val="single" w:color="000000" w:sz="4" w:space="0"/>
                    <w:right w:val="single" w:color="000000" w:sz="4" w:space="0"/>
                  </w:tcBorders>
                  <w:vAlign w:val="center"/>
                </w:tcPr>
                <w:p w14:paraId="20247754">
                  <w:pPr>
                    <w:jc w:val="center"/>
                    <w:rPr>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试剂室</w:t>
                  </w:r>
                </w:p>
              </w:tc>
              <w:tc>
                <w:tcPr>
                  <w:tcW w:w="579" w:type="pct"/>
                  <w:tcBorders>
                    <w:top w:val="single" w:color="000000" w:sz="4" w:space="0"/>
                    <w:left w:val="single" w:color="000000" w:sz="4" w:space="0"/>
                    <w:bottom w:val="single" w:color="000000" w:sz="4" w:space="0"/>
                    <w:right w:val="single" w:color="000000" w:sz="4" w:space="0"/>
                  </w:tcBorders>
                  <w:vAlign w:val="center"/>
                </w:tcPr>
                <w:p w14:paraId="32029BC5">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15m</w:t>
                  </w:r>
                  <w:r>
                    <w:rPr>
                      <w:rFonts w:eastAsia="仿宋"/>
                      <w:color w:val="000000" w:themeColor="text1"/>
                      <w:szCs w:val="21"/>
                      <w:vertAlign w:val="superscript"/>
                      <w14:textFill>
                        <w14:solidFill>
                          <w14:schemeClr w14:val="tx1"/>
                        </w14:solidFill>
                      </w14:textFill>
                    </w:rPr>
                    <w:t>2</w:t>
                  </w:r>
                </w:p>
              </w:tc>
              <w:tc>
                <w:tcPr>
                  <w:tcW w:w="3014" w:type="pct"/>
                  <w:tcBorders>
                    <w:top w:val="single" w:color="000000" w:sz="4" w:space="0"/>
                    <w:left w:val="single" w:color="000000" w:sz="4" w:space="0"/>
                    <w:bottom w:val="single" w:color="000000" w:sz="4" w:space="0"/>
                    <w:right w:val="single" w:color="000000" w:sz="4" w:space="0"/>
                  </w:tcBorders>
                  <w:vAlign w:val="center"/>
                </w:tcPr>
                <w:p w14:paraId="291EAEA2">
                  <w:pPr>
                    <w:jc w:val="center"/>
                    <w:rPr>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位于厂房二楼东北侧，新增，用于</w:t>
                  </w:r>
                  <w:r>
                    <w:rPr>
                      <w:rFonts w:ascii="仿宋" w:hAnsi="仿宋" w:eastAsia="仿宋"/>
                      <w:color w:val="000000" w:themeColor="text1"/>
                      <w14:textFill>
                        <w14:solidFill>
                          <w14:schemeClr w14:val="tx1"/>
                        </w14:solidFill>
                      </w14:textFill>
                    </w:rPr>
                    <w:t>储存项目生产所需</w:t>
                  </w:r>
                  <w:r>
                    <w:rPr>
                      <w:rFonts w:hint="eastAsia" w:ascii="仿宋" w:hAnsi="仿宋" w:eastAsia="仿宋"/>
                      <w:color w:val="000000" w:themeColor="text1"/>
                      <w14:textFill>
                        <w14:solidFill>
                          <w14:schemeClr w14:val="tx1"/>
                        </w14:solidFill>
                      </w14:textFill>
                    </w:rPr>
                    <w:t>非危险化学品的</w:t>
                  </w:r>
                  <w:r>
                    <w:rPr>
                      <w:rFonts w:ascii="仿宋" w:hAnsi="仿宋" w:eastAsia="仿宋"/>
                      <w:color w:val="000000" w:themeColor="text1"/>
                      <w14:textFill>
                        <w14:solidFill>
                          <w14:schemeClr w14:val="tx1"/>
                        </w14:solidFill>
                      </w14:textFill>
                    </w:rPr>
                    <w:t>原料</w:t>
                  </w:r>
                  <w:r>
                    <w:rPr>
                      <w:rFonts w:hint="eastAsia" w:ascii="仿宋" w:hAnsi="仿宋" w:eastAsia="仿宋"/>
                      <w:color w:val="000000" w:themeColor="text1"/>
                      <w14:textFill>
                        <w14:solidFill>
                          <w14:schemeClr w14:val="tx1"/>
                        </w14:solidFill>
                      </w14:textFill>
                    </w:rPr>
                    <w:t>。</w:t>
                  </w:r>
                </w:p>
              </w:tc>
            </w:tr>
            <w:tr w14:paraId="3F8BE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618" w:type="pct"/>
                  <w:vMerge w:val="restart"/>
                  <w:tcBorders>
                    <w:top w:val="nil"/>
                    <w:left w:val="single" w:color="000000" w:sz="4" w:space="0"/>
                    <w:right w:val="single" w:color="000000" w:sz="4" w:space="0"/>
                  </w:tcBorders>
                  <w:vAlign w:val="center"/>
                </w:tcPr>
                <w:p w14:paraId="30BCE53A">
                  <w:pPr>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公用工程</w:t>
                  </w:r>
                </w:p>
              </w:tc>
              <w:tc>
                <w:tcPr>
                  <w:tcW w:w="789" w:type="pct"/>
                  <w:tcBorders>
                    <w:top w:val="single" w:color="000000" w:sz="4" w:space="0"/>
                    <w:left w:val="single" w:color="000000" w:sz="4" w:space="0"/>
                    <w:bottom w:val="single" w:color="000000" w:sz="4" w:space="0"/>
                    <w:right w:val="single" w:color="000000" w:sz="4" w:space="0"/>
                  </w:tcBorders>
                  <w:vAlign w:val="center"/>
                </w:tcPr>
                <w:p w14:paraId="59B2A308">
                  <w:pPr>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给水</w:t>
                  </w:r>
                </w:p>
              </w:tc>
              <w:tc>
                <w:tcPr>
                  <w:tcW w:w="579" w:type="pct"/>
                  <w:tcBorders>
                    <w:top w:val="single" w:color="000000" w:sz="4" w:space="0"/>
                    <w:left w:val="single" w:color="000000" w:sz="4" w:space="0"/>
                    <w:bottom w:val="single" w:color="000000" w:sz="4" w:space="0"/>
                    <w:right w:val="single" w:color="000000" w:sz="4" w:space="0"/>
                  </w:tcBorders>
                  <w:vAlign w:val="center"/>
                </w:tcPr>
                <w:p w14:paraId="3525564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5041.92t/a</w:t>
                  </w:r>
                </w:p>
              </w:tc>
              <w:tc>
                <w:tcPr>
                  <w:tcW w:w="3014" w:type="pct"/>
                  <w:tcBorders>
                    <w:top w:val="single" w:color="000000" w:sz="4" w:space="0"/>
                    <w:left w:val="single" w:color="000000" w:sz="4" w:space="0"/>
                    <w:bottom w:val="single" w:color="000000" w:sz="4" w:space="0"/>
                    <w:right w:val="single" w:color="000000" w:sz="4" w:space="0"/>
                  </w:tcBorders>
                  <w:vAlign w:val="center"/>
                </w:tcPr>
                <w:p w14:paraId="746AC81D">
                  <w:pPr>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来自当地市政自来水管网，依托</w:t>
                  </w:r>
                  <w:r>
                    <w:rPr>
                      <w:rFonts w:hint="eastAsia" w:ascii="仿宋" w:hAnsi="仿宋" w:eastAsia="仿宋"/>
                      <w:color w:val="000000" w:themeColor="text1"/>
                      <w:szCs w:val="21"/>
                      <w14:textFill>
                        <w14:solidFill>
                          <w14:schemeClr w14:val="tx1"/>
                        </w14:solidFill>
                      </w14:textFill>
                    </w:rPr>
                    <w:t>现有</w:t>
                  </w:r>
                  <w:r>
                    <w:rPr>
                      <w:rFonts w:ascii="仿宋" w:hAnsi="仿宋" w:eastAsia="仿宋"/>
                      <w:color w:val="000000" w:themeColor="text1"/>
                      <w:szCs w:val="21"/>
                      <w14:textFill>
                        <w14:solidFill>
                          <w14:schemeClr w14:val="tx1"/>
                        </w14:solidFill>
                      </w14:textFill>
                    </w:rPr>
                    <w:t>供水管网</w:t>
                  </w:r>
                  <w:r>
                    <w:rPr>
                      <w:rFonts w:hint="eastAsia" w:ascii="仿宋" w:hAnsi="仿宋" w:eastAsia="仿宋"/>
                      <w:color w:val="000000" w:themeColor="text1"/>
                      <w:szCs w:val="21"/>
                      <w14:textFill>
                        <w14:solidFill>
                          <w14:schemeClr w14:val="tx1"/>
                        </w14:solidFill>
                      </w14:textFill>
                    </w:rPr>
                    <w:t>。</w:t>
                  </w:r>
                </w:p>
              </w:tc>
            </w:tr>
            <w:tr w14:paraId="75135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618" w:type="pct"/>
                  <w:vMerge w:val="continue"/>
                  <w:tcBorders>
                    <w:left w:val="single" w:color="000000" w:sz="4" w:space="0"/>
                    <w:right w:val="single" w:color="000000" w:sz="4" w:space="0"/>
                  </w:tcBorders>
                  <w:vAlign w:val="center"/>
                </w:tcPr>
                <w:p w14:paraId="75E32869">
                  <w:pPr>
                    <w:widowControl/>
                    <w:jc w:val="left"/>
                    <w:rPr>
                      <w:rFonts w:eastAsia="仿宋"/>
                      <w:color w:val="000000" w:themeColor="text1"/>
                      <w:szCs w:val="21"/>
                      <w14:textFill>
                        <w14:solidFill>
                          <w14:schemeClr w14:val="tx1"/>
                        </w14:solidFill>
                      </w14:textFill>
                    </w:rPr>
                  </w:pPr>
                </w:p>
              </w:tc>
              <w:tc>
                <w:tcPr>
                  <w:tcW w:w="789" w:type="pct"/>
                  <w:tcBorders>
                    <w:top w:val="single" w:color="000000" w:sz="4" w:space="0"/>
                    <w:left w:val="single" w:color="000000" w:sz="4" w:space="0"/>
                    <w:bottom w:val="single" w:color="000000" w:sz="4" w:space="0"/>
                    <w:right w:val="single" w:color="000000" w:sz="4" w:space="0"/>
                  </w:tcBorders>
                  <w:vAlign w:val="center"/>
                </w:tcPr>
                <w:p w14:paraId="269242C6">
                  <w:pPr>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排水</w:t>
                  </w:r>
                </w:p>
              </w:tc>
              <w:tc>
                <w:tcPr>
                  <w:tcW w:w="579" w:type="pct"/>
                  <w:tcBorders>
                    <w:top w:val="single" w:color="000000" w:sz="4" w:space="0"/>
                    <w:left w:val="single" w:color="000000" w:sz="4" w:space="0"/>
                    <w:bottom w:val="single" w:color="000000" w:sz="4" w:space="0"/>
                    <w:right w:val="single" w:color="000000" w:sz="4" w:space="0"/>
                  </w:tcBorders>
                  <w:vAlign w:val="center"/>
                </w:tcPr>
                <w:p w14:paraId="54187ED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1296t/a</w:t>
                  </w:r>
                </w:p>
              </w:tc>
              <w:tc>
                <w:tcPr>
                  <w:tcW w:w="3014" w:type="pct"/>
                  <w:tcBorders>
                    <w:top w:val="single" w:color="000000" w:sz="4" w:space="0"/>
                    <w:left w:val="single" w:color="000000" w:sz="4" w:space="0"/>
                    <w:bottom w:val="single" w:color="000000" w:sz="4" w:space="0"/>
                    <w:right w:val="single" w:color="000000" w:sz="4" w:space="0"/>
                  </w:tcBorders>
                  <w:vAlign w:val="center"/>
                </w:tcPr>
                <w:p w14:paraId="4AC7FBCA">
                  <w:pPr>
                    <w:jc w:val="center"/>
                    <w:rPr>
                      <w:rFonts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制纯水浓水回用于生活用水，</w:t>
                  </w:r>
                  <w:r>
                    <w:rPr>
                      <w:rFonts w:ascii="仿宋" w:hAnsi="仿宋" w:eastAsia="仿宋"/>
                      <w:color w:val="000000" w:themeColor="text1"/>
                      <w:szCs w:val="21"/>
                      <w14:textFill>
                        <w14:solidFill>
                          <w14:schemeClr w14:val="tx1"/>
                        </w14:solidFill>
                      </w14:textFill>
                    </w:rPr>
                    <w:t>生活污水依托厂区原有污水管网后进入市政污水管网，最终排入金坛</w:t>
                  </w:r>
                  <w:r>
                    <w:rPr>
                      <w:rFonts w:hint="eastAsia" w:ascii="仿宋" w:hAnsi="仿宋" w:eastAsia="仿宋"/>
                      <w:color w:val="000000" w:themeColor="text1"/>
                      <w:szCs w:val="21"/>
                      <w14:textFill>
                        <w14:solidFill>
                          <w14:schemeClr w14:val="tx1"/>
                        </w14:solidFill>
                      </w14:textFill>
                    </w:rPr>
                    <w:t>区</w:t>
                  </w:r>
                  <w:r>
                    <w:rPr>
                      <w:rFonts w:ascii="仿宋" w:hAnsi="仿宋" w:eastAsia="仿宋"/>
                      <w:color w:val="000000" w:themeColor="text1"/>
                      <w:szCs w:val="21"/>
                      <w14:textFill>
                        <w14:solidFill>
                          <w14:schemeClr w14:val="tx1"/>
                        </w14:solidFill>
                      </w14:textFill>
                    </w:rPr>
                    <w:t>第二污水厂集中处理，达标后尾水排入尧塘河</w:t>
                  </w:r>
                  <w:r>
                    <w:rPr>
                      <w:rFonts w:hint="eastAsia" w:ascii="仿宋" w:hAnsi="仿宋" w:eastAsia="仿宋"/>
                      <w:color w:val="000000" w:themeColor="text1"/>
                      <w:szCs w:val="21"/>
                      <w14:textFill>
                        <w14:solidFill>
                          <w14:schemeClr w14:val="tx1"/>
                        </w14:solidFill>
                      </w14:textFill>
                    </w:rPr>
                    <w:t>。</w:t>
                  </w:r>
                </w:p>
              </w:tc>
            </w:tr>
            <w:tr w14:paraId="3D96D0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618" w:type="pct"/>
                  <w:vMerge w:val="continue"/>
                  <w:tcBorders>
                    <w:left w:val="single" w:color="000000" w:sz="4" w:space="0"/>
                    <w:right w:val="single" w:color="000000" w:sz="4" w:space="0"/>
                  </w:tcBorders>
                  <w:vAlign w:val="center"/>
                </w:tcPr>
                <w:p w14:paraId="0244E005">
                  <w:pPr>
                    <w:widowControl/>
                    <w:jc w:val="left"/>
                    <w:rPr>
                      <w:rFonts w:eastAsia="仿宋"/>
                      <w:color w:val="000000" w:themeColor="text1"/>
                      <w:szCs w:val="21"/>
                      <w14:textFill>
                        <w14:solidFill>
                          <w14:schemeClr w14:val="tx1"/>
                        </w14:solidFill>
                      </w14:textFill>
                    </w:rPr>
                  </w:pPr>
                </w:p>
              </w:tc>
              <w:tc>
                <w:tcPr>
                  <w:tcW w:w="789" w:type="pct"/>
                  <w:tcBorders>
                    <w:top w:val="single" w:color="000000" w:sz="4" w:space="0"/>
                    <w:left w:val="single" w:color="000000" w:sz="4" w:space="0"/>
                    <w:bottom w:val="single" w:color="000000" w:sz="4" w:space="0"/>
                    <w:right w:val="single" w:color="000000" w:sz="4" w:space="0"/>
                  </w:tcBorders>
                  <w:vAlign w:val="center"/>
                </w:tcPr>
                <w:p w14:paraId="2752C91B">
                  <w:pPr>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供电</w:t>
                  </w:r>
                </w:p>
              </w:tc>
              <w:tc>
                <w:tcPr>
                  <w:tcW w:w="579" w:type="pct"/>
                  <w:tcBorders>
                    <w:top w:val="single" w:color="000000" w:sz="4" w:space="0"/>
                    <w:left w:val="single" w:color="000000" w:sz="4" w:space="0"/>
                    <w:bottom w:val="single" w:color="000000" w:sz="4" w:space="0"/>
                    <w:right w:val="single" w:color="000000" w:sz="4" w:space="0"/>
                  </w:tcBorders>
                  <w:vAlign w:val="center"/>
                </w:tcPr>
                <w:p w14:paraId="2DF9C78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732.09</w:t>
                  </w:r>
                  <w:r>
                    <w:rPr>
                      <w:rFonts w:ascii="仿宋" w:hAnsi="仿宋" w:eastAsia="仿宋"/>
                      <w:color w:val="000000" w:themeColor="text1"/>
                      <w:szCs w:val="21"/>
                      <w14:textFill>
                        <w14:solidFill>
                          <w14:schemeClr w14:val="tx1"/>
                        </w14:solidFill>
                      </w14:textFill>
                    </w:rPr>
                    <w:t>万</w:t>
                  </w:r>
                  <w:r>
                    <w:rPr>
                      <w:rFonts w:eastAsia="仿宋"/>
                      <w:color w:val="000000" w:themeColor="text1"/>
                      <w:szCs w:val="21"/>
                      <w14:textFill>
                        <w14:solidFill>
                          <w14:schemeClr w14:val="tx1"/>
                        </w14:solidFill>
                      </w14:textFill>
                    </w:rPr>
                    <w:t>kw·h/a</w:t>
                  </w:r>
                </w:p>
              </w:tc>
              <w:tc>
                <w:tcPr>
                  <w:tcW w:w="3014" w:type="pct"/>
                  <w:tcBorders>
                    <w:top w:val="single" w:color="000000" w:sz="4" w:space="0"/>
                    <w:left w:val="single" w:color="000000" w:sz="4" w:space="0"/>
                    <w:bottom w:val="single" w:color="000000" w:sz="4" w:space="0"/>
                    <w:right w:val="single" w:color="000000" w:sz="4" w:space="0"/>
                  </w:tcBorders>
                  <w:vAlign w:val="center"/>
                </w:tcPr>
                <w:p w14:paraId="6267A7A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本项目新建一座10kV配电室,设置两组1250kVA变压器，由当地市政电网提供，依托现有供电管网</w:t>
                  </w:r>
                  <w:r>
                    <w:rPr>
                      <w:rFonts w:hint="eastAsia" w:eastAsia="仿宋"/>
                      <w:color w:val="000000" w:themeColor="text1"/>
                      <w:szCs w:val="21"/>
                      <w14:textFill>
                        <w14:solidFill>
                          <w14:schemeClr w14:val="tx1"/>
                        </w14:solidFill>
                      </w14:textFill>
                    </w:rPr>
                    <w:t>。</w:t>
                  </w:r>
                </w:p>
              </w:tc>
            </w:tr>
            <w:tr w14:paraId="4584C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618" w:type="pct"/>
                  <w:vMerge w:val="continue"/>
                  <w:tcBorders>
                    <w:left w:val="single" w:color="000000" w:sz="4" w:space="0"/>
                    <w:right w:val="single" w:color="000000" w:sz="4" w:space="0"/>
                  </w:tcBorders>
                  <w:vAlign w:val="center"/>
                </w:tcPr>
                <w:p w14:paraId="5DD48E2D">
                  <w:pPr>
                    <w:widowControl/>
                    <w:jc w:val="left"/>
                    <w:rPr>
                      <w:rFonts w:eastAsia="仿宋"/>
                      <w:color w:val="000000" w:themeColor="text1"/>
                      <w:szCs w:val="21"/>
                      <w14:textFill>
                        <w14:solidFill>
                          <w14:schemeClr w14:val="tx1"/>
                        </w14:solidFill>
                      </w14:textFill>
                    </w:rPr>
                  </w:pPr>
                </w:p>
              </w:tc>
              <w:tc>
                <w:tcPr>
                  <w:tcW w:w="789" w:type="pct"/>
                  <w:tcBorders>
                    <w:top w:val="single" w:color="000000" w:sz="4" w:space="0"/>
                    <w:left w:val="single" w:color="000000" w:sz="4" w:space="0"/>
                    <w:bottom w:val="single" w:color="000000" w:sz="4" w:space="0"/>
                    <w:right w:val="single" w:color="000000" w:sz="4" w:space="0"/>
                  </w:tcBorders>
                  <w:vAlign w:val="center"/>
                </w:tcPr>
                <w:p w14:paraId="3E5F4869">
                  <w:pPr>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锅炉房</w:t>
                  </w:r>
                </w:p>
              </w:tc>
              <w:tc>
                <w:tcPr>
                  <w:tcW w:w="579" w:type="pct"/>
                  <w:tcBorders>
                    <w:top w:val="single" w:color="000000" w:sz="4" w:space="0"/>
                    <w:left w:val="single" w:color="000000" w:sz="4" w:space="0"/>
                    <w:bottom w:val="single" w:color="000000" w:sz="4" w:space="0"/>
                    <w:right w:val="single" w:color="000000" w:sz="4" w:space="0"/>
                  </w:tcBorders>
                  <w:vAlign w:val="center"/>
                </w:tcPr>
                <w:p w14:paraId="6869CBD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60m</w:t>
                  </w:r>
                  <w:r>
                    <w:rPr>
                      <w:rFonts w:eastAsia="仿宋"/>
                      <w:color w:val="000000" w:themeColor="text1"/>
                      <w:szCs w:val="21"/>
                      <w:vertAlign w:val="superscript"/>
                      <w14:textFill>
                        <w14:solidFill>
                          <w14:schemeClr w14:val="tx1"/>
                        </w14:solidFill>
                      </w14:textFill>
                    </w:rPr>
                    <w:t>2</w:t>
                  </w:r>
                </w:p>
              </w:tc>
              <w:tc>
                <w:tcPr>
                  <w:tcW w:w="3014" w:type="pct"/>
                  <w:tcBorders>
                    <w:top w:val="single" w:color="000000" w:sz="4" w:space="0"/>
                    <w:left w:val="single" w:color="000000" w:sz="4" w:space="0"/>
                    <w:bottom w:val="single" w:color="000000" w:sz="4" w:space="0"/>
                    <w:right w:val="single" w:color="000000" w:sz="4" w:space="0"/>
                  </w:tcBorders>
                  <w:vAlign w:val="center"/>
                </w:tcPr>
                <w:p w14:paraId="3DBE064B">
                  <w:pPr>
                    <w:jc w:val="center"/>
                    <w:rPr>
                      <w:rFonts w:ascii="仿宋" w:hAnsi="仿宋"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本项目新建一座</w:t>
                  </w:r>
                  <w:r>
                    <w:rPr>
                      <w:rFonts w:eastAsia="仿宋"/>
                      <w:color w:val="000000" w:themeColor="text1"/>
                      <w:szCs w:val="21"/>
                      <w14:textFill>
                        <w14:solidFill>
                          <w14:schemeClr w14:val="tx1"/>
                        </w14:solidFill>
                      </w14:textFill>
                    </w:rPr>
                    <w:t>锅炉房</w:t>
                  </w:r>
                  <w:r>
                    <w:rPr>
                      <w:rFonts w:hint="eastAsia" w:eastAsia="仿宋"/>
                      <w:color w:val="000000" w:themeColor="text1"/>
                      <w:szCs w:val="21"/>
                      <w14:textFill>
                        <w14:solidFill>
                          <w14:schemeClr w14:val="tx1"/>
                        </w14:solidFill>
                      </w14:textFill>
                    </w:rPr>
                    <w:t>位于厂房屋顶，锅炉房</w:t>
                  </w:r>
                  <w:r>
                    <w:rPr>
                      <w:rFonts w:eastAsia="仿宋"/>
                      <w:color w:val="000000" w:themeColor="text1"/>
                      <w:szCs w:val="21"/>
                      <w14:textFill>
                        <w14:solidFill>
                          <w14:schemeClr w14:val="tx1"/>
                        </w14:solidFill>
                      </w14:textFill>
                    </w:rPr>
                    <w:t>内新建1台超低氮燃气冷凝真空热水锅炉，单台容量1.75MW，供热面积为25000m</w:t>
                  </w:r>
                  <w:r>
                    <w:rPr>
                      <w:rFonts w:eastAsia="仿宋"/>
                      <w:color w:val="000000" w:themeColor="text1"/>
                      <w:szCs w:val="21"/>
                      <w:vertAlign w:val="superscript"/>
                      <w14:textFill>
                        <w14:solidFill>
                          <w14:schemeClr w14:val="tx1"/>
                        </w14:solidFill>
                      </w14:textFill>
                    </w:rPr>
                    <w:t>2</w:t>
                  </w:r>
                  <w:r>
                    <w:rPr>
                      <w:rFonts w:hint="eastAsia" w:eastAsia="仿宋"/>
                      <w:color w:val="000000" w:themeColor="text1"/>
                      <w:szCs w:val="21"/>
                      <w14:textFill>
                        <w14:solidFill>
                          <w14:schemeClr w14:val="tx1"/>
                        </w14:solidFill>
                      </w14:textFill>
                    </w:rPr>
                    <w:t>，产生的蒸汽主要用于空调保温</w:t>
                  </w:r>
                  <w:r>
                    <w:rPr>
                      <w:rFonts w:eastAsia="仿宋"/>
                      <w:color w:val="000000" w:themeColor="text1"/>
                      <w:szCs w:val="21"/>
                      <w14:textFill>
                        <w14:solidFill>
                          <w14:schemeClr w14:val="tx1"/>
                        </w14:solidFill>
                      </w14:textFill>
                    </w:rPr>
                    <w:t>。</w:t>
                  </w:r>
                  <w:r>
                    <w:rPr>
                      <w:rFonts w:hint="eastAsia" w:eastAsia="仿宋"/>
                      <w:color w:val="000000" w:themeColor="text1"/>
                      <w:szCs w:val="21"/>
                      <w14:textFill>
                        <w14:solidFill>
                          <w14:schemeClr w14:val="tx1"/>
                        </w14:solidFill>
                      </w14:textFill>
                    </w:rPr>
                    <w:t>新增</w:t>
                  </w:r>
                  <w:r>
                    <w:rPr>
                      <w:rFonts w:eastAsia="仿宋"/>
                      <w:color w:val="000000" w:themeColor="text1"/>
                      <w:szCs w:val="21"/>
                      <w14:textFill>
                        <w14:solidFill>
                          <w14:schemeClr w14:val="tx1"/>
                        </w14:solidFill>
                      </w14:textFill>
                    </w:rPr>
                    <w:t>1台</w:t>
                  </w:r>
                  <w:r>
                    <w:rPr>
                      <w:rFonts w:hint="eastAsia" w:eastAsia="仿宋"/>
                      <w:color w:val="000000" w:themeColor="text1"/>
                      <w:szCs w:val="21"/>
                      <w14:textFill>
                        <w14:solidFill>
                          <w14:schemeClr w14:val="tx1"/>
                        </w14:solidFill>
                      </w14:textFill>
                    </w:rPr>
                    <w:t>1</w:t>
                  </w:r>
                  <w:r>
                    <w:rPr>
                      <w:rFonts w:eastAsia="仿宋"/>
                      <w:color w:val="000000" w:themeColor="text1"/>
                      <w:szCs w:val="21"/>
                      <w14:textFill>
                        <w14:solidFill>
                          <w14:schemeClr w14:val="tx1"/>
                        </w14:solidFill>
                      </w14:textFill>
                    </w:rPr>
                    <w:t>t/h</w:t>
                  </w:r>
                  <w:r>
                    <w:rPr>
                      <w:rFonts w:hint="eastAsia" w:eastAsia="仿宋"/>
                      <w:color w:val="000000" w:themeColor="text1"/>
                      <w:szCs w:val="21"/>
                      <w14:textFill>
                        <w14:solidFill>
                          <w14:schemeClr w14:val="tx1"/>
                        </w14:solidFill>
                      </w14:textFill>
                    </w:rPr>
                    <w:t>的天然气</w:t>
                  </w:r>
                  <w:r>
                    <w:rPr>
                      <w:rFonts w:eastAsia="仿宋"/>
                      <w:color w:val="000000" w:themeColor="text1"/>
                      <w:szCs w:val="21"/>
                      <w14:textFill>
                        <w14:solidFill>
                          <w14:schemeClr w14:val="tx1"/>
                        </w14:solidFill>
                      </w14:textFill>
                    </w:rPr>
                    <w:t>蒸汽发生器</w:t>
                  </w:r>
                  <w:r>
                    <w:rPr>
                      <w:rFonts w:hint="eastAsia" w:eastAsia="仿宋"/>
                      <w:color w:val="000000" w:themeColor="text1"/>
                      <w:szCs w:val="21"/>
                      <w14:textFill>
                        <w14:solidFill>
                          <w14:schemeClr w14:val="tx1"/>
                        </w14:solidFill>
                      </w14:textFill>
                    </w:rPr>
                    <w:t>，产生的蒸汽主要用于主体工程厂房内保湿。</w:t>
                  </w:r>
                </w:p>
              </w:tc>
            </w:tr>
            <w:tr w14:paraId="1F387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618" w:type="pct"/>
                  <w:vMerge w:val="continue"/>
                  <w:tcBorders>
                    <w:left w:val="single" w:color="000000" w:sz="4" w:space="0"/>
                    <w:right w:val="single" w:color="000000" w:sz="4" w:space="0"/>
                  </w:tcBorders>
                  <w:vAlign w:val="center"/>
                </w:tcPr>
                <w:p w14:paraId="11D470B3">
                  <w:pPr>
                    <w:widowControl/>
                    <w:jc w:val="left"/>
                    <w:rPr>
                      <w:rFonts w:eastAsia="仿宋"/>
                      <w:color w:val="000000" w:themeColor="text1"/>
                      <w:szCs w:val="21"/>
                      <w14:textFill>
                        <w14:solidFill>
                          <w14:schemeClr w14:val="tx1"/>
                        </w14:solidFill>
                      </w14:textFill>
                    </w:rPr>
                  </w:pPr>
                </w:p>
              </w:tc>
              <w:tc>
                <w:tcPr>
                  <w:tcW w:w="789" w:type="pct"/>
                  <w:tcBorders>
                    <w:top w:val="single" w:color="000000" w:sz="4" w:space="0"/>
                    <w:left w:val="single" w:color="000000" w:sz="4" w:space="0"/>
                    <w:bottom w:val="single" w:color="000000" w:sz="4" w:space="0"/>
                    <w:right w:val="single" w:color="000000" w:sz="4" w:space="0"/>
                  </w:tcBorders>
                  <w:vAlign w:val="center"/>
                </w:tcPr>
                <w:p w14:paraId="1DF440FF">
                  <w:pPr>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纯水制备</w:t>
                  </w:r>
                </w:p>
              </w:tc>
              <w:tc>
                <w:tcPr>
                  <w:tcW w:w="579" w:type="pct"/>
                  <w:tcBorders>
                    <w:top w:val="single" w:color="000000" w:sz="4" w:space="0"/>
                    <w:left w:val="single" w:color="000000" w:sz="4" w:space="0"/>
                    <w:bottom w:val="single" w:color="000000" w:sz="4" w:space="0"/>
                    <w:right w:val="single" w:color="000000" w:sz="4" w:space="0"/>
                  </w:tcBorders>
                  <w:vAlign w:val="center"/>
                </w:tcPr>
                <w:p w14:paraId="3E6E326E">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w:t>
                  </w:r>
                </w:p>
              </w:tc>
              <w:tc>
                <w:tcPr>
                  <w:tcW w:w="3014" w:type="pct"/>
                  <w:tcBorders>
                    <w:top w:val="single" w:color="000000" w:sz="4" w:space="0"/>
                    <w:left w:val="single" w:color="000000" w:sz="4" w:space="0"/>
                    <w:bottom w:val="single" w:color="000000" w:sz="4" w:space="0"/>
                    <w:right w:val="single" w:color="000000" w:sz="4" w:space="0"/>
                  </w:tcBorders>
                  <w:vAlign w:val="center"/>
                </w:tcPr>
                <w:p w14:paraId="24917DDB">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本项目新增一套纯水制备装置（2</w:t>
                  </w:r>
                  <w:r>
                    <w:rPr>
                      <w:rFonts w:eastAsia="仿宋"/>
                      <w:color w:val="000000" w:themeColor="text1"/>
                      <w:szCs w:val="21"/>
                      <w14:textFill>
                        <w14:solidFill>
                          <w14:schemeClr w14:val="tx1"/>
                        </w14:solidFill>
                      </w14:textFill>
                    </w:rPr>
                    <w:t>.5t/h</w:t>
                  </w:r>
                  <w:r>
                    <w:rPr>
                      <w:rFonts w:hint="eastAsia" w:eastAsia="仿宋"/>
                      <w:color w:val="000000" w:themeColor="text1"/>
                      <w:szCs w:val="21"/>
                      <w14:textFill>
                        <w14:solidFill>
                          <w14:schemeClr w14:val="tx1"/>
                        </w14:solidFill>
                      </w14:textFill>
                    </w:rPr>
                    <w:t>，本项目实际运行负荷约</w:t>
                  </w:r>
                  <w:r>
                    <w:rPr>
                      <w:rFonts w:eastAsia="仿宋"/>
                      <w:color w:val="000000" w:themeColor="text1"/>
                      <w:szCs w:val="21"/>
                      <w14:textFill>
                        <w14:solidFill>
                          <w14:schemeClr w14:val="tx1"/>
                        </w14:solidFill>
                      </w14:textFill>
                    </w:rPr>
                    <w:t>40%</w:t>
                  </w:r>
                  <w:r>
                    <w:rPr>
                      <w:rFonts w:hint="eastAsia" w:eastAsia="仿宋"/>
                      <w:color w:val="000000" w:themeColor="text1"/>
                      <w:szCs w:val="21"/>
                      <w14:textFill>
                        <w14:solidFill>
                          <w14:schemeClr w14:val="tx1"/>
                        </w14:solidFill>
                      </w14:textFill>
                    </w:rPr>
                    <w:t>），纯水制备工艺为多介质过滤器+RO反渗透+紫外杀菌，得水率约为</w:t>
                  </w:r>
                  <w:r>
                    <w:rPr>
                      <w:rFonts w:eastAsia="仿宋"/>
                      <w:color w:val="000000" w:themeColor="text1"/>
                      <w:szCs w:val="21"/>
                      <w14:textFill>
                        <w14:solidFill>
                          <w14:schemeClr w14:val="tx1"/>
                        </w14:solidFill>
                      </w14:textFill>
                    </w:rPr>
                    <w:t>75%</w:t>
                  </w:r>
                  <w:r>
                    <w:rPr>
                      <w:rFonts w:hint="eastAsia" w:eastAsia="仿宋"/>
                      <w:color w:val="000000" w:themeColor="text1"/>
                      <w:szCs w:val="21"/>
                      <w14:textFill>
                        <w14:solidFill>
                          <w14:schemeClr w14:val="tx1"/>
                        </w14:solidFill>
                      </w14:textFill>
                    </w:rPr>
                    <w:t>。</w:t>
                  </w:r>
                </w:p>
              </w:tc>
            </w:tr>
            <w:tr w14:paraId="62DC1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618" w:type="pct"/>
                  <w:vMerge w:val="continue"/>
                  <w:tcBorders>
                    <w:left w:val="single" w:color="000000" w:sz="4" w:space="0"/>
                    <w:right w:val="single" w:color="000000" w:sz="4" w:space="0"/>
                  </w:tcBorders>
                  <w:vAlign w:val="center"/>
                </w:tcPr>
                <w:p w14:paraId="5513BD68">
                  <w:pPr>
                    <w:widowControl/>
                    <w:jc w:val="left"/>
                    <w:rPr>
                      <w:rFonts w:eastAsia="仿宋"/>
                      <w:color w:val="000000" w:themeColor="text1"/>
                      <w:szCs w:val="21"/>
                      <w14:textFill>
                        <w14:solidFill>
                          <w14:schemeClr w14:val="tx1"/>
                        </w14:solidFill>
                      </w14:textFill>
                    </w:rPr>
                  </w:pPr>
                </w:p>
              </w:tc>
              <w:tc>
                <w:tcPr>
                  <w:tcW w:w="789" w:type="pct"/>
                  <w:tcBorders>
                    <w:top w:val="single" w:color="000000" w:sz="4" w:space="0"/>
                    <w:left w:val="single" w:color="000000" w:sz="4" w:space="0"/>
                    <w:bottom w:val="single" w:color="000000" w:sz="4" w:space="0"/>
                    <w:right w:val="single" w:color="000000" w:sz="4" w:space="0"/>
                  </w:tcBorders>
                  <w:vAlign w:val="center"/>
                </w:tcPr>
                <w:p w14:paraId="71562056">
                  <w:pPr>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供天然气</w:t>
                  </w:r>
                </w:p>
              </w:tc>
              <w:tc>
                <w:tcPr>
                  <w:tcW w:w="579" w:type="pct"/>
                  <w:tcBorders>
                    <w:top w:val="single" w:color="000000" w:sz="4" w:space="0"/>
                    <w:left w:val="single" w:color="000000" w:sz="4" w:space="0"/>
                    <w:bottom w:val="single" w:color="000000" w:sz="4" w:space="0"/>
                    <w:right w:val="single" w:color="000000" w:sz="4" w:space="0"/>
                  </w:tcBorders>
                  <w:vAlign w:val="center"/>
                </w:tcPr>
                <w:p w14:paraId="1023701E">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w:t>
                  </w:r>
                </w:p>
              </w:tc>
              <w:tc>
                <w:tcPr>
                  <w:tcW w:w="3014" w:type="pct"/>
                  <w:tcBorders>
                    <w:top w:val="single" w:color="000000" w:sz="4" w:space="0"/>
                    <w:left w:val="single" w:color="000000" w:sz="4" w:space="0"/>
                    <w:bottom w:val="single" w:color="000000" w:sz="4" w:space="0"/>
                    <w:right w:val="single" w:color="000000" w:sz="4" w:space="0"/>
                  </w:tcBorders>
                  <w:vAlign w:val="center"/>
                </w:tcPr>
                <w:p w14:paraId="3A90DF87">
                  <w:pPr>
                    <w:jc w:val="center"/>
                    <w:rPr>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本</w:t>
                  </w:r>
                  <w:r>
                    <w:rPr>
                      <w:rFonts w:eastAsia="仿宋"/>
                      <w:color w:val="000000" w:themeColor="text1"/>
                      <w:szCs w:val="21"/>
                      <w14:textFill>
                        <w14:solidFill>
                          <w14:schemeClr w14:val="tx1"/>
                        </w14:solidFill>
                      </w14:textFill>
                    </w:rPr>
                    <w:t>项目新建锅炉及蒸汽发生器需使用天然气，</w:t>
                  </w:r>
                  <w:r>
                    <w:rPr>
                      <w:rFonts w:eastAsia="仿宋"/>
                      <w:color w:val="000000" w:themeColor="text1"/>
                      <w:kern w:val="0"/>
                      <w14:textFill>
                        <w14:solidFill>
                          <w14:schemeClr w14:val="tx1"/>
                        </w14:solidFill>
                      </w14:textFill>
                    </w:rPr>
                    <w:t>天然气使用量约为936000m</w:t>
                  </w:r>
                  <w:r>
                    <w:rPr>
                      <w:rFonts w:eastAsia="仿宋"/>
                      <w:color w:val="000000" w:themeColor="text1"/>
                      <w:kern w:val="0"/>
                      <w:vertAlign w:val="superscript"/>
                      <w14:textFill>
                        <w14:solidFill>
                          <w14:schemeClr w14:val="tx1"/>
                        </w14:solidFill>
                      </w14:textFill>
                    </w:rPr>
                    <w:t>3</w:t>
                  </w:r>
                  <w:r>
                    <w:rPr>
                      <w:rFonts w:eastAsia="仿宋"/>
                      <w:color w:val="000000" w:themeColor="text1"/>
                      <w:kern w:val="0"/>
                      <w14:textFill>
                        <w14:solidFill>
                          <w14:schemeClr w14:val="tx1"/>
                        </w14:solidFill>
                      </w14:textFill>
                    </w:rPr>
                    <w:t>/a，由港华燃气供应</w:t>
                  </w:r>
                  <w:r>
                    <w:rPr>
                      <w:rFonts w:hint="eastAsia" w:eastAsia="仿宋"/>
                      <w:color w:val="000000" w:themeColor="text1"/>
                      <w:kern w:val="0"/>
                      <w14:textFill>
                        <w14:solidFill>
                          <w14:schemeClr w14:val="tx1"/>
                        </w14:solidFill>
                      </w14:textFill>
                    </w:rPr>
                    <w:t>。</w:t>
                  </w:r>
                </w:p>
              </w:tc>
            </w:tr>
            <w:tr w14:paraId="72B29D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618" w:type="pct"/>
                  <w:vMerge w:val="continue"/>
                  <w:tcBorders>
                    <w:left w:val="single" w:color="000000" w:sz="4" w:space="0"/>
                    <w:bottom w:val="single" w:color="000000" w:sz="4" w:space="0"/>
                    <w:right w:val="single" w:color="000000" w:sz="4" w:space="0"/>
                  </w:tcBorders>
                  <w:vAlign w:val="center"/>
                </w:tcPr>
                <w:p w14:paraId="2FE37268">
                  <w:pPr>
                    <w:widowControl/>
                    <w:jc w:val="left"/>
                    <w:rPr>
                      <w:rFonts w:eastAsia="仿宋"/>
                      <w:color w:val="000000" w:themeColor="text1"/>
                      <w:szCs w:val="21"/>
                      <w14:textFill>
                        <w14:solidFill>
                          <w14:schemeClr w14:val="tx1"/>
                        </w14:solidFill>
                      </w14:textFill>
                    </w:rPr>
                  </w:pPr>
                </w:p>
              </w:tc>
              <w:tc>
                <w:tcPr>
                  <w:tcW w:w="789" w:type="pct"/>
                  <w:tcBorders>
                    <w:top w:val="single" w:color="000000" w:sz="4" w:space="0"/>
                    <w:left w:val="single" w:color="000000" w:sz="4" w:space="0"/>
                    <w:bottom w:val="single" w:color="000000" w:sz="4" w:space="0"/>
                    <w:right w:val="single" w:color="000000" w:sz="4" w:space="0"/>
                  </w:tcBorders>
                  <w:vAlign w:val="center"/>
                </w:tcPr>
                <w:p w14:paraId="43A8BFC5">
                  <w:pPr>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绿化</w:t>
                  </w:r>
                </w:p>
              </w:tc>
              <w:tc>
                <w:tcPr>
                  <w:tcW w:w="579" w:type="pct"/>
                  <w:tcBorders>
                    <w:top w:val="single" w:color="000000" w:sz="4" w:space="0"/>
                    <w:left w:val="single" w:color="000000" w:sz="4" w:space="0"/>
                    <w:bottom w:val="single" w:color="000000" w:sz="4" w:space="0"/>
                    <w:right w:val="single" w:color="000000" w:sz="4" w:space="0"/>
                  </w:tcBorders>
                  <w:vAlign w:val="center"/>
                </w:tcPr>
                <w:p w14:paraId="3BD1C70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3014" w:type="pct"/>
                  <w:tcBorders>
                    <w:top w:val="single" w:color="000000" w:sz="4" w:space="0"/>
                    <w:left w:val="single" w:color="000000" w:sz="4" w:space="0"/>
                    <w:bottom w:val="single" w:color="000000" w:sz="4" w:space="0"/>
                    <w:right w:val="single" w:color="000000" w:sz="4" w:space="0"/>
                  </w:tcBorders>
                  <w:vAlign w:val="center"/>
                </w:tcPr>
                <w:p w14:paraId="79CE196F">
                  <w:pPr>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依托</w:t>
                  </w:r>
                  <w:r>
                    <w:rPr>
                      <w:rFonts w:hint="eastAsia" w:ascii="仿宋" w:hAnsi="仿宋" w:eastAsia="仿宋"/>
                      <w:color w:val="000000" w:themeColor="text1"/>
                      <w:szCs w:val="21"/>
                      <w14:textFill>
                        <w14:solidFill>
                          <w14:schemeClr w14:val="tx1"/>
                        </w14:solidFill>
                      </w14:textFill>
                    </w:rPr>
                    <w:t>现有厂区。</w:t>
                  </w:r>
                </w:p>
              </w:tc>
            </w:tr>
            <w:tr w14:paraId="11E4C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618" w:type="pct"/>
                  <w:vMerge w:val="restart"/>
                  <w:tcBorders>
                    <w:top w:val="nil"/>
                    <w:left w:val="single" w:color="000000" w:sz="4" w:space="0"/>
                    <w:bottom w:val="single" w:color="000000" w:sz="4" w:space="0"/>
                    <w:right w:val="single" w:color="000000" w:sz="4" w:space="0"/>
                  </w:tcBorders>
                  <w:vAlign w:val="center"/>
                </w:tcPr>
                <w:p w14:paraId="495AB447">
                  <w:pPr>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环保工程</w:t>
                  </w:r>
                </w:p>
              </w:tc>
              <w:tc>
                <w:tcPr>
                  <w:tcW w:w="789" w:type="pct"/>
                  <w:tcBorders>
                    <w:top w:val="single" w:color="000000" w:sz="4" w:space="0"/>
                    <w:left w:val="single" w:color="000000" w:sz="4" w:space="0"/>
                    <w:bottom w:val="single" w:color="000000" w:sz="4" w:space="0"/>
                    <w:right w:val="single" w:color="000000" w:sz="4" w:space="0"/>
                  </w:tcBorders>
                  <w:vAlign w:val="center"/>
                </w:tcPr>
                <w:p w14:paraId="37C2E66E">
                  <w:pPr>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废水</w:t>
                  </w:r>
                </w:p>
              </w:tc>
              <w:tc>
                <w:tcPr>
                  <w:tcW w:w="3593" w:type="pct"/>
                  <w:gridSpan w:val="2"/>
                  <w:tcBorders>
                    <w:top w:val="single" w:color="000000" w:sz="4" w:space="0"/>
                    <w:left w:val="single" w:color="000000" w:sz="4" w:space="0"/>
                    <w:bottom w:val="single" w:color="000000" w:sz="4" w:space="0"/>
                    <w:right w:val="single" w:color="000000" w:sz="4" w:space="0"/>
                  </w:tcBorders>
                  <w:vAlign w:val="center"/>
                </w:tcPr>
                <w:p w14:paraId="4B0ECD3F">
                  <w:pPr>
                    <w:jc w:val="center"/>
                    <w:rPr>
                      <w:rFonts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制纯水浓水回用于生活用水，</w:t>
                  </w:r>
                  <w:r>
                    <w:rPr>
                      <w:rFonts w:ascii="仿宋" w:hAnsi="仿宋" w:eastAsia="仿宋"/>
                      <w:color w:val="000000" w:themeColor="text1"/>
                      <w:szCs w:val="21"/>
                      <w14:textFill>
                        <w14:solidFill>
                          <w14:schemeClr w14:val="tx1"/>
                        </w14:solidFill>
                      </w14:textFill>
                    </w:rPr>
                    <w:t>生活污水依托厂区原有污水管网后进入市政污水管网，最终排入金坛第二污水厂集中处理，达标后尾水排入尧塘河</w:t>
                  </w:r>
                  <w:r>
                    <w:rPr>
                      <w:rFonts w:hint="eastAsia" w:ascii="仿宋" w:hAnsi="仿宋" w:eastAsia="仿宋"/>
                      <w:color w:val="000000" w:themeColor="text1"/>
                      <w:szCs w:val="21"/>
                      <w14:textFill>
                        <w14:solidFill>
                          <w14:schemeClr w14:val="tx1"/>
                        </w14:solidFill>
                      </w14:textFill>
                    </w:rPr>
                    <w:t>。</w:t>
                  </w:r>
                </w:p>
              </w:tc>
            </w:tr>
            <w:tr w14:paraId="19406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618" w:type="pct"/>
                  <w:vMerge w:val="continue"/>
                  <w:tcBorders>
                    <w:top w:val="nil"/>
                    <w:left w:val="single" w:color="000000" w:sz="4" w:space="0"/>
                    <w:bottom w:val="single" w:color="000000" w:sz="4" w:space="0"/>
                    <w:right w:val="single" w:color="000000" w:sz="4" w:space="0"/>
                  </w:tcBorders>
                  <w:vAlign w:val="center"/>
                </w:tcPr>
                <w:p w14:paraId="10DC40BF">
                  <w:pPr>
                    <w:widowControl/>
                    <w:jc w:val="left"/>
                    <w:rPr>
                      <w:rFonts w:eastAsia="仿宋"/>
                      <w:color w:val="000000" w:themeColor="text1"/>
                      <w:szCs w:val="21"/>
                      <w14:textFill>
                        <w14:solidFill>
                          <w14:schemeClr w14:val="tx1"/>
                        </w14:solidFill>
                      </w14:textFill>
                    </w:rPr>
                  </w:pPr>
                </w:p>
              </w:tc>
              <w:tc>
                <w:tcPr>
                  <w:tcW w:w="789" w:type="pct"/>
                  <w:tcBorders>
                    <w:top w:val="single" w:color="000000" w:sz="4" w:space="0"/>
                    <w:left w:val="single" w:color="000000" w:sz="4" w:space="0"/>
                    <w:bottom w:val="single" w:color="000000" w:sz="4" w:space="0"/>
                    <w:right w:val="single" w:color="000000" w:sz="4" w:space="0"/>
                  </w:tcBorders>
                  <w:vAlign w:val="center"/>
                </w:tcPr>
                <w:p w14:paraId="6CAC8992">
                  <w:pPr>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废气</w:t>
                  </w:r>
                </w:p>
              </w:tc>
              <w:tc>
                <w:tcPr>
                  <w:tcW w:w="3593" w:type="pct"/>
                  <w:gridSpan w:val="2"/>
                  <w:tcBorders>
                    <w:top w:val="single" w:color="000000" w:sz="4" w:space="0"/>
                    <w:left w:val="single" w:color="000000" w:sz="4" w:space="0"/>
                    <w:bottom w:val="single" w:color="000000" w:sz="4" w:space="0"/>
                    <w:right w:val="single" w:color="000000" w:sz="4" w:space="0"/>
                  </w:tcBorders>
                  <w:vAlign w:val="center"/>
                </w:tcPr>
                <w:p w14:paraId="322689FF">
                  <w:pPr>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①</w:t>
                  </w:r>
                  <w:r>
                    <w:rPr>
                      <w:rFonts w:ascii="仿宋" w:hAnsi="仿宋" w:eastAsia="仿宋"/>
                      <w:color w:val="000000" w:themeColor="text1"/>
                      <w:szCs w:val="21"/>
                      <w14:textFill>
                        <w14:solidFill>
                          <w14:schemeClr w14:val="tx1"/>
                        </w14:solidFill>
                      </w14:textFill>
                    </w:rPr>
                    <w:t>本项目</w:t>
                  </w:r>
                  <w:r>
                    <w:rPr>
                      <w:rFonts w:hint="eastAsia" w:ascii="仿宋" w:hAnsi="仿宋" w:eastAsia="仿宋"/>
                      <w:color w:val="000000" w:themeColor="text1"/>
                      <w:szCs w:val="21"/>
                      <w14:textFill>
                        <w14:solidFill>
                          <w14:schemeClr w14:val="tx1"/>
                        </w14:solidFill>
                      </w14:textFill>
                    </w:rPr>
                    <w:t>实验室废气、危废仓库废气经收集后通过两级</w:t>
                  </w:r>
                  <w:r>
                    <w:rPr>
                      <w:rFonts w:ascii="仿宋" w:hAnsi="仿宋" w:eastAsia="仿宋"/>
                      <w:color w:val="000000" w:themeColor="text1"/>
                      <w:szCs w:val="21"/>
                      <w14:textFill>
                        <w14:solidFill>
                          <w14:schemeClr w14:val="tx1"/>
                        </w14:solidFill>
                      </w14:textFill>
                    </w:rPr>
                    <w:t>活性炭吸附装置处理，尾气由风机引出（风量为</w:t>
                  </w:r>
                  <w:r>
                    <w:rPr>
                      <w:rFonts w:eastAsia="仿宋"/>
                      <w:color w:val="000000" w:themeColor="text1"/>
                      <w:szCs w:val="21"/>
                      <w14:textFill>
                        <w14:solidFill>
                          <w14:schemeClr w14:val="tx1"/>
                        </w14:solidFill>
                      </w14:textFill>
                    </w:rPr>
                    <w:t>4000m</w:t>
                  </w:r>
                  <w:r>
                    <w:rPr>
                      <w:rFonts w:eastAsia="仿宋"/>
                      <w:color w:val="000000" w:themeColor="text1"/>
                      <w:szCs w:val="21"/>
                      <w:vertAlign w:val="superscript"/>
                      <w14:textFill>
                        <w14:solidFill>
                          <w14:schemeClr w14:val="tx1"/>
                        </w14:solidFill>
                      </w14:textFill>
                    </w:rPr>
                    <w:t>3</w:t>
                  </w:r>
                  <w:r>
                    <w:rPr>
                      <w:rFonts w:eastAsia="仿宋"/>
                      <w:color w:val="000000" w:themeColor="text1"/>
                      <w:szCs w:val="21"/>
                      <w14:textFill>
                        <w14:solidFill>
                          <w14:schemeClr w14:val="tx1"/>
                        </w14:solidFill>
                      </w14:textFill>
                    </w:rPr>
                    <w:t>/h</w:t>
                  </w:r>
                  <w:r>
                    <w:rPr>
                      <w:rFonts w:ascii="仿宋" w:hAnsi="仿宋" w:eastAsia="仿宋"/>
                      <w:color w:val="000000" w:themeColor="text1"/>
                      <w:szCs w:val="21"/>
                      <w14:textFill>
                        <w14:solidFill>
                          <w14:schemeClr w14:val="tx1"/>
                        </w14:solidFill>
                      </w14:textFill>
                    </w:rPr>
                    <w:t>），经</w:t>
                  </w:r>
                  <w:r>
                    <w:rPr>
                      <w:rFonts w:eastAsia="仿宋"/>
                      <w:color w:val="000000" w:themeColor="text1"/>
                      <w:szCs w:val="21"/>
                      <w14:textFill>
                        <w14:solidFill>
                          <w14:schemeClr w14:val="tx1"/>
                        </w14:solidFill>
                      </w14:textFill>
                    </w:rPr>
                    <w:t>1</w:t>
                  </w:r>
                  <w:r>
                    <w:rPr>
                      <w:rFonts w:ascii="仿宋" w:hAnsi="仿宋" w:eastAsia="仿宋"/>
                      <w:color w:val="000000" w:themeColor="text1"/>
                      <w:szCs w:val="21"/>
                      <w14:textFill>
                        <w14:solidFill>
                          <w14:schemeClr w14:val="tx1"/>
                        </w14:solidFill>
                      </w14:textFill>
                    </w:rPr>
                    <w:t>根</w:t>
                  </w:r>
                  <w:r>
                    <w:rPr>
                      <w:rFonts w:eastAsia="仿宋"/>
                      <w:color w:val="000000" w:themeColor="text1"/>
                      <w:szCs w:val="21"/>
                      <w14:textFill>
                        <w14:solidFill>
                          <w14:schemeClr w14:val="tx1"/>
                        </w14:solidFill>
                      </w14:textFill>
                    </w:rPr>
                    <w:t>28m</w:t>
                  </w:r>
                  <w:r>
                    <w:rPr>
                      <w:rFonts w:ascii="仿宋" w:hAnsi="仿宋" w:eastAsia="仿宋"/>
                      <w:color w:val="000000" w:themeColor="text1"/>
                      <w:szCs w:val="21"/>
                      <w14:textFill>
                        <w14:solidFill>
                          <w14:schemeClr w14:val="tx1"/>
                        </w14:solidFill>
                      </w14:textFill>
                    </w:rPr>
                    <w:t>高排气筒（</w:t>
                  </w:r>
                  <w:r>
                    <w:rPr>
                      <w:rFonts w:eastAsia="仿宋"/>
                      <w:color w:val="000000" w:themeColor="text1"/>
                      <w:szCs w:val="21"/>
                      <w14:textFill>
                        <w14:solidFill>
                          <w14:schemeClr w14:val="tx1"/>
                        </w14:solidFill>
                      </w14:textFill>
                    </w:rPr>
                    <w:t>1#</w:t>
                  </w:r>
                  <w:r>
                    <w:rPr>
                      <w:rFonts w:ascii="仿宋" w:hAnsi="仿宋" w:eastAsia="仿宋"/>
                      <w:color w:val="000000" w:themeColor="text1"/>
                      <w:szCs w:val="21"/>
                      <w14:textFill>
                        <w14:solidFill>
                          <w14:schemeClr w14:val="tx1"/>
                        </w14:solidFill>
                      </w14:textFill>
                    </w:rPr>
                    <w:t>）排放</w:t>
                  </w:r>
                  <w:r>
                    <w:rPr>
                      <w:rFonts w:hint="eastAsia" w:ascii="仿宋" w:hAnsi="仿宋" w:eastAsia="仿宋"/>
                      <w:color w:val="000000" w:themeColor="text1"/>
                      <w:szCs w:val="21"/>
                      <w14:textFill>
                        <w14:solidFill>
                          <w14:schemeClr w14:val="tx1"/>
                        </w14:solidFill>
                      </w14:textFill>
                    </w:rPr>
                    <w:t>。</w:t>
                  </w:r>
                </w:p>
                <w:p w14:paraId="7113A226">
                  <w:pPr>
                    <w:jc w:val="center"/>
                    <w:rPr>
                      <w:rFonts w:eastAsia="仿宋"/>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②</w:t>
                  </w:r>
                  <w:r>
                    <w:rPr>
                      <w:rFonts w:eastAsia="仿宋"/>
                      <w:color w:val="000000" w:themeColor="text1"/>
                      <w:szCs w:val="21"/>
                      <w14:textFill>
                        <w14:solidFill>
                          <w14:schemeClr w14:val="tx1"/>
                        </w14:solidFill>
                      </w14:textFill>
                    </w:rPr>
                    <w:t>燃气锅炉</w:t>
                  </w:r>
                  <w:r>
                    <w:rPr>
                      <w:rFonts w:hint="eastAsia" w:eastAsia="仿宋"/>
                      <w:color w:val="000000" w:themeColor="text1"/>
                      <w:szCs w:val="21"/>
                      <w14:textFill>
                        <w14:solidFill>
                          <w14:schemeClr w14:val="tx1"/>
                        </w14:solidFill>
                      </w14:textFill>
                    </w:rPr>
                    <w:t>及蒸汽发生器</w:t>
                  </w:r>
                  <w:r>
                    <w:rPr>
                      <w:rFonts w:eastAsia="仿宋"/>
                      <w:color w:val="000000" w:themeColor="text1"/>
                      <w:szCs w:val="21"/>
                      <w14:textFill>
                        <w14:solidFill>
                          <w14:schemeClr w14:val="tx1"/>
                        </w14:solidFill>
                      </w14:textFill>
                    </w:rPr>
                    <w:t>天然气燃烧废气通过1根28m高的排气筒（2#）排放</w:t>
                  </w:r>
                  <w:r>
                    <w:rPr>
                      <w:rFonts w:hint="eastAsia" w:eastAsia="仿宋"/>
                      <w:color w:val="000000" w:themeColor="text1"/>
                      <w:szCs w:val="21"/>
                      <w14:textFill>
                        <w14:solidFill>
                          <w14:schemeClr w14:val="tx1"/>
                        </w14:solidFill>
                      </w14:textFill>
                    </w:rPr>
                    <w:t>。</w:t>
                  </w:r>
                </w:p>
              </w:tc>
            </w:tr>
            <w:tr w14:paraId="177C9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618" w:type="pct"/>
                  <w:vMerge w:val="continue"/>
                  <w:tcBorders>
                    <w:top w:val="nil"/>
                    <w:left w:val="single" w:color="000000" w:sz="4" w:space="0"/>
                    <w:bottom w:val="single" w:color="000000" w:sz="4" w:space="0"/>
                    <w:right w:val="single" w:color="000000" w:sz="4" w:space="0"/>
                  </w:tcBorders>
                  <w:vAlign w:val="center"/>
                </w:tcPr>
                <w:p w14:paraId="58068B69">
                  <w:pPr>
                    <w:widowControl/>
                    <w:jc w:val="left"/>
                    <w:rPr>
                      <w:rFonts w:eastAsia="仿宋"/>
                      <w:color w:val="000000" w:themeColor="text1"/>
                      <w:szCs w:val="21"/>
                      <w14:textFill>
                        <w14:solidFill>
                          <w14:schemeClr w14:val="tx1"/>
                        </w14:solidFill>
                      </w14:textFill>
                    </w:rPr>
                  </w:pPr>
                </w:p>
              </w:tc>
              <w:tc>
                <w:tcPr>
                  <w:tcW w:w="789" w:type="pct"/>
                  <w:tcBorders>
                    <w:top w:val="single" w:color="000000" w:sz="4" w:space="0"/>
                    <w:left w:val="single" w:color="000000" w:sz="4" w:space="0"/>
                    <w:bottom w:val="single" w:color="000000" w:sz="4" w:space="0"/>
                    <w:right w:val="single" w:color="000000" w:sz="4" w:space="0"/>
                  </w:tcBorders>
                  <w:vAlign w:val="center"/>
                </w:tcPr>
                <w:p w14:paraId="0E1F2FE3">
                  <w:pPr>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噪声</w:t>
                  </w:r>
                </w:p>
              </w:tc>
              <w:tc>
                <w:tcPr>
                  <w:tcW w:w="3593" w:type="pct"/>
                  <w:gridSpan w:val="2"/>
                  <w:tcBorders>
                    <w:top w:val="single" w:color="000000" w:sz="4" w:space="0"/>
                    <w:left w:val="single" w:color="000000" w:sz="4" w:space="0"/>
                    <w:bottom w:val="single" w:color="000000" w:sz="4" w:space="0"/>
                    <w:right w:val="single" w:color="000000" w:sz="4" w:space="0"/>
                  </w:tcBorders>
                  <w:vAlign w:val="center"/>
                </w:tcPr>
                <w:p w14:paraId="5D7CCACA">
                  <w:pPr>
                    <w:ind w:firstLine="420" w:firstLineChars="20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采取隔声、减振等措施进行降噪</w:t>
                  </w:r>
                  <w:r>
                    <w:rPr>
                      <w:rFonts w:hint="eastAsia" w:ascii="仿宋" w:hAnsi="仿宋" w:eastAsia="仿宋"/>
                      <w:color w:val="000000" w:themeColor="text1"/>
                      <w:szCs w:val="21"/>
                      <w14:textFill>
                        <w14:solidFill>
                          <w14:schemeClr w14:val="tx1"/>
                        </w14:solidFill>
                      </w14:textFill>
                    </w:rPr>
                    <w:t>。</w:t>
                  </w:r>
                </w:p>
              </w:tc>
            </w:tr>
            <w:tr w14:paraId="36F22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618" w:type="pct"/>
                  <w:vMerge w:val="continue"/>
                  <w:tcBorders>
                    <w:top w:val="nil"/>
                    <w:left w:val="single" w:color="000000" w:sz="4" w:space="0"/>
                    <w:bottom w:val="single" w:color="000000" w:sz="4" w:space="0"/>
                    <w:right w:val="single" w:color="000000" w:sz="4" w:space="0"/>
                  </w:tcBorders>
                  <w:vAlign w:val="center"/>
                </w:tcPr>
                <w:p w14:paraId="20E5FD51">
                  <w:pPr>
                    <w:widowControl/>
                    <w:jc w:val="left"/>
                    <w:rPr>
                      <w:rFonts w:eastAsia="仿宋"/>
                      <w:color w:val="000000" w:themeColor="text1"/>
                      <w:szCs w:val="21"/>
                      <w14:textFill>
                        <w14:solidFill>
                          <w14:schemeClr w14:val="tx1"/>
                        </w14:solidFill>
                      </w14:textFill>
                    </w:rPr>
                  </w:pPr>
                </w:p>
              </w:tc>
              <w:tc>
                <w:tcPr>
                  <w:tcW w:w="789" w:type="pct"/>
                  <w:tcBorders>
                    <w:top w:val="nil"/>
                    <w:left w:val="single" w:color="000000" w:sz="4" w:space="0"/>
                    <w:bottom w:val="single" w:color="000000" w:sz="4" w:space="0"/>
                    <w:right w:val="single" w:color="000000" w:sz="4" w:space="0"/>
                  </w:tcBorders>
                  <w:vAlign w:val="center"/>
                </w:tcPr>
                <w:p w14:paraId="3233D9E7">
                  <w:pPr>
                    <w:widowControl/>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固废</w:t>
                  </w:r>
                </w:p>
              </w:tc>
              <w:tc>
                <w:tcPr>
                  <w:tcW w:w="579" w:type="pct"/>
                  <w:tcBorders>
                    <w:top w:val="single" w:color="000000" w:sz="4" w:space="0"/>
                    <w:left w:val="single" w:color="000000" w:sz="4" w:space="0"/>
                    <w:bottom w:val="single" w:color="000000" w:sz="4" w:space="0"/>
                    <w:right w:val="single" w:color="000000" w:sz="4" w:space="0"/>
                  </w:tcBorders>
                  <w:vAlign w:val="center"/>
                </w:tcPr>
                <w:p w14:paraId="0A3B45B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7.5m</w:t>
                  </w:r>
                  <w:r>
                    <w:rPr>
                      <w:rFonts w:eastAsia="仿宋"/>
                      <w:color w:val="000000" w:themeColor="text1"/>
                      <w:szCs w:val="21"/>
                      <w:vertAlign w:val="superscript"/>
                      <w14:textFill>
                        <w14:solidFill>
                          <w14:schemeClr w14:val="tx1"/>
                        </w14:solidFill>
                      </w14:textFill>
                    </w:rPr>
                    <w:t>2</w:t>
                  </w:r>
                </w:p>
              </w:tc>
              <w:tc>
                <w:tcPr>
                  <w:tcW w:w="3014" w:type="pct"/>
                  <w:tcBorders>
                    <w:top w:val="single" w:color="000000" w:sz="4" w:space="0"/>
                    <w:left w:val="single" w:color="000000" w:sz="4" w:space="0"/>
                    <w:bottom w:val="single" w:color="000000" w:sz="4" w:space="0"/>
                    <w:right w:val="single" w:color="000000" w:sz="4" w:space="0"/>
                  </w:tcBorders>
                  <w:vAlign w:val="center"/>
                </w:tcPr>
                <w:p w14:paraId="1EEE4C4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本项目新增一座7.5m</w:t>
                  </w:r>
                  <w:r>
                    <w:rPr>
                      <w:rFonts w:eastAsia="仿宋"/>
                      <w:color w:val="000000" w:themeColor="text1"/>
                      <w:szCs w:val="21"/>
                      <w:vertAlign w:val="superscript"/>
                      <w14:textFill>
                        <w14:solidFill>
                          <w14:schemeClr w14:val="tx1"/>
                        </w14:solidFill>
                      </w14:textFill>
                    </w:rPr>
                    <w:t>2</w:t>
                  </w:r>
                  <w:r>
                    <w:rPr>
                      <w:rFonts w:eastAsia="仿宋"/>
                      <w:color w:val="000000" w:themeColor="text1"/>
                      <w:szCs w:val="21"/>
                      <w14:textFill>
                        <w14:solidFill>
                          <w14:schemeClr w14:val="tx1"/>
                        </w14:solidFill>
                      </w14:textFill>
                    </w:rPr>
                    <w:t>的危险废物仓库，位于厂房1楼</w:t>
                  </w:r>
                  <w:r>
                    <w:rPr>
                      <w:rFonts w:hint="eastAsia" w:eastAsia="仿宋"/>
                      <w:color w:val="000000" w:themeColor="text1"/>
                      <w:szCs w:val="21"/>
                      <w14:textFill>
                        <w14:solidFill>
                          <w14:schemeClr w14:val="tx1"/>
                        </w14:solidFill>
                      </w14:textFill>
                    </w:rPr>
                    <w:t>东南</w:t>
                  </w:r>
                  <w:r>
                    <w:rPr>
                      <w:rFonts w:eastAsia="仿宋"/>
                      <w:color w:val="000000" w:themeColor="text1"/>
                      <w:szCs w:val="21"/>
                      <w14:textFill>
                        <w14:solidFill>
                          <w14:schemeClr w14:val="tx1"/>
                        </w14:solidFill>
                      </w14:textFill>
                    </w:rPr>
                    <w:t>角，用于贮存本项目产生的危险废物</w:t>
                  </w:r>
                  <w:r>
                    <w:rPr>
                      <w:rFonts w:hint="eastAsia" w:eastAsia="仿宋"/>
                      <w:color w:val="000000" w:themeColor="text1"/>
                      <w:szCs w:val="21"/>
                      <w14:textFill>
                        <w14:solidFill>
                          <w14:schemeClr w14:val="tx1"/>
                        </w14:solidFill>
                      </w14:textFill>
                    </w:rPr>
                    <w:t>。</w:t>
                  </w:r>
                </w:p>
              </w:tc>
            </w:tr>
            <w:tr w14:paraId="642E5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618" w:type="pct"/>
                  <w:vMerge w:val="restart"/>
                  <w:tcBorders>
                    <w:top w:val="single" w:color="000000" w:sz="4" w:space="0"/>
                    <w:left w:val="single" w:color="000000" w:sz="4" w:space="0"/>
                    <w:right w:val="single" w:color="000000" w:sz="4" w:space="0"/>
                  </w:tcBorders>
                  <w:vAlign w:val="center"/>
                </w:tcPr>
                <w:p w14:paraId="032DD855">
                  <w:pPr>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应急工程</w:t>
                  </w:r>
                </w:p>
              </w:tc>
              <w:tc>
                <w:tcPr>
                  <w:tcW w:w="789" w:type="pct"/>
                  <w:tcBorders>
                    <w:top w:val="single" w:color="000000" w:sz="4" w:space="0"/>
                    <w:left w:val="single" w:color="000000" w:sz="4" w:space="0"/>
                    <w:bottom w:val="single" w:color="000000" w:sz="4" w:space="0"/>
                    <w:right w:val="single" w:color="000000" w:sz="4" w:space="0"/>
                  </w:tcBorders>
                  <w:vAlign w:val="center"/>
                </w:tcPr>
                <w:p w14:paraId="10D0F266">
                  <w:pPr>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事故应急池</w:t>
                  </w:r>
                </w:p>
              </w:tc>
              <w:tc>
                <w:tcPr>
                  <w:tcW w:w="579" w:type="pct"/>
                  <w:tcBorders>
                    <w:top w:val="single" w:color="000000" w:sz="4" w:space="0"/>
                    <w:left w:val="single" w:color="000000" w:sz="4" w:space="0"/>
                    <w:bottom w:val="single" w:color="000000" w:sz="4" w:space="0"/>
                    <w:right w:val="single" w:color="000000" w:sz="4" w:space="0"/>
                  </w:tcBorders>
                  <w:vAlign w:val="center"/>
                </w:tcPr>
                <w:p w14:paraId="3AEFEB6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24m</w:t>
                  </w:r>
                  <w:r>
                    <w:rPr>
                      <w:rFonts w:eastAsia="仿宋"/>
                      <w:color w:val="000000" w:themeColor="text1"/>
                      <w:szCs w:val="21"/>
                      <w:vertAlign w:val="superscript"/>
                      <w14:textFill>
                        <w14:solidFill>
                          <w14:schemeClr w14:val="tx1"/>
                        </w14:solidFill>
                      </w14:textFill>
                    </w:rPr>
                    <w:t>3</w:t>
                  </w:r>
                </w:p>
              </w:tc>
              <w:tc>
                <w:tcPr>
                  <w:tcW w:w="3014" w:type="pct"/>
                  <w:tcBorders>
                    <w:top w:val="single" w:color="000000" w:sz="4" w:space="0"/>
                    <w:left w:val="single" w:color="000000" w:sz="4" w:space="0"/>
                    <w:bottom w:val="single" w:color="000000" w:sz="4" w:space="0"/>
                    <w:right w:val="single" w:color="000000" w:sz="4" w:space="0"/>
                  </w:tcBorders>
                  <w:vAlign w:val="center"/>
                </w:tcPr>
                <w:p w14:paraId="2126AFAD">
                  <w:pPr>
                    <w:jc w:val="center"/>
                    <w:rPr>
                      <w:rFonts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兼做初期雨水收集池，位于厂区西南侧。</w:t>
                  </w:r>
                </w:p>
              </w:tc>
            </w:tr>
            <w:tr w14:paraId="6C9F6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340" w:hRule="atLeast"/>
                <w:jc w:val="center"/>
              </w:trPr>
              <w:tc>
                <w:tcPr>
                  <w:tcW w:w="618" w:type="pct"/>
                  <w:vMerge w:val="continue"/>
                  <w:tcBorders>
                    <w:left w:val="single" w:color="000000" w:sz="4" w:space="0"/>
                    <w:bottom w:val="single" w:color="000000" w:sz="4" w:space="0"/>
                    <w:right w:val="single" w:color="000000" w:sz="4" w:space="0"/>
                  </w:tcBorders>
                  <w:vAlign w:val="center"/>
                </w:tcPr>
                <w:p w14:paraId="5FE055DE">
                  <w:pPr>
                    <w:jc w:val="center"/>
                    <w:rPr>
                      <w:rFonts w:ascii="仿宋" w:hAnsi="仿宋" w:eastAsia="仿宋"/>
                      <w:color w:val="000000" w:themeColor="text1"/>
                      <w:szCs w:val="21"/>
                      <w14:textFill>
                        <w14:solidFill>
                          <w14:schemeClr w14:val="tx1"/>
                        </w14:solidFill>
                      </w14:textFill>
                    </w:rPr>
                  </w:pPr>
                </w:p>
              </w:tc>
              <w:tc>
                <w:tcPr>
                  <w:tcW w:w="789" w:type="pct"/>
                  <w:tcBorders>
                    <w:top w:val="single" w:color="000000" w:sz="4" w:space="0"/>
                    <w:left w:val="single" w:color="000000" w:sz="4" w:space="0"/>
                    <w:bottom w:val="single" w:color="000000" w:sz="4" w:space="0"/>
                    <w:right w:val="single" w:color="000000" w:sz="4" w:space="0"/>
                  </w:tcBorders>
                  <w:vAlign w:val="center"/>
                </w:tcPr>
                <w:p w14:paraId="3C4B18F7">
                  <w:pPr>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消防水池</w:t>
                  </w:r>
                </w:p>
              </w:tc>
              <w:tc>
                <w:tcPr>
                  <w:tcW w:w="579" w:type="pct"/>
                  <w:tcBorders>
                    <w:top w:val="single" w:color="000000" w:sz="4" w:space="0"/>
                    <w:left w:val="single" w:color="000000" w:sz="4" w:space="0"/>
                    <w:bottom w:val="single" w:color="000000" w:sz="4" w:space="0"/>
                    <w:right w:val="single" w:color="000000" w:sz="4" w:space="0"/>
                  </w:tcBorders>
                  <w:vAlign w:val="center"/>
                </w:tcPr>
                <w:p w14:paraId="2809841D">
                  <w:pPr>
                    <w:pStyle w:val="121"/>
                    <w:jc w:val="center"/>
                    <w:rPr>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t>500m</w:t>
                  </w:r>
                  <w:r>
                    <w:rPr>
                      <w:rFonts w:ascii="Times New Roman" w:hAnsi="Times New Roman" w:eastAsia="仿宋" w:cs="Times New Roman"/>
                      <w:color w:val="000000" w:themeColor="text1"/>
                      <w:vertAlign w:val="superscript"/>
                      <w14:textFill>
                        <w14:solidFill>
                          <w14:schemeClr w14:val="tx1"/>
                        </w14:solidFill>
                      </w14:textFill>
                    </w:rPr>
                    <w:t>3</w:t>
                  </w:r>
                </w:p>
              </w:tc>
              <w:tc>
                <w:tcPr>
                  <w:tcW w:w="3014" w:type="pct"/>
                  <w:tcBorders>
                    <w:top w:val="single" w:color="000000" w:sz="4" w:space="0"/>
                    <w:left w:val="single" w:color="000000" w:sz="4" w:space="0"/>
                    <w:bottom w:val="single" w:color="000000" w:sz="4" w:space="0"/>
                    <w:right w:val="single" w:color="000000" w:sz="4" w:space="0"/>
                  </w:tcBorders>
                  <w:vAlign w:val="center"/>
                </w:tcPr>
                <w:p w14:paraId="101E11D9">
                  <w:pPr>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位于厂房地下一层东侧。</w:t>
                  </w:r>
                </w:p>
              </w:tc>
            </w:tr>
          </w:tbl>
          <w:p w14:paraId="3A183835">
            <w:pPr>
              <w:spacing w:line="480" w:lineRule="exact"/>
              <w:ind w:left="482"/>
              <w:rPr>
                <w:rFonts w:eastAsia="仿宋"/>
                <w:b/>
                <w:bCs/>
                <w:color w:val="000000" w:themeColor="text1"/>
                <w:sz w:val="24"/>
                <w14:textFill>
                  <w14:solidFill>
                    <w14:schemeClr w14:val="tx1"/>
                  </w14:solidFill>
                </w14:textFill>
              </w:rPr>
            </w:pPr>
            <w:r>
              <w:rPr>
                <w:rFonts w:hint="eastAsia" w:eastAsia="仿宋"/>
                <w:b/>
                <w:bCs/>
                <w:color w:val="000000" w:themeColor="text1"/>
                <w:sz w:val="24"/>
                <w14:textFill>
                  <w14:solidFill>
                    <w14:schemeClr w14:val="tx1"/>
                  </w14:solidFill>
                </w14:textFill>
              </w:rPr>
              <w:t>（六）</w:t>
            </w:r>
            <w:r>
              <w:rPr>
                <w:rFonts w:eastAsia="仿宋"/>
                <w:b/>
                <w:bCs/>
                <w:color w:val="000000" w:themeColor="text1"/>
                <w:sz w:val="24"/>
                <w14:textFill>
                  <w14:solidFill>
                    <w14:schemeClr w14:val="tx1"/>
                  </w14:solidFill>
                </w14:textFill>
              </w:rPr>
              <w:t>主要生产设施</w:t>
            </w:r>
          </w:p>
          <w:p w14:paraId="110EEB31">
            <w:pPr>
              <w:spacing w:line="480" w:lineRule="exact"/>
              <w:ind w:left="482"/>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涉及企业保密内容，此处从略。</w:t>
            </w:r>
          </w:p>
          <w:p w14:paraId="2A563F06">
            <w:pPr>
              <w:spacing w:line="480" w:lineRule="exact"/>
              <w:ind w:left="482"/>
              <w:rPr>
                <w:rFonts w:eastAsia="仿宋"/>
                <w:b/>
                <w:bCs/>
                <w:color w:val="000000" w:themeColor="text1"/>
                <w:sz w:val="24"/>
                <w14:textFill>
                  <w14:solidFill>
                    <w14:schemeClr w14:val="tx1"/>
                  </w14:solidFill>
                </w14:textFill>
              </w:rPr>
            </w:pPr>
          </w:p>
          <w:p w14:paraId="62F7FD4F">
            <w:pPr>
              <w:spacing w:line="480" w:lineRule="exact"/>
              <w:ind w:left="482"/>
              <w:rPr>
                <w:rFonts w:eastAsia="仿宋"/>
                <w:b/>
                <w:bCs/>
                <w:color w:val="000000" w:themeColor="text1"/>
                <w:sz w:val="24"/>
                <w14:textFill>
                  <w14:solidFill>
                    <w14:schemeClr w14:val="tx1"/>
                  </w14:solidFill>
                </w14:textFill>
              </w:rPr>
            </w:pPr>
          </w:p>
          <w:p w14:paraId="2C58E20E">
            <w:pPr>
              <w:spacing w:line="480" w:lineRule="exact"/>
              <w:ind w:left="482"/>
              <w:rPr>
                <w:rFonts w:eastAsia="仿宋"/>
                <w:b/>
                <w:bCs/>
                <w:color w:val="000000" w:themeColor="text1"/>
                <w:sz w:val="24"/>
                <w14:textFill>
                  <w14:solidFill>
                    <w14:schemeClr w14:val="tx1"/>
                  </w14:solidFill>
                </w14:textFill>
              </w:rPr>
            </w:pPr>
          </w:p>
          <w:p w14:paraId="32CC78B3">
            <w:pPr>
              <w:spacing w:line="480" w:lineRule="exact"/>
              <w:ind w:left="482"/>
              <w:rPr>
                <w:rFonts w:eastAsia="仿宋"/>
                <w:b/>
                <w:bCs/>
                <w:color w:val="000000" w:themeColor="text1"/>
                <w:sz w:val="24"/>
                <w14:textFill>
                  <w14:solidFill>
                    <w14:schemeClr w14:val="tx1"/>
                  </w14:solidFill>
                </w14:textFill>
              </w:rPr>
            </w:pPr>
          </w:p>
          <w:p w14:paraId="375C5732">
            <w:pPr>
              <w:spacing w:line="480" w:lineRule="exact"/>
              <w:ind w:left="482"/>
              <w:rPr>
                <w:rFonts w:eastAsia="仿宋"/>
                <w:b/>
                <w:bCs/>
                <w:color w:val="000000" w:themeColor="text1"/>
                <w:sz w:val="24"/>
                <w14:textFill>
                  <w14:solidFill>
                    <w14:schemeClr w14:val="tx1"/>
                  </w14:solidFill>
                </w14:textFill>
              </w:rPr>
            </w:pPr>
          </w:p>
          <w:p w14:paraId="04C04D94">
            <w:pPr>
              <w:spacing w:line="480" w:lineRule="exact"/>
              <w:ind w:left="482"/>
              <w:rPr>
                <w:rFonts w:eastAsia="仿宋"/>
                <w:b/>
                <w:bCs/>
                <w:color w:val="000000" w:themeColor="text1"/>
                <w:sz w:val="24"/>
                <w14:textFill>
                  <w14:solidFill>
                    <w14:schemeClr w14:val="tx1"/>
                  </w14:solidFill>
                </w14:textFill>
              </w:rPr>
            </w:pPr>
          </w:p>
          <w:p w14:paraId="4DCBEDDD">
            <w:pPr>
              <w:spacing w:line="480" w:lineRule="exact"/>
              <w:ind w:left="482"/>
              <w:rPr>
                <w:rFonts w:eastAsia="仿宋"/>
                <w:b/>
                <w:bCs/>
                <w:color w:val="000000" w:themeColor="text1"/>
                <w:sz w:val="24"/>
                <w14:textFill>
                  <w14:solidFill>
                    <w14:schemeClr w14:val="tx1"/>
                  </w14:solidFill>
                </w14:textFill>
              </w:rPr>
            </w:pPr>
          </w:p>
          <w:p w14:paraId="446E4181">
            <w:pPr>
              <w:spacing w:line="480" w:lineRule="exact"/>
              <w:ind w:left="482"/>
              <w:rPr>
                <w:rFonts w:eastAsia="仿宋"/>
                <w:b/>
                <w:bCs/>
                <w:color w:val="000000" w:themeColor="text1"/>
                <w:sz w:val="24"/>
                <w14:textFill>
                  <w14:solidFill>
                    <w14:schemeClr w14:val="tx1"/>
                  </w14:solidFill>
                </w14:textFill>
              </w:rPr>
            </w:pPr>
          </w:p>
          <w:p w14:paraId="5D5E3E39">
            <w:pPr>
              <w:spacing w:line="480" w:lineRule="exact"/>
              <w:ind w:left="482"/>
              <w:rPr>
                <w:rFonts w:eastAsia="仿宋"/>
                <w:b/>
                <w:bCs/>
                <w:color w:val="000000" w:themeColor="text1"/>
                <w:sz w:val="24"/>
                <w14:textFill>
                  <w14:solidFill>
                    <w14:schemeClr w14:val="tx1"/>
                  </w14:solidFill>
                </w14:textFill>
              </w:rPr>
            </w:pPr>
            <w:r>
              <w:rPr>
                <w:rFonts w:hint="eastAsia" w:eastAsia="仿宋"/>
                <w:b/>
                <w:bCs/>
                <w:color w:val="000000" w:themeColor="text1"/>
                <w:sz w:val="24"/>
                <w14:textFill>
                  <w14:solidFill>
                    <w14:schemeClr w14:val="tx1"/>
                  </w14:solidFill>
                </w14:textFill>
              </w:rPr>
              <w:t>（七）</w:t>
            </w:r>
            <w:r>
              <w:rPr>
                <w:rFonts w:eastAsia="仿宋"/>
                <w:b/>
                <w:bCs/>
                <w:color w:val="000000" w:themeColor="text1"/>
                <w:sz w:val="24"/>
                <w14:textFill>
                  <w14:solidFill>
                    <w14:schemeClr w14:val="tx1"/>
                  </w14:solidFill>
                </w14:textFill>
              </w:rPr>
              <w:t>主要原辅料、能源利用情况</w:t>
            </w:r>
          </w:p>
          <w:p w14:paraId="126AD459">
            <w:pPr>
              <w:spacing w:line="480" w:lineRule="exact"/>
              <w:ind w:firstLine="480" w:firstLineChars="200"/>
              <w:rPr>
                <w:rFonts w:eastAsia="仿宋"/>
                <w:color w:val="000000" w:themeColor="text1"/>
                <w:sz w:val="24"/>
                <w14:textFill>
                  <w14:solidFill>
                    <w14:schemeClr w14:val="tx1"/>
                  </w14:solidFill>
                </w14:textFill>
              </w:rPr>
            </w:pPr>
            <w:bookmarkStart w:id="23" w:name="OLE_LINK32"/>
            <w:r>
              <w:rPr>
                <w:rFonts w:hint="eastAsia" w:eastAsia="仿宋"/>
                <w:color w:val="000000" w:themeColor="text1"/>
                <w:sz w:val="24"/>
                <w14:textFill>
                  <w14:solidFill>
                    <w14:schemeClr w14:val="tx1"/>
                  </w14:solidFill>
                </w14:textFill>
              </w:rPr>
              <w:t>涉及企业保密内容，此处从略。</w:t>
            </w:r>
          </w:p>
          <w:bookmarkEnd w:id="23"/>
          <w:p w14:paraId="488501DF">
            <w:pPr>
              <w:rPr>
                <w:rFonts w:eastAsia="仿宋"/>
                <w:color w:val="000000" w:themeColor="text1"/>
                <w:sz w:val="24"/>
                <w14:textFill>
                  <w14:solidFill>
                    <w14:schemeClr w14:val="tx1"/>
                  </w14:solidFill>
                </w14:textFill>
              </w:rPr>
            </w:pPr>
          </w:p>
          <w:p w14:paraId="394AA4DC">
            <w:pPr>
              <w:rPr>
                <w:rFonts w:eastAsia="仿宋"/>
                <w:color w:val="000000" w:themeColor="text1"/>
                <w:sz w:val="24"/>
                <w14:textFill>
                  <w14:solidFill>
                    <w14:schemeClr w14:val="tx1"/>
                  </w14:solidFill>
                </w14:textFill>
              </w:rPr>
            </w:pPr>
          </w:p>
          <w:p w14:paraId="3B3313A0">
            <w:pPr>
              <w:rPr>
                <w:rFonts w:eastAsia="仿宋"/>
                <w:color w:val="000000" w:themeColor="text1"/>
                <w:sz w:val="24"/>
                <w14:textFill>
                  <w14:solidFill>
                    <w14:schemeClr w14:val="tx1"/>
                  </w14:solidFill>
                </w14:textFill>
              </w:rPr>
            </w:pPr>
          </w:p>
          <w:p w14:paraId="48C98CA6">
            <w:pPr>
              <w:rPr>
                <w:rFonts w:eastAsia="仿宋"/>
                <w:color w:val="000000" w:themeColor="text1"/>
                <w:sz w:val="24"/>
                <w14:textFill>
                  <w14:solidFill>
                    <w14:schemeClr w14:val="tx1"/>
                  </w14:solidFill>
                </w14:textFill>
              </w:rPr>
            </w:pPr>
          </w:p>
          <w:p w14:paraId="7790A006">
            <w:pPr>
              <w:rPr>
                <w:rFonts w:eastAsia="仿宋"/>
                <w:color w:val="000000" w:themeColor="text1"/>
                <w:sz w:val="24"/>
                <w14:textFill>
                  <w14:solidFill>
                    <w14:schemeClr w14:val="tx1"/>
                  </w14:solidFill>
                </w14:textFill>
              </w:rPr>
            </w:pPr>
          </w:p>
          <w:p w14:paraId="06612AB2">
            <w:pPr>
              <w:rPr>
                <w:rFonts w:eastAsia="仿宋"/>
                <w:color w:val="000000" w:themeColor="text1"/>
                <w:sz w:val="24"/>
                <w14:textFill>
                  <w14:solidFill>
                    <w14:schemeClr w14:val="tx1"/>
                  </w14:solidFill>
                </w14:textFill>
              </w:rPr>
            </w:pPr>
          </w:p>
          <w:p w14:paraId="66A9B3B2">
            <w:pPr>
              <w:rPr>
                <w:rFonts w:eastAsia="仿宋"/>
                <w:color w:val="000000" w:themeColor="text1"/>
                <w:sz w:val="24"/>
                <w14:textFill>
                  <w14:solidFill>
                    <w14:schemeClr w14:val="tx1"/>
                  </w14:solidFill>
                </w14:textFill>
              </w:rPr>
            </w:pPr>
          </w:p>
          <w:p w14:paraId="4BCF30FA">
            <w:pPr>
              <w:rPr>
                <w:rFonts w:eastAsia="仿宋"/>
                <w:color w:val="000000" w:themeColor="text1"/>
                <w:sz w:val="24"/>
                <w14:textFill>
                  <w14:solidFill>
                    <w14:schemeClr w14:val="tx1"/>
                  </w14:solidFill>
                </w14:textFill>
              </w:rPr>
            </w:pPr>
          </w:p>
          <w:p w14:paraId="423B901E">
            <w:pPr>
              <w:rPr>
                <w:rFonts w:eastAsia="仿宋"/>
                <w:color w:val="000000" w:themeColor="text1"/>
                <w:sz w:val="24"/>
                <w14:textFill>
                  <w14:solidFill>
                    <w14:schemeClr w14:val="tx1"/>
                  </w14:solidFill>
                </w14:textFill>
              </w:rPr>
            </w:pPr>
          </w:p>
          <w:p w14:paraId="6B38C7BF">
            <w:pPr>
              <w:rPr>
                <w:rFonts w:eastAsia="仿宋"/>
                <w:color w:val="000000" w:themeColor="text1"/>
                <w:sz w:val="24"/>
                <w14:textFill>
                  <w14:solidFill>
                    <w14:schemeClr w14:val="tx1"/>
                  </w14:solidFill>
                </w14:textFill>
              </w:rPr>
            </w:pPr>
          </w:p>
          <w:p w14:paraId="38FCDB4F">
            <w:pPr>
              <w:rPr>
                <w:rFonts w:eastAsia="仿宋"/>
                <w:color w:val="000000" w:themeColor="text1"/>
                <w:sz w:val="24"/>
                <w14:textFill>
                  <w14:solidFill>
                    <w14:schemeClr w14:val="tx1"/>
                  </w14:solidFill>
                </w14:textFill>
              </w:rPr>
            </w:pPr>
          </w:p>
          <w:p w14:paraId="6DA16C1D">
            <w:pPr>
              <w:rPr>
                <w:rFonts w:eastAsia="仿宋"/>
                <w:color w:val="000000" w:themeColor="text1"/>
                <w:sz w:val="24"/>
                <w14:textFill>
                  <w14:solidFill>
                    <w14:schemeClr w14:val="tx1"/>
                  </w14:solidFill>
                </w14:textFill>
              </w:rPr>
            </w:pPr>
          </w:p>
          <w:p w14:paraId="5667BAC5">
            <w:pPr>
              <w:rPr>
                <w:rFonts w:eastAsia="仿宋"/>
                <w:color w:val="000000" w:themeColor="text1"/>
                <w:sz w:val="24"/>
                <w14:textFill>
                  <w14:solidFill>
                    <w14:schemeClr w14:val="tx1"/>
                  </w14:solidFill>
                </w14:textFill>
              </w:rPr>
            </w:pPr>
          </w:p>
          <w:p w14:paraId="77CDB863">
            <w:pPr>
              <w:rPr>
                <w:rFonts w:eastAsia="仿宋"/>
                <w:color w:val="000000" w:themeColor="text1"/>
                <w:sz w:val="24"/>
                <w14:textFill>
                  <w14:solidFill>
                    <w14:schemeClr w14:val="tx1"/>
                  </w14:solidFill>
                </w14:textFill>
              </w:rPr>
            </w:pPr>
          </w:p>
          <w:p w14:paraId="4D772EC8">
            <w:pPr>
              <w:rPr>
                <w:rFonts w:eastAsia="仿宋"/>
                <w:color w:val="000000" w:themeColor="text1"/>
                <w:sz w:val="24"/>
                <w14:textFill>
                  <w14:solidFill>
                    <w14:schemeClr w14:val="tx1"/>
                  </w14:solidFill>
                </w14:textFill>
              </w:rPr>
            </w:pPr>
          </w:p>
          <w:p w14:paraId="76D35CC3">
            <w:pPr>
              <w:rPr>
                <w:rFonts w:eastAsia="仿宋"/>
                <w:color w:val="000000" w:themeColor="text1"/>
                <w:sz w:val="24"/>
                <w14:textFill>
                  <w14:solidFill>
                    <w14:schemeClr w14:val="tx1"/>
                  </w14:solidFill>
                </w14:textFill>
              </w:rPr>
            </w:pPr>
          </w:p>
          <w:p w14:paraId="379535EF">
            <w:pPr>
              <w:rPr>
                <w:rFonts w:eastAsia="仿宋"/>
                <w:color w:val="000000" w:themeColor="text1"/>
                <w:sz w:val="24"/>
                <w14:textFill>
                  <w14:solidFill>
                    <w14:schemeClr w14:val="tx1"/>
                  </w14:solidFill>
                </w14:textFill>
              </w:rPr>
            </w:pPr>
          </w:p>
          <w:p w14:paraId="0D128207">
            <w:pPr>
              <w:rPr>
                <w:rFonts w:eastAsia="仿宋"/>
                <w:color w:val="000000" w:themeColor="text1"/>
                <w:sz w:val="24"/>
                <w14:textFill>
                  <w14:solidFill>
                    <w14:schemeClr w14:val="tx1"/>
                  </w14:solidFill>
                </w14:textFill>
              </w:rPr>
            </w:pPr>
          </w:p>
          <w:p w14:paraId="6519E2F8">
            <w:pPr>
              <w:rPr>
                <w:rFonts w:eastAsia="仿宋"/>
                <w:color w:val="000000" w:themeColor="text1"/>
                <w:sz w:val="24"/>
                <w14:textFill>
                  <w14:solidFill>
                    <w14:schemeClr w14:val="tx1"/>
                  </w14:solidFill>
                </w14:textFill>
              </w:rPr>
            </w:pPr>
          </w:p>
          <w:p w14:paraId="07304683">
            <w:pPr>
              <w:rPr>
                <w:rFonts w:eastAsia="仿宋"/>
                <w:color w:val="000000" w:themeColor="text1"/>
                <w:sz w:val="24"/>
                <w14:textFill>
                  <w14:solidFill>
                    <w14:schemeClr w14:val="tx1"/>
                  </w14:solidFill>
                </w14:textFill>
              </w:rPr>
            </w:pPr>
          </w:p>
          <w:p w14:paraId="46882342">
            <w:pPr>
              <w:rPr>
                <w:rFonts w:eastAsia="仿宋"/>
                <w:color w:val="000000" w:themeColor="text1"/>
                <w:sz w:val="24"/>
                <w14:textFill>
                  <w14:solidFill>
                    <w14:schemeClr w14:val="tx1"/>
                  </w14:solidFill>
                </w14:textFill>
              </w:rPr>
            </w:pPr>
          </w:p>
          <w:p w14:paraId="5464EE82">
            <w:pPr>
              <w:rPr>
                <w:rFonts w:eastAsia="仿宋"/>
                <w:color w:val="000000" w:themeColor="text1"/>
                <w:sz w:val="24"/>
                <w14:textFill>
                  <w14:solidFill>
                    <w14:schemeClr w14:val="tx1"/>
                  </w14:solidFill>
                </w14:textFill>
              </w:rPr>
            </w:pPr>
          </w:p>
          <w:p w14:paraId="1C3B9305">
            <w:pPr>
              <w:rPr>
                <w:rFonts w:eastAsia="仿宋"/>
                <w:color w:val="000000" w:themeColor="text1"/>
                <w:sz w:val="24"/>
                <w14:textFill>
                  <w14:solidFill>
                    <w14:schemeClr w14:val="tx1"/>
                  </w14:solidFill>
                </w14:textFill>
              </w:rPr>
            </w:pPr>
          </w:p>
          <w:p w14:paraId="46174A58">
            <w:pPr>
              <w:rPr>
                <w:rFonts w:eastAsia="仿宋"/>
                <w:color w:val="000000" w:themeColor="text1"/>
                <w:sz w:val="24"/>
                <w14:textFill>
                  <w14:solidFill>
                    <w14:schemeClr w14:val="tx1"/>
                  </w14:solidFill>
                </w14:textFill>
              </w:rPr>
            </w:pPr>
          </w:p>
          <w:p w14:paraId="3EE84CA2">
            <w:pPr>
              <w:rPr>
                <w:rFonts w:eastAsia="仿宋"/>
                <w:color w:val="000000" w:themeColor="text1"/>
                <w:sz w:val="24"/>
                <w14:textFill>
                  <w14:solidFill>
                    <w14:schemeClr w14:val="tx1"/>
                  </w14:solidFill>
                </w14:textFill>
              </w:rPr>
            </w:pPr>
          </w:p>
          <w:p w14:paraId="12486AF6">
            <w:pPr>
              <w:rPr>
                <w:rFonts w:eastAsia="仿宋"/>
                <w:color w:val="000000" w:themeColor="text1"/>
                <w:sz w:val="24"/>
                <w14:textFill>
                  <w14:solidFill>
                    <w14:schemeClr w14:val="tx1"/>
                  </w14:solidFill>
                </w14:textFill>
              </w:rPr>
            </w:pPr>
          </w:p>
          <w:p w14:paraId="5918B707">
            <w:pPr>
              <w:rPr>
                <w:rFonts w:eastAsia="仿宋"/>
                <w:color w:val="000000" w:themeColor="text1"/>
                <w:sz w:val="24"/>
                <w14:textFill>
                  <w14:solidFill>
                    <w14:schemeClr w14:val="tx1"/>
                  </w14:solidFill>
                </w14:textFill>
              </w:rPr>
            </w:pPr>
          </w:p>
        </w:tc>
      </w:tr>
    </w:tbl>
    <w:p w14:paraId="3BF13CB9">
      <w:pPr>
        <w:pStyle w:val="21"/>
        <w:rPr>
          <w:color w:val="000000" w:themeColor="text1"/>
          <w14:textFill>
            <w14:solidFill>
              <w14:schemeClr w14:val="tx1"/>
            </w14:solidFill>
          </w14:textFill>
        </w:rPr>
        <w:sectPr>
          <w:pgSz w:w="11906" w:h="16838"/>
          <w:pgMar w:top="1701" w:right="1531" w:bottom="1701" w:left="1531" w:header="851" w:footer="851" w:gutter="0"/>
          <w:cols w:space="720" w:num="1"/>
          <w:docGrid w:linePitch="312" w:charSpace="0"/>
        </w:sectPr>
      </w:pPr>
    </w:p>
    <w:tbl>
      <w:tblPr>
        <w:tblStyle w:val="25"/>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930"/>
      </w:tblGrid>
      <w:tr w14:paraId="2971E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007E16A5">
            <w:pPr>
              <w:pStyle w:val="21"/>
              <w:rPr>
                <w:color w:val="000000" w:themeColor="text1"/>
                <w14:textFill>
                  <w14:solidFill>
                    <w14:schemeClr w14:val="tx1"/>
                  </w14:solidFill>
                </w14:textFill>
              </w:rPr>
            </w:pPr>
            <w:r>
              <w:rPr>
                <w:rFonts w:hint="eastAsia"/>
                <w:color w:val="000000" w:themeColor="text1"/>
                <w14:textFill>
                  <w14:solidFill>
                    <w14:schemeClr w14:val="tx1"/>
                  </w14:solidFill>
                </w14:textFill>
              </w:rPr>
              <w:t>建设内容</w:t>
            </w:r>
          </w:p>
        </w:tc>
        <w:tc>
          <w:tcPr>
            <w:tcW w:w="8930" w:type="dxa"/>
          </w:tcPr>
          <w:p w14:paraId="0037558B">
            <w:pPr>
              <w:adjustRightInd w:val="0"/>
              <w:snapToGrid w:val="0"/>
              <w:spacing w:line="500" w:lineRule="exact"/>
              <w:ind w:firstLine="482" w:firstLineChars="200"/>
              <w:jc w:val="left"/>
              <w:rPr>
                <w:rFonts w:eastAsia="仿宋"/>
                <w:b/>
                <w:bCs/>
                <w:color w:val="000000" w:themeColor="text1"/>
                <w:sz w:val="24"/>
                <w14:textFill>
                  <w14:solidFill>
                    <w14:schemeClr w14:val="tx1"/>
                  </w14:solidFill>
                </w14:textFill>
              </w:rPr>
            </w:pPr>
            <w:r>
              <w:rPr>
                <w:rFonts w:hint="eastAsia" w:eastAsia="仿宋"/>
                <w:b/>
                <w:bCs/>
                <w:color w:val="000000" w:themeColor="text1"/>
                <w:sz w:val="24"/>
                <w14:textFill>
                  <w14:solidFill>
                    <w14:schemeClr w14:val="tx1"/>
                  </w14:solidFill>
                </w14:textFill>
              </w:rPr>
              <w:t>（八）水平衡</w:t>
            </w:r>
          </w:p>
          <w:p w14:paraId="65D95F4E">
            <w:pPr>
              <w:spacing w:line="50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本项目水平衡图如下图所示。</w:t>
            </w:r>
          </w:p>
          <w:p w14:paraId="5F2A264F">
            <w:pPr>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5" o:spt="75" type="#_x0000_t75" style="height:281.65pt;width:435.45pt;" o:ole="t" filled="f" o:preferrelative="t" stroked="f" coordsize="21600,21600">
                  <v:path/>
                  <v:fill on="f" focussize="0,0"/>
                  <v:stroke on="f" joinstyle="miter"/>
                  <v:imagedata r:id="rId14" o:title=""/>
                  <o:lock v:ext="edit" aspectratio="t"/>
                  <w10:wrap type="none"/>
                  <w10:anchorlock/>
                </v:shape>
                <o:OLEObject Type="Embed" ProgID="Visio.Drawing.15" ShapeID="_x0000_i1025" DrawAspect="Content" ObjectID="_1468075725" r:id="rId13">
                  <o:LockedField>false</o:LockedField>
                </o:OLEObject>
              </w:object>
            </w:r>
          </w:p>
          <w:p w14:paraId="77CB78DD">
            <w:pPr>
              <w:spacing w:line="480" w:lineRule="exact"/>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图</w:t>
            </w:r>
            <w:r>
              <w:rPr>
                <w:rFonts w:eastAsia="仿宋"/>
                <w:b/>
                <w:bCs/>
                <w:color w:val="000000" w:themeColor="text1"/>
                <w:szCs w:val="21"/>
                <w14:textFill>
                  <w14:solidFill>
                    <w14:schemeClr w14:val="tx1"/>
                  </w14:solidFill>
                </w14:textFill>
              </w:rPr>
              <w:t xml:space="preserve">2-1 本项目水平衡图 </w:t>
            </w:r>
            <w:r>
              <w:rPr>
                <w:rFonts w:hint="eastAsia" w:eastAsia="仿宋"/>
                <w:b/>
                <w:bCs/>
                <w:color w:val="000000" w:themeColor="text1"/>
                <w:szCs w:val="21"/>
                <w14:textFill>
                  <w14:solidFill>
                    <w14:schemeClr w14:val="tx1"/>
                  </w14:solidFill>
                </w14:textFill>
              </w:rPr>
              <w:t>单位</w:t>
            </w:r>
            <w:r>
              <w:rPr>
                <w:rFonts w:eastAsia="仿宋"/>
                <w:b/>
                <w:bCs/>
                <w:color w:val="000000" w:themeColor="text1"/>
                <w:szCs w:val="21"/>
                <w14:textFill>
                  <w14:solidFill>
                    <w14:schemeClr w14:val="tx1"/>
                  </w14:solidFill>
                </w14:textFill>
              </w:rPr>
              <w:t>m</w:t>
            </w:r>
            <w:r>
              <w:rPr>
                <w:rFonts w:eastAsia="仿宋"/>
                <w:b/>
                <w:bCs/>
                <w:color w:val="000000" w:themeColor="text1"/>
                <w:szCs w:val="21"/>
                <w:vertAlign w:val="superscript"/>
                <w14:textFill>
                  <w14:solidFill>
                    <w14:schemeClr w14:val="tx1"/>
                  </w14:solidFill>
                </w14:textFill>
              </w:rPr>
              <w:t>3</w:t>
            </w:r>
            <w:r>
              <w:rPr>
                <w:rFonts w:hint="eastAsia" w:eastAsia="仿宋"/>
                <w:b/>
                <w:bCs/>
                <w:color w:val="000000" w:themeColor="text1"/>
                <w:szCs w:val="21"/>
                <w14:textFill>
                  <w14:solidFill>
                    <w14:schemeClr w14:val="tx1"/>
                  </w14:solidFill>
                </w14:textFill>
              </w:rPr>
              <w:t>/a</w:t>
            </w:r>
            <w:r>
              <w:rPr>
                <w:rFonts w:eastAsia="仿宋"/>
                <w:b/>
                <w:bCs/>
                <w:color w:val="000000" w:themeColor="text1"/>
                <w:szCs w:val="21"/>
                <w14:textFill>
                  <w14:solidFill>
                    <w14:schemeClr w14:val="tx1"/>
                  </w14:solidFill>
                </w14:textFill>
              </w:rPr>
              <w:t xml:space="preserve"> </w:t>
            </w:r>
          </w:p>
          <w:p w14:paraId="53E8A58E">
            <w:pPr>
              <w:adjustRightInd w:val="0"/>
              <w:snapToGrid w:val="0"/>
              <w:spacing w:line="480" w:lineRule="exact"/>
              <w:ind w:firstLine="482" w:firstLineChars="200"/>
              <w:jc w:val="left"/>
              <w:rPr>
                <w:rFonts w:eastAsia="仿宋"/>
                <w:b/>
                <w:bCs/>
                <w:color w:val="000000" w:themeColor="text1"/>
                <w14:textFill>
                  <w14:solidFill>
                    <w14:schemeClr w14:val="tx1"/>
                  </w14:solidFill>
                </w14:textFill>
              </w:rPr>
            </w:pPr>
            <w:r>
              <w:rPr>
                <w:rFonts w:hint="eastAsia" w:eastAsia="仿宋"/>
                <w:b/>
                <w:bCs/>
                <w:color w:val="000000" w:themeColor="text1"/>
                <w:sz w:val="24"/>
                <w14:textFill>
                  <w14:solidFill>
                    <w14:schemeClr w14:val="tx1"/>
                  </w14:solidFill>
                </w14:textFill>
              </w:rPr>
              <w:t>（九）</w:t>
            </w:r>
            <w:r>
              <w:rPr>
                <w:rFonts w:eastAsia="仿宋"/>
                <w:b/>
                <w:bCs/>
                <w:color w:val="000000" w:themeColor="text1"/>
                <w:sz w:val="24"/>
                <w14:textFill>
                  <w14:solidFill>
                    <w14:schemeClr w14:val="tx1"/>
                  </w14:solidFill>
                </w14:textFill>
              </w:rPr>
              <w:t>VOCs平衡</w:t>
            </w:r>
          </w:p>
          <w:p w14:paraId="1F240863">
            <w:pPr>
              <w:snapToGrid w:val="0"/>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本项目生产中VOCs平衡情况如下</w:t>
            </w:r>
            <w:r>
              <w:rPr>
                <w:rFonts w:hint="eastAsia" w:eastAsia="仿宋"/>
                <w:color w:val="000000" w:themeColor="text1"/>
                <w:sz w:val="24"/>
                <w14:textFill>
                  <w14:solidFill>
                    <w14:schemeClr w14:val="tx1"/>
                  </w14:solidFill>
                </w14:textFill>
              </w:rPr>
              <w:t>表所示</w:t>
            </w:r>
            <w:r>
              <w:rPr>
                <w:rFonts w:eastAsia="仿宋"/>
                <w:color w:val="000000" w:themeColor="text1"/>
                <w:sz w:val="24"/>
                <w14:textFill>
                  <w14:solidFill>
                    <w14:schemeClr w14:val="tx1"/>
                  </w14:solidFill>
                </w14:textFill>
              </w:rPr>
              <w:t>。</w:t>
            </w:r>
          </w:p>
          <w:p w14:paraId="44628299">
            <w:pPr>
              <w:tabs>
                <w:tab w:val="center" w:pos="4156"/>
                <w:tab w:val="left" w:pos="6375"/>
              </w:tabs>
              <w:spacing w:line="480" w:lineRule="exact"/>
              <w:jc w:val="center"/>
              <w:rPr>
                <w:rFonts w:eastAsia="仿宋"/>
                <w:b/>
                <w:color w:val="000000" w:themeColor="text1"/>
                <w14:textFill>
                  <w14:solidFill>
                    <w14:schemeClr w14:val="tx1"/>
                  </w14:solidFill>
                </w14:textFill>
              </w:rPr>
            </w:pPr>
            <w:r>
              <w:rPr>
                <w:rFonts w:hint="eastAsia" w:eastAsia="仿宋"/>
                <w:b/>
                <w:color w:val="000000" w:themeColor="text1"/>
                <w14:textFill>
                  <w14:solidFill>
                    <w14:schemeClr w14:val="tx1"/>
                  </w14:solidFill>
                </w14:textFill>
              </w:rPr>
              <w:t>表2</w:t>
            </w:r>
            <w:r>
              <w:rPr>
                <w:rFonts w:eastAsia="仿宋"/>
                <w:b/>
                <w:color w:val="000000" w:themeColor="text1"/>
                <w14:textFill>
                  <w14:solidFill>
                    <w14:schemeClr w14:val="tx1"/>
                  </w14:solidFill>
                </w14:textFill>
              </w:rPr>
              <w:t>-9 本项目VOCs平衡表 单位：t/a</w:t>
            </w:r>
          </w:p>
          <w:tbl>
            <w:tblPr>
              <w:tblStyle w:val="24"/>
              <w:tblW w:w="8673" w:type="dxa"/>
              <w:jc w:val="center"/>
              <w:tblLayout w:type="fixed"/>
              <w:tblCellMar>
                <w:top w:w="0" w:type="dxa"/>
                <w:left w:w="108" w:type="dxa"/>
                <w:bottom w:w="0" w:type="dxa"/>
                <w:right w:w="108" w:type="dxa"/>
              </w:tblCellMar>
            </w:tblPr>
            <w:tblGrid>
              <w:gridCol w:w="985"/>
              <w:gridCol w:w="1203"/>
              <w:gridCol w:w="1134"/>
              <w:gridCol w:w="1276"/>
              <w:gridCol w:w="1275"/>
              <w:gridCol w:w="1822"/>
              <w:gridCol w:w="978"/>
            </w:tblGrid>
            <w:tr w14:paraId="5420793D">
              <w:tblPrEx>
                <w:tblCellMar>
                  <w:top w:w="0" w:type="dxa"/>
                  <w:left w:w="108" w:type="dxa"/>
                  <w:bottom w:w="0" w:type="dxa"/>
                  <w:right w:w="108" w:type="dxa"/>
                </w:tblCellMar>
              </w:tblPrEx>
              <w:trPr>
                <w:trHeight w:val="340" w:hRule="atLeast"/>
                <w:jc w:val="center"/>
              </w:trPr>
              <w:tc>
                <w:tcPr>
                  <w:tcW w:w="5873"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14:paraId="1239101C">
                  <w:pPr>
                    <w:widowControl/>
                    <w:jc w:val="center"/>
                    <w:textAlignment w:val="center"/>
                    <w:rPr>
                      <w:rFonts w:eastAsia="仿宋"/>
                      <w:b/>
                      <w:bCs/>
                      <w:color w:val="000000" w:themeColor="text1"/>
                      <w:szCs w:val="21"/>
                      <w14:textFill>
                        <w14:solidFill>
                          <w14:schemeClr w14:val="tx1"/>
                        </w14:solidFill>
                      </w14:textFill>
                    </w:rPr>
                  </w:pPr>
                  <w:r>
                    <w:rPr>
                      <w:rStyle w:val="103"/>
                      <w:rFonts w:hint="default" w:ascii="Times New Roman" w:hAnsi="Times New Roman" w:cs="Times New Roman"/>
                      <w:b/>
                      <w:bCs/>
                      <w:color w:val="000000" w:themeColor="text1"/>
                      <w:lang w:bidi="ar"/>
                      <w14:textFill>
                        <w14:solidFill>
                          <w14:schemeClr w14:val="tx1"/>
                        </w14:solidFill>
                      </w14:textFill>
                    </w:rPr>
                    <w:t>投入</w:t>
                  </w:r>
                </w:p>
              </w:tc>
              <w:tc>
                <w:tcPr>
                  <w:tcW w:w="280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22BC48F">
                  <w:pPr>
                    <w:widowControl/>
                    <w:jc w:val="center"/>
                    <w:textAlignment w:val="center"/>
                    <w:rPr>
                      <w:rFonts w:eastAsia="仿宋"/>
                      <w:b/>
                      <w:bCs/>
                      <w:color w:val="000000" w:themeColor="text1"/>
                      <w:szCs w:val="21"/>
                      <w14:textFill>
                        <w14:solidFill>
                          <w14:schemeClr w14:val="tx1"/>
                        </w14:solidFill>
                      </w14:textFill>
                    </w:rPr>
                  </w:pPr>
                  <w:r>
                    <w:rPr>
                      <w:rStyle w:val="103"/>
                      <w:rFonts w:hint="default" w:ascii="Times New Roman" w:hAnsi="Times New Roman" w:cs="Times New Roman"/>
                      <w:b/>
                      <w:bCs/>
                      <w:color w:val="000000" w:themeColor="text1"/>
                      <w:lang w:bidi="ar"/>
                      <w14:textFill>
                        <w14:solidFill>
                          <w14:schemeClr w14:val="tx1"/>
                        </w14:solidFill>
                      </w14:textFill>
                    </w:rPr>
                    <w:t>输出</w:t>
                  </w:r>
                </w:p>
              </w:tc>
            </w:tr>
            <w:tr w14:paraId="50CD6CA6">
              <w:tblPrEx>
                <w:tblCellMar>
                  <w:top w:w="0" w:type="dxa"/>
                  <w:left w:w="108" w:type="dxa"/>
                  <w:bottom w:w="0" w:type="dxa"/>
                  <w:right w:w="108" w:type="dxa"/>
                </w:tblCellMar>
              </w:tblPrEx>
              <w:trPr>
                <w:trHeight w:val="340" w:hRule="atLeast"/>
                <w:jc w:val="center"/>
              </w:trPr>
              <w:tc>
                <w:tcPr>
                  <w:tcW w:w="21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CD80A73">
                  <w:pPr>
                    <w:widowControl/>
                    <w:jc w:val="center"/>
                    <w:textAlignment w:val="center"/>
                    <w:rPr>
                      <w:rFonts w:eastAsia="仿宋"/>
                      <w:b/>
                      <w:bCs/>
                      <w:color w:val="000000" w:themeColor="text1"/>
                      <w:szCs w:val="21"/>
                      <w14:textFill>
                        <w14:solidFill>
                          <w14:schemeClr w14:val="tx1"/>
                        </w14:solidFill>
                      </w14:textFill>
                    </w:rPr>
                  </w:pPr>
                  <w:r>
                    <w:rPr>
                      <w:rStyle w:val="103"/>
                      <w:rFonts w:hint="default" w:ascii="Times New Roman" w:hAnsi="Times New Roman" w:cs="Times New Roman"/>
                      <w:color w:val="000000" w:themeColor="text1"/>
                      <w:lang w:bidi="ar"/>
                      <w14:textFill>
                        <w14:solidFill>
                          <w14:schemeClr w14:val="tx1"/>
                        </w14:solidFill>
                      </w14:textFill>
                    </w:rPr>
                    <w:t>来源</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15D032">
                  <w:pPr>
                    <w:widowControl/>
                    <w:jc w:val="center"/>
                    <w:textAlignment w:val="center"/>
                    <w:rPr>
                      <w:rFonts w:eastAsia="仿宋"/>
                      <w:b/>
                      <w:bCs/>
                      <w:color w:val="000000" w:themeColor="text1"/>
                      <w:szCs w:val="21"/>
                      <w14:textFill>
                        <w14:solidFill>
                          <w14:schemeClr w14:val="tx1"/>
                        </w14:solidFill>
                      </w14:textFill>
                    </w:rPr>
                  </w:pPr>
                  <w:r>
                    <w:rPr>
                      <w:rStyle w:val="103"/>
                      <w:rFonts w:hint="default" w:ascii="Times New Roman" w:hAnsi="Times New Roman" w:cs="Times New Roman"/>
                      <w:color w:val="000000" w:themeColor="text1"/>
                      <w:lang w:bidi="ar"/>
                      <w14:textFill>
                        <w14:solidFill>
                          <w14:schemeClr w14:val="tx1"/>
                        </w14:solidFill>
                      </w14:textFill>
                    </w:rPr>
                    <w:t>用量</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E0CFB9">
                  <w:pPr>
                    <w:widowControl/>
                    <w:jc w:val="center"/>
                    <w:textAlignment w:val="center"/>
                    <w:rPr>
                      <w:rFonts w:eastAsia="仿宋"/>
                      <w:b/>
                      <w:bCs/>
                      <w:color w:val="000000" w:themeColor="text1"/>
                      <w:szCs w:val="21"/>
                      <w14:textFill>
                        <w14:solidFill>
                          <w14:schemeClr w14:val="tx1"/>
                        </w14:solidFill>
                      </w14:textFill>
                    </w:rPr>
                  </w:pPr>
                  <w:r>
                    <w:rPr>
                      <w:rStyle w:val="103"/>
                      <w:rFonts w:hint="default" w:ascii="Times New Roman" w:hAnsi="Times New Roman" w:cs="Times New Roman"/>
                      <w:color w:val="000000" w:themeColor="text1"/>
                      <w:lang w:bidi="ar"/>
                      <w14:textFill>
                        <w14:solidFill>
                          <w14:schemeClr w14:val="tx1"/>
                        </w14:solidFill>
                      </w14:textFill>
                    </w:rPr>
                    <w:t>有机溶剂占比（</w:t>
                  </w:r>
                  <w:r>
                    <w:rPr>
                      <w:rStyle w:val="105"/>
                      <w:rFonts w:eastAsia="仿宋"/>
                      <w:color w:val="000000" w:themeColor="text1"/>
                      <w:lang w:bidi="ar"/>
                      <w14:textFill>
                        <w14:solidFill>
                          <w14:schemeClr w14:val="tx1"/>
                        </w14:solidFill>
                      </w14:textFill>
                    </w:rPr>
                    <w:t>%</w:t>
                  </w:r>
                  <w:r>
                    <w:rPr>
                      <w:rStyle w:val="103"/>
                      <w:rFonts w:hint="default" w:ascii="Times New Roman" w:hAnsi="Times New Roman" w:cs="Times New Roman"/>
                      <w:color w:val="000000" w:themeColor="text1"/>
                      <w:lang w:bidi="ar"/>
                      <w14:textFill>
                        <w14:solidFill>
                          <w14:schemeClr w14:val="tx1"/>
                        </w14:solidFill>
                      </w14:textFill>
                    </w:rPr>
                    <w:t>）</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546E3C">
                  <w:pPr>
                    <w:widowControl/>
                    <w:jc w:val="center"/>
                    <w:textAlignment w:val="center"/>
                    <w:rPr>
                      <w:rFonts w:eastAsia="仿宋"/>
                      <w:b/>
                      <w:bCs/>
                      <w:color w:val="000000" w:themeColor="text1"/>
                      <w:szCs w:val="21"/>
                      <w14:textFill>
                        <w14:solidFill>
                          <w14:schemeClr w14:val="tx1"/>
                        </w14:solidFill>
                      </w14:textFill>
                    </w:rPr>
                  </w:pPr>
                  <w:r>
                    <w:rPr>
                      <w:rStyle w:val="103"/>
                      <w:rFonts w:hint="default" w:ascii="Times New Roman" w:hAnsi="Times New Roman" w:cs="Times New Roman"/>
                      <w:color w:val="000000" w:themeColor="text1"/>
                      <w:lang w:bidi="ar"/>
                      <w14:textFill>
                        <w14:solidFill>
                          <w14:schemeClr w14:val="tx1"/>
                        </w14:solidFill>
                      </w14:textFill>
                    </w:rPr>
                    <w:t>含</w:t>
                  </w:r>
                  <w:r>
                    <w:rPr>
                      <w:rStyle w:val="105"/>
                      <w:rFonts w:eastAsia="仿宋"/>
                      <w:color w:val="000000" w:themeColor="text1"/>
                      <w:lang w:bidi="ar"/>
                      <w14:textFill>
                        <w14:solidFill>
                          <w14:schemeClr w14:val="tx1"/>
                        </w14:solidFill>
                      </w14:textFill>
                    </w:rPr>
                    <w:t>VOCs</w:t>
                  </w:r>
                  <w:r>
                    <w:rPr>
                      <w:rStyle w:val="103"/>
                      <w:rFonts w:hint="default" w:ascii="Times New Roman" w:hAnsi="Times New Roman" w:cs="Times New Roman"/>
                      <w:color w:val="000000" w:themeColor="text1"/>
                      <w:lang w:bidi="ar"/>
                      <w14:textFill>
                        <w14:solidFill>
                          <w14:schemeClr w14:val="tx1"/>
                        </w14:solidFill>
                      </w14:textFill>
                    </w:rPr>
                    <w:t>量（</w:t>
                  </w:r>
                  <w:r>
                    <w:rPr>
                      <w:rStyle w:val="105"/>
                      <w:rFonts w:eastAsia="仿宋"/>
                      <w:color w:val="000000" w:themeColor="text1"/>
                      <w:lang w:bidi="ar"/>
                      <w14:textFill>
                        <w14:solidFill>
                          <w14:schemeClr w14:val="tx1"/>
                        </w14:solidFill>
                      </w14:textFill>
                    </w:rPr>
                    <w:t>t</w:t>
                  </w:r>
                  <w:r>
                    <w:rPr>
                      <w:rStyle w:val="103"/>
                      <w:rFonts w:hint="default" w:ascii="Times New Roman" w:hAnsi="Times New Roman" w:cs="Times New Roman"/>
                      <w:color w:val="000000" w:themeColor="text1"/>
                      <w:lang w:bidi="ar"/>
                      <w14:textFill>
                        <w14:solidFill>
                          <w14:schemeClr w14:val="tx1"/>
                        </w14:solidFill>
                      </w14:textFill>
                    </w:rPr>
                    <w:t>）</w:t>
                  </w:r>
                </w:p>
              </w:tc>
              <w:tc>
                <w:tcPr>
                  <w:tcW w:w="182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15C9AA">
                  <w:pPr>
                    <w:widowControl/>
                    <w:jc w:val="center"/>
                    <w:textAlignment w:val="center"/>
                    <w:rPr>
                      <w:rFonts w:eastAsia="仿宋"/>
                      <w:b/>
                      <w:bCs/>
                      <w:color w:val="000000" w:themeColor="text1"/>
                      <w:szCs w:val="21"/>
                      <w14:textFill>
                        <w14:solidFill>
                          <w14:schemeClr w14:val="tx1"/>
                        </w14:solidFill>
                      </w14:textFill>
                    </w:rPr>
                  </w:pPr>
                  <w:r>
                    <w:rPr>
                      <w:rStyle w:val="103"/>
                      <w:rFonts w:hint="default" w:ascii="Times New Roman" w:hAnsi="Times New Roman" w:cs="Times New Roman"/>
                      <w:color w:val="000000" w:themeColor="text1"/>
                      <w:lang w:bidi="ar"/>
                      <w14:textFill>
                        <w14:solidFill>
                          <w14:schemeClr w14:val="tx1"/>
                        </w14:solidFill>
                      </w14:textFill>
                    </w:rPr>
                    <w:t>去向</w:t>
                  </w:r>
                </w:p>
              </w:tc>
              <w:tc>
                <w:tcPr>
                  <w:tcW w:w="9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E65EBD">
                  <w:pPr>
                    <w:widowControl/>
                    <w:jc w:val="center"/>
                    <w:textAlignment w:val="center"/>
                    <w:rPr>
                      <w:rFonts w:eastAsia="仿宋"/>
                      <w:b/>
                      <w:bCs/>
                      <w:color w:val="000000" w:themeColor="text1"/>
                      <w:szCs w:val="21"/>
                      <w14:textFill>
                        <w14:solidFill>
                          <w14:schemeClr w14:val="tx1"/>
                        </w14:solidFill>
                      </w14:textFill>
                    </w:rPr>
                  </w:pPr>
                  <w:r>
                    <w:rPr>
                      <w:rStyle w:val="103"/>
                      <w:rFonts w:hint="default" w:ascii="Times New Roman" w:hAnsi="Times New Roman" w:cs="Times New Roman"/>
                      <w:color w:val="000000" w:themeColor="text1"/>
                      <w:lang w:bidi="ar"/>
                      <w14:textFill>
                        <w14:solidFill>
                          <w14:schemeClr w14:val="tx1"/>
                        </w14:solidFill>
                      </w14:textFill>
                    </w:rPr>
                    <w:t>含量</w:t>
                  </w:r>
                </w:p>
              </w:tc>
            </w:tr>
            <w:tr w14:paraId="72B9742D">
              <w:tblPrEx>
                <w:tblCellMar>
                  <w:top w:w="0" w:type="dxa"/>
                  <w:left w:w="108" w:type="dxa"/>
                  <w:bottom w:w="0" w:type="dxa"/>
                  <w:right w:w="108" w:type="dxa"/>
                </w:tblCellMar>
              </w:tblPrEx>
              <w:trPr>
                <w:trHeight w:val="340" w:hRule="atLeast"/>
                <w:jc w:val="center"/>
              </w:trPr>
              <w:tc>
                <w:tcPr>
                  <w:tcW w:w="98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3CDFD09">
                  <w:pPr>
                    <w:jc w:val="center"/>
                    <w:textAlignment w:val="center"/>
                    <w:rPr>
                      <w:rFonts w:eastAsia="仿宋"/>
                      <w:color w:val="000000" w:themeColor="text1"/>
                      <w:szCs w:val="21"/>
                      <w14:textFill>
                        <w14:solidFill>
                          <w14:schemeClr w14:val="tx1"/>
                        </w14:solidFill>
                      </w14:textFill>
                    </w:rPr>
                  </w:pPr>
                  <w:r>
                    <w:rPr>
                      <w:rFonts w:hint="eastAsia" w:eastAsia="仿宋"/>
                      <w:color w:val="000000" w:themeColor="text1"/>
                      <w:kern w:val="0"/>
                      <w:szCs w:val="21"/>
                      <w:lang w:bidi="ar"/>
                      <w14:textFill>
                        <w14:solidFill>
                          <w14:schemeClr w14:val="tx1"/>
                        </w14:solidFill>
                      </w14:textFill>
                    </w:rPr>
                    <w:t>原辅料</w:t>
                  </w:r>
                </w:p>
              </w:tc>
              <w:tc>
                <w:tcPr>
                  <w:tcW w:w="12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712F37">
                  <w:pPr>
                    <w:widowControl/>
                    <w:jc w:val="center"/>
                    <w:rPr>
                      <w:rFonts w:ascii="仿宋" w:hAnsi="仿宋" w:eastAsia="仿宋"/>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正己烷</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2D2F04">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0.026</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7184B8">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100</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FD5FA3">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0.026</w:t>
                  </w:r>
                </w:p>
              </w:tc>
              <w:tc>
                <w:tcPr>
                  <w:tcW w:w="182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4AAD0F">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有组织排放</w:t>
                  </w:r>
                </w:p>
              </w:tc>
              <w:tc>
                <w:tcPr>
                  <w:tcW w:w="9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DDDECE">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0.0015</w:t>
                  </w:r>
                </w:p>
              </w:tc>
            </w:tr>
            <w:tr w14:paraId="3B000134">
              <w:tblPrEx>
                <w:tblCellMar>
                  <w:top w:w="0" w:type="dxa"/>
                  <w:left w:w="108" w:type="dxa"/>
                  <w:bottom w:w="0" w:type="dxa"/>
                  <w:right w:w="108" w:type="dxa"/>
                </w:tblCellMar>
              </w:tblPrEx>
              <w:trPr>
                <w:trHeight w:val="340" w:hRule="atLeast"/>
                <w:jc w:val="center"/>
              </w:trPr>
              <w:tc>
                <w:tcPr>
                  <w:tcW w:w="9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AADF8D">
                  <w:pPr>
                    <w:jc w:val="center"/>
                    <w:textAlignment w:val="center"/>
                    <w:rPr>
                      <w:rFonts w:eastAsia="仿宋"/>
                      <w:color w:val="000000" w:themeColor="text1"/>
                      <w:szCs w:val="21"/>
                      <w14:textFill>
                        <w14:solidFill>
                          <w14:schemeClr w14:val="tx1"/>
                        </w14:solidFill>
                      </w14:textFill>
                    </w:rPr>
                  </w:pPr>
                </w:p>
              </w:tc>
              <w:tc>
                <w:tcPr>
                  <w:tcW w:w="12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4F1224">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正丁醇</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77DAD4">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0</w:t>
                  </w:r>
                  <w:r>
                    <w:rPr>
                      <w:rFonts w:eastAsia="仿宋"/>
                      <w:color w:val="000000" w:themeColor="text1"/>
                      <w:szCs w:val="21"/>
                      <w14:textFill>
                        <w14:solidFill>
                          <w14:schemeClr w14:val="tx1"/>
                        </w14:solidFill>
                      </w14:textFill>
                    </w:rPr>
                    <w:t>.008</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12B22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48A841">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0</w:t>
                  </w:r>
                  <w:r>
                    <w:rPr>
                      <w:rFonts w:eastAsia="仿宋"/>
                      <w:color w:val="000000" w:themeColor="text1"/>
                      <w:szCs w:val="21"/>
                      <w14:textFill>
                        <w14:solidFill>
                          <w14:schemeClr w14:val="tx1"/>
                        </w14:solidFill>
                      </w14:textFill>
                    </w:rPr>
                    <w:t>.008</w:t>
                  </w:r>
                </w:p>
              </w:tc>
              <w:tc>
                <w:tcPr>
                  <w:tcW w:w="182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6BA0A7">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无组织排放</w:t>
                  </w:r>
                </w:p>
              </w:tc>
              <w:tc>
                <w:tcPr>
                  <w:tcW w:w="9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FEF4BE">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0.0008</w:t>
                  </w:r>
                </w:p>
              </w:tc>
            </w:tr>
            <w:tr w14:paraId="39385D84">
              <w:tblPrEx>
                <w:tblCellMar>
                  <w:top w:w="0" w:type="dxa"/>
                  <w:left w:w="108" w:type="dxa"/>
                  <w:bottom w:w="0" w:type="dxa"/>
                  <w:right w:w="108" w:type="dxa"/>
                </w:tblCellMar>
              </w:tblPrEx>
              <w:trPr>
                <w:trHeight w:val="340" w:hRule="atLeast"/>
                <w:jc w:val="center"/>
              </w:trPr>
              <w:tc>
                <w:tcPr>
                  <w:tcW w:w="9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3AFC1D">
                  <w:pPr>
                    <w:jc w:val="center"/>
                    <w:textAlignment w:val="center"/>
                    <w:rPr>
                      <w:rFonts w:eastAsia="仿宋"/>
                      <w:color w:val="000000" w:themeColor="text1"/>
                      <w:szCs w:val="21"/>
                      <w14:textFill>
                        <w14:solidFill>
                          <w14:schemeClr w14:val="tx1"/>
                        </w14:solidFill>
                      </w14:textFill>
                    </w:rPr>
                  </w:pPr>
                </w:p>
              </w:tc>
              <w:tc>
                <w:tcPr>
                  <w:tcW w:w="12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E69E4F">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异丙醇</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53F1E7">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0</w:t>
                  </w:r>
                  <w:r>
                    <w:rPr>
                      <w:rFonts w:eastAsia="仿宋"/>
                      <w:color w:val="000000" w:themeColor="text1"/>
                      <w:szCs w:val="21"/>
                      <w14:textFill>
                        <w14:solidFill>
                          <w14:schemeClr w14:val="tx1"/>
                        </w14:solidFill>
                      </w14:textFill>
                    </w:rPr>
                    <w:t>.031</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73DD0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F3DCB0">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0</w:t>
                  </w:r>
                  <w:r>
                    <w:rPr>
                      <w:rFonts w:eastAsia="仿宋"/>
                      <w:color w:val="000000" w:themeColor="text1"/>
                      <w:szCs w:val="21"/>
                      <w14:textFill>
                        <w14:solidFill>
                          <w14:schemeClr w14:val="tx1"/>
                        </w14:solidFill>
                      </w14:textFill>
                    </w:rPr>
                    <w:t>.031</w:t>
                  </w:r>
                </w:p>
              </w:tc>
              <w:tc>
                <w:tcPr>
                  <w:tcW w:w="182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664925">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活性炭吸附</w:t>
                  </w:r>
                </w:p>
              </w:tc>
              <w:tc>
                <w:tcPr>
                  <w:tcW w:w="9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10D7EB">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0.0135</w:t>
                  </w:r>
                </w:p>
              </w:tc>
            </w:tr>
            <w:tr w14:paraId="22487648">
              <w:tblPrEx>
                <w:tblCellMar>
                  <w:top w:w="0" w:type="dxa"/>
                  <w:left w:w="108" w:type="dxa"/>
                  <w:bottom w:w="0" w:type="dxa"/>
                  <w:right w:w="108" w:type="dxa"/>
                </w:tblCellMar>
              </w:tblPrEx>
              <w:trPr>
                <w:trHeight w:val="340" w:hRule="atLeast"/>
                <w:jc w:val="center"/>
              </w:trPr>
              <w:tc>
                <w:tcPr>
                  <w:tcW w:w="9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685045">
                  <w:pPr>
                    <w:jc w:val="center"/>
                    <w:textAlignment w:val="center"/>
                    <w:rPr>
                      <w:rFonts w:eastAsia="仿宋"/>
                      <w:color w:val="000000" w:themeColor="text1"/>
                      <w:szCs w:val="21"/>
                      <w14:textFill>
                        <w14:solidFill>
                          <w14:schemeClr w14:val="tx1"/>
                        </w14:solidFill>
                      </w14:textFill>
                    </w:rPr>
                  </w:pPr>
                </w:p>
              </w:tc>
              <w:tc>
                <w:tcPr>
                  <w:tcW w:w="12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DC2D33">
                  <w:pPr>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乙醚</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BED7F7">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0.007</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7001C9">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100</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015ACD">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0.007</w:t>
                  </w:r>
                </w:p>
              </w:tc>
              <w:tc>
                <w:tcPr>
                  <w:tcW w:w="182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056210">
                  <w:pPr>
                    <w:widowControl/>
                    <w:jc w:val="center"/>
                    <w:textAlignment w:val="center"/>
                    <w:rPr>
                      <w:rFonts w:eastAsia="仿宋"/>
                      <w:color w:val="000000" w:themeColor="text1"/>
                      <w:szCs w:val="21"/>
                      <w14:textFill>
                        <w14:solidFill>
                          <w14:schemeClr w14:val="tx1"/>
                        </w14:solidFill>
                      </w14:textFill>
                    </w:rPr>
                  </w:pPr>
                  <w:r>
                    <w:rPr>
                      <w:rStyle w:val="107"/>
                      <w:rFonts w:hint="eastAsia" w:eastAsia="仿宋"/>
                      <w:color w:val="000000" w:themeColor="text1"/>
                      <w:sz w:val="21"/>
                      <w:szCs w:val="21"/>
                      <w:lang w:bidi="ar"/>
                      <w14:textFill>
                        <w14:solidFill>
                          <w14:schemeClr w14:val="tx1"/>
                        </w14:solidFill>
                      </w14:textFill>
                    </w:rPr>
                    <w:t>进入固废</w:t>
                  </w:r>
                </w:p>
              </w:tc>
              <w:tc>
                <w:tcPr>
                  <w:tcW w:w="9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8FAF65">
                  <w:pPr>
                    <w:widowControl/>
                    <w:jc w:val="center"/>
                    <w:textAlignment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0</w:t>
                  </w:r>
                  <w:r>
                    <w:rPr>
                      <w:rFonts w:eastAsia="仿宋"/>
                      <w:color w:val="000000" w:themeColor="text1"/>
                      <w:szCs w:val="21"/>
                      <w14:textFill>
                        <w14:solidFill>
                          <w14:schemeClr w14:val="tx1"/>
                        </w14:solidFill>
                      </w14:textFill>
                    </w:rPr>
                    <w:t>.3132</w:t>
                  </w:r>
                </w:p>
              </w:tc>
            </w:tr>
            <w:tr w14:paraId="02C54717">
              <w:tblPrEx>
                <w:tblCellMar>
                  <w:top w:w="0" w:type="dxa"/>
                  <w:left w:w="108" w:type="dxa"/>
                  <w:bottom w:w="0" w:type="dxa"/>
                  <w:right w:w="108" w:type="dxa"/>
                </w:tblCellMar>
              </w:tblPrEx>
              <w:trPr>
                <w:trHeight w:val="340" w:hRule="atLeast"/>
                <w:jc w:val="center"/>
              </w:trPr>
              <w:tc>
                <w:tcPr>
                  <w:tcW w:w="9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EE71A9">
                  <w:pPr>
                    <w:jc w:val="center"/>
                    <w:textAlignment w:val="center"/>
                    <w:rPr>
                      <w:rFonts w:eastAsia="仿宋"/>
                      <w:color w:val="000000" w:themeColor="text1"/>
                      <w:szCs w:val="21"/>
                      <w14:textFill>
                        <w14:solidFill>
                          <w14:schemeClr w14:val="tx1"/>
                        </w14:solidFill>
                      </w14:textFill>
                    </w:rPr>
                  </w:pPr>
                </w:p>
              </w:tc>
              <w:tc>
                <w:tcPr>
                  <w:tcW w:w="12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8B4180">
                  <w:pPr>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乙腈</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5CB4EE">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0.126</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95B162">
                  <w:pPr>
                    <w:widowControl/>
                    <w:jc w:val="center"/>
                    <w:textAlignment w:val="center"/>
                    <w:rPr>
                      <w:rFonts w:eastAsia="仿宋"/>
                      <w:color w:val="000000" w:themeColor="text1"/>
                      <w:szCs w:val="21"/>
                      <w14:textFill>
                        <w14:solidFill>
                          <w14:schemeClr w14:val="tx1"/>
                        </w14:solidFill>
                      </w14:textFill>
                    </w:rPr>
                  </w:pPr>
                  <w:r>
                    <w:rPr>
                      <w:rStyle w:val="107"/>
                      <w:rFonts w:eastAsia="仿宋"/>
                      <w:color w:val="000000" w:themeColor="text1"/>
                      <w:sz w:val="21"/>
                      <w:szCs w:val="21"/>
                      <w:lang w:bidi="ar"/>
                      <w14:textFill>
                        <w14:solidFill>
                          <w14:schemeClr w14:val="tx1"/>
                        </w14:solidFill>
                      </w14:textFill>
                    </w:rPr>
                    <w:t>100</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C2A271">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0.126</w:t>
                  </w:r>
                </w:p>
              </w:tc>
              <w:tc>
                <w:tcPr>
                  <w:tcW w:w="182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4DE9879">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w:t>
                  </w:r>
                </w:p>
              </w:tc>
              <w:tc>
                <w:tcPr>
                  <w:tcW w:w="97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A8C487A">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w:t>
                  </w:r>
                </w:p>
              </w:tc>
            </w:tr>
            <w:tr w14:paraId="4DB36EC6">
              <w:tblPrEx>
                <w:tblCellMar>
                  <w:top w:w="0" w:type="dxa"/>
                  <w:left w:w="108" w:type="dxa"/>
                  <w:bottom w:w="0" w:type="dxa"/>
                  <w:right w:w="108" w:type="dxa"/>
                </w:tblCellMar>
              </w:tblPrEx>
              <w:trPr>
                <w:trHeight w:val="340" w:hRule="atLeast"/>
                <w:jc w:val="center"/>
              </w:trPr>
              <w:tc>
                <w:tcPr>
                  <w:tcW w:w="9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44FDDE">
                  <w:pPr>
                    <w:widowControl/>
                    <w:jc w:val="center"/>
                    <w:textAlignment w:val="center"/>
                    <w:rPr>
                      <w:rFonts w:eastAsia="仿宋"/>
                      <w:color w:val="000000" w:themeColor="text1"/>
                      <w:szCs w:val="21"/>
                      <w14:textFill>
                        <w14:solidFill>
                          <w14:schemeClr w14:val="tx1"/>
                        </w14:solidFill>
                      </w14:textFill>
                    </w:rPr>
                  </w:pPr>
                </w:p>
              </w:tc>
              <w:tc>
                <w:tcPr>
                  <w:tcW w:w="12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CC168D">
                  <w:pPr>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乙醇</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89F518">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0.004</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8C5356">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100</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65FE3B">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0.004</w:t>
                  </w:r>
                </w:p>
              </w:tc>
              <w:tc>
                <w:tcPr>
                  <w:tcW w:w="182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ED6FE2B">
                  <w:pPr>
                    <w:jc w:val="center"/>
                    <w:rPr>
                      <w:rFonts w:eastAsia="仿宋"/>
                      <w:color w:val="000000" w:themeColor="text1"/>
                      <w:szCs w:val="21"/>
                      <w14:textFill>
                        <w14:solidFill>
                          <w14:schemeClr w14:val="tx1"/>
                        </w14:solidFill>
                      </w14:textFill>
                    </w:rPr>
                  </w:pPr>
                </w:p>
              </w:tc>
              <w:tc>
                <w:tcPr>
                  <w:tcW w:w="97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8E17E35">
                  <w:pPr>
                    <w:jc w:val="center"/>
                    <w:rPr>
                      <w:rFonts w:eastAsia="仿宋"/>
                      <w:color w:val="000000" w:themeColor="text1"/>
                      <w:szCs w:val="21"/>
                      <w14:textFill>
                        <w14:solidFill>
                          <w14:schemeClr w14:val="tx1"/>
                        </w14:solidFill>
                      </w14:textFill>
                    </w:rPr>
                  </w:pPr>
                </w:p>
              </w:tc>
            </w:tr>
            <w:tr w14:paraId="6089087F">
              <w:tblPrEx>
                <w:tblCellMar>
                  <w:top w:w="0" w:type="dxa"/>
                  <w:left w:w="108" w:type="dxa"/>
                  <w:bottom w:w="0" w:type="dxa"/>
                  <w:right w:w="108" w:type="dxa"/>
                </w:tblCellMar>
              </w:tblPrEx>
              <w:trPr>
                <w:trHeight w:val="340" w:hRule="atLeast"/>
                <w:jc w:val="center"/>
              </w:trPr>
              <w:tc>
                <w:tcPr>
                  <w:tcW w:w="9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AD929E">
                  <w:pPr>
                    <w:widowControl/>
                    <w:jc w:val="center"/>
                    <w:textAlignment w:val="center"/>
                    <w:rPr>
                      <w:rFonts w:eastAsia="仿宋"/>
                      <w:color w:val="000000" w:themeColor="text1"/>
                      <w:szCs w:val="21"/>
                      <w14:textFill>
                        <w14:solidFill>
                          <w14:schemeClr w14:val="tx1"/>
                        </w14:solidFill>
                      </w14:textFill>
                    </w:rPr>
                  </w:pPr>
                </w:p>
              </w:tc>
              <w:tc>
                <w:tcPr>
                  <w:tcW w:w="120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DEBECB">
                  <w:pPr>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甲醇</w:t>
                  </w:r>
                </w:p>
              </w:tc>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4A5446">
                  <w:pPr>
                    <w:widowControl/>
                    <w:jc w:val="center"/>
                    <w:textAlignment w:val="center"/>
                    <w:rPr>
                      <w:rFonts w:eastAsia="仿宋"/>
                      <w:color w:val="000000" w:themeColor="text1"/>
                      <w:kern w:val="0"/>
                      <w:szCs w:val="21"/>
                      <w:lang w:bidi="ar"/>
                      <w14:textFill>
                        <w14:solidFill>
                          <w14:schemeClr w14:val="tx1"/>
                        </w14:solidFill>
                      </w14:textFill>
                    </w:rPr>
                  </w:pPr>
                  <w:r>
                    <w:rPr>
                      <w:rFonts w:hint="eastAsia" w:eastAsia="仿宋"/>
                      <w:color w:val="000000" w:themeColor="text1"/>
                      <w:kern w:val="0"/>
                      <w:szCs w:val="21"/>
                      <w:lang w:bidi="ar"/>
                      <w14:textFill>
                        <w14:solidFill>
                          <w14:schemeClr w14:val="tx1"/>
                        </w14:solidFill>
                      </w14:textFill>
                    </w:rPr>
                    <w:t>0</w:t>
                  </w:r>
                  <w:r>
                    <w:rPr>
                      <w:rFonts w:eastAsia="仿宋"/>
                      <w:color w:val="000000" w:themeColor="text1"/>
                      <w:kern w:val="0"/>
                      <w:szCs w:val="21"/>
                      <w:lang w:bidi="ar"/>
                      <w14:textFill>
                        <w14:solidFill>
                          <w14:schemeClr w14:val="tx1"/>
                        </w14:solidFill>
                      </w14:textFill>
                    </w:rPr>
                    <w:t>.127</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8FFC29">
                  <w:pPr>
                    <w:widowControl/>
                    <w:jc w:val="center"/>
                    <w:textAlignment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100</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C99F1D">
                  <w:pPr>
                    <w:widowControl/>
                    <w:jc w:val="center"/>
                    <w:textAlignment w:val="center"/>
                    <w:rPr>
                      <w:rFonts w:eastAsia="仿宋"/>
                      <w:color w:val="000000" w:themeColor="text1"/>
                      <w:kern w:val="0"/>
                      <w:szCs w:val="21"/>
                      <w:lang w:bidi="ar"/>
                      <w14:textFill>
                        <w14:solidFill>
                          <w14:schemeClr w14:val="tx1"/>
                        </w14:solidFill>
                      </w14:textFill>
                    </w:rPr>
                  </w:pPr>
                  <w:r>
                    <w:rPr>
                      <w:rFonts w:hint="eastAsia" w:eastAsia="仿宋"/>
                      <w:color w:val="000000" w:themeColor="text1"/>
                      <w:kern w:val="0"/>
                      <w:szCs w:val="21"/>
                      <w:lang w:bidi="ar"/>
                      <w14:textFill>
                        <w14:solidFill>
                          <w14:schemeClr w14:val="tx1"/>
                        </w14:solidFill>
                      </w14:textFill>
                    </w:rPr>
                    <w:t>0</w:t>
                  </w:r>
                  <w:r>
                    <w:rPr>
                      <w:rFonts w:eastAsia="仿宋"/>
                      <w:color w:val="000000" w:themeColor="text1"/>
                      <w:kern w:val="0"/>
                      <w:szCs w:val="21"/>
                      <w:lang w:bidi="ar"/>
                      <w14:textFill>
                        <w14:solidFill>
                          <w14:schemeClr w14:val="tx1"/>
                        </w14:solidFill>
                      </w14:textFill>
                    </w:rPr>
                    <w:t>.127</w:t>
                  </w:r>
                </w:p>
              </w:tc>
              <w:tc>
                <w:tcPr>
                  <w:tcW w:w="182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9E9FCCA">
                  <w:pPr>
                    <w:jc w:val="center"/>
                    <w:rPr>
                      <w:rFonts w:eastAsia="仿宋"/>
                      <w:color w:val="000000" w:themeColor="text1"/>
                      <w:szCs w:val="21"/>
                      <w14:textFill>
                        <w14:solidFill>
                          <w14:schemeClr w14:val="tx1"/>
                        </w14:solidFill>
                      </w14:textFill>
                    </w:rPr>
                  </w:pPr>
                </w:p>
              </w:tc>
              <w:tc>
                <w:tcPr>
                  <w:tcW w:w="97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093C8BF">
                  <w:pPr>
                    <w:jc w:val="center"/>
                    <w:rPr>
                      <w:rFonts w:eastAsia="仿宋"/>
                      <w:color w:val="000000" w:themeColor="text1"/>
                      <w:szCs w:val="21"/>
                      <w14:textFill>
                        <w14:solidFill>
                          <w14:schemeClr w14:val="tx1"/>
                        </w14:solidFill>
                      </w14:textFill>
                    </w:rPr>
                  </w:pPr>
                </w:p>
              </w:tc>
            </w:tr>
            <w:tr w14:paraId="6C501092">
              <w:tblPrEx>
                <w:tblCellMar>
                  <w:top w:w="0" w:type="dxa"/>
                  <w:left w:w="108" w:type="dxa"/>
                  <w:bottom w:w="0" w:type="dxa"/>
                  <w:right w:w="108" w:type="dxa"/>
                </w:tblCellMar>
              </w:tblPrEx>
              <w:trPr>
                <w:trHeight w:val="340" w:hRule="atLeast"/>
                <w:jc w:val="center"/>
              </w:trPr>
              <w:tc>
                <w:tcPr>
                  <w:tcW w:w="459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0417EA6C">
                  <w:pPr>
                    <w:widowControl/>
                    <w:jc w:val="center"/>
                    <w:textAlignment w:val="center"/>
                    <w:rPr>
                      <w:rFonts w:eastAsia="仿宋"/>
                      <w:b/>
                      <w:bCs/>
                      <w:color w:val="000000" w:themeColor="text1"/>
                      <w:szCs w:val="21"/>
                      <w14:textFill>
                        <w14:solidFill>
                          <w14:schemeClr w14:val="tx1"/>
                        </w14:solidFill>
                      </w14:textFill>
                    </w:rPr>
                  </w:pPr>
                  <w:r>
                    <w:rPr>
                      <w:rFonts w:eastAsia="仿宋"/>
                      <w:b/>
                      <w:bCs/>
                      <w:color w:val="000000" w:themeColor="text1"/>
                      <w:kern w:val="0"/>
                      <w:szCs w:val="21"/>
                      <w:lang w:bidi="ar"/>
                      <w14:textFill>
                        <w14:solidFill>
                          <w14:schemeClr w14:val="tx1"/>
                        </w14:solidFill>
                      </w14:textFill>
                    </w:rPr>
                    <w:t>合计</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88F57F">
                  <w:pPr>
                    <w:widowControl/>
                    <w:jc w:val="center"/>
                    <w:textAlignment w:val="center"/>
                    <w:rPr>
                      <w:rFonts w:eastAsia="仿宋"/>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0.329</w:t>
                  </w:r>
                </w:p>
              </w:tc>
              <w:tc>
                <w:tcPr>
                  <w:tcW w:w="182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3ECED2">
                  <w:pPr>
                    <w:widowControl/>
                    <w:jc w:val="center"/>
                    <w:textAlignment w:val="center"/>
                    <w:rPr>
                      <w:rFonts w:eastAsia="仿宋"/>
                      <w:b/>
                      <w:bCs/>
                      <w:color w:val="000000" w:themeColor="text1"/>
                      <w:szCs w:val="21"/>
                      <w14:textFill>
                        <w14:solidFill>
                          <w14:schemeClr w14:val="tx1"/>
                        </w14:solidFill>
                      </w14:textFill>
                    </w:rPr>
                  </w:pPr>
                  <w:r>
                    <w:rPr>
                      <w:rFonts w:eastAsia="仿宋"/>
                      <w:b/>
                      <w:bCs/>
                      <w:color w:val="000000" w:themeColor="text1"/>
                      <w:kern w:val="0"/>
                      <w:szCs w:val="21"/>
                      <w:lang w:bidi="ar"/>
                      <w14:textFill>
                        <w14:solidFill>
                          <w14:schemeClr w14:val="tx1"/>
                        </w14:solidFill>
                      </w14:textFill>
                    </w:rPr>
                    <w:t>合计</w:t>
                  </w:r>
                </w:p>
              </w:tc>
              <w:tc>
                <w:tcPr>
                  <w:tcW w:w="9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912548">
                  <w:pPr>
                    <w:widowControl/>
                    <w:jc w:val="center"/>
                    <w:textAlignment w:val="center"/>
                    <w:rPr>
                      <w:rFonts w:eastAsia="仿宋"/>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0.329</w:t>
                  </w:r>
                </w:p>
              </w:tc>
            </w:tr>
          </w:tbl>
          <w:p w14:paraId="5698B3F0">
            <w:pPr>
              <w:jc w:val="center"/>
              <w:rPr>
                <w:rFonts w:eastAsia="仿宋"/>
                <w:b/>
                <w:bCs/>
                <w:color w:val="000000" w:themeColor="text1"/>
                <w14:textFill>
                  <w14:solidFill>
                    <w14:schemeClr w14:val="tx1"/>
                  </w14:solidFill>
                </w14:textFill>
              </w:rPr>
            </w:pPr>
          </w:p>
          <w:p w14:paraId="3B3BE49D">
            <w:pPr>
              <w:jc w:val="center"/>
              <w:rPr>
                <w:rFonts w:eastAsia="仿宋"/>
                <w:b/>
                <w:bCs/>
                <w:color w:val="000000" w:themeColor="text1"/>
                <w14:textFill>
                  <w14:solidFill>
                    <w14:schemeClr w14:val="tx1"/>
                  </w14:solidFill>
                </w14:textFill>
              </w:rPr>
            </w:pPr>
          </w:p>
          <w:p w14:paraId="03BE407E">
            <w:pPr>
              <w:jc w:val="center"/>
              <w:rPr>
                <w:rFonts w:eastAsia="仿宋"/>
                <w:b/>
                <w:bCs/>
                <w:color w:val="000000" w:themeColor="text1"/>
                <w14:textFill>
                  <w14:solidFill>
                    <w14:schemeClr w14:val="tx1"/>
                  </w14:solidFill>
                </w14:textFill>
              </w:rPr>
            </w:pPr>
          </w:p>
          <w:p w14:paraId="4545FFC4">
            <w:pPr>
              <w:rPr>
                <w:rFonts w:eastAsia="仿宋"/>
                <w:b/>
                <w:bCs/>
                <w:color w:val="000000" w:themeColor="text1"/>
                <w14:textFill>
                  <w14:solidFill>
                    <w14:schemeClr w14:val="tx1"/>
                  </w14:solidFill>
                </w14:textFill>
              </w:rPr>
            </w:pPr>
          </w:p>
        </w:tc>
      </w:tr>
    </w:tbl>
    <w:p w14:paraId="124C8A11">
      <w:pPr>
        <w:rPr>
          <w:color w:val="000000" w:themeColor="text1"/>
          <w14:textFill>
            <w14:solidFill>
              <w14:schemeClr w14:val="tx1"/>
            </w14:solidFill>
          </w14:textFill>
        </w:rPr>
        <w:sectPr>
          <w:pgSz w:w="11906" w:h="16838"/>
          <w:pgMar w:top="1701" w:right="1531" w:bottom="1701" w:left="1531" w:header="851" w:footer="851" w:gutter="0"/>
          <w:cols w:space="720" w:num="1"/>
          <w:docGrid w:linePitch="312" w:charSpace="0"/>
        </w:sectPr>
      </w:pPr>
    </w:p>
    <w:tbl>
      <w:tblPr>
        <w:tblStyle w:val="25"/>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9072"/>
      </w:tblGrid>
      <w:tr w14:paraId="4F2B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1D5956DD">
            <w:pPr>
              <w:pStyle w:val="21"/>
              <w:rPr>
                <w:bCs/>
                <w:color w:val="000000" w:themeColor="text1"/>
                <w:kern w:val="2"/>
                <w14:textFill>
                  <w14:solidFill>
                    <w14:schemeClr w14:val="tx1"/>
                  </w14:solidFill>
                </w14:textFill>
              </w:rPr>
            </w:pPr>
            <w:r>
              <w:rPr>
                <w:color w:val="000000" w:themeColor="text1"/>
                <w14:textFill>
                  <w14:solidFill>
                    <w14:schemeClr w14:val="tx1"/>
                  </w14:solidFill>
                </w14:textFill>
              </w:rPr>
              <w:t>工艺流程和产排污环节</w:t>
            </w:r>
          </w:p>
        </w:tc>
        <w:tc>
          <w:tcPr>
            <w:tcW w:w="9072" w:type="dxa"/>
          </w:tcPr>
          <w:p w14:paraId="076627F7">
            <w:pPr>
              <w:adjustRightInd w:val="0"/>
              <w:snapToGrid w:val="0"/>
              <w:spacing w:line="48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工艺流程简述及产污环节分析（图示）：</w:t>
            </w:r>
          </w:p>
          <w:p w14:paraId="7517F3BD">
            <w:pPr>
              <w:adjustRightInd w:val="0"/>
              <w:snapToGrid w:val="0"/>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一、</w:t>
            </w:r>
            <w:bookmarkStart w:id="24" w:name="OLE_LINK31"/>
            <w:r>
              <w:rPr>
                <w:rFonts w:hint="eastAsia" w:eastAsia="仿宋"/>
                <w:bCs/>
                <w:color w:val="000000" w:themeColor="text1"/>
                <w:sz w:val="24"/>
                <w14:textFill>
                  <w14:solidFill>
                    <w14:schemeClr w14:val="tx1"/>
                  </w14:solidFill>
                </w14:textFill>
              </w:rPr>
              <w:t>原料/包材</w:t>
            </w:r>
            <w:bookmarkEnd w:id="24"/>
            <w:r>
              <w:rPr>
                <w:rFonts w:hint="eastAsia" w:eastAsia="仿宋"/>
                <w:bCs/>
                <w:color w:val="000000" w:themeColor="text1"/>
                <w:sz w:val="24"/>
                <w14:textFill>
                  <w14:solidFill>
                    <w14:schemeClr w14:val="tx1"/>
                  </w14:solidFill>
                </w14:textFill>
              </w:rPr>
              <w:t>入厂检测试验流程</w:t>
            </w:r>
          </w:p>
          <w:p w14:paraId="4F56DFF6">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涉及企业保密内容，此处从略。</w:t>
            </w:r>
          </w:p>
          <w:p w14:paraId="35C6B562">
            <w:pPr>
              <w:spacing w:line="480" w:lineRule="exact"/>
              <w:ind w:firstLine="480" w:firstLineChars="200"/>
              <w:rPr>
                <w:rFonts w:eastAsia="仿宋"/>
                <w:bCs/>
                <w:color w:val="000000" w:themeColor="text1"/>
                <w:sz w:val="24"/>
                <w14:textFill>
                  <w14:solidFill>
                    <w14:schemeClr w14:val="tx1"/>
                  </w14:solidFill>
                </w14:textFill>
              </w:rPr>
            </w:pPr>
          </w:p>
          <w:p w14:paraId="0239414E">
            <w:pPr>
              <w:spacing w:line="480" w:lineRule="exact"/>
              <w:ind w:firstLine="480" w:firstLineChars="200"/>
              <w:rPr>
                <w:rFonts w:eastAsia="仿宋"/>
                <w:bCs/>
                <w:color w:val="000000" w:themeColor="text1"/>
                <w:sz w:val="24"/>
                <w14:textFill>
                  <w14:solidFill>
                    <w14:schemeClr w14:val="tx1"/>
                  </w14:solidFill>
                </w14:textFill>
              </w:rPr>
            </w:pPr>
          </w:p>
          <w:p w14:paraId="138E6A0B">
            <w:pPr>
              <w:spacing w:line="480" w:lineRule="exact"/>
              <w:ind w:firstLine="480" w:firstLineChars="200"/>
              <w:rPr>
                <w:rFonts w:eastAsia="仿宋"/>
                <w:bCs/>
                <w:color w:val="000000" w:themeColor="text1"/>
                <w:sz w:val="24"/>
                <w14:textFill>
                  <w14:solidFill>
                    <w14:schemeClr w14:val="tx1"/>
                  </w14:solidFill>
                </w14:textFill>
              </w:rPr>
            </w:pPr>
          </w:p>
          <w:p w14:paraId="26E633E3">
            <w:pPr>
              <w:spacing w:line="480" w:lineRule="exact"/>
              <w:ind w:firstLine="480" w:firstLineChars="200"/>
              <w:rPr>
                <w:rFonts w:eastAsia="仿宋"/>
                <w:color w:val="000000" w:themeColor="text1"/>
                <w:sz w:val="24"/>
                <w14:textFill>
                  <w14:solidFill>
                    <w14:schemeClr w14:val="tx1"/>
                  </w14:solidFill>
                </w14:textFill>
              </w:rPr>
            </w:pPr>
          </w:p>
          <w:p w14:paraId="36191965">
            <w:pPr>
              <w:adjustRightInd w:val="0"/>
              <w:snapToGrid w:val="0"/>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二、燃气锅炉及蒸汽发生器工艺流程见下图。</w:t>
            </w:r>
          </w:p>
          <w:p w14:paraId="4231D4F6">
            <w:pPr>
              <w:adjustRightInd w:val="0"/>
              <w:snapToGrid w:val="0"/>
              <w:jc w:val="center"/>
              <w:rPr>
                <w:rFonts w:eastAsia="仿宋"/>
                <w:bCs/>
                <w:color w:val="000000" w:themeColor="text1"/>
                <w:sz w:val="24"/>
                <w14:textFill>
                  <w14:solidFill>
                    <w14:schemeClr w14:val="tx1"/>
                  </w14:solidFill>
                </w14:textFill>
              </w:rPr>
            </w:pPr>
            <w:r>
              <w:rPr>
                <w:color w:val="000000" w:themeColor="text1"/>
                <w14:textFill>
                  <w14:solidFill>
                    <w14:schemeClr w14:val="tx1"/>
                  </w14:solidFill>
                </w14:textFill>
              </w:rPr>
              <w:object>
                <v:shape id="_x0000_i1026" o:spt="75" type="#_x0000_t75" style="height:167.05pt;width:369.8pt;" o:ole="t" filled="f" o:preferrelative="t" stroked="f" coordsize="21600,21600">
                  <v:path/>
                  <v:fill on="f" focussize="0,0"/>
                  <v:stroke on="f" joinstyle="miter"/>
                  <v:imagedata r:id="rId16" o:title=""/>
                  <o:lock v:ext="edit" aspectratio="t"/>
                  <w10:wrap type="none"/>
                  <w10:anchorlock/>
                </v:shape>
                <o:OLEObject Type="Embed" ProgID="Visio.Drawing.15" ShapeID="_x0000_i1026" DrawAspect="Content" ObjectID="_1468075726" r:id="rId15">
                  <o:LockedField>false</o:LockedField>
                </o:OLEObject>
              </w:object>
            </w:r>
          </w:p>
          <w:p w14:paraId="3B9E8157">
            <w:pPr>
              <w:spacing w:line="480" w:lineRule="exact"/>
              <w:jc w:val="center"/>
              <w:rPr>
                <w:rFonts w:ascii="仿宋" w:hAnsi="仿宋" w:eastAsia="仿宋"/>
                <w:color w:val="000000" w:themeColor="text1"/>
                <w:sz w:val="24"/>
                <w14:textFill>
                  <w14:solidFill>
                    <w14:schemeClr w14:val="tx1"/>
                  </w14:solidFill>
                </w14:textFill>
              </w:rPr>
            </w:pPr>
            <w:r>
              <w:rPr>
                <w:rFonts w:hint="eastAsia" w:eastAsia="仿宋"/>
                <w:b/>
                <w:bCs/>
                <w:color w:val="000000" w:themeColor="text1"/>
                <w14:textFill>
                  <w14:solidFill>
                    <w14:schemeClr w14:val="tx1"/>
                  </w14:solidFill>
                </w14:textFill>
              </w:rPr>
              <w:t>图2</w:t>
            </w:r>
            <w:r>
              <w:rPr>
                <w:rFonts w:eastAsia="仿宋"/>
                <w:b/>
                <w:bCs/>
                <w:color w:val="000000" w:themeColor="text1"/>
                <w14:textFill>
                  <w14:solidFill>
                    <w14:schemeClr w14:val="tx1"/>
                  </w14:solidFill>
                </w14:textFill>
              </w:rPr>
              <w:t xml:space="preserve">-3 </w:t>
            </w:r>
            <w:r>
              <w:rPr>
                <w:rFonts w:hint="eastAsia" w:eastAsia="仿宋"/>
                <w:b/>
                <w:bCs/>
                <w:color w:val="000000" w:themeColor="text1"/>
                <w14:textFill>
                  <w14:solidFill>
                    <w14:schemeClr w14:val="tx1"/>
                  </w14:solidFill>
                </w14:textFill>
              </w:rPr>
              <w:t>燃气锅炉及蒸汽发生器工艺流程图</w:t>
            </w:r>
          </w:p>
          <w:p w14:paraId="27BC1382">
            <w:pPr>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工艺流程简述：</w:t>
            </w:r>
          </w:p>
          <w:p w14:paraId="1574120A">
            <w:pPr>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新鲜自来水经纯水制备装置经多介质过滤器+RO反渗透+紫外杀菌工艺处理后，进入燃气锅炉及蒸汽发生器，由天然气燃烧供热后形成蒸汽。</w:t>
            </w:r>
          </w:p>
          <w:p w14:paraId="59A61A2E">
            <w:pPr>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进入燃气锅炉内的纯水由天然气燃烧供热后形成蒸汽，用以维持生产车间（辐射区域）内温度，燃气锅炉内纯水循环使用，本项目锅炉运行纯水耗损约0</w:t>
            </w:r>
            <w:r>
              <w:rPr>
                <w:rFonts w:eastAsia="仿宋"/>
                <w:color w:val="000000" w:themeColor="text1"/>
                <w:sz w:val="24"/>
                <w14:textFill>
                  <w14:solidFill>
                    <w14:schemeClr w14:val="tx1"/>
                  </w14:solidFill>
                </w14:textFill>
              </w:rPr>
              <w:t>.005m</w:t>
            </w:r>
            <w:r>
              <w:rPr>
                <w:rFonts w:eastAsia="仿宋"/>
                <w:color w:val="000000" w:themeColor="text1"/>
                <w:sz w:val="24"/>
                <w:vertAlign w:val="superscript"/>
                <w14:textFill>
                  <w14:solidFill>
                    <w14:schemeClr w14:val="tx1"/>
                  </w14:solidFill>
                </w14:textFill>
              </w:rPr>
              <w:t>3</w:t>
            </w:r>
            <w:r>
              <w:rPr>
                <w:rFonts w:eastAsia="仿宋"/>
                <w:color w:val="000000" w:themeColor="text1"/>
                <w:sz w:val="24"/>
                <w14:textFill>
                  <w14:solidFill>
                    <w14:schemeClr w14:val="tx1"/>
                  </w14:solidFill>
                </w14:textFill>
              </w:rPr>
              <w:t>/d</w:t>
            </w:r>
            <w:r>
              <w:rPr>
                <w:rFonts w:hint="eastAsia" w:eastAsia="仿宋"/>
                <w:color w:val="000000" w:themeColor="text1"/>
                <w:sz w:val="24"/>
                <w14:textFill>
                  <w14:solidFill>
                    <w14:schemeClr w14:val="tx1"/>
                  </w14:solidFill>
                </w14:textFill>
              </w:rPr>
              <w:t>，根据企业提供资料，本项目燃气锅炉纯水补加量为0</w:t>
            </w:r>
            <w:r>
              <w:rPr>
                <w:rFonts w:eastAsia="仿宋"/>
                <w:color w:val="000000" w:themeColor="text1"/>
                <w:sz w:val="24"/>
                <w14:textFill>
                  <w14:solidFill>
                    <w14:schemeClr w14:val="tx1"/>
                  </w14:solidFill>
                </w14:textFill>
              </w:rPr>
              <w:t>.8m</w:t>
            </w:r>
            <w:r>
              <w:rPr>
                <w:rFonts w:eastAsia="仿宋"/>
                <w:color w:val="000000" w:themeColor="text1"/>
                <w:sz w:val="24"/>
                <w:vertAlign w:val="superscript"/>
                <w14:textFill>
                  <w14:solidFill>
                    <w14:schemeClr w14:val="tx1"/>
                  </w14:solidFill>
                </w14:textFill>
              </w:rPr>
              <w:t>3</w:t>
            </w:r>
            <w:r>
              <w:rPr>
                <w:rFonts w:eastAsia="仿宋"/>
                <w:color w:val="000000" w:themeColor="text1"/>
                <w:sz w:val="24"/>
                <w14:textFill>
                  <w14:solidFill>
                    <w14:schemeClr w14:val="tx1"/>
                  </w14:solidFill>
                </w14:textFill>
              </w:rPr>
              <w:t>/a</w:t>
            </w:r>
            <w:r>
              <w:rPr>
                <w:rFonts w:hint="eastAsia" w:eastAsia="仿宋"/>
                <w:color w:val="000000" w:themeColor="text1"/>
                <w:sz w:val="24"/>
                <w14:textFill>
                  <w14:solidFill>
                    <w14:schemeClr w14:val="tx1"/>
                  </w14:solidFill>
                </w14:textFill>
              </w:rPr>
              <w:t>，燃气锅炉日常运行过程中会产生燃烧烟气和水汽。</w:t>
            </w:r>
          </w:p>
          <w:p w14:paraId="25D09D35">
            <w:pPr>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进入蒸汽发生器内的纯水由天然气燃烧供热后形成蒸汽缓慢进入生产车间（辐射区域）内部，用以维持生产车间内湿度，本项目蒸汽发生器蒸汽额定发热量为1</w:t>
            </w:r>
            <w:r>
              <w:rPr>
                <w:rFonts w:eastAsia="仿宋"/>
                <w:color w:val="000000" w:themeColor="text1"/>
                <w:sz w:val="24"/>
                <w14:textFill>
                  <w14:solidFill>
                    <w14:schemeClr w14:val="tx1"/>
                  </w14:solidFill>
                </w14:textFill>
              </w:rPr>
              <w:t>t/h</w:t>
            </w:r>
            <w:r>
              <w:rPr>
                <w:rFonts w:hint="eastAsia" w:eastAsia="仿宋"/>
                <w:color w:val="000000" w:themeColor="text1"/>
                <w:sz w:val="24"/>
                <w14:textFill>
                  <w14:solidFill>
                    <w14:schemeClr w14:val="tx1"/>
                  </w14:solidFill>
                </w14:textFill>
              </w:rPr>
              <w:t>，年运行时间3</w:t>
            </w:r>
            <w:r>
              <w:rPr>
                <w:rFonts w:eastAsia="仿宋"/>
                <w:color w:val="000000" w:themeColor="text1"/>
                <w:sz w:val="24"/>
                <w14:textFill>
                  <w14:solidFill>
                    <w14:schemeClr w14:val="tx1"/>
                  </w14:solidFill>
                </w14:textFill>
              </w:rPr>
              <w:t>600h</w:t>
            </w:r>
            <w:r>
              <w:rPr>
                <w:rFonts w:hint="eastAsia" w:eastAsia="仿宋"/>
                <w:color w:val="000000" w:themeColor="text1"/>
                <w:sz w:val="24"/>
                <w14:textFill>
                  <w14:solidFill>
                    <w14:schemeClr w14:val="tx1"/>
                  </w14:solidFill>
                </w14:textFill>
              </w:rPr>
              <w:t>，进入车间的蒸汽均以水汽方式损耗，因此蒸汽发生器补水量为3</w:t>
            </w:r>
            <w:r>
              <w:rPr>
                <w:rFonts w:eastAsia="仿宋"/>
                <w:color w:val="000000" w:themeColor="text1"/>
                <w:sz w:val="24"/>
                <w14:textFill>
                  <w14:solidFill>
                    <w14:schemeClr w14:val="tx1"/>
                  </w14:solidFill>
                </w14:textFill>
              </w:rPr>
              <w:t>600m</w:t>
            </w:r>
            <w:r>
              <w:rPr>
                <w:rFonts w:eastAsia="仿宋"/>
                <w:color w:val="000000" w:themeColor="text1"/>
                <w:sz w:val="24"/>
                <w:vertAlign w:val="superscript"/>
                <w14:textFill>
                  <w14:solidFill>
                    <w14:schemeClr w14:val="tx1"/>
                  </w14:solidFill>
                </w14:textFill>
              </w:rPr>
              <w:t>3</w:t>
            </w:r>
            <w:r>
              <w:rPr>
                <w:rFonts w:eastAsia="仿宋"/>
                <w:color w:val="000000" w:themeColor="text1"/>
                <w:sz w:val="24"/>
                <w14:textFill>
                  <w14:solidFill>
                    <w14:schemeClr w14:val="tx1"/>
                  </w14:solidFill>
                </w14:textFill>
              </w:rPr>
              <w:t>/a</w:t>
            </w:r>
            <w:r>
              <w:rPr>
                <w:rFonts w:hint="eastAsia" w:eastAsia="仿宋"/>
                <w:color w:val="000000" w:themeColor="text1"/>
                <w:sz w:val="24"/>
                <w14:textFill>
                  <w14:solidFill>
                    <w14:schemeClr w14:val="tx1"/>
                  </w14:solidFill>
                </w14:textFill>
              </w:rPr>
              <w:t>，蒸汽发生器日常运行过程中会产生燃烧烟气和水汽。</w:t>
            </w:r>
          </w:p>
        </w:tc>
      </w:tr>
      <w:tr w14:paraId="6CA39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5AF6A21F">
            <w:pPr>
              <w:pStyle w:val="21"/>
              <w:rPr>
                <w:color w:val="000000" w:themeColor="text1"/>
                <w14:textFill>
                  <w14:solidFill>
                    <w14:schemeClr w14:val="tx1"/>
                  </w14:solidFill>
                </w14:textFill>
              </w:rPr>
            </w:pPr>
            <w:r>
              <w:rPr>
                <w:color w:val="000000" w:themeColor="text1"/>
                <w14:textFill>
                  <w14:solidFill>
                    <w14:schemeClr w14:val="tx1"/>
                  </w14:solidFill>
                </w14:textFill>
              </w:rPr>
              <w:t>与项目有关的原有环境污染问题</w:t>
            </w:r>
          </w:p>
        </w:tc>
        <w:tc>
          <w:tcPr>
            <w:tcW w:w="9072" w:type="dxa"/>
          </w:tcPr>
          <w:p w14:paraId="42B65774">
            <w:pPr>
              <w:spacing w:line="48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w:t>
            </w:r>
            <w:r>
              <w:rPr>
                <w:rFonts w:hint="eastAsia" w:eastAsia="仿宋"/>
                <w:b/>
                <w:bCs/>
                <w:color w:val="000000" w:themeColor="text1"/>
                <w:sz w:val="24"/>
                <w14:textFill>
                  <w14:solidFill>
                    <w14:schemeClr w14:val="tx1"/>
                  </w14:solidFill>
                </w14:textFill>
              </w:rPr>
              <w:t>一</w:t>
            </w:r>
            <w:r>
              <w:rPr>
                <w:rFonts w:eastAsia="仿宋"/>
                <w:b/>
                <w:bCs/>
                <w:color w:val="000000" w:themeColor="text1"/>
                <w:sz w:val="24"/>
                <w14:textFill>
                  <w14:solidFill>
                    <w14:schemeClr w14:val="tx1"/>
                  </w14:solidFill>
                </w14:textFill>
              </w:rPr>
              <w:t>）公司原有项目环保手续履行情况</w:t>
            </w:r>
          </w:p>
          <w:p w14:paraId="6845CEF6">
            <w:pPr>
              <w:adjustRightInd w:val="0"/>
              <w:snapToGrid w:val="0"/>
              <w:spacing w:line="480" w:lineRule="exact"/>
              <w:ind w:firstLine="480" w:firstLineChars="200"/>
              <w:rPr>
                <w:rFonts w:eastAsia="仿宋"/>
                <w:color w:val="000000" w:themeColor="text1"/>
                <w:kern w:val="0"/>
                <w:sz w:val="24"/>
                <w14:textFill>
                  <w14:solidFill>
                    <w14:schemeClr w14:val="tx1"/>
                  </w14:solidFill>
                </w14:textFill>
              </w:rPr>
            </w:pPr>
            <w:r>
              <w:rPr>
                <w:rFonts w:hint="eastAsia" w:eastAsia="仿宋"/>
                <w:color w:val="000000" w:themeColor="text1"/>
                <w:kern w:val="0"/>
                <w:sz w:val="24"/>
                <w14:textFill>
                  <w14:solidFill>
                    <w14:schemeClr w14:val="tx1"/>
                  </w14:solidFill>
                </w14:textFill>
              </w:rPr>
              <w:t>1、原有项目环保手续履行情况</w:t>
            </w:r>
          </w:p>
          <w:p w14:paraId="59219AB1">
            <w:pPr>
              <w:autoSpaceDE w:val="0"/>
              <w:autoSpaceDN w:val="0"/>
              <w:adjustRightInd w:val="0"/>
              <w:spacing w:line="480" w:lineRule="exact"/>
              <w:ind w:firstLine="480" w:firstLineChars="200"/>
              <w:rPr>
                <w:rFonts w:eastAsia="仿宋"/>
                <w:color w:val="000000" w:themeColor="text1"/>
                <w:kern w:val="0"/>
                <w:sz w:val="24"/>
                <w14:textFill>
                  <w14:solidFill>
                    <w14:schemeClr w14:val="tx1"/>
                  </w14:solidFill>
                </w14:textFill>
              </w:rPr>
            </w:pPr>
            <w:r>
              <w:rPr>
                <w:rFonts w:hint="eastAsia" w:eastAsia="仿宋"/>
                <w:color w:val="000000" w:themeColor="text1"/>
                <w:kern w:val="0"/>
                <w:sz w:val="24"/>
                <w14:textFill>
                  <w14:solidFill>
                    <w14:schemeClr w14:val="tx1"/>
                  </w14:solidFill>
                </w14:textFill>
              </w:rPr>
              <w:t>齐康原医疗科技（常州）有限公司是埃齐公司在中国的全资子公司，</w:t>
            </w:r>
            <w:r>
              <w:rPr>
                <w:rFonts w:eastAsia="仿宋"/>
                <w:color w:val="000000" w:themeColor="text1"/>
                <w:kern w:val="0"/>
                <w:sz w:val="24"/>
                <w14:textFill>
                  <w14:solidFill>
                    <w14:schemeClr w14:val="tx1"/>
                  </w14:solidFill>
                </w14:textFill>
              </w:rPr>
              <w:t>位于江苏省常州市</w:t>
            </w:r>
            <w:r>
              <w:rPr>
                <w:rFonts w:hint="eastAsia" w:eastAsia="仿宋"/>
                <w:color w:val="000000" w:themeColor="text1"/>
                <w:kern w:val="0"/>
                <w:sz w:val="24"/>
                <w14:textFill>
                  <w14:solidFill>
                    <w14:schemeClr w14:val="tx1"/>
                  </w14:solidFill>
                </w14:textFill>
              </w:rPr>
              <w:t>江苏金坛经济开发区，成立于2021年4月，公司主要从事放射性同位素的生产。</w:t>
            </w:r>
          </w:p>
          <w:p w14:paraId="793864A5">
            <w:pPr>
              <w:adjustRightInd w:val="0"/>
              <w:snapToGrid w:val="0"/>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color w:val="000000" w:themeColor="text1"/>
                <w:kern w:val="0"/>
                <w:sz w:val="24"/>
                <w14:textFill>
                  <w14:solidFill>
                    <w14:schemeClr w14:val="tx1"/>
                  </w14:solidFill>
                </w14:textFill>
              </w:rPr>
              <w:t>齐康原医疗科技（常州）有限公司在金坛的生产厂区规划分两期建设。一期生产放射性同位素</w:t>
            </w:r>
            <w:r>
              <w:rPr>
                <w:rFonts w:eastAsia="仿宋"/>
                <w:color w:val="000000" w:themeColor="text1"/>
                <w:kern w:val="0"/>
                <w:sz w:val="24"/>
                <w:vertAlign w:val="superscript"/>
                <w14:textFill>
                  <w14:solidFill>
                    <w14:schemeClr w14:val="tx1"/>
                  </w14:solidFill>
                </w14:textFill>
              </w:rPr>
              <w:t>68</w:t>
            </w:r>
            <w:r>
              <w:rPr>
                <w:rFonts w:hint="eastAsia" w:eastAsia="仿宋"/>
                <w:color w:val="000000" w:themeColor="text1"/>
                <w:kern w:val="0"/>
                <w:sz w:val="24"/>
                <w14:textFill>
                  <w14:solidFill>
                    <w14:schemeClr w14:val="tx1"/>
                  </w14:solidFill>
                </w14:textFill>
              </w:rPr>
              <w:t>Ge，齐康原医疗科技（常州）有限公司于2</w:t>
            </w:r>
            <w:r>
              <w:rPr>
                <w:rFonts w:eastAsia="仿宋"/>
                <w:color w:val="000000" w:themeColor="text1"/>
                <w:kern w:val="0"/>
                <w:sz w:val="24"/>
                <w14:textFill>
                  <w14:solidFill>
                    <w14:schemeClr w14:val="tx1"/>
                  </w14:solidFill>
                </w14:textFill>
              </w:rPr>
              <w:t>023</w:t>
            </w:r>
            <w:r>
              <w:rPr>
                <w:rFonts w:hint="eastAsia" w:eastAsia="仿宋"/>
                <w:color w:val="000000" w:themeColor="text1"/>
                <w:kern w:val="0"/>
                <w:sz w:val="24"/>
                <w14:textFill>
                  <w14:solidFill>
                    <w14:schemeClr w14:val="tx1"/>
                  </w14:solidFill>
                </w14:textFill>
              </w:rPr>
              <w:t>年申报了《齐康原医疗科技（常州）有限公司新建放射性同位素生产项目》，该项目已获得江苏省生态环境厅的批复（苏环审〔2</w:t>
            </w:r>
            <w:r>
              <w:rPr>
                <w:rFonts w:eastAsia="仿宋"/>
                <w:color w:val="000000" w:themeColor="text1"/>
                <w:kern w:val="0"/>
                <w:sz w:val="24"/>
                <w14:textFill>
                  <w14:solidFill>
                    <w14:schemeClr w14:val="tx1"/>
                  </w14:solidFill>
                </w14:textFill>
              </w:rPr>
              <w:t>023</w:t>
            </w:r>
            <w:r>
              <w:rPr>
                <w:rFonts w:hint="eastAsia" w:eastAsia="仿宋"/>
                <w:color w:val="000000" w:themeColor="text1"/>
                <w:kern w:val="0"/>
                <w:sz w:val="24"/>
                <w14:textFill>
                  <w14:solidFill>
                    <w14:schemeClr w14:val="tx1"/>
                  </w14:solidFill>
                </w14:textFill>
              </w:rPr>
              <w:t>〕1</w:t>
            </w:r>
            <w:r>
              <w:rPr>
                <w:rFonts w:eastAsia="仿宋"/>
                <w:color w:val="000000" w:themeColor="text1"/>
                <w:kern w:val="0"/>
                <w:sz w:val="24"/>
                <w14:textFill>
                  <w14:solidFill>
                    <w14:schemeClr w14:val="tx1"/>
                  </w14:solidFill>
                </w14:textFill>
              </w:rPr>
              <w:t>7</w:t>
            </w:r>
            <w:r>
              <w:rPr>
                <w:rFonts w:hint="eastAsia" w:eastAsia="仿宋"/>
                <w:color w:val="000000" w:themeColor="text1"/>
                <w:kern w:val="0"/>
                <w:sz w:val="24"/>
                <w14:textFill>
                  <w14:solidFill>
                    <w14:schemeClr w14:val="tx1"/>
                  </w14:solidFill>
                </w14:textFill>
              </w:rPr>
              <w:t>号），该项目尚在建设中。</w:t>
            </w:r>
          </w:p>
          <w:p w14:paraId="037A00CF">
            <w:pPr>
              <w:snapToGrid w:val="0"/>
              <w:spacing w:line="480" w:lineRule="exact"/>
              <w:ind w:left="482"/>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2、原有项目产品方案一览表</w:t>
            </w:r>
          </w:p>
          <w:p w14:paraId="7A7DCA34">
            <w:pPr>
              <w:spacing w:line="480" w:lineRule="exact"/>
              <w:jc w:val="center"/>
              <w:rPr>
                <w:rFonts w:hAnsi="仿宋" w:eastAsia="仿宋"/>
                <w:b/>
                <w:color w:val="000000" w:themeColor="text1"/>
                <w14:textFill>
                  <w14:solidFill>
                    <w14:schemeClr w14:val="tx1"/>
                  </w14:solidFill>
                </w14:textFill>
              </w:rPr>
            </w:pPr>
            <w:r>
              <w:rPr>
                <w:rFonts w:hint="eastAsia" w:hAnsi="仿宋" w:eastAsia="仿宋"/>
                <w:b/>
                <w:color w:val="000000" w:themeColor="text1"/>
                <w14:textFill>
                  <w14:solidFill>
                    <w14:schemeClr w14:val="tx1"/>
                  </w14:solidFill>
                </w14:textFill>
              </w:rPr>
              <w:t>表2</w:t>
            </w:r>
            <w:r>
              <w:rPr>
                <w:rFonts w:hAnsi="仿宋" w:eastAsia="仿宋"/>
                <w:b/>
                <w:color w:val="000000" w:themeColor="text1"/>
                <w14:textFill>
                  <w14:solidFill>
                    <w14:schemeClr w14:val="tx1"/>
                  </w14:solidFill>
                </w14:textFill>
              </w:rPr>
              <w:t>-10 原有项目</w:t>
            </w:r>
            <w:r>
              <w:rPr>
                <w:rFonts w:hint="eastAsia" w:hAnsi="仿宋" w:eastAsia="仿宋"/>
                <w:b/>
                <w:color w:val="000000" w:themeColor="text1"/>
                <w14:textFill>
                  <w14:solidFill>
                    <w14:schemeClr w14:val="tx1"/>
                  </w14:solidFill>
                </w14:textFill>
              </w:rPr>
              <w:t>已批产能情况表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3157"/>
              <w:gridCol w:w="2692"/>
              <w:gridCol w:w="2290"/>
            </w:tblGrid>
            <w:tr w14:paraId="376E2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398" w:type="pct"/>
                  <w:vAlign w:val="center"/>
                </w:tcPr>
                <w:p w14:paraId="46C33842">
                  <w:pPr>
                    <w:pStyle w:val="63"/>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785" w:type="pct"/>
                  <w:vAlign w:val="center"/>
                </w:tcPr>
                <w:p w14:paraId="4A52101F">
                  <w:pPr>
                    <w:pStyle w:val="63"/>
                    <w:rPr>
                      <w:color w:val="000000" w:themeColor="text1"/>
                      <w14:textFill>
                        <w14:solidFill>
                          <w14:schemeClr w14:val="tx1"/>
                        </w14:solidFill>
                      </w14:textFill>
                    </w:rPr>
                  </w:pPr>
                  <w:r>
                    <w:rPr>
                      <w:color w:val="000000" w:themeColor="text1"/>
                      <w14:textFill>
                        <w14:solidFill>
                          <w14:schemeClr w14:val="tx1"/>
                        </w14:solidFill>
                      </w14:textFill>
                    </w:rPr>
                    <w:t>产品名称</w:t>
                  </w:r>
                </w:p>
              </w:tc>
              <w:tc>
                <w:tcPr>
                  <w:tcW w:w="1522" w:type="pct"/>
                  <w:vAlign w:val="center"/>
                </w:tcPr>
                <w:p w14:paraId="49414E6D">
                  <w:pPr>
                    <w:pStyle w:val="63"/>
                    <w:rPr>
                      <w:color w:val="000000" w:themeColor="text1"/>
                      <w14:textFill>
                        <w14:solidFill>
                          <w14:schemeClr w14:val="tx1"/>
                        </w14:solidFill>
                      </w14:textFill>
                    </w:rPr>
                  </w:pPr>
                  <w:r>
                    <w:rPr>
                      <w:color w:val="000000" w:themeColor="text1"/>
                      <w14:textFill>
                        <w14:solidFill>
                          <w14:schemeClr w14:val="tx1"/>
                        </w14:solidFill>
                      </w14:textFill>
                    </w:rPr>
                    <w:t>产能</w:t>
                  </w:r>
                </w:p>
              </w:tc>
              <w:tc>
                <w:tcPr>
                  <w:tcW w:w="1295" w:type="pct"/>
                  <w:vAlign w:val="center"/>
                </w:tcPr>
                <w:p w14:paraId="696A8B47">
                  <w:pPr>
                    <w:pStyle w:val="63"/>
                    <w:rPr>
                      <w:color w:val="000000" w:themeColor="text1"/>
                      <w14:textFill>
                        <w14:solidFill>
                          <w14:schemeClr w14:val="tx1"/>
                        </w14:solidFill>
                      </w14:textFill>
                    </w:rPr>
                  </w:pPr>
                  <w:r>
                    <w:rPr>
                      <w:color w:val="000000" w:themeColor="text1"/>
                      <w14:textFill>
                        <w14:solidFill>
                          <w14:schemeClr w14:val="tx1"/>
                        </w14:solidFill>
                      </w14:textFill>
                    </w:rPr>
                    <w:t>年运行时数（h/a）</w:t>
                  </w:r>
                </w:p>
              </w:tc>
            </w:tr>
            <w:tr w14:paraId="6067F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vAlign w:val="center"/>
                </w:tcPr>
                <w:p w14:paraId="13244973">
                  <w:pPr>
                    <w:pStyle w:val="63"/>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1</w:t>
                  </w:r>
                </w:p>
              </w:tc>
              <w:tc>
                <w:tcPr>
                  <w:tcW w:w="1785" w:type="pct"/>
                  <w:vAlign w:val="center"/>
                </w:tcPr>
                <w:p w14:paraId="72227440">
                  <w:pPr>
                    <w:pStyle w:val="63"/>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放射性核素</w:t>
                  </w:r>
                  <w:r>
                    <w:rPr>
                      <w:b w:val="0"/>
                      <w:bCs w:val="0"/>
                      <w:color w:val="000000" w:themeColor="text1"/>
                      <w:vertAlign w:val="superscript"/>
                      <w14:textFill>
                        <w14:solidFill>
                          <w14:schemeClr w14:val="tx1"/>
                        </w14:solidFill>
                      </w14:textFill>
                    </w:rPr>
                    <w:t>68</w:t>
                  </w:r>
                  <w:r>
                    <w:rPr>
                      <w:b w:val="0"/>
                      <w:bCs w:val="0"/>
                      <w:color w:val="000000" w:themeColor="text1"/>
                      <w14:textFill>
                        <w14:solidFill>
                          <w14:schemeClr w14:val="tx1"/>
                        </w14:solidFill>
                      </w14:textFill>
                    </w:rPr>
                    <w:t>Ge</w:t>
                  </w:r>
                  <w:r>
                    <w:rPr>
                      <w:rFonts w:hint="eastAsia"/>
                      <w:b w:val="0"/>
                      <w:bCs w:val="0"/>
                      <w:color w:val="000000" w:themeColor="text1"/>
                      <w14:textFill>
                        <w14:solidFill>
                          <w14:schemeClr w14:val="tx1"/>
                        </w14:solidFill>
                      </w14:textFill>
                    </w:rPr>
                    <w:t>（盐酸溶液）</w:t>
                  </w:r>
                </w:p>
              </w:tc>
              <w:tc>
                <w:tcPr>
                  <w:tcW w:w="1522" w:type="pct"/>
                  <w:vAlign w:val="center"/>
                </w:tcPr>
                <w:p w14:paraId="5945089C">
                  <w:pPr>
                    <w:pStyle w:val="63"/>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4.70×10</w:t>
                  </w:r>
                  <w:r>
                    <w:rPr>
                      <w:b w:val="0"/>
                      <w:bCs w:val="0"/>
                      <w:color w:val="000000" w:themeColor="text1"/>
                      <w:vertAlign w:val="superscript"/>
                      <w14:textFill>
                        <w14:solidFill>
                          <w14:schemeClr w14:val="tx1"/>
                        </w14:solidFill>
                      </w14:textFill>
                    </w:rPr>
                    <w:t>12</w:t>
                  </w:r>
                  <w:r>
                    <w:rPr>
                      <w:b w:val="0"/>
                      <w:bCs w:val="0"/>
                      <w:color w:val="000000" w:themeColor="text1"/>
                      <w14:textFill>
                        <w14:solidFill>
                          <w14:schemeClr w14:val="tx1"/>
                        </w14:solidFill>
                      </w14:textFill>
                    </w:rPr>
                    <w:t>Bq</w:t>
                  </w:r>
                </w:p>
              </w:tc>
              <w:tc>
                <w:tcPr>
                  <w:tcW w:w="1295" w:type="pct"/>
                  <w:vMerge w:val="restart"/>
                  <w:vAlign w:val="center"/>
                </w:tcPr>
                <w:p w14:paraId="4868328C">
                  <w:pPr>
                    <w:pStyle w:val="63"/>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7920</w:t>
                  </w:r>
                </w:p>
              </w:tc>
            </w:tr>
            <w:tr w14:paraId="57026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3" w:type="pct"/>
                  <w:gridSpan w:val="2"/>
                  <w:vAlign w:val="center"/>
                </w:tcPr>
                <w:p w14:paraId="0EABE156">
                  <w:pPr>
                    <w:pStyle w:val="63"/>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合计</w:t>
                  </w:r>
                </w:p>
              </w:tc>
              <w:tc>
                <w:tcPr>
                  <w:tcW w:w="1522" w:type="pct"/>
                  <w:vAlign w:val="center"/>
                </w:tcPr>
                <w:p w14:paraId="1CA20A56">
                  <w:pPr>
                    <w:pStyle w:val="63"/>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4.70×10</w:t>
                  </w:r>
                  <w:r>
                    <w:rPr>
                      <w:b w:val="0"/>
                      <w:bCs w:val="0"/>
                      <w:color w:val="000000" w:themeColor="text1"/>
                      <w:vertAlign w:val="superscript"/>
                      <w14:textFill>
                        <w14:solidFill>
                          <w14:schemeClr w14:val="tx1"/>
                        </w14:solidFill>
                      </w14:textFill>
                    </w:rPr>
                    <w:t>12</w:t>
                  </w:r>
                  <w:r>
                    <w:rPr>
                      <w:b w:val="0"/>
                      <w:bCs w:val="0"/>
                      <w:color w:val="000000" w:themeColor="text1"/>
                      <w14:textFill>
                        <w14:solidFill>
                          <w14:schemeClr w14:val="tx1"/>
                        </w14:solidFill>
                      </w14:textFill>
                    </w:rPr>
                    <w:t>Bq</w:t>
                  </w:r>
                </w:p>
              </w:tc>
              <w:tc>
                <w:tcPr>
                  <w:tcW w:w="1295" w:type="pct"/>
                  <w:vMerge w:val="continue"/>
                  <w:vAlign w:val="center"/>
                </w:tcPr>
                <w:p w14:paraId="0F7357F7">
                  <w:pPr>
                    <w:pStyle w:val="63"/>
                    <w:rPr>
                      <w:color w:val="000000" w:themeColor="text1"/>
                      <w14:textFill>
                        <w14:solidFill>
                          <w14:schemeClr w14:val="tx1"/>
                        </w14:solidFill>
                      </w14:textFill>
                    </w:rPr>
                  </w:pPr>
                </w:p>
              </w:tc>
            </w:tr>
          </w:tbl>
          <w:p w14:paraId="122669C1">
            <w:pPr>
              <w:adjustRightInd w:val="0"/>
              <w:snapToGrid w:val="0"/>
              <w:spacing w:line="480" w:lineRule="exact"/>
              <w:ind w:firstLine="480" w:firstLineChars="200"/>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3</w:t>
            </w:r>
            <w:r>
              <w:rPr>
                <w:rFonts w:hint="eastAsia" w:eastAsia="仿宋"/>
                <w:color w:val="000000" w:themeColor="text1"/>
                <w:kern w:val="0"/>
                <w:sz w:val="24"/>
                <w14:textFill>
                  <w14:solidFill>
                    <w14:schemeClr w14:val="tx1"/>
                  </w14:solidFill>
                </w14:textFill>
              </w:rPr>
              <w:t>、原有项目污染防治措施及排放情况</w:t>
            </w:r>
          </w:p>
          <w:p w14:paraId="6E292754">
            <w:pPr>
              <w:adjustRightInd w:val="0"/>
              <w:snapToGrid w:val="0"/>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原有项目整体工艺涉及辐射，产生的三废（废气、废水、固体废物）均带有放射性，本次评价仅对所涉及的非放射性污染防治措施进行表述。</w:t>
            </w:r>
          </w:p>
          <w:p w14:paraId="1A979C83">
            <w:pPr>
              <w:adjustRightInd w:val="0"/>
              <w:snapToGrid w:val="0"/>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（1）噪声</w:t>
            </w:r>
          </w:p>
          <w:p w14:paraId="05C20340">
            <w:pPr>
              <w:adjustRightInd w:val="0"/>
              <w:snapToGrid w:val="0"/>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原有项目噪声源主要有空调冷水机、水泵、风机、空压机、冷却塔等设备，均采用隔声降噪措施。</w:t>
            </w:r>
          </w:p>
          <w:p w14:paraId="6ABE43F4">
            <w:pPr>
              <w:adjustRightInd w:val="0"/>
              <w:snapToGrid w:val="0"/>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（2）废水</w:t>
            </w:r>
          </w:p>
          <w:p w14:paraId="17686883">
            <w:pPr>
              <w:adjustRightInd w:val="0"/>
              <w:snapToGrid w:val="0"/>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员工生活污水进入金坛经济开发区的污水管网，接管至金坛区第二污水厂处理，尾水排放至尧塘河。</w:t>
            </w:r>
          </w:p>
          <w:p w14:paraId="6C3990F3">
            <w:pPr>
              <w:adjustRightInd w:val="0"/>
              <w:snapToGrid w:val="0"/>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（3）固废</w:t>
            </w:r>
          </w:p>
          <w:p w14:paraId="09DF1D74">
            <w:pPr>
              <w:adjustRightInd w:val="0"/>
              <w:snapToGrid w:val="0"/>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原有项目产生的废试剂、废酸等作为危险废物委托有资质单位处置，废西林瓶（未沾污放射性核素）、废包装材料等作为一般固废委外处置，员工生活垃圾由环卫部门统一处置。固废可100%处理处置，零排放。</w:t>
            </w:r>
          </w:p>
          <w:p w14:paraId="6FAC9CB2">
            <w:pPr>
              <w:adjustRightInd w:val="0"/>
              <w:snapToGrid w:val="0"/>
              <w:spacing w:line="480" w:lineRule="exact"/>
              <w:ind w:firstLine="480" w:firstLineChars="200"/>
              <w:rPr>
                <w:rFonts w:eastAsia="仿宋"/>
                <w:color w:val="000000" w:themeColor="text1"/>
                <w:kern w:val="0"/>
                <w:sz w:val="24"/>
                <w14:textFill>
                  <w14:solidFill>
                    <w14:schemeClr w14:val="tx1"/>
                  </w14:solidFill>
                </w14:textFill>
              </w:rPr>
            </w:pPr>
            <w:r>
              <w:rPr>
                <w:rFonts w:hint="eastAsia" w:eastAsia="仿宋"/>
                <w:color w:val="000000" w:themeColor="text1"/>
                <w:kern w:val="0"/>
                <w:sz w:val="24"/>
                <w14:textFill>
                  <w14:solidFill>
                    <w14:schemeClr w14:val="tx1"/>
                  </w14:solidFill>
                </w14:textFill>
              </w:rPr>
              <w:t>4、原有项目污染物产生及排放情况</w:t>
            </w:r>
          </w:p>
          <w:p w14:paraId="632248D9">
            <w:pPr>
              <w:adjustRightInd w:val="0"/>
              <w:snapToGrid w:val="0"/>
              <w:spacing w:line="480" w:lineRule="exact"/>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表2-11 原有项目污染物排放情况表</w:t>
            </w:r>
            <w:r>
              <w:rPr>
                <w:rFonts w:hint="eastAsia" w:eastAsia="仿宋"/>
                <w:b/>
                <w:bCs/>
                <w:color w:val="000000" w:themeColor="text1"/>
                <w:szCs w:val="21"/>
                <w14:textFill>
                  <w14:solidFill>
                    <w14:schemeClr w14:val="tx1"/>
                  </w14:solidFill>
                </w14:textFill>
              </w:rPr>
              <w:t>（t</w:t>
            </w:r>
            <w:r>
              <w:rPr>
                <w:rFonts w:eastAsia="仿宋"/>
                <w:b/>
                <w:bCs/>
                <w:color w:val="000000" w:themeColor="text1"/>
                <w:szCs w:val="21"/>
                <w14:textFill>
                  <w14:solidFill>
                    <w14:schemeClr w14:val="tx1"/>
                  </w14:solidFill>
                </w14:textFill>
              </w:rPr>
              <w:t>/a</w:t>
            </w:r>
            <w:r>
              <w:rPr>
                <w:rFonts w:hint="eastAsia" w:eastAsia="仿宋"/>
                <w:b/>
                <w:bCs/>
                <w:color w:val="000000" w:themeColor="text1"/>
                <w:szCs w:val="21"/>
                <w14:textFill>
                  <w14:solidFill>
                    <w14:schemeClr w14:val="tx1"/>
                  </w14:solidFill>
                </w14:textFill>
              </w:rPr>
              <w:t>）</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2"/>
              <w:gridCol w:w="3676"/>
              <w:gridCol w:w="2058"/>
            </w:tblGrid>
            <w:tr w14:paraId="53DC9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9" w:type="pct"/>
                  <w:tcBorders>
                    <w:top w:val="single" w:color="auto" w:sz="4" w:space="0"/>
                    <w:left w:val="single" w:color="auto" w:sz="4" w:space="0"/>
                    <w:bottom w:val="single" w:color="auto" w:sz="4" w:space="0"/>
                    <w:right w:val="single" w:color="auto" w:sz="4" w:space="0"/>
                  </w:tcBorders>
                  <w:vAlign w:val="center"/>
                </w:tcPr>
                <w:p w14:paraId="285F825E">
                  <w:pPr>
                    <w:jc w:val="center"/>
                    <w:rPr>
                      <w:rFonts w:eastAsia="仿宋"/>
                      <w:color w:val="000000" w:themeColor="text1"/>
                      <w:szCs w:val="21"/>
                      <w14:textFill>
                        <w14:solidFill>
                          <w14:schemeClr w14:val="tx1"/>
                        </w14:solidFill>
                      </w14:textFill>
                    </w:rPr>
                  </w:pPr>
                  <w:r>
                    <w:rPr>
                      <w:rFonts w:ascii="仿宋" w:hAnsi="仿宋" w:eastAsia="仿宋"/>
                      <w:color w:val="000000" w:themeColor="text1"/>
                      <w14:textFill>
                        <w14:solidFill>
                          <w14:schemeClr w14:val="tx1"/>
                        </w14:solidFill>
                      </w14:textFill>
                    </w:rPr>
                    <w:t>种类</w:t>
                  </w:r>
                </w:p>
              </w:tc>
              <w:tc>
                <w:tcPr>
                  <w:tcW w:w="2078" w:type="pct"/>
                  <w:tcBorders>
                    <w:top w:val="single" w:color="auto" w:sz="4" w:space="0"/>
                    <w:left w:val="single" w:color="auto" w:sz="4" w:space="0"/>
                    <w:bottom w:val="single" w:color="auto" w:sz="4" w:space="0"/>
                    <w:right w:val="single" w:color="auto" w:sz="4" w:space="0"/>
                  </w:tcBorders>
                  <w:vAlign w:val="center"/>
                </w:tcPr>
                <w:p w14:paraId="73191C1F">
                  <w:pPr>
                    <w:jc w:val="center"/>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污染物名称</w:t>
                  </w:r>
                </w:p>
              </w:tc>
              <w:tc>
                <w:tcPr>
                  <w:tcW w:w="1163" w:type="pct"/>
                  <w:tcBorders>
                    <w:top w:val="single" w:color="auto" w:sz="4" w:space="0"/>
                    <w:left w:val="single" w:color="auto" w:sz="4" w:space="0"/>
                    <w:bottom w:val="single" w:color="auto" w:sz="4" w:space="0"/>
                    <w:right w:val="single" w:color="auto" w:sz="4" w:space="0"/>
                  </w:tcBorders>
                  <w:vAlign w:val="center"/>
                </w:tcPr>
                <w:p w14:paraId="5C76C7D2">
                  <w:pPr>
                    <w:jc w:val="center"/>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环评批复量</w:t>
                  </w:r>
                </w:p>
              </w:tc>
            </w:tr>
            <w:tr w14:paraId="155A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9" w:type="pct"/>
                  <w:vMerge w:val="restart"/>
                  <w:tcBorders>
                    <w:top w:val="nil"/>
                    <w:left w:val="single" w:color="auto" w:sz="4" w:space="0"/>
                    <w:right w:val="single" w:color="auto" w:sz="4" w:space="0"/>
                  </w:tcBorders>
                  <w:noWrap/>
                  <w:vAlign w:val="center"/>
                </w:tcPr>
                <w:p w14:paraId="51F3AB75">
                  <w:pPr>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生活污水</w:t>
                  </w:r>
                </w:p>
              </w:tc>
              <w:tc>
                <w:tcPr>
                  <w:tcW w:w="2078" w:type="pct"/>
                  <w:tcBorders>
                    <w:top w:val="single" w:color="auto" w:sz="4" w:space="0"/>
                    <w:left w:val="single" w:color="auto" w:sz="4" w:space="0"/>
                    <w:bottom w:val="single" w:color="auto" w:sz="4" w:space="0"/>
                    <w:right w:val="single" w:color="auto" w:sz="4" w:space="0"/>
                  </w:tcBorders>
                  <w:noWrap/>
                  <w:vAlign w:val="center"/>
                </w:tcPr>
                <w:p w14:paraId="0C059594">
                  <w:pPr>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水量</w:t>
                  </w:r>
                </w:p>
              </w:tc>
              <w:tc>
                <w:tcPr>
                  <w:tcW w:w="1163" w:type="pct"/>
                  <w:tcBorders>
                    <w:top w:val="single" w:color="auto" w:sz="4" w:space="0"/>
                    <w:left w:val="single" w:color="auto" w:sz="4" w:space="0"/>
                    <w:bottom w:val="single" w:color="auto" w:sz="4" w:space="0"/>
                    <w:right w:val="single" w:color="auto" w:sz="4" w:space="0"/>
                  </w:tcBorders>
                  <w:noWrap/>
                  <w:vAlign w:val="center"/>
                </w:tcPr>
                <w:p w14:paraId="5D90C172">
                  <w:pPr>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480</w:t>
                  </w:r>
                </w:p>
              </w:tc>
            </w:tr>
            <w:tr w14:paraId="32AF7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9" w:type="pct"/>
                  <w:vMerge w:val="continue"/>
                  <w:tcBorders>
                    <w:left w:val="single" w:color="auto" w:sz="4" w:space="0"/>
                    <w:right w:val="single" w:color="auto" w:sz="4" w:space="0"/>
                  </w:tcBorders>
                  <w:noWrap/>
                  <w:vAlign w:val="center"/>
                </w:tcPr>
                <w:p w14:paraId="17017C87">
                  <w:pPr>
                    <w:jc w:val="center"/>
                    <w:rPr>
                      <w:rFonts w:eastAsia="仿宋"/>
                      <w:color w:val="000000" w:themeColor="text1"/>
                      <w14:textFill>
                        <w14:solidFill>
                          <w14:schemeClr w14:val="tx1"/>
                        </w14:solidFill>
                      </w14:textFill>
                    </w:rPr>
                  </w:pPr>
                </w:p>
              </w:tc>
              <w:tc>
                <w:tcPr>
                  <w:tcW w:w="2078" w:type="pct"/>
                  <w:tcBorders>
                    <w:top w:val="single" w:color="auto" w:sz="4" w:space="0"/>
                    <w:left w:val="single" w:color="auto" w:sz="4" w:space="0"/>
                    <w:bottom w:val="single" w:color="auto" w:sz="4" w:space="0"/>
                    <w:right w:val="single" w:color="auto" w:sz="4" w:space="0"/>
                  </w:tcBorders>
                  <w:noWrap/>
                  <w:vAlign w:val="center"/>
                </w:tcPr>
                <w:p w14:paraId="2F13163E">
                  <w:pPr>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COD</w:t>
                  </w:r>
                </w:p>
              </w:tc>
              <w:tc>
                <w:tcPr>
                  <w:tcW w:w="1163" w:type="pct"/>
                  <w:tcBorders>
                    <w:top w:val="single" w:color="auto" w:sz="4" w:space="0"/>
                    <w:left w:val="single" w:color="auto" w:sz="4" w:space="0"/>
                    <w:bottom w:val="single" w:color="auto" w:sz="4" w:space="0"/>
                    <w:right w:val="single" w:color="auto" w:sz="4" w:space="0"/>
                  </w:tcBorders>
                  <w:noWrap/>
                  <w:vAlign w:val="center"/>
                </w:tcPr>
                <w:p w14:paraId="0A492224">
                  <w:pPr>
                    <w:jc w:val="center"/>
                    <w:rPr>
                      <w:rFonts w:eastAsia="仿宋"/>
                      <w:color w:val="000000" w:themeColor="text1"/>
                      <w14:textFill>
                        <w14:solidFill>
                          <w14:schemeClr w14:val="tx1"/>
                        </w14:solidFill>
                      </w14:textFill>
                    </w:rPr>
                  </w:pPr>
                  <w:r>
                    <w:rPr>
                      <w:rFonts w:hint="eastAsia"/>
                      <w:color w:val="000000" w:themeColor="text1"/>
                      <w:sz w:val="22"/>
                      <w:szCs w:val="22"/>
                      <w14:textFill>
                        <w14:solidFill>
                          <w14:schemeClr w14:val="tx1"/>
                        </w14:solidFill>
                      </w14:textFill>
                    </w:rPr>
                    <w:t>0.192</w:t>
                  </w:r>
                </w:p>
              </w:tc>
            </w:tr>
            <w:tr w14:paraId="19B7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9" w:type="pct"/>
                  <w:vMerge w:val="continue"/>
                  <w:tcBorders>
                    <w:left w:val="single" w:color="auto" w:sz="4" w:space="0"/>
                    <w:right w:val="single" w:color="auto" w:sz="4" w:space="0"/>
                  </w:tcBorders>
                  <w:noWrap/>
                  <w:vAlign w:val="center"/>
                </w:tcPr>
                <w:p w14:paraId="07EA2582">
                  <w:pPr>
                    <w:jc w:val="center"/>
                    <w:rPr>
                      <w:rFonts w:eastAsia="仿宋"/>
                      <w:color w:val="000000" w:themeColor="text1"/>
                      <w14:textFill>
                        <w14:solidFill>
                          <w14:schemeClr w14:val="tx1"/>
                        </w14:solidFill>
                      </w14:textFill>
                    </w:rPr>
                  </w:pPr>
                </w:p>
              </w:tc>
              <w:tc>
                <w:tcPr>
                  <w:tcW w:w="2078" w:type="pct"/>
                  <w:tcBorders>
                    <w:top w:val="single" w:color="auto" w:sz="4" w:space="0"/>
                    <w:left w:val="single" w:color="auto" w:sz="4" w:space="0"/>
                    <w:bottom w:val="single" w:color="auto" w:sz="4" w:space="0"/>
                    <w:right w:val="single" w:color="auto" w:sz="4" w:space="0"/>
                  </w:tcBorders>
                  <w:noWrap/>
                  <w:vAlign w:val="center"/>
                </w:tcPr>
                <w:p w14:paraId="3CAD8E18">
                  <w:pPr>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SS</w:t>
                  </w:r>
                </w:p>
              </w:tc>
              <w:tc>
                <w:tcPr>
                  <w:tcW w:w="1163" w:type="pct"/>
                  <w:tcBorders>
                    <w:top w:val="single" w:color="auto" w:sz="4" w:space="0"/>
                    <w:left w:val="single" w:color="auto" w:sz="4" w:space="0"/>
                    <w:bottom w:val="single" w:color="auto" w:sz="4" w:space="0"/>
                    <w:right w:val="single" w:color="auto" w:sz="4" w:space="0"/>
                  </w:tcBorders>
                  <w:noWrap/>
                  <w:vAlign w:val="center"/>
                </w:tcPr>
                <w:p w14:paraId="69310C74">
                  <w:pPr>
                    <w:jc w:val="center"/>
                    <w:rPr>
                      <w:rFonts w:eastAsia="仿宋"/>
                      <w:color w:val="000000" w:themeColor="text1"/>
                      <w14:textFill>
                        <w14:solidFill>
                          <w14:schemeClr w14:val="tx1"/>
                        </w14:solidFill>
                      </w14:textFill>
                    </w:rPr>
                  </w:pPr>
                  <w:r>
                    <w:rPr>
                      <w:rFonts w:hint="eastAsia"/>
                      <w:color w:val="000000" w:themeColor="text1"/>
                      <w:sz w:val="22"/>
                      <w:szCs w:val="22"/>
                      <w14:textFill>
                        <w14:solidFill>
                          <w14:schemeClr w14:val="tx1"/>
                        </w14:solidFill>
                      </w14:textFill>
                    </w:rPr>
                    <w:t>0.096</w:t>
                  </w:r>
                </w:p>
              </w:tc>
            </w:tr>
            <w:tr w14:paraId="5DF5F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9" w:type="pct"/>
                  <w:vMerge w:val="continue"/>
                  <w:tcBorders>
                    <w:left w:val="single" w:color="auto" w:sz="4" w:space="0"/>
                    <w:right w:val="single" w:color="auto" w:sz="4" w:space="0"/>
                  </w:tcBorders>
                  <w:noWrap/>
                  <w:vAlign w:val="center"/>
                </w:tcPr>
                <w:p w14:paraId="0393A354">
                  <w:pPr>
                    <w:jc w:val="center"/>
                    <w:rPr>
                      <w:rFonts w:eastAsia="仿宋"/>
                      <w:color w:val="000000" w:themeColor="text1"/>
                      <w14:textFill>
                        <w14:solidFill>
                          <w14:schemeClr w14:val="tx1"/>
                        </w14:solidFill>
                      </w14:textFill>
                    </w:rPr>
                  </w:pPr>
                </w:p>
              </w:tc>
              <w:tc>
                <w:tcPr>
                  <w:tcW w:w="2078" w:type="pct"/>
                  <w:tcBorders>
                    <w:top w:val="single" w:color="auto" w:sz="4" w:space="0"/>
                    <w:left w:val="single" w:color="auto" w:sz="4" w:space="0"/>
                    <w:bottom w:val="single" w:color="auto" w:sz="4" w:space="0"/>
                    <w:right w:val="single" w:color="auto" w:sz="4" w:space="0"/>
                  </w:tcBorders>
                  <w:noWrap/>
                  <w:vAlign w:val="center"/>
                </w:tcPr>
                <w:p w14:paraId="51ED92AC">
                  <w:pPr>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NH</w:t>
                  </w:r>
                  <w:r>
                    <w:rPr>
                      <w:rFonts w:eastAsia="仿宋"/>
                      <w:color w:val="000000" w:themeColor="text1"/>
                      <w:vertAlign w:val="subscript"/>
                      <w14:textFill>
                        <w14:solidFill>
                          <w14:schemeClr w14:val="tx1"/>
                        </w14:solidFill>
                      </w14:textFill>
                    </w:rPr>
                    <w:t>3</w:t>
                  </w:r>
                  <w:r>
                    <w:rPr>
                      <w:rFonts w:eastAsia="仿宋"/>
                      <w:color w:val="000000" w:themeColor="text1"/>
                      <w14:textFill>
                        <w14:solidFill>
                          <w14:schemeClr w14:val="tx1"/>
                        </w14:solidFill>
                      </w14:textFill>
                    </w:rPr>
                    <w:t>-N</w:t>
                  </w:r>
                </w:p>
              </w:tc>
              <w:tc>
                <w:tcPr>
                  <w:tcW w:w="1163" w:type="pct"/>
                  <w:tcBorders>
                    <w:top w:val="single" w:color="auto" w:sz="4" w:space="0"/>
                    <w:left w:val="single" w:color="auto" w:sz="4" w:space="0"/>
                    <w:bottom w:val="single" w:color="auto" w:sz="4" w:space="0"/>
                    <w:right w:val="single" w:color="auto" w:sz="4" w:space="0"/>
                  </w:tcBorders>
                  <w:noWrap/>
                  <w:vAlign w:val="center"/>
                </w:tcPr>
                <w:p w14:paraId="2220C36D">
                  <w:pPr>
                    <w:jc w:val="center"/>
                    <w:rPr>
                      <w:rFonts w:eastAsia="仿宋"/>
                      <w:color w:val="000000" w:themeColor="text1"/>
                      <w14:textFill>
                        <w14:solidFill>
                          <w14:schemeClr w14:val="tx1"/>
                        </w14:solidFill>
                      </w14:textFill>
                    </w:rPr>
                  </w:pPr>
                  <w:r>
                    <w:rPr>
                      <w:rFonts w:hint="eastAsia"/>
                      <w:color w:val="000000" w:themeColor="text1"/>
                      <w:sz w:val="22"/>
                      <w:szCs w:val="22"/>
                      <w14:textFill>
                        <w14:solidFill>
                          <w14:schemeClr w14:val="tx1"/>
                        </w14:solidFill>
                      </w14:textFill>
                    </w:rPr>
                    <w:t>0.014</w:t>
                  </w:r>
                </w:p>
              </w:tc>
            </w:tr>
            <w:tr w14:paraId="2BAC6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9" w:type="pct"/>
                  <w:vMerge w:val="continue"/>
                  <w:tcBorders>
                    <w:left w:val="single" w:color="auto" w:sz="4" w:space="0"/>
                    <w:right w:val="single" w:color="auto" w:sz="4" w:space="0"/>
                  </w:tcBorders>
                  <w:noWrap/>
                  <w:vAlign w:val="center"/>
                </w:tcPr>
                <w:p w14:paraId="1C5EE0CF">
                  <w:pPr>
                    <w:jc w:val="center"/>
                    <w:rPr>
                      <w:rFonts w:eastAsia="仿宋"/>
                      <w:color w:val="000000" w:themeColor="text1"/>
                      <w14:textFill>
                        <w14:solidFill>
                          <w14:schemeClr w14:val="tx1"/>
                        </w14:solidFill>
                      </w14:textFill>
                    </w:rPr>
                  </w:pPr>
                </w:p>
              </w:tc>
              <w:tc>
                <w:tcPr>
                  <w:tcW w:w="2078" w:type="pct"/>
                  <w:tcBorders>
                    <w:top w:val="single" w:color="auto" w:sz="4" w:space="0"/>
                    <w:left w:val="single" w:color="auto" w:sz="4" w:space="0"/>
                    <w:bottom w:val="single" w:color="auto" w:sz="4" w:space="0"/>
                    <w:right w:val="single" w:color="auto" w:sz="4" w:space="0"/>
                  </w:tcBorders>
                  <w:noWrap/>
                  <w:vAlign w:val="center"/>
                </w:tcPr>
                <w:p w14:paraId="7EE33512">
                  <w:pPr>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TP</w:t>
                  </w:r>
                </w:p>
              </w:tc>
              <w:tc>
                <w:tcPr>
                  <w:tcW w:w="1163" w:type="pct"/>
                  <w:tcBorders>
                    <w:top w:val="single" w:color="auto" w:sz="4" w:space="0"/>
                    <w:left w:val="single" w:color="auto" w:sz="4" w:space="0"/>
                    <w:bottom w:val="single" w:color="auto" w:sz="4" w:space="0"/>
                    <w:right w:val="single" w:color="auto" w:sz="4" w:space="0"/>
                  </w:tcBorders>
                  <w:noWrap/>
                  <w:vAlign w:val="center"/>
                </w:tcPr>
                <w:p w14:paraId="6D77E581">
                  <w:pPr>
                    <w:jc w:val="center"/>
                    <w:rPr>
                      <w:rFonts w:eastAsia="仿宋"/>
                      <w:color w:val="000000" w:themeColor="text1"/>
                      <w14:textFill>
                        <w14:solidFill>
                          <w14:schemeClr w14:val="tx1"/>
                        </w14:solidFill>
                      </w14:textFill>
                    </w:rPr>
                  </w:pPr>
                  <w:r>
                    <w:rPr>
                      <w:rFonts w:hint="eastAsia"/>
                      <w:color w:val="000000" w:themeColor="text1"/>
                      <w:sz w:val="22"/>
                      <w:szCs w:val="22"/>
                      <w14:textFill>
                        <w14:solidFill>
                          <w14:schemeClr w14:val="tx1"/>
                        </w14:solidFill>
                      </w14:textFill>
                    </w:rPr>
                    <w:t>0.001</w:t>
                  </w:r>
                </w:p>
              </w:tc>
            </w:tr>
            <w:tr w14:paraId="33814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9" w:type="pct"/>
                  <w:vMerge w:val="continue"/>
                  <w:tcBorders>
                    <w:left w:val="single" w:color="auto" w:sz="4" w:space="0"/>
                    <w:bottom w:val="single" w:color="auto" w:sz="4" w:space="0"/>
                    <w:right w:val="single" w:color="auto" w:sz="4" w:space="0"/>
                  </w:tcBorders>
                  <w:noWrap/>
                  <w:vAlign w:val="center"/>
                </w:tcPr>
                <w:p w14:paraId="31B705A0">
                  <w:pPr>
                    <w:jc w:val="center"/>
                    <w:rPr>
                      <w:rFonts w:eastAsia="仿宋"/>
                      <w:color w:val="000000" w:themeColor="text1"/>
                      <w14:textFill>
                        <w14:solidFill>
                          <w14:schemeClr w14:val="tx1"/>
                        </w14:solidFill>
                      </w14:textFill>
                    </w:rPr>
                  </w:pPr>
                </w:p>
              </w:tc>
              <w:tc>
                <w:tcPr>
                  <w:tcW w:w="2078" w:type="pct"/>
                  <w:tcBorders>
                    <w:top w:val="single" w:color="auto" w:sz="4" w:space="0"/>
                    <w:left w:val="single" w:color="auto" w:sz="4" w:space="0"/>
                    <w:bottom w:val="single" w:color="auto" w:sz="4" w:space="0"/>
                    <w:right w:val="single" w:color="auto" w:sz="4" w:space="0"/>
                  </w:tcBorders>
                  <w:noWrap/>
                  <w:vAlign w:val="center"/>
                </w:tcPr>
                <w:p w14:paraId="555F8651">
                  <w:pPr>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TN</w:t>
                  </w:r>
                </w:p>
              </w:tc>
              <w:tc>
                <w:tcPr>
                  <w:tcW w:w="1163" w:type="pct"/>
                  <w:tcBorders>
                    <w:top w:val="single" w:color="auto" w:sz="4" w:space="0"/>
                    <w:left w:val="single" w:color="auto" w:sz="4" w:space="0"/>
                    <w:bottom w:val="single" w:color="auto" w:sz="4" w:space="0"/>
                    <w:right w:val="single" w:color="auto" w:sz="4" w:space="0"/>
                  </w:tcBorders>
                  <w:noWrap/>
                  <w:vAlign w:val="center"/>
                </w:tcPr>
                <w:p w14:paraId="4CB0BE4C">
                  <w:pPr>
                    <w:jc w:val="center"/>
                    <w:rPr>
                      <w:rFonts w:eastAsia="仿宋"/>
                      <w:color w:val="000000" w:themeColor="text1"/>
                      <w14:textFill>
                        <w14:solidFill>
                          <w14:schemeClr w14:val="tx1"/>
                        </w14:solidFill>
                      </w14:textFill>
                    </w:rPr>
                  </w:pPr>
                  <w:r>
                    <w:rPr>
                      <w:rFonts w:hint="eastAsia"/>
                      <w:color w:val="000000" w:themeColor="text1"/>
                      <w:sz w:val="22"/>
                      <w:szCs w:val="22"/>
                      <w14:textFill>
                        <w14:solidFill>
                          <w14:schemeClr w14:val="tx1"/>
                        </w14:solidFill>
                      </w14:textFill>
                    </w:rPr>
                    <w:t>0.022</w:t>
                  </w:r>
                </w:p>
              </w:tc>
            </w:tr>
            <w:tr w14:paraId="4A2C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9" w:type="pct"/>
                  <w:vMerge w:val="restart"/>
                  <w:tcBorders>
                    <w:top w:val="nil"/>
                    <w:left w:val="single" w:color="auto" w:sz="4" w:space="0"/>
                    <w:bottom w:val="single" w:color="auto" w:sz="4" w:space="0"/>
                    <w:right w:val="single" w:color="auto" w:sz="4" w:space="0"/>
                  </w:tcBorders>
                  <w:noWrap/>
                  <w:vAlign w:val="center"/>
                </w:tcPr>
                <w:p w14:paraId="3DFAF4FA">
                  <w:pPr>
                    <w:jc w:val="center"/>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固废</w:t>
                  </w:r>
                </w:p>
              </w:tc>
              <w:tc>
                <w:tcPr>
                  <w:tcW w:w="2078" w:type="pct"/>
                  <w:tcBorders>
                    <w:top w:val="single" w:color="auto" w:sz="4" w:space="0"/>
                    <w:left w:val="single" w:color="auto" w:sz="4" w:space="0"/>
                    <w:bottom w:val="single" w:color="auto" w:sz="4" w:space="0"/>
                    <w:right w:val="single" w:color="auto" w:sz="4" w:space="0"/>
                  </w:tcBorders>
                  <w:vAlign w:val="center"/>
                </w:tcPr>
                <w:p w14:paraId="5F94F28F">
                  <w:pPr>
                    <w:jc w:val="center"/>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一般固废</w:t>
                  </w:r>
                </w:p>
              </w:tc>
              <w:tc>
                <w:tcPr>
                  <w:tcW w:w="1163" w:type="pct"/>
                  <w:tcBorders>
                    <w:top w:val="single" w:color="auto" w:sz="4" w:space="0"/>
                    <w:left w:val="single" w:color="auto" w:sz="4" w:space="0"/>
                    <w:bottom w:val="single" w:color="auto" w:sz="4" w:space="0"/>
                    <w:right w:val="single" w:color="auto" w:sz="4" w:space="0"/>
                  </w:tcBorders>
                  <w:noWrap/>
                  <w:vAlign w:val="center"/>
                </w:tcPr>
                <w:p w14:paraId="21CCD5A1">
                  <w:pPr>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0.6</w:t>
                  </w:r>
                </w:p>
              </w:tc>
            </w:tr>
            <w:tr w14:paraId="5D2B1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9" w:type="pct"/>
                  <w:vMerge w:val="continue"/>
                  <w:tcBorders>
                    <w:top w:val="nil"/>
                    <w:left w:val="single" w:color="auto" w:sz="4" w:space="0"/>
                    <w:bottom w:val="single" w:color="auto" w:sz="4" w:space="0"/>
                    <w:right w:val="single" w:color="auto" w:sz="4" w:space="0"/>
                  </w:tcBorders>
                  <w:vAlign w:val="center"/>
                </w:tcPr>
                <w:p w14:paraId="1F6B5D36">
                  <w:pPr>
                    <w:widowControl/>
                    <w:jc w:val="left"/>
                    <w:rPr>
                      <w:rFonts w:eastAsia="仿宋"/>
                      <w:color w:val="000000" w:themeColor="text1"/>
                      <w:szCs w:val="21"/>
                      <w14:textFill>
                        <w14:solidFill>
                          <w14:schemeClr w14:val="tx1"/>
                        </w14:solidFill>
                      </w14:textFill>
                    </w:rPr>
                  </w:pPr>
                </w:p>
              </w:tc>
              <w:tc>
                <w:tcPr>
                  <w:tcW w:w="2078" w:type="pct"/>
                  <w:tcBorders>
                    <w:top w:val="single" w:color="auto" w:sz="4" w:space="0"/>
                    <w:left w:val="single" w:color="auto" w:sz="4" w:space="0"/>
                    <w:bottom w:val="single" w:color="auto" w:sz="4" w:space="0"/>
                    <w:right w:val="single" w:color="auto" w:sz="4" w:space="0"/>
                  </w:tcBorders>
                  <w:vAlign w:val="center"/>
                </w:tcPr>
                <w:p w14:paraId="74E3A9F8">
                  <w:pPr>
                    <w:jc w:val="center"/>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危险废物</w:t>
                  </w:r>
                </w:p>
              </w:tc>
              <w:tc>
                <w:tcPr>
                  <w:tcW w:w="1163" w:type="pct"/>
                  <w:tcBorders>
                    <w:top w:val="single" w:color="auto" w:sz="4" w:space="0"/>
                    <w:left w:val="single" w:color="auto" w:sz="4" w:space="0"/>
                    <w:bottom w:val="single" w:color="auto" w:sz="4" w:space="0"/>
                    <w:right w:val="single" w:color="auto" w:sz="4" w:space="0"/>
                  </w:tcBorders>
                  <w:noWrap/>
                  <w:vAlign w:val="center"/>
                </w:tcPr>
                <w:p w14:paraId="5F1253F1">
                  <w:pPr>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195.48L</w:t>
                  </w:r>
                </w:p>
              </w:tc>
            </w:tr>
            <w:tr w14:paraId="1A96C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9" w:type="pct"/>
                  <w:vMerge w:val="continue"/>
                  <w:tcBorders>
                    <w:top w:val="nil"/>
                    <w:left w:val="single" w:color="auto" w:sz="4" w:space="0"/>
                    <w:bottom w:val="single" w:color="auto" w:sz="4" w:space="0"/>
                    <w:right w:val="single" w:color="auto" w:sz="4" w:space="0"/>
                  </w:tcBorders>
                  <w:vAlign w:val="center"/>
                </w:tcPr>
                <w:p w14:paraId="59B859D2">
                  <w:pPr>
                    <w:widowControl/>
                    <w:jc w:val="left"/>
                    <w:rPr>
                      <w:rFonts w:eastAsia="仿宋"/>
                      <w:color w:val="000000" w:themeColor="text1"/>
                      <w:szCs w:val="21"/>
                      <w14:textFill>
                        <w14:solidFill>
                          <w14:schemeClr w14:val="tx1"/>
                        </w14:solidFill>
                      </w14:textFill>
                    </w:rPr>
                  </w:pPr>
                </w:p>
              </w:tc>
              <w:tc>
                <w:tcPr>
                  <w:tcW w:w="2078" w:type="pct"/>
                  <w:tcBorders>
                    <w:top w:val="single" w:color="auto" w:sz="4" w:space="0"/>
                    <w:left w:val="single" w:color="auto" w:sz="4" w:space="0"/>
                    <w:bottom w:val="single" w:color="auto" w:sz="4" w:space="0"/>
                    <w:right w:val="single" w:color="auto" w:sz="4" w:space="0"/>
                  </w:tcBorders>
                  <w:vAlign w:val="center"/>
                </w:tcPr>
                <w:p w14:paraId="105AA050">
                  <w:pPr>
                    <w:jc w:val="center"/>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生活垃圾</w:t>
                  </w:r>
                </w:p>
              </w:tc>
              <w:tc>
                <w:tcPr>
                  <w:tcW w:w="1163" w:type="pct"/>
                  <w:tcBorders>
                    <w:top w:val="single" w:color="auto" w:sz="4" w:space="0"/>
                    <w:left w:val="single" w:color="auto" w:sz="4" w:space="0"/>
                    <w:bottom w:val="single" w:color="auto" w:sz="4" w:space="0"/>
                    <w:right w:val="single" w:color="auto" w:sz="4" w:space="0"/>
                  </w:tcBorders>
                  <w:noWrap/>
                  <w:vAlign w:val="center"/>
                </w:tcPr>
                <w:p w14:paraId="3DFC7EBC">
                  <w:pPr>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5</w:t>
                  </w:r>
                </w:p>
              </w:tc>
            </w:tr>
          </w:tbl>
          <w:p w14:paraId="7C519355">
            <w:pPr>
              <w:adjustRightInd w:val="0"/>
              <w:snapToGrid w:val="0"/>
              <w:spacing w:line="480" w:lineRule="exact"/>
              <w:ind w:firstLine="482" w:firstLineChars="200"/>
              <w:rPr>
                <w:rFonts w:eastAsia="仿宋"/>
                <w:b/>
                <w:bCs/>
                <w:color w:val="000000" w:themeColor="text1"/>
                <w:sz w:val="24"/>
                <w14:textFill>
                  <w14:solidFill>
                    <w14:schemeClr w14:val="tx1"/>
                  </w14:solidFill>
                </w14:textFill>
              </w:rPr>
            </w:pPr>
            <w:r>
              <w:rPr>
                <w:rFonts w:ascii="仿宋" w:hAnsi="仿宋" w:eastAsia="仿宋"/>
                <w:b/>
                <w:bCs/>
                <w:color w:val="000000" w:themeColor="text1"/>
                <w:sz w:val="24"/>
                <w14:textFill>
                  <w14:solidFill>
                    <w14:schemeClr w14:val="tx1"/>
                  </w14:solidFill>
                </w14:textFill>
              </w:rPr>
              <w:t>（</w:t>
            </w:r>
            <w:r>
              <w:rPr>
                <w:rFonts w:hint="eastAsia" w:ascii="仿宋" w:hAnsi="仿宋" w:eastAsia="仿宋"/>
                <w:b/>
                <w:bCs/>
                <w:color w:val="000000" w:themeColor="text1"/>
                <w:sz w:val="24"/>
                <w14:textFill>
                  <w14:solidFill>
                    <w14:schemeClr w14:val="tx1"/>
                  </w14:solidFill>
                </w14:textFill>
              </w:rPr>
              <w:t>二</w:t>
            </w:r>
            <w:r>
              <w:rPr>
                <w:rFonts w:ascii="仿宋" w:hAnsi="仿宋" w:eastAsia="仿宋"/>
                <w:b/>
                <w:bCs/>
                <w:color w:val="000000" w:themeColor="text1"/>
                <w:sz w:val="24"/>
                <w14:textFill>
                  <w14:solidFill>
                    <w14:schemeClr w14:val="tx1"/>
                  </w14:solidFill>
                </w14:textFill>
              </w:rPr>
              <w:t>）主要环境问题及以新带老措施</w:t>
            </w:r>
          </w:p>
          <w:p w14:paraId="608E129F">
            <w:pPr>
              <w:adjustRightInd w:val="0"/>
              <w:snapToGrid w:val="0"/>
              <w:spacing w:line="48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1</w:t>
            </w:r>
            <w:r>
              <w:rPr>
                <w:rFonts w:ascii="仿宋" w:hAnsi="仿宋" w:eastAsia="仿宋"/>
                <w:b/>
                <w:bCs/>
                <w:color w:val="000000" w:themeColor="text1"/>
                <w:sz w:val="24"/>
                <w14:textFill>
                  <w14:solidFill>
                    <w14:schemeClr w14:val="tx1"/>
                  </w14:solidFill>
                </w14:textFill>
              </w:rPr>
              <w:t>、主要环境问题</w:t>
            </w:r>
          </w:p>
          <w:p w14:paraId="456D4995">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无。</w:t>
            </w:r>
          </w:p>
          <w:p w14:paraId="0CACC195">
            <w:pPr>
              <w:adjustRightInd w:val="0"/>
              <w:snapToGrid w:val="0"/>
              <w:spacing w:line="48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2</w:t>
            </w:r>
            <w:r>
              <w:rPr>
                <w:rFonts w:ascii="仿宋" w:hAnsi="仿宋" w:eastAsia="仿宋"/>
                <w:b/>
                <w:bCs/>
                <w:color w:val="000000" w:themeColor="text1"/>
                <w:sz w:val="24"/>
                <w14:textFill>
                  <w14:solidFill>
                    <w14:schemeClr w14:val="tx1"/>
                  </w14:solidFill>
                </w14:textFill>
              </w:rPr>
              <w:t>、以新带老措施</w:t>
            </w:r>
          </w:p>
          <w:p w14:paraId="5A8B2C8C">
            <w:pPr>
              <w:spacing w:line="480" w:lineRule="exact"/>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无。</w:t>
            </w:r>
          </w:p>
          <w:p w14:paraId="2838D246">
            <w:pPr>
              <w:adjustRightInd w:val="0"/>
              <w:snapToGrid w:val="0"/>
              <w:spacing w:line="500" w:lineRule="exact"/>
              <w:ind w:firstLine="480" w:firstLineChars="200"/>
              <w:rPr>
                <w:rFonts w:eastAsia="仿宋"/>
                <w:bCs/>
                <w:color w:val="000000" w:themeColor="text1"/>
                <w:sz w:val="24"/>
                <w14:textFill>
                  <w14:solidFill>
                    <w14:schemeClr w14:val="tx1"/>
                  </w14:solidFill>
                </w14:textFill>
              </w:rPr>
            </w:pPr>
          </w:p>
          <w:p w14:paraId="26E791FC">
            <w:pPr>
              <w:adjustRightInd w:val="0"/>
              <w:snapToGrid w:val="0"/>
              <w:spacing w:line="500" w:lineRule="exact"/>
              <w:ind w:firstLine="480" w:firstLineChars="200"/>
              <w:rPr>
                <w:rFonts w:eastAsia="仿宋"/>
                <w:bCs/>
                <w:color w:val="000000" w:themeColor="text1"/>
                <w:sz w:val="24"/>
                <w14:textFill>
                  <w14:solidFill>
                    <w14:schemeClr w14:val="tx1"/>
                  </w14:solidFill>
                </w14:textFill>
              </w:rPr>
            </w:pPr>
          </w:p>
          <w:p w14:paraId="110F5554">
            <w:pPr>
              <w:adjustRightInd w:val="0"/>
              <w:snapToGrid w:val="0"/>
              <w:spacing w:line="500" w:lineRule="exact"/>
              <w:ind w:firstLine="480" w:firstLineChars="200"/>
              <w:rPr>
                <w:rFonts w:eastAsia="仿宋"/>
                <w:bCs/>
                <w:color w:val="000000" w:themeColor="text1"/>
                <w:sz w:val="24"/>
                <w14:textFill>
                  <w14:solidFill>
                    <w14:schemeClr w14:val="tx1"/>
                  </w14:solidFill>
                </w14:textFill>
              </w:rPr>
            </w:pPr>
          </w:p>
          <w:p w14:paraId="5805ACCB">
            <w:pPr>
              <w:adjustRightInd w:val="0"/>
              <w:snapToGrid w:val="0"/>
              <w:spacing w:line="500" w:lineRule="exact"/>
              <w:ind w:firstLine="480" w:firstLineChars="200"/>
              <w:rPr>
                <w:rFonts w:eastAsia="仿宋"/>
                <w:bCs/>
                <w:color w:val="000000" w:themeColor="text1"/>
                <w:sz w:val="24"/>
                <w14:textFill>
                  <w14:solidFill>
                    <w14:schemeClr w14:val="tx1"/>
                  </w14:solidFill>
                </w14:textFill>
              </w:rPr>
            </w:pPr>
          </w:p>
          <w:p w14:paraId="0AE796DC">
            <w:pPr>
              <w:adjustRightInd w:val="0"/>
              <w:snapToGrid w:val="0"/>
              <w:spacing w:line="500" w:lineRule="exact"/>
              <w:ind w:firstLine="480" w:firstLineChars="200"/>
              <w:rPr>
                <w:rFonts w:eastAsia="仿宋"/>
                <w:bCs/>
                <w:color w:val="000000" w:themeColor="text1"/>
                <w:sz w:val="24"/>
                <w14:textFill>
                  <w14:solidFill>
                    <w14:schemeClr w14:val="tx1"/>
                  </w14:solidFill>
                </w14:textFill>
              </w:rPr>
            </w:pPr>
          </w:p>
          <w:p w14:paraId="79FCC413">
            <w:pPr>
              <w:adjustRightInd w:val="0"/>
              <w:snapToGrid w:val="0"/>
              <w:spacing w:line="500" w:lineRule="exact"/>
              <w:rPr>
                <w:rFonts w:eastAsia="仿宋"/>
                <w:bCs/>
                <w:color w:val="000000" w:themeColor="text1"/>
                <w:sz w:val="24"/>
                <w14:textFill>
                  <w14:solidFill>
                    <w14:schemeClr w14:val="tx1"/>
                  </w14:solidFill>
                </w14:textFill>
              </w:rPr>
            </w:pPr>
          </w:p>
          <w:p w14:paraId="6B29CB6E">
            <w:pPr>
              <w:adjustRightInd w:val="0"/>
              <w:snapToGrid w:val="0"/>
              <w:spacing w:line="500" w:lineRule="exact"/>
              <w:rPr>
                <w:rFonts w:eastAsia="仿宋"/>
                <w:bCs/>
                <w:color w:val="000000" w:themeColor="text1"/>
                <w:sz w:val="24"/>
                <w14:textFill>
                  <w14:solidFill>
                    <w14:schemeClr w14:val="tx1"/>
                  </w14:solidFill>
                </w14:textFill>
              </w:rPr>
            </w:pPr>
          </w:p>
          <w:p w14:paraId="487ED067">
            <w:pPr>
              <w:adjustRightInd w:val="0"/>
              <w:snapToGrid w:val="0"/>
              <w:spacing w:line="500" w:lineRule="exact"/>
              <w:rPr>
                <w:rFonts w:eastAsia="仿宋"/>
                <w:bCs/>
                <w:color w:val="000000" w:themeColor="text1"/>
                <w:sz w:val="24"/>
                <w14:textFill>
                  <w14:solidFill>
                    <w14:schemeClr w14:val="tx1"/>
                  </w14:solidFill>
                </w14:textFill>
              </w:rPr>
            </w:pPr>
          </w:p>
          <w:p w14:paraId="614EF66A">
            <w:pPr>
              <w:adjustRightInd w:val="0"/>
              <w:snapToGrid w:val="0"/>
              <w:spacing w:line="500" w:lineRule="exact"/>
              <w:rPr>
                <w:rFonts w:eastAsia="仿宋"/>
                <w:bCs/>
                <w:color w:val="000000" w:themeColor="text1"/>
                <w:sz w:val="24"/>
                <w14:textFill>
                  <w14:solidFill>
                    <w14:schemeClr w14:val="tx1"/>
                  </w14:solidFill>
                </w14:textFill>
              </w:rPr>
            </w:pPr>
          </w:p>
          <w:p w14:paraId="7973876F">
            <w:pPr>
              <w:adjustRightInd w:val="0"/>
              <w:snapToGrid w:val="0"/>
              <w:spacing w:line="500" w:lineRule="exact"/>
              <w:rPr>
                <w:rFonts w:eastAsia="仿宋"/>
                <w:bCs/>
                <w:color w:val="000000" w:themeColor="text1"/>
                <w:sz w:val="24"/>
                <w14:textFill>
                  <w14:solidFill>
                    <w14:schemeClr w14:val="tx1"/>
                  </w14:solidFill>
                </w14:textFill>
              </w:rPr>
            </w:pPr>
          </w:p>
          <w:p w14:paraId="3A3CC69F">
            <w:pPr>
              <w:adjustRightInd w:val="0"/>
              <w:snapToGrid w:val="0"/>
              <w:spacing w:line="500" w:lineRule="exact"/>
              <w:rPr>
                <w:rFonts w:eastAsia="仿宋"/>
                <w:bCs/>
                <w:color w:val="000000" w:themeColor="text1"/>
                <w:sz w:val="24"/>
                <w14:textFill>
                  <w14:solidFill>
                    <w14:schemeClr w14:val="tx1"/>
                  </w14:solidFill>
                </w14:textFill>
              </w:rPr>
            </w:pPr>
          </w:p>
          <w:p w14:paraId="398BE5D1">
            <w:pPr>
              <w:adjustRightInd w:val="0"/>
              <w:snapToGrid w:val="0"/>
              <w:spacing w:line="500" w:lineRule="exact"/>
              <w:rPr>
                <w:rFonts w:eastAsia="仿宋"/>
                <w:bCs/>
                <w:color w:val="000000" w:themeColor="text1"/>
                <w:sz w:val="24"/>
                <w14:textFill>
                  <w14:solidFill>
                    <w14:schemeClr w14:val="tx1"/>
                  </w14:solidFill>
                </w14:textFill>
              </w:rPr>
            </w:pPr>
          </w:p>
          <w:p w14:paraId="5C14EAA3">
            <w:pPr>
              <w:adjustRightInd w:val="0"/>
              <w:snapToGrid w:val="0"/>
              <w:spacing w:line="500" w:lineRule="exact"/>
              <w:rPr>
                <w:rFonts w:eastAsia="仿宋"/>
                <w:bCs/>
                <w:color w:val="000000" w:themeColor="text1"/>
                <w:sz w:val="24"/>
                <w14:textFill>
                  <w14:solidFill>
                    <w14:schemeClr w14:val="tx1"/>
                  </w14:solidFill>
                </w14:textFill>
              </w:rPr>
            </w:pPr>
          </w:p>
          <w:p w14:paraId="58285804">
            <w:pPr>
              <w:adjustRightInd w:val="0"/>
              <w:snapToGrid w:val="0"/>
              <w:spacing w:line="500" w:lineRule="exact"/>
              <w:rPr>
                <w:rFonts w:eastAsia="仿宋"/>
                <w:bCs/>
                <w:color w:val="000000" w:themeColor="text1"/>
                <w:sz w:val="24"/>
                <w14:textFill>
                  <w14:solidFill>
                    <w14:schemeClr w14:val="tx1"/>
                  </w14:solidFill>
                </w14:textFill>
              </w:rPr>
            </w:pPr>
          </w:p>
          <w:p w14:paraId="10461BC2">
            <w:pPr>
              <w:adjustRightInd w:val="0"/>
              <w:snapToGrid w:val="0"/>
              <w:spacing w:line="500" w:lineRule="exact"/>
              <w:rPr>
                <w:rFonts w:eastAsia="仿宋"/>
                <w:bCs/>
                <w:color w:val="000000" w:themeColor="text1"/>
                <w:sz w:val="24"/>
                <w14:textFill>
                  <w14:solidFill>
                    <w14:schemeClr w14:val="tx1"/>
                  </w14:solidFill>
                </w14:textFill>
              </w:rPr>
            </w:pPr>
          </w:p>
        </w:tc>
      </w:tr>
    </w:tbl>
    <w:p w14:paraId="5BC9B879">
      <w:pPr>
        <w:pStyle w:val="21"/>
        <w:rPr>
          <w:color w:val="000000" w:themeColor="text1"/>
          <w14:textFill>
            <w14:solidFill>
              <w14:schemeClr w14:val="tx1"/>
            </w14:solidFill>
          </w14:textFill>
        </w:rPr>
      </w:pPr>
      <w:r>
        <w:rPr>
          <w:color w:val="000000" w:themeColor="text1"/>
          <w14:textFill>
            <w14:solidFill>
              <w14:schemeClr w14:val="tx1"/>
            </w14:solidFill>
          </w14:textFill>
        </w:rPr>
        <w:t>三、区域环境质量现状、环境保护目标及评价标准</w:t>
      </w:r>
    </w:p>
    <w:tbl>
      <w:tblPr>
        <w:tblStyle w:val="24"/>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9072"/>
      </w:tblGrid>
      <w:tr w14:paraId="18B0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1" w:hRule="atLeast"/>
          <w:jc w:val="center"/>
        </w:trPr>
        <w:tc>
          <w:tcPr>
            <w:tcW w:w="846" w:type="dxa"/>
            <w:vAlign w:val="center"/>
          </w:tcPr>
          <w:p w14:paraId="64B6E6D3">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区域环境质量现状</w:t>
            </w:r>
          </w:p>
        </w:tc>
        <w:tc>
          <w:tcPr>
            <w:tcW w:w="9072" w:type="dxa"/>
            <w:vAlign w:val="center"/>
          </w:tcPr>
          <w:p w14:paraId="57C229EE">
            <w:pPr>
              <w:spacing w:line="48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（一）地表水环境质量现状</w:t>
            </w:r>
          </w:p>
          <w:p w14:paraId="4ECF8446">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1、区域环境质量情况</w:t>
            </w:r>
          </w:p>
          <w:p w14:paraId="0A125217">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国考、省考断面水质达到或好于Ⅲ类比例超额完成省定考核要求，太湖常州水域连续16年实现安全度夏。长江干流（常州段）水质连续6年稳定II类水平，主要入湖河道、集中式饮用水源地水质达到省定考核目标。</w:t>
            </w:r>
          </w:p>
          <w:p w14:paraId="7BE3FBF7">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国省考断面：根据《2023年常州市生态环境状况公报》，2023年，常州市纳入“十四五”国家地表水环境考核的20个断面中，年均水质达到或好于《地表水环境质量标准》（GB3838-2002）Ⅲ类标准的断面比例为85%，无劣Ⅴ类断面。纳入江苏省“十四五”水环境质量目标考核51个断面，年均水质达到或好于Ⅲ类的比例为94.1%，无劣Ⅴ类断面。</w:t>
            </w:r>
          </w:p>
          <w:p w14:paraId="74463B19">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饮用水水源地：常州市城市饮用水以集中供水为主，根据《江苏省2023年水生态环境保护工作计划》(苏水治办[2023]1号)，2023年全市5个县级及以上城市集中式饮用水水源地（含备用），取水总量为5.11亿吨，各年各次监测均达标。</w:t>
            </w:r>
          </w:p>
          <w:p w14:paraId="45561E66">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长江干流（常州段）及主要通江支流：2023年，长江干流魏村（右岸）断面水质连续六年达到II类；新孟河、德胜河、澡港河等3条主要通江支流上5个国省考断面年均水质均达到或优于Ⅲ类。</w:t>
            </w:r>
          </w:p>
          <w:p w14:paraId="13D913B0">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太湖及入太河流：2023年，我市太湖湖心区断面自太湖治理以来首次达到地表水湖库Ⅲ类标准，其中总磷0.05mg/L，同比下降21.9%，高锰酸盐指数和氨氮分别达到II类和I类标准。太湖西部区断面总磷0.074mg/L，同比下降16.9%，高锰酸盐指数和氨氮分别达到II类和I类标准。武进港、漕桥河、太滆运河等3条主要入湖河道氮磷达到省定约束性考核目标。</w:t>
            </w:r>
          </w:p>
          <w:p w14:paraId="09D4F83E">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京杭大运河常州段：2023年，京杭大运河（常州段）沿线五牧、连江桥下、戚墅堰等3个国省考断面年均水质均达到或好于Ⅲ类。</w:t>
            </w:r>
          </w:p>
          <w:p w14:paraId="4A4429EE">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根据中共江苏省委、江苏省人民政府印发的《关于深入打好污染防治攻坚战的实施意见》，加强流域海域协同治理，深入打好碧水保卫战。到2025年，地表水国考断面水质优Ⅲ比例达90%以上，近岸海域水质优良（Ⅰ、Ⅱ类）比例达65%以上。</w:t>
            </w:r>
          </w:p>
          <w:p w14:paraId="34096D46">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持续打好长江保护修复攻坚战，到2025年长江干流水质稳定达到Ⅱ类；持续打好太湖流域综合整治攻坚战，坚决守住“确保饮用水安全，确保不发生大面积湖泛”底线；提升饮用水水源安全保障水平，完善集中式水源地保护区划分和长效管护机制，加强水源地预警监控能力建设；持续打好黑臭水体治理攻坚战，到2025年，苏南县级以上城市建成区80%以上面积，苏中、苏北县级以上城市建成区60%以上面积，建成“污水处理提质增效达标区”；着力打好海洋生态环境综合治理攻坚战，推进重点河口海湾综合治理，深入开展“美丽海湾”建设；强化陆域水域污染协同治理，到2025年，全面完成骨干河道和重点湖泊排污口排查整治。</w:t>
            </w:r>
          </w:p>
          <w:p w14:paraId="68B1D9CA">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2、环境质量现状监测</w:t>
            </w:r>
          </w:p>
          <w:p w14:paraId="09FCFF8A">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根据《江苏省地表水（环境）功能区划（2021-2030年）》规定，</w:t>
            </w:r>
            <w:r>
              <w:rPr>
                <w:rFonts w:hint="eastAsia" w:eastAsia="仿宋"/>
                <w:bCs/>
                <w:color w:val="000000" w:themeColor="text1"/>
                <w:sz w:val="24"/>
                <w14:textFill>
                  <w14:solidFill>
                    <w14:schemeClr w14:val="tx1"/>
                  </w14:solidFill>
                </w14:textFill>
              </w:rPr>
              <w:t>尧塘河</w:t>
            </w:r>
            <w:r>
              <w:rPr>
                <w:rFonts w:eastAsia="仿宋"/>
                <w:bCs/>
                <w:color w:val="000000" w:themeColor="text1"/>
                <w:sz w:val="24"/>
                <w14:textFill>
                  <w14:solidFill>
                    <w14:schemeClr w14:val="tx1"/>
                  </w14:solidFill>
                </w14:textFill>
              </w:rPr>
              <w:t>水质执行《地表水环境质量标准》（GB3838-2002）中</w:t>
            </w:r>
            <w:r>
              <w:rPr>
                <w:rFonts w:hint="eastAsia" w:eastAsia="仿宋"/>
                <w:bCs/>
                <w:color w:val="000000" w:themeColor="text1"/>
                <w:sz w:val="24"/>
                <w14:textFill>
                  <w14:solidFill>
                    <w14:schemeClr w14:val="tx1"/>
                  </w14:solidFill>
                </w14:textFill>
              </w:rPr>
              <w:t>Ⅲ</w:t>
            </w:r>
            <w:r>
              <w:rPr>
                <w:rFonts w:eastAsia="仿宋"/>
                <w:bCs/>
                <w:color w:val="000000" w:themeColor="text1"/>
                <w:sz w:val="24"/>
                <w14:textFill>
                  <w14:solidFill>
                    <w14:schemeClr w14:val="tx1"/>
                  </w14:solidFill>
                </w14:textFill>
              </w:rPr>
              <w:t>类水质标准。</w:t>
            </w:r>
          </w:p>
          <w:p w14:paraId="49E40CDA">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w:t>
            </w:r>
            <w:r>
              <w:rPr>
                <w:rFonts w:hint="eastAsia" w:eastAsia="仿宋"/>
                <w:bCs/>
                <w:color w:val="000000" w:themeColor="text1"/>
                <w:sz w:val="24"/>
                <w14:textFill>
                  <w14:solidFill>
                    <w14:schemeClr w14:val="tx1"/>
                  </w14:solidFill>
                </w14:textFill>
              </w:rPr>
              <w:t>生活污水依托现有厂区污水管网接入市政污水管网，最终排入金坛区第二污水处理厂集中处理，达标后尾水排入尧塘河，根据评价区域内水文特征，本项目</w:t>
            </w:r>
            <w:r>
              <w:rPr>
                <w:rFonts w:eastAsia="仿宋"/>
                <w:bCs/>
                <w:color w:val="000000" w:themeColor="text1"/>
                <w:sz w:val="24"/>
                <w14:textFill>
                  <w14:solidFill>
                    <w14:schemeClr w14:val="tx1"/>
                  </w14:solidFill>
                </w14:textFill>
              </w:rPr>
              <w:t>受污水体为</w:t>
            </w:r>
            <w:r>
              <w:rPr>
                <w:rFonts w:hint="eastAsia" w:eastAsia="仿宋"/>
                <w:bCs/>
                <w:color w:val="000000" w:themeColor="text1"/>
                <w:sz w:val="24"/>
                <w14:textFill>
                  <w14:solidFill>
                    <w14:schemeClr w14:val="tx1"/>
                  </w14:solidFill>
                </w14:textFill>
              </w:rPr>
              <w:t>尧塘河</w:t>
            </w:r>
            <w:r>
              <w:rPr>
                <w:rFonts w:eastAsia="仿宋"/>
                <w:bCs/>
                <w:color w:val="000000" w:themeColor="text1"/>
                <w:sz w:val="24"/>
                <w14:textFill>
                  <w14:solidFill>
                    <w14:schemeClr w14:val="tx1"/>
                  </w14:solidFill>
                </w14:textFill>
              </w:rPr>
              <w:t>，</w:t>
            </w:r>
            <w:r>
              <w:rPr>
                <w:rFonts w:hint="eastAsia" w:eastAsia="仿宋"/>
                <w:bCs/>
                <w:color w:val="000000" w:themeColor="text1"/>
                <w:sz w:val="24"/>
                <w14:textFill>
                  <w14:solidFill>
                    <w14:schemeClr w14:val="tx1"/>
                  </w14:solidFill>
                </w14:textFill>
              </w:rPr>
              <w:t>本项目地表水</w:t>
            </w:r>
            <w:r>
              <w:rPr>
                <w:rFonts w:eastAsia="仿宋"/>
                <w:bCs/>
                <w:color w:val="000000" w:themeColor="text1"/>
                <w:sz w:val="24"/>
                <w14:textFill>
                  <w14:solidFill>
                    <w14:schemeClr w14:val="tx1"/>
                  </w14:solidFill>
                </w14:textFill>
              </w:rPr>
              <w:t>水质引用</w:t>
            </w:r>
            <w:r>
              <w:rPr>
                <w:rFonts w:hint="eastAsia" w:eastAsia="仿宋"/>
                <w:bCs/>
                <w:color w:val="000000" w:themeColor="text1"/>
                <w:sz w:val="24"/>
                <w14:textFill>
                  <w14:solidFill>
                    <w14:schemeClr w14:val="tx1"/>
                  </w14:solidFill>
                </w14:textFill>
              </w:rPr>
              <w:t>江苏科发检测技术有限公司</w:t>
            </w:r>
            <w:r>
              <w:rPr>
                <w:rFonts w:eastAsia="仿宋"/>
                <w:bCs/>
                <w:color w:val="000000" w:themeColor="text1"/>
                <w:sz w:val="24"/>
                <w14:textFill>
                  <w14:solidFill>
                    <w14:schemeClr w14:val="tx1"/>
                  </w14:solidFill>
                </w14:textFill>
              </w:rPr>
              <w:t>于</w:t>
            </w:r>
            <w:r>
              <w:rPr>
                <w:rFonts w:hint="eastAsia" w:eastAsia="仿宋"/>
                <w:bCs/>
                <w:color w:val="000000" w:themeColor="text1"/>
                <w:sz w:val="24"/>
                <w14:textFill>
                  <w14:solidFill>
                    <w14:schemeClr w14:val="tx1"/>
                  </w14:solidFill>
                </w14:textFill>
              </w:rPr>
              <w:t>202</w:t>
            </w:r>
            <w:r>
              <w:rPr>
                <w:rFonts w:eastAsia="仿宋"/>
                <w:bCs/>
                <w:color w:val="000000" w:themeColor="text1"/>
                <w:sz w:val="24"/>
                <w14:textFill>
                  <w14:solidFill>
                    <w14:schemeClr w14:val="tx1"/>
                  </w14:solidFill>
                </w14:textFill>
              </w:rPr>
              <w:t>4</w:t>
            </w:r>
            <w:r>
              <w:rPr>
                <w:rFonts w:hint="eastAsia" w:eastAsia="仿宋"/>
                <w:bCs/>
                <w:color w:val="000000" w:themeColor="text1"/>
                <w:sz w:val="24"/>
                <w14:textFill>
                  <w14:solidFill>
                    <w14:schemeClr w14:val="tx1"/>
                  </w14:solidFill>
                </w14:textFill>
              </w:rPr>
              <w:t>年</w:t>
            </w:r>
            <w:r>
              <w:rPr>
                <w:rFonts w:eastAsia="仿宋"/>
                <w:bCs/>
                <w:color w:val="000000" w:themeColor="text1"/>
                <w:sz w:val="24"/>
                <w14:textFill>
                  <w14:solidFill>
                    <w14:schemeClr w14:val="tx1"/>
                  </w14:solidFill>
                </w14:textFill>
              </w:rPr>
              <w:t>8</w:t>
            </w:r>
            <w:r>
              <w:rPr>
                <w:rFonts w:hint="eastAsia" w:eastAsia="仿宋"/>
                <w:bCs/>
                <w:color w:val="000000" w:themeColor="text1"/>
                <w:sz w:val="24"/>
                <w14:textFill>
                  <w14:solidFill>
                    <w14:schemeClr w14:val="tx1"/>
                  </w14:solidFill>
                </w14:textFill>
              </w:rPr>
              <w:t>月</w:t>
            </w:r>
            <w:r>
              <w:rPr>
                <w:rFonts w:eastAsia="仿宋"/>
                <w:bCs/>
                <w:color w:val="000000" w:themeColor="text1"/>
                <w:sz w:val="24"/>
                <w14:textFill>
                  <w14:solidFill>
                    <w14:schemeClr w14:val="tx1"/>
                  </w14:solidFill>
                </w14:textFill>
              </w:rPr>
              <w:t>27</w:t>
            </w:r>
            <w:r>
              <w:rPr>
                <w:rFonts w:hint="eastAsia" w:eastAsia="仿宋"/>
                <w:bCs/>
                <w:color w:val="000000" w:themeColor="text1"/>
                <w:sz w:val="24"/>
                <w14:textFill>
                  <w14:solidFill>
                    <w14:schemeClr w14:val="tx1"/>
                  </w14:solidFill>
                </w14:textFill>
              </w:rPr>
              <w:t>日</w:t>
            </w:r>
            <w:r>
              <w:rPr>
                <w:rFonts w:eastAsia="仿宋"/>
                <w:bCs/>
                <w:color w:val="000000" w:themeColor="text1"/>
                <w:sz w:val="24"/>
                <w14:textFill>
                  <w14:solidFill>
                    <w14:schemeClr w14:val="tx1"/>
                  </w14:solidFill>
                </w14:textFill>
              </w:rPr>
              <w:t>至</w:t>
            </w:r>
            <w:r>
              <w:rPr>
                <w:rFonts w:hint="eastAsia" w:eastAsia="仿宋"/>
                <w:bCs/>
                <w:color w:val="000000" w:themeColor="text1"/>
                <w:sz w:val="24"/>
                <w14:textFill>
                  <w14:solidFill>
                    <w14:schemeClr w14:val="tx1"/>
                  </w14:solidFill>
                </w14:textFill>
              </w:rPr>
              <w:t>8</w:t>
            </w:r>
            <w:r>
              <w:rPr>
                <w:rFonts w:eastAsia="仿宋"/>
                <w:bCs/>
                <w:color w:val="000000" w:themeColor="text1"/>
                <w:sz w:val="24"/>
                <w14:textFill>
                  <w14:solidFill>
                    <w14:schemeClr w14:val="tx1"/>
                  </w14:solidFill>
                </w14:textFill>
              </w:rPr>
              <w:t>月29日对</w:t>
            </w:r>
            <w:r>
              <w:rPr>
                <w:rFonts w:hint="eastAsia" w:eastAsia="仿宋"/>
                <w:bCs/>
                <w:color w:val="000000" w:themeColor="text1"/>
                <w:sz w:val="24"/>
                <w14:textFill>
                  <w14:solidFill>
                    <w14:schemeClr w14:val="tx1"/>
                  </w14:solidFill>
                </w14:textFill>
              </w:rPr>
              <w:t>常州金坛区第二</w:t>
            </w:r>
            <w:r>
              <w:rPr>
                <w:rFonts w:hint="eastAsia" w:eastAsia="仿宋"/>
                <w:color w:val="000000" w:themeColor="text1"/>
                <w:sz w:val="24"/>
                <w14:textFill>
                  <w14:solidFill>
                    <w14:schemeClr w14:val="tx1"/>
                  </w14:solidFill>
                </w14:textFill>
              </w:rPr>
              <w:t>污水处理厂排口上游5</w:t>
            </w:r>
            <w:r>
              <w:rPr>
                <w:rFonts w:eastAsia="仿宋"/>
                <w:color w:val="000000" w:themeColor="text1"/>
                <w:sz w:val="24"/>
                <w14:textFill>
                  <w14:solidFill>
                    <w14:schemeClr w14:val="tx1"/>
                  </w14:solidFill>
                </w14:textFill>
              </w:rPr>
              <w:t>00m</w:t>
            </w:r>
            <w:r>
              <w:rPr>
                <w:rFonts w:eastAsia="仿宋"/>
                <w:bCs/>
                <w:color w:val="000000" w:themeColor="text1"/>
                <w:sz w:val="24"/>
                <w14:textFill>
                  <w14:solidFill>
                    <w14:schemeClr w14:val="tx1"/>
                  </w14:solidFill>
                </w14:textFill>
              </w:rPr>
              <w:t>（W1）、</w:t>
            </w:r>
            <w:r>
              <w:rPr>
                <w:rFonts w:hint="eastAsia" w:eastAsia="仿宋"/>
                <w:bCs/>
                <w:color w:val="000000" w:themeColor="text1"/>
                <w:sz w:val="24"/>
                <w14:textFill>
                  <w14:solidFill>
                    <w14:schemeClr w14:val="tx1"/>
                  </w14:solidFill>
                </w14:textFill>
              </w:rPr>
              <w:t>常州金坛区第二污水处理厂排口下游2</w:t>
            </w:r>
            <w:r>
              <w:rPr>
                <w:rFonts w:eastAsia="仿宋"/>
                <w:bCs/>
                <w:color w:val="000000" w:themeColor="text1"/>
                <w:sz w:val="24"/>
                <w14:textFill>
                  <w14:solidFill>
                    <w14:schemeClr w14:val="tx1"/>
                  </w14:solidFill>
                </w14:textFill>
              </w:rPr>
              <w:t>000m（W2）</w:t>
            </w:r>
            <w:r>
              <w:rPr>
                <w:rFonts w:hint="eastAsia" w:eastAsia="仿宋"/>
                <w:bCs/>
                <w:color w:val="000000" w:themeColor="text1"/>
                <w:sz w:val="24"/>
                <w14:textFill>
                  <w14:solidFill>
                    <w14:schemeClr w14:val="tx1"/>
                  </w14:solidFill>
                </w14:textFill>
              </w:rPr>
              <w:t>两</w:t>
            </w:r>
            <w:r>
              <w:rPr>
                <w:rFonts w:eastAsia="仿宋"/>
                <w:bCs/>
                <w:color w:val="000000" w:themeColor="text1"/>
                <w:sz w:val="24"/>
                <w14:textFill>
                  <w14:solidFill>
                    <w14:schemeClr w14:val="tx1"/>
                  </w14:solidFill>
                </w14:textFill>
              </w:rPr>
              <w:t>个断面进行的地表水监测数据，报告编号为：JSKF240697001。</w:t>
            </w:r>
          </w:p>
          <w:p w14:paraId="4CCDD81E">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引用数据有效性分析：</w:t>
            </w:r>
            <w:r>
              <w:rPr>
                <w:rFonts w:hint="eastAsia" w:eastAsia="仿宋"/>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本项目引用数据为2024</w:t>
            </w:r>
            <w:r>
              <w:rPr>
                <w:rFonts w:hint="eastAsia" w:eastAsia="仿宋"/>
                <w:bCs/>
                <w:color w:val="000000" w:themeColor="text1"/>
                <w:sz w:val="24"/>
                <w14:textFill>
                  <w14:solidFill>
                    <w14:schemeClr w14:val="tx1"/>
                  </w14:solidFill>
                </w14:textFill>
              </w:rPr>
              <w:t>年</w:t>
            </w:r>
            <w:r>
              <w:rPr>
                <w:rFonts w:eastAsia="仿宋"/>
                <w:bCs/>
                <w:color w:val="000000" w:themeColor="text1"/>
                <w:sz w:val="24"/>
                <w14:textFill>
                  <w14:solidFill>
                    <w14:schemeClr w14:val="tx1"/>
                  </w14:solidFill>
                </w14:textFill>
              </w:rPr>
              <w:t>8</w:t>
            </w:r>
            <w:r>
              <w:rPr>
                <w:rFonts w:hint="eastAsia" w:eastAsia="仿宋"/>
                <w:bCs/>
                <w:color w:val="000000" w:themeColor="text1"/>
                <w:sz w:val="24"/>
                <w14:textFill>
                  <w14:solidFill>
                    <w14:schemeClr w14:val="tx1"/>
                  </w14:solidFill>
                </w14:textFill>
              </w:rPr>
              <w:t>月</w:t>
            </w:r>
            <w:r>
              <w:rPr>
                <w:rFonts w:hint="eastAsia" w:eastAsia="仿宋"/>
                <w:bCs/>
                <w:color w:val="000000" w:themeColor="text1"/>
                <w:sz w:val="24"/>
                <w:lang w:val="en-US" w:eastAsia="zh-CN"/>
                <w14:textFill>
                  <w14:solidFill>
                    <w14:schemeClr w14:val="tx1"/>
                  </w14:solidFill>
                </w14:textFill>
              </w:rPr>
              <w:t>2</w:t>
            </w:r>
            <w:bookmarkStart w:id="49" w:name="_GoBack"/>
            <w:bookmarkEnd w:id="49"/>
            <w:r>
              <w:rPr>
                <w:rFonts w:eastAsia="仿宋"/>
                <w:bCs/>
                <w:color w:val="000000" w:themeColor="text1"/>
                <w:sz w:val="24"/>
                <w14:textFill>
                  <w14:solidFill>
                    <w14:schemeClr w14:val="tx1"/>
                  </w14:solidFill>
                </w14:textFill>
              </w:rPr>
              <w:t>7</w:t>
            </w:r>
            <w:r>
              <w:rPr>
                <w:rFonts w:hint="eastAsia" w:eastAsia="仿宋"/>
                <w:bCs/>
                <w:color w:val="000000" w:themeColor="text1"/>
                <w:sz w:val="24"/>
                <w14:textFill>
                  <w14:solidFill>
                    <w14:schemeClr w14:val="tx1"/>
                  </w14:solidFill>
                </w14:textFill>
              </w:rPr>
              <w:t>日</w:t>
            </w:r>
            <w:r>
              <w:rPr>
                <w:rFonts w:eastAsia="仿宋"/>
                <w:bCs/>
                <w:color w:val="000000" w:themeColor="text1"/>
                <w:sz w:val="24"/>
                <w14:textFill>
                  <w14:solidFill>
                    <w14:schemeClr w14:val="tx1"/>
                  </w14:solidFill>
                </w14:textFill>
              </w:rPr>
              <w:t>至8月29日，地表水质量现状的检测数据，引用时间不超过3年，则地表水引用时间有效；</w:t>
            </w:r>
            <w:r>
              <w:rPr>
                <w:rFonts w:hint="eastAsia" w:eastAsia="仿宋"/>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项目所在周边2.5公里范围内无新建、拟建、在建的重点排污企业，因此项目周边区域内污染源未发生重大变化，则地表水引用数据有效；</w:t>
            </w:r>
            <w:r>
              <w:rPr>
                <w:rFonts w:hint="eastAsia" w:eastAsia="仿宋"/>
                <w:bCs/>
                <w:color w:val="000000" w:themeColor="text1"/>
                <w:sz w:val="24"/>
                <w14:textFill>
                  <w14:solidFill>
                    <w14:schemeClr w14:val="tx1"/>
                  </w14:solidFill>
                </w14:textFill>
              </w:rPr>
              <w:t>③</w:t>
            </w:r>
            <w:r>
              <w:rPr>
                <w:rFonts w:eastAsia="仿宋"/>
                <w:bCs/>
                <w:color w:val="000000" w:themeColor="text1"/>
                <w:sz w:val="24"/>
                <w14:textFill>
                  <w14:solidFill>
                    <w14:schemeClr w14:val="tx1"/>
                  </w14:solidFill>
                </w14:textFill>
              </w:rPr>
              <w:t>引用点位在项目相关评价范围内，则地表水引用点位有效。</w:t>
            </w:r>
          </w:p>
          <w:p w14:paraId="0FE8D756">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w:t>
            </w:r>
            <w:r>
              <w:rPr>
                <w:rFonts w:hint="eastAsia" w:eastAsia="仿宋"/>
                <w:bCs/>
                <w:color w:val="000000" w:themeColor="text1"/>
                <w:sz w:val="24"/>
                <w14:textFill>
                  <w14:solidFill>
                    <w14:schemeClr w14:val="tx1"/>
                  </w14:solidFill>
                </w14:textFill>
              </w:rPr>
              <w:t>江苏科发检测技术有限公司</w:t>
            </w:r>
            <w:r>
              <w:rPr>
                <w:rFonts w:eastAsia="仿宋"/>
                <w:bCs/>
                <w:color w:val="000000" w:themeColor="text1"/>
                <w:sz w:val="24"/>
                <w14:textFill>
                  <w14:solidFill>
                    <w14:schemeClr w14:val="tx1"/>
                  </w14:solidFill>
                </w14:textFill>
              </w:rPr>
              <w:t>出具的引用《检测报告》（编号：JSKF240697001）中现状监测数据，具体监测结果见下表。</w:t>
            </w:r>
          </w:p>
          <w:p w14:paraId="6BB7DD58">
            <w:pPr>
              <w:spacing w:line="480" w:lineRule="exact"/>
              <w:jc w:val="center"/>
              <w:rPr>
                <w:rFonts w:eastAsia="仿宋"/>
                <w:b/>
                <w:color w:val="000000" w:themeColor="text1"/>
                <w:szCs w:val="21"/>
                <w14:textFill>
                  <w14:solidFill>
                    <w14:schemeClr w14:val="tx1"/>
                  </w14:solidFill>
                </w14:textFill>
              </w:rPr>
            </w:pPr>
          </w:p>
          <w:p w14:paraId="08CC9AE0">
            <w:pPr>
              <w:spacing w:line="480" w:lineRule="exact"/>
              <w:jc w:val="center"/>
              <w:rPr>
                <w:rFonts w:eastAsia="仿宋"/>
                <w:b/>
                <w:color w:val="000000" w:themeColor="text1"/>
                <w:szCs w:val="21"/>
                <w14:textFill>
                  <w14:solidFill>
                    <w14:schemeClr w14:val="tx1"/>
                  </w14:solidFill>
                </w14:textFill>
              </w:rPr>
            </w:pPr>
          </w:p>
          <w:p w14:paraId="3379D13E">
            <w:pPr>
              <w:spacing w:line="480" w:lineRule="exact"/>
              <w:jc w:val="center"/>
              <w:rPr>
                <w:rFonts w:eastAsia="仿宋"/>
                <w:b/>
                <w:color w:val="000000" w:themeColor="text1"/>
                <w:szCs w:val="21"/>
                <w14:textFill>
                  <w14:solidFill>
                    <w14:schemeClr w14:val="tx1"/>
                  </w14:solidFill>
                </w14:textFill>
              </w:rPr>
            </w:pPr>
          </w:p>
          <w:p w14:paraId="7299A8F3">
            <w:pPr>
              <w:spacing w:line="480" w:lineRule="exact"/>
              <w:jc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表3</w:t>
            </w:r>
            <w:r>
              <w:rPr>
                <w:rFonts w:eastAsia="仿宋"/>
                <w:b/>
                <w:color w:val="000000" w:themeColor="text1"/>
                <w:szCs w:val="21"/>
                <w14:textFill>
                  <w14:solidFill>
                    <w14:schemeClr w14:val="tx1"/>
                  </w14:solidFill>
                </w14:textFill>
              </w:rPr>
              <w:t>-1 地表水现状评价结果统计表 单位：mg/L</w:t>
            </w:r>
          </w:p>
          <w:tbl>
            <w:tblPr>
              <w:tblStyle w:val="24"/>
              <w:tblW w:w="86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844"/>
              <w:gridCol w:w="1056"/>
              <w:gridCol w:w="1276"/>
              <w:gridCol w:w="707"/>
              <w:gridCol w:w="708"/>
              <w:gridCol w:w="700"/>
              <w:gridCol w:w="963"/>
              <w:gridCol w:w="799"/>
              <w:gridCol w:w="849"/>
            </w:tblGrid>
            <w:tr w14:paraId="43C85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top w:val="single" w:color="auto" w:sz="4" w:space="0"/>
                    <w:left w:val="single" w:color="auto" w:sz="4" w:space="0"/>
                    <w:bottom w:val="single" w:color="auto" w:sz="4" w:space="0"/>
                    <w:right w:val="single" w:color="auto" w:sz="4" w:space="0"/>
                  </w:tcBorders>
                  <w:vAlign w:val="center"/>
                </w:tcPr>
                <w:p w14:paraId="0BF360A6">
                  <w:pPr>
                    <w:widowControl/>
                    <w:jc w:val="center"/>
                    <w:rPr>
                      <w:rFonts w:eastAsia="仿宋"/>
                      <w:b/>
                      <w:color w:val="000000" w:themeColor="text1"/>
                      <w:szCs w:val="21"/>
                      <w14:textFill>
                        <w14:solidFill>
                          <w14:schemeClr w14:val="tx1"/>
                        </w14:solidFill>
                      </w14:textFill>
                    </w:rPr>
                  </w:pPr>
                  <w:r>
                    <w:rPr>
                      <w:rFonts w:ascii="仿宋" w:hAnsi="仿宋" w:eastAsia="仿宋"/>
                      <w:b/>
                      <w:color w:val="000000" w:themeColor="text1"/>
                      <w14:textFill>
                        <w14:solidFill>
                          <w14:schemeClr w14:val="tx1"/>
                        </w14:solidFill>
                      </w14:textFill>
                    </w:rPr>
                    <w:t>河流名称</w:t>
                  </w:r>
                </w:p>
              </w:tc>
              <w:tc>
                <w:tcPr>
                  <w:tcW w:w="844" w:type="dxa"/>
                  <w:vMerge w:val="restart"/>
                  <w:tcBorders>
                    <w:top w:val="single" w:color="auto" w:sz="4" w:space="0"/>
                    <w:left w:val="single" w:color="auto" w:sz="4" w:space="0"/>
                    <w:bottom w:val="single" w:color="auto" w:sz="4" w:space="0"/>
                    <w:right w:val="single" w:color="auto" w:sz="4" w:space="0"/>
                  </w:tcBorders>
                  <w:noWrap/>
                  <w:vAlign w:val="center"/>
                </w:tcPr>
                <w:p w14:paraId="12CF8937">
                  <w:pPr>
                    <w:widowControl/>
                    <w:jc w:val="center"/>
                    <w:rPr>
                      <w:rFonts w:eastAsia="仿宋"/>
                      <w:b/>
                      <w:color w:val="000000" w:themeColor="text1"/>
                      <w14:textFill>
                        <w14:solidFill>
                          <w14:schemeClr w14:val="tx1"/>
                        </w14:solidFill>
                      </w14:textFill>
                    </w:rPr>
                  </w:pPr>
                  <w:r>
                    <w:rPr>
                      <w:rFonts w:ascii="仿宋" w:hAnsi="仿宋" w:eastAsia="仿宋"/>
                      <w:b/>
                      <w:color w:val="000000" w:themeColor="text1"/>
                      <w14:textFill>
                        <w14:solidFill>
                          <w14:schemeClr w14:val="tx1"/>
                        </w14:solidFill>
                      </w14:textFill>
                    </w:rPr>
                    <w:t>断面编号</w:t>
                  </w:r>
                </w:p>
              </w:tc>
              <w:tc>
                <w:tcPr>
                  <w:tcW w:w="1056" w:type="dxa"/>
                  <w:vMerge w:val="restart"/>
                  <w:tcBorders>
                    <w:top w:val="single" w:color="auto" w:sz="4" w:space="0"/>
                    <w:left w:val="single" w:color="auto" w:sz="4" w:space="0"/>
                    <w:bottom w:val="single" w:color="auto" w:sz="4" w:space="0"/>
                    <w:right w:val="single" w:color="auto" w:sz="4" w:space="0"/>
                  </w:tcBorders>
                  <w:vAlign w:val="center"/>
                </w:tcPr>
                <w:p w14:paraId="3ECFAC57">
                  <w:pPr>
                    <w:widowControl/>
                    <w:jc w:val="center"/>
                    <w:rPr>
                      <w:rFonts w:eastAsia="仿宋"/>
                      <w:b/>
                      <w:color w:val="000000" w:themeColor="text1"/>
                      <w14:textFill>
                        <w14:solidFill>
                          <w14:schemeClr w14:val="tx1"/>
                        </w14:solidFill>
                      </w14:textFill>
                    </w:rPr>
                  </w:pPr>
                  <w:r>
                    <w:rPr>
                      <w:rFonts w:ascii="仿宋" w:hAnsi="仿宋" w:eastAsia="仿宋"/>
                      <w:b/>
                      <w:color w:val="000000" w:themeColor="text1"/>
                      <w14:textFill>
                        <w14:solidFill>
                          <w14:schemeClr w14:val="tx1"/>
                        </w14:solidFill>
                      </w14:textFill>
                    </w:rPr>
                    <w:t>采样日期</w:t>
                  </w:r>
                </w:p>
              </w:tc>
              <w:tc>
                <w:tcPr>
                  <w:tcW w:w="6002" w:type="dxa"/>
                  <w:gridSpan w:val="7"/>
                  <w:tcBorders>
                    <w:top w:val="single" w:color="auto" w:sz="4" w:space="0"/>
                    <w:left w:val="single" w:color="auto" w:sz="4" w:space="0"/>
                    <w:bottom w:val="single" w:color="auto" w:sz="4" w:space="0"/>
                    <w:right w:val="single" w:color="auto" w:sz="4" w:space="0"/>
                  </w:tcBorders>
                  <w:vAlign w:val="center"/>
                </w:tcPr>
                <w:p w14:paraId="401369A3">
                  <w:pPr>
                    <w:widowControl/>
                    <w:jc w:val="center"/>
                    <w:rPr>
                      <w:rFonts w:eastAsia="仿宋"/>
                      <w:b/>
                      <w:color w:val="000000" w:themeColor="text1"/>
                      <w14:textFill>
                        <w14:solidFill>
                          <w14:schemeClr w14:val="tx1"/>
                        </w14:solidFill>
                      </w14:textFill>
                    </w:rPr>
                  </w:pPr>
                  <w:r>
                    <w:rPr>
                      <w:rFonts w:ascii="仿宋" w:hAnsi="仿宋" w:eastAsia="仿宋"/>
                      <w:b/>
                      <w:color w:val="000000" w:themeColor="text1"/>
                      <w14:textFill>
                        <w14:solidFill>
                          <w14:schemeClr w14:val="tx1"/>
                        </w14:solidFill>
                      </w14:textFill>
                    </w:rPr>
                    <w:t>监测因子</w:t>
                  </w:r>
                </w:p>
              </w:tc>
            </w:tr>
            <w:tr w14:paraId="7E3DF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top w:val="single" w:color="auto" w:sz="4" w:space="0"/>
                    <w:left w:val="single" w:color="auto" w:sz="4" w:space="0"/>
                    <w:bottom w:val="single" w:color="auto" w:sz="4" w:space="0"/>
                    <w:right w:val="single" w:color="auto" w:sz="4" w:space="0"/>
                  </w:tcBorders>
                  <w:vAlign w:val="center"/>
                </w:tcPr>
                <w:p w14:paraId="77F7E882">
                  <w:pPr>
                    <w:widowControl/>
                    <w:jc w:val="center"/>
                    <w:rPr>
                      <w:rFonts w:eastAsia="仿宋"/>
                      <w:b/>
                      <w:color w:val="000000" w:themeColor="text1"/>
                      <w:szCs w:val="21"/>
                      <w14:textFill>
                        <w14:solidFill>
                          <w14:schemeClr w14:val="tx1"/>
                        </w14:solidFill>
                      </w14:textFill>
                    </w:rPr>
                  </w:pPr>
                </w:p>
              </w:tc>
              <w:tc>
                <w:tcPr>
                  <w:tcW w:w="844" w:type="dxa"/>
                  <w:vMerge w:val="continue"/>
                  <w:tcBorders>
                    <w:top w:val="single" w:color="auto" w:sz="4" w:space="0"/>
                    <w:left w:val="single" w:color="auto" w:sz="4" w:space="0"/>
                    <w:bottom w:val="single" w:color="auto" w:sz="4" w:space="0"/>
                    <w:right w:val="single" w:color="auto" w:sz="4" w:space="0"/>
                  </w:tcBorders>
                  <w:vAlign w:val="center"/>
                </w:tcPr>
                <w:p w14:paraId="7C9FC466">
                  <w:pPr>
                    <w:widowControl/>
                    <w:jc w:val="center"/>
                    <w:rPr>
                      <w:rFonts w:eastAsia="仿宋"/>
                      <w:b/>
                      <w:color w:val="000000" w:themeColor="text1"/>
                      <w:szCs w:val="21"/>
                      <w14:textFill>
                        <w14:solidFill>
                          <w14:schemeClr w14:val="tx1"/>
                        </w14:solidFill>
                      </w14:textFill>
                    </w:rPr>
                  </w:pPr>
                </w:p>
              </w:tc>
              <w:tc>
                <w:tcPr>
                  <w:tcW w:w="1056" w:type="dxa"/>
                  <w:vMerge w:val="continue"/>
                  <w:tcBorders>
                    <w:top w:val="single" w:color="auto" w:sz="4" w:space="0"/>
                    <w:left w:val="single" w:color="auto" w:sz="4" w:space="0"/>
                    <w:bottom w:val="single" w:color="auto" w:sz="4" w:space="0"/>
                    <w:right w:val="single" w:color="auto" w:sz="4" w:space="0"/>
                  </w:tcBorders>
                  <w:vAlign w:val="center"/>
                </w:tcPr>
                <w:p w14:paraId="183E82F4">
                  <w:pPr>
                    <w:widowControl/>
                    <w:jc w:val="center"/>
                    <w:rPr>
                      <w:rFonts w:eastAsia="仿宋"/>
                      <w:b/>
                      <w:color w:val="000000" w:themeColor="text1"/>
                      <w:szCs w:val="2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313294E5">
                  <w:pPr>
                    <w:widowControl/>
                    <w:jc w:val="center"/>
                    <w:rPr>
                      <w:rFonts w:eastAsia="仿宋"/>
                      <w:b/>
                      <w:color w:val="000000" w:themeColor="text1"/>
                      <w14:textFill>
                        <w14:solidFill>
                          <w14:schemeClr w14:val="tx1"/>
                        </w14:solidFill>
                      </w14:textFill>
                    </w:rPr>
                  </w:pPr>
                  <w:r>
                    <w:rPr>
                      <w:rFonts w:eastAsia="仿宋"/>
                      <w:b/>
                      <w:color w:val="000000" w:themeColor="text1"/>
                      <w14:textFill>
                        <w14:solidFill>
                          <w14:schemeClr w14:val="tx1"/>
                        </w14:solidFill>
                      </w14:textFill>
                    </w:rPr>
                    <w:t>pH</w:t>
                  </w:r>
                  <w:r>
                    <w:rPr>
                      <w:rFonts w:ascii="仿宋" w:hAnsi="仿宋" w:eastAsia="仿宋"/>
                      <w:b/>
                      <w:color w:val="000000" w:themeColor="text1"/>
                      <w14:textFill>
                        <w14:solidFill>
                          <w14:schemeClr w14:val="tx1"/>
                        </w14:solidFill>
                      </w14:textFill>
                    </w:rPr>
                    <w:t>值（无量纲）</w:t>
                  </w:r>
                </w:p>
              </w:tc>
              <w:tc>
                <w:tcPr>
                  <w:tcW w:w="707" w:type="dxa"/>
                  <w:tcBorders>
                    <w:top w:val="single" w:color="auto" w:sz="4" w:space="0"/>
                    <w:left w:val="single" w:color="auto" w:sz="4" w:space="0"/>
                    <w:bottom w:val="single" w:color="auto" w:sz="4" w:space="0"/>
                    <w:right w:val="single" w:color="auto" w:sz="4" w:space="0"/>
                  </w:tcBorders>
                  <w:vAlign w:val="center"/>
                </w:tcPr>
                <w:p w14:paraId="7C86EF40">
                  <w:pPr>
                    <w:widowControl/>
                    <w:jc w:val="center"/>
                    <w:rPr>
                      <w:rFonts w:eastAsia="仿宋"/>
                      <w:b/>
                      <w:color w:val="000000" w:themeColor="text1"/>
                      <w14:textFill>
                        <w14:solidFill>
                          <w14:schemeClr w14:val="tx1"/>
                        </w14:solidFill>
                      </w14:textFill>
                    </w:rPr>
                  </w:pPr>
                  <w:r>
                    <w:rPr>
                      <w:rFonts w:eastAsia="仿宋"/>
                      <w:b/>
                      <w:color w:val="000000" w:themeColor="text1"/>
                      <w14:textFill>
                        <w14:solidFill>
                          <w14:schemeClr w14:val="tx1"/>
                        </w14:solidFill>
                      </w14:textFill>
                    </w:rPr>
                    <w:t>COD</w:t>
                  </w:r>
                </w:p>
              </w:tc>
              <w:tc>
                <w:tcPr>
                  <w:tcW w:w="708" w:type="dxa"/>
                  <w:tcBorders>
                    <w:top w:val="single" w:color="auto" w:sz="4" w:space="0"/>
                    <w:left w:val="single" w:color="auto" w:sz="4" w:space="0"/>
                    <w:bottom w:val="single" w:color="auto" w:sz="4" w:space="0"/>
                    <w:right w:val="single" w:color="auto" w:sz="4" w:space="0"/>
                  </w:tcBorders>
                  <w:noWrap/>
                  <w:vAlign w:val="center"/>
                </w:tcPr>
                <w:p w14:paraId="5F957730">
                  <w:pPr>
                    <w:widowControl/>
                    <w:adjustRightInd w:val="0"/>
                    <w:jc w:val="center"/>
                    <w:rPr>
                      <w:rFonts w:eastAsia="仿宋"/>
                      <w:b/>
                      <w:color w:val="000000" w:themeColor="text1"/>
                      <w14:textFill>
                        <w14:solidFill>
                          <w14:schemeClr w14:val="tx1"/>
                        </w14:solidFill>
                      </w14:textFill>
                    </w:rPr>
                  </w:pPr>
                  <w:r>
                    <w:rPr>
                      <w:rFonts w:ascii="仿宋" w:hAnsi="仿宋" w:eastAsia="仿宋"/>
                      <w:b/>
                      <w:color w:val="000000" w:themeColor="text1"/>
                      <w14:textFill>
                        <w14:solidFill>
                          <w14:schemeClr w14:val="tx1"/>
                        </w14:solidFill>
                      </w14:textFill>
                    </w:rPr>
                    <w:t>氨氮</w:t>
                  </w:r>
                </w:p>
              </w:tc>
              <w:tc>
                <w:tcPr>
                  <w:tcW w:w="700" w:type="dxa"/>
                  <w:tcBorders>
                    <w:top w:val="single" w:color="auto" w:sz="4" w:space="0"/>
                    <w:left w:val="single" w:color="auto" w:sz="4" w:space="0"/>
                    <w:bottom w:val="single" w:color="auto" w:sz="4" w:space="0"/>
                    <w:right w:val="single" w:color="auto" w:sz="4" w:space="0"/>
                  </w:tcBorders>
                  <w:vAlign w:val="center"/>
                </w:tcPr>
                <w:p w14:paraId="040A5FE8">
                  <w:pPr>
                    <w:widowControl/>
                    <w:adjustRightInd w:val="0"/>
                    <w:jc w:val="center"/>
                    <w:rPr>
                      <w:rFonts w:eastAsia="仿宋"/>
                      <w:b/>
                      <w:color w:val="000000" w:themeColor="text1"/>
                      <w14:textFill>
                        <w14:solidFill>
                          <w14:schemeClr w14:val="tx1"/>
                        </w14:solidFill>
                      </w14:textFill>
                    </w:rPr>
                  </w:pPr>
                  <w:r>
                    <w:rPr>
                      <w:rFonts w:ascii="仿宋" w:hAnsi="仿宋" w:eastAsia="仿宋"/>
                      <w:b/>
                      <w:color w:val="000000" w:themeColor="text1"/>
                      <w14:textFill>
                        <w14:solidFill>
                          <w14:schemeClr w14:val="tx1"/>
                        </w14:solidFill>
                      </w14:textFill>
                    </w:rPr>
                    <w:t>总磷</w:t>
                  </w:r>
                </w:p>
              </w:tc>
              <w:tc>
                <w:tcPr>
                  <w:tcW w:w="963" w:type="dxa"/>
                  <w:tcBorders>
                    <w:top w:val="single" w:color="auto" w:sz="4" w:space="0"/>
                    <w:left w:val="single" w:color="auto" w:sz="4" w:space="0"/>
                    <w:bottom w:val="single" w:color="auto" w:sz="4" w:space="0"/>
                    <w:right w:val="single" w:color="auto" w:sz="4" w:space="0"/>
                  </w:tcBorders>
                  <w:vAlign w:val="center"/>
                </w:tcPr>
                <w:p w14:paraId="1D0DF73D">
                  <w:pPr>
                    <w:widowControl/>
                    <w:jc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高锰酸盐指数</w:t>
                  </w:r>
                </w:p>
              </w:tc>
              <w:tc>
                <w:tcPr>
                  <w:tcW w:w="799" w:type="dxa"/>
                  <w:tcBorders>
                    <w:top w:val="single" w:color="auto" w:sz="4" w:space="0"/>
                    <w:left w:val="single" w:color="auto" w:sz="4" w:space="0"/>
                    <w:bottom w:val="single" w:color="auto" w:sz="4" w:space="0"/>
                    <w:right w:val="single" w:color="auto" w:sz="4" w:space="0"/>
                  </w:tcBorders>
                  <w:vAlign w:val="center"/>
                </w:tcPr>
                <w:p w14:paraId="3BD29C3A">
                  <w:pPr>
                    <w:widowControl/>
                    <w:adjustRightInd w:val="0"/>
                    <w:jc w:val="center"/>
                    <w:rPr>
                      <w:rFonts w:eastAsia="仿宋"/>
                      <w:b/>
                      <w:color w:val="000000" w:themeColor="text1"/>
                      <w14:textFill>
                        <w14:solidFill>
                          <w14:schemeClr w14:val="tx1"/>
                        </w14:solidFill>
                      </w14:textFill>
                    </w:rPr>
                  </w:pPr>
                  <w:r>
                    <w:rPr>
                      <w:rFonts w:hint="eastAsia" w:eastAsia="仿宋"/>
                      <w:b/>
                      <w:color w:val="000000" w:themeColor="text1"/>
                      <w14:textFill>
                        <w14:solidFill>
                          <w14:schemeClr w14:val="tx1"/>
                        </w14:solidFill>
                      </w14:textFill>
                    </w:rPr>
                    <w:t>石油类</w:t>
                  </w:r>
                </w:p>
              </w:tc>
              <w:tc>
                <w:tcPr>
                  <w:tcW w:w="849" w:type="dxa"/>
                  <w:tcBorders>
                    <w:top w:val="single" w:color="auto" w:sz="4" w:space="0"/>
                    <w:left w:val="single" w:color="auto" w:sz="4" w:space="0"/>
                    <w:bottom w:val="single" w:color="auto" w:sz="4" w:space="0"/>
                    <w:right w:val="single" w:color="auto" w:sz="4" w:space="0"/>
                  </w:tcBorders>
                  <w:vAlign w:val="center"/>
                </w:tcPr>
                <w:p w14:paraId="19C03856">
                  <w:pPr>
                    <w:widowControl/>
                    <w:adjustRightInd w:val="0"/>
                    <w:jc w:val="center"/>
                    <w:rPr>
                      <w:rFonts w:eastAsia="仿宋"/>
                      <w:b/>
                      <w:color w:val="000000" w:themeColor="text1"/>
                      <w14:textFill>
                        <w14:solidFill>
                          <w14:schemeClr w14:val="tx1"/>
                        </w14:solidFill>
                      </w14:textFill>
                    </w:rPr>
                  </w:pPr>
                  <w:r>
                    <w:rPr>
                      <w:rFonts w:hint="eastAsia" w:eastAsia="仿宋"/>
                      <w:b/>
                      <w:color w:val="000000" w:themeColor="text1"/>
                      <w14:textFill>
                        <w14:solidFill>
                          <w14:schemeClr w14:val="tx1"/>
                        </w14:solidFill>
                      </w14:textFill>
                    </w:rPr>
                    <w:t>水温（℃）</w:t>
                  </w:r>
                </w:p>
              </w:tc>
            </w:tr>
            <w:tr w14:paraId="0A278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top w:val="nil"/>
                    <w:left w:val="single" w:color="auto" w:sz="4" w:space="0"/>
                    <w:right w:val="single" w:color="auto" w:sz="4" w:space="0"/>
                  </w:tcBorders>
                  <w:vAlign w:val="center"/>
                </w:tcPr>
                <w:p w14:paraId="2A5A8ABD">
                  <w:pPr>
                    <w:widowControl/>
                    <w:jc w:val="center"/>
                    <w:rPr>
                      <w:rFonts w:eastAsia="仿宋"/>
                      <w:bCs/>
                      <w:color w:val="000000" w:themeColor="text1"/>
                      <w14:textFill>
                        <w14:solidFill>
                          <w14:schemeClr w14:val="tx1"/>
                        </w14:solidFill>
                      </w14:textFill>
                    </w:rPr>
                  </w:pPr>
                  <w:bookmarkStart w:id="25" w:name="_Hlk191306130"/>
                  <w:r>
                    <w:rPr>
                      <w:rFonts w:ascii="仿宋" w:hAnsi="仿宋" w:eastAsia="仿宋"/>
                      <w:bCs/>
                      <w:color w:val="000000" w:themeColor="text1"/>
                      <w14:textFill>
                        <w14:solidFill>
                          <w14:schemeClr w14:val="tx1"/>
                        </w14:solidFill>
                      </w14:textFill>
                    </w:rPr>
                    <w:t>尧塘河</w:t>
                  </w:r>
                </w:p>
              </w:tc>
              <w:tc>
                <w:tcPr>
                  <w:tcW w:w="844" w:type="dxa"/>
                  <w:vMerge w:val="restart"/>
                  <w:tcBorders>
                    <w:top w:val="nil"/>
                    <w:left w:val="single" w:color="auto" w:sz="4" w:space="0"/>
                    <w:right w:val="single" w:color="auto" w:sz="4" w:space="0"/>
                  </w:tcBorders>
                  <w:noWrap/>
                  <w:vAlign w:val="center"/>
                </w:tcPr>
                <w:p w14:paraId="6E894A00">
                  <w:pPr>
                    <w:widowControl/>
                    <w:jc w:val="center"/>
                    <w:rPr>
                      <w:rFonts w:eastAsia="仿宋"/>
                      <w:bCs/>
                      <w:color w:val="000000" w:themeColor="text1"/>
                      <w14:textFill>
                        <w14:solidFill>
                          <w14:schemeClr w14:val="tx1"/>
                        </w14:solidFill>
                      </w14:textFill>
                    </w:rPr>
                  </w:pPr>
                  <w:r>
                    <w:rPr>
                      <w:rFonts w:eastAsia="仿宋"/>
                      <w:bCs/>
                      <w:color w:val="000000" w:themeColor="text1"/>
                      <w14:textFill>
                        <w14:solidFill>
                          <w14:schemeClr w14:val="tx1"/>
                        </w14:solidFill>
                      </w14:textFill>
                    </w:rPr>
                    <w:t>W1</w:t>
                  </w:r>
                  <w:r>
                    <w:rPr>
                      <w:rFonts w:ascii="仿宋" w:hAnsi="仿宋" w:eastAsia="仿宋"/>
                      <w:bCs/>
                      <w:color w:val="000000" w:themeColor="text1"/>
                      <w14:textFill>
                        <w14:solidFill>
                          <w14:schemeClr w14:val="tx1"/>
                        </w14:solidFill>
                      </w14:textFill>
                    </w:rPr>
                    <w:t>（</w:t>
                  </w:r>
                  <w:r>
                    <w:rPr>
                      <w:rFonts w:hint="eastAsia" w:ascii="仿宋" w:hAnsi="仿宋" w:eastAsia="仿宋"/>
                      <w:bCs/>
                      <w:color w:val="000000" w:themeColor="text1"/>
                      <w14:textFill>
                        <w14:solidFill>
                          <w14:schemeClr w14:val="tx1"/>
                        </w14:solidFill>
                      </w14:textFill>
                    </w:rPr>
                    <w:t>常州</w:t>
                  </w:r>
                  <w:r>
                    <w:rPr>
                      <w:rFonts w:ascii="仿宋" w:hAnsi="仿宋" w:eastAsia="仿宋"/>
                      <w:bCs/>
                      <w:color w:val="000000" w:themeColor="text1"/>
                      <w14:textFill>
                        <w14:solidFill>
                          <w14:schemeClr w14:val="tx1"/>
                        </w14:solidFill>
                      </w14:textFill>
                    </w:rPr>
                    <w:t>金坛区第二污水处理厂排口上游</w:t>
                  </w:r>
                  <w:r>
                    <w:rPr>
                      <w:rFonts w:eastAsia="仿宋"/>
                      <w:bCs/>
                      <w:color w:val="000000" w:themeColor="text1"/>
                      <w14:textFill>
                        <w14:solidFill>
                          <w14:schemeClr w14:val="tx1"/>
                        </w14:solidFill>
                      </w14:textFill>
                    </w:rPr>
                    <w:t>500</w:t>
                  </w:r>
                  <w:r>
                    <w:rPr>
                      <w:rFonts w:ascii="仿宋" w:hAnsi="仿宋" w:eastAsia="仿宋"/>
                      <w:bCs/>
                      <w:color w:val="000000" w:themeColor="text1"/>
                      <w14:textFill>
                        <w14:solidFill>
                          <w14:schemeClr w14:val="tx1"/>
                        </w14:solidFill>
                      </w14:textFill>
                    </w:rPr>
                    <w:t>米）</w:t>
                  </w:r>
                </w:p>
              </w:tc>
              <w:tc>
                <w:tcPr>
                  <w:tcW w:w="1056" w:type="dxa"/>
                  <w:vMerge w:val="restart"/>
                  <w:tcBorders>
                    <w:top w:val="nil"/>
                    <w:left w:val="single" w:color="auto" w:sz="4" w:space="0"/>
                    <w:right w:val="single" w:color="auto" w:sz="4" w:space="0"/>
                  </w:tcBorders>
                  <w:noWrap/>
                  <w:vAlign w:val="center"/>
                </w:tcPr>
                <w:p w14:paraId="23E8DDEF">
                  <w:pPr>
                    <w:widowControl/>
                    <w:jc w:val="center"/>
                    <w:rPr>
                      <w:rFonts w:eastAsia="仿宋"/>
                      <w:bCs/>
                      <w:color w:val="000000" w:themeColor="text1"/>
                      <w14:textFill>
                        <w14:solidFill>
                          <w14:schemeClr w14:val="tx1"/>
                        </w14:solidFill>
                      </w14:textFill>
                    </w:rPr>
                  </w:pPr>
                  <w:r>
                    <w:rPr>
                      <w:rFonts w:eastAsia="仿宋"/>
                      <w:bCs/>
                      <w:color w:val="000000" w:themeColor="text1"/>
                      <w14:textFill>
                        <w14:solidFill>
                          <w14:schemeClr w14:val="tx1"/>
                        </w14:solidFill>
                      </w14:textFill>
                    </w:rPr>
                    <w:t>2024.8.27</w:t>
                  </w:r>
                </w:p>
              </w:tc>
              <w:tc>
                <w:tcPr>
                  <w:tcW w:w="1276" w:type="dxa"/>
                  <w:tcBorders>
                    <w:top w:val="single" w:color="auto" w:sz="4" w:space="0"/>
                    <w:left w:val="single" w:color="auto" w:sz="4" w:space="0"/>
                    <w:bottom w:val="single" w:color="auto" w:sz="4" w:space="0"/>
                    <w:right w:val="single" w:color="auto" w:sz="4" w:space="0"/>
                  </w:tcBorders>
                  <w:noWrap/>
                  <w:vAlign w:val="center"/>
                </w:tcPr>
                <w:p w14:paraId="3796DE16">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7</w:t>
                  </w:r>
                  <w:r>
                    <w:rPr>
                      <w:rFonts w:eastAsia="仿宋"/>
                      <w:bCs/>
                      <w:color w:val="000000" w:themeColor="text1"/>
                      <w14:textFill>
                        <w14:solidFill>
                          <w14:schemeClr w14:val="tx1"/>
                        </w14:solidFill>
                      </w14:textFill>
                    </w:rPr>
                    <w:t>.6</w:t>
                  </w:r>
                </w:p>
              </w:tc>
              <w:tc>
                <w:tcPr>
                  <w:tcW w:w="707" w:type="dxa"/>
                  <w:tcBorders>
                    <w:top w:val="single" w:color="auto" w:sz="4" w:space="0"/>
                    <w:left w:val="single" w:color="auto" w:sz="4" w:space="0"/>
                    <w:bottom w:val="single" w:color="auto" w:sz="4" w:space="0"/>
                    <w:right w:val="single" w:color="auto" w:sz="4" w:space="0"/>
                  </w:tcBorders>
                  <w:vAlign w:val="center"/>
                </w:tcPr>
                <w:p w14:paraId="31D2B7AD">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6</w:t>
                  </w:r>
                </w:p>
              </w:tc>
              <w:tc>
                <w:tcPr>
                  <w:tcW w:w="708" w:type="dxa"/>
                  <w:tcBorders>
                    <w:top w:val="single" w:color="auto" w:sz="4" w:space="0"/>
                    <w:left w:val="single" w:color="auto" w:sz="4" w:space="0"/>
                    <w:bottom w:val="single" w:color="auto" w:sz="4" w:space="0"/>
                    <w:right w:val="single" w:color="auto" w:sz="4" w:space="0"/>
                  </w:tcBorders>
                  <w:noWrap/>
                  <w:vAlign w:val="center"/>
                </w:tcPr>
                <w:p w14:paraId="7BDD3ED6">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.145</w:t>
                  </w:r>
                </w:p>
              </w:tc>
              <w:tc>
                <w:tcPr>
                  <w:tcW w:w="700" w:type="dxa"/>
                  <w:tcBorders>
                    <w:top w:val="single" w:color="auto" w:sz="4" w:space="0"/>
                    <w:left w:val="single" w:color="auto" w:sz="4" w:space="0"/>
                    <w:bottom w:val="single" w:color="auto" w:sz="4" w:space="0"/>
                    <w:right w:val="single" w:color="auto" w:sz="4" w:space="0"/>
                  </w:tcBorders>
                  <w:vAlign w:val="center"/>
                </w:tcPr>
                <w:p w14:paraId="71C09385">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.13</w:t>
                  </w:r>
                </w:p>
              </w:tc>
              <w:tc>
                <w:tcPr>
                  <w:tcW w:w="963" w:type="dxa"/>
                  <w:tcBorders>
                    <w:top w:val="nil"/>
                    <w:left w:val="single" w:color="auto" w:sz="4" w:space="0"/>
                    <w:bottom w:val="single" w:color="auto" w:sz="4" w:space="0"/>
                    <w:right w:val="single" w:color="auto" w:sz="4" w:space="0"/>
                  </w:tcBorders>
                  <w:vAlign w:val="center"/>
                </w:tcPr>
                <w:p w14:paraId="03E85838">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4</w:t>
                  </w:r>
                  <w:r>
                    <w:rPr>
                      <w:rFonts w:eastAsia="仿宋"/>
                      <w:bCs/>
                      <w:color w:val="000000" w:themeColor="text1"/>
                      <w14:textFill>
                        <w14:solidFill>
                          <w14:schemeClr w14:val="tx1"/>
                        </w14:solidFill>
                      </w14:textFill>
                    </w:rPr>
                    <w:t>.32</w:t>
                  </w:r>
                </w:p>
              </w:tc>
              <w:tc>
                <w:tcPr>
                  <w:tcW w:w="799" w:type="dxa"/>
                  <w:tcBorders>
                    <w:top w:val="single" w:color="auto" w:sz="4" w:space="0"/>
                    <w:left w:val="single" w:color="auto" w:sz="4" w:space="0"/>
                    <w:bottom w:val="single" w:color="auto" w:sz="4" w:space="0"/>
                    <w:right w:val="single" w:color="auto" w:sz="4" w:space="0"/>
                  </w:tcBorders>
                  <w:vAlign w:val="center"/>
                </w:tcPr>
                <w:p w14:paraId="038D1C69">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.03</w:t>
                  </w:r>
                </w:p>
              </w:tc>
              <w:tc>
                <w:tcPr>
                  <w:tcW w:w="849" w:type="dxa"/>
                  <w:tcBorders>
                    <w:top w:val="single" w:color="auto" w:sz="4" w:space="0"/>
                    <w:left w:val="single" w:color="auto" w:sz="4" w:space="0"/>
                    <w:bottom w:val="single" w:color="auto" w:sz="4" w:space="0"/>
                    <w:right w:val="single" w:color="auto" w:sz="4" w:space="0"/>
                  </w:tcBorders>
                  <w:vAlign w:val="center"/>
                </w:tcPr>
                <w:p w14:paraId="5787A73C">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2</w:t>
                  </w:r>
                  <w:r>
                    <w:rPr>
                      <w:rFonts w:eastAsia="仿宋"/>
                      <w:bCs/>
                      <w:color w:val="000000" w:themeColor="text1"/>
                      <w14:textFill>
                        <w14:solidFill>
                          <w14:schemeClr w14:val="tx1"/>
                        </w14:solidFill>
                      </w14:textFill>
                    </w:rPr>
                    <w:t>9.8</w:t>
                  </w:r>
                </w:p>
              </w:tc>
            </w:tr>
            <w:tr w14:paraId="5B75F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28753CC5">
                  <w:pPr>
                    <w:widowControl/>
                    <w:jc w:val="left"/>
                    <w:rPr>
                      <w:rFonts w:eastAsia="仿宋"/>
                      <w:bCs/>
                      <w:color w:val="000000" w:themeColor="text1"/>
                      <w:szCs w:val="21"/>
                      <w14:textFill>
                        <w14:solidFill>
                          <w14:schemeClr w14:val="tx1"/>
                        </w14:solidFill>
                      </w14:textFill>
                    </w:rPr>
                  </w:pPr>
                </w:p>
              </w:tc>
              <w:tc>
                <w:tcPr>
                  <w:tcW w:w="844" w:type="dxa"/>
                  <w:vMerge w:val="continue"/>
                  <w:tcBorders>
                    <w:left w:val="single" w:color="auto" w:sz="4" w:space="0"/>
                    <w:right w:val="single" w:color="auto" w:sz="4" w:space="0"/>
                  </w:tcBorders>
                  <w:vAlign w:val="center"/>
                </w:tcPr>
                <w:p w14:paraId="34A90D23">
                  <w:pPr>
                    <w:widowControl/>
                    <w:jc w:val="left"/>
                    <w:rPr>
                      <w:rFonts w:eastAsia="仿宋"/>
                      <w:bCs/>
                      <w:color w:val="000000" w:themeColor="text1"/>
                      <w:szCs w:val="21"/>
                      <w14:textFill>
                        <w14:solidFill>
                          <w14:schemeClr w14:val="tx1"/>
                        </w14:solidFill>
                      </w14:textFill>
                    </w:rPr>
                  </w:pPr>
                </w:p>
              </w:tc>
              <w:tc>
                <w:tcPr>
                  <w:tcW w:w="1056" w:type="dxa"/>
                  <w:vMerge w:val="continue"/>
                  <w:tcBorders>
                    <w:left w:val="single" w:color="auto" w:sz="4" w:space="0"/>
                    <w:right w:val="single" w:color="auto" w:sz="4" w:space="0"/>
                  </w:tcBorders>
                  <w:vAlign w:val="center"/>
                </w:tcPr>
                <w:p w14:paraId="5469BAB3">
                  <w:pPr>
                    <w:widowControl/>
                    <w:jc w:val="left"/>
                    <w:rPr>
                      <w:rFonts w:eastAsia="仿宋"/>
                      <w:bCs/>
                      <w:color w:val="000000" w:themeColor="text1"/>
                      <w:szCs w:val="2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noWrap/>
                  <w:vAlign w:val="center"/>
                </w:tcPr>
                <w:p w14:paraId="772C4DB3">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7</w:t>
                  </w:r>
                  <w:r>
                    <w:rPr>
                      <w:rFonts w:eastAsia="仿宋"/>
                      <w:bCs/>
                      <w:color w:val="000000" w:themeColor="text1"/>
                      <w14:textFill>
                        <w14:solidFill>
                          <w14:schemeClr w14:val="tx1"/>
                        </w14:solidFill>
                      </w14:textFill>
                    </w:rPr>
                    <w:t>.5</w:t>
                  </w:r>
                </w:p>
              </w:tc>
              <w:tc>
                <w:tcPr>
                  <w:tcW w:w="707" w:type="dxa"/>
                  <w:tcBorders>
                    <w:top w:val="single" w:color="auto" w:sz="4" w:space="0"/>
                    <w:left w:val="single" w:color="auto" w:sz="4" w:space="0"/>
                    <w:bottom w:val="single" w:color="auto" w:sz="4" w:space="0"/>
                    <w:right w:val="single" w:color="auto" w:sz="4" w:space="0"/>
                  </w:tcBorders>
                  <w:vAlign w:val="center"/>
                </w:tcPr>
                <w:p w14:paraId="79ADC2B6">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7</w:t>
                  </w:r>
                </w:p>
              </w:tc>
              <w:tc>
                <w:tcPr>
                  <w:tcW w:w="708" w:type="dxa"/>
                  <w:tcBorders>
                    <w:top w:val="single" w:color="auto" w:sz="4" w:space="0"/>
                    <w:left w:val="single" w:color="auto" w:sz="4" w:space="0"/>
                    <w:bottom w:val="single" w:color="auto" w:sz="4" w:space="0"/>
                    <w:right w:val="single" w:color="auto" w:sz="4" w:space="0"/>
                  </w:tcBorders>
                  <w:noWrap/>
                  <w:vAlign w:val="center"/>
                </w:tcPr>
                <w:p w14:paraId="1A13B588">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.154</w:t>
                  </w:r>
                </w:p>
              </w:tc>
              <w:tc>
                <w:tcPr>
                  <w:tcW w:w="700" w:type="dxa"/>
                  <w:tcBorders>
                    <w:top w:val="single" w:color="auto" w:sz="4" w:space="0"/>
                    <w:left w:val="single" w:color="auto" w:sz="4" w:space="0"/>
                    <w:bottom w:val="single" w:color="auto" w:sz="4" w:space="0"/>
                    <w:right w:val="single" w:color="auto" w:sz="4" w:space="0"/>
                  </w:tcBorders>
                  <w:vAlign w:val="center"/>
                </w:tcPr>
                <w:p w14:paraId="0127EE2A">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.13</w:t>
                  </w:r>
                </w:p>
              </w:tc>
              <w:tc>
                <w:tcPr>
                  <w:tcW w:w="963" w:type="dxa"/>
                  <w:tcBorders>
                    <w:top w:val="nil"/>
                    <w:left w:val="single" w:color="auto" w:sz="4" w:space="0"/>
                    <w:bottom w:val="single" w:color="auto" w:sz="4" w:space="0"/>
                    <w:right w:val="single" w:color="auto" w:sz="4" w:space="0"/>
                  </w:tcBorders>
                  <w:vAlign w:val="center"/>
                </w:tcPr>
                <w:p w14:paraId="73E866DE">
                  <w:pPr>
                    <w:widowControl/>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4</w:t>
                  </w:r>
                  <w:r>
                    <w:rPr>
                      <w:rFonts w:eastAsia="仿宋"/>
                      <w:bCs/>
                      <w:color w:val="000000" w:themeColor="text1"/>
                      <w:szCs w:val="21"/>
                      <w14:textFill>
                        <w14:solidFill>
                          <w14:schemeClr w14:val="tx1"/>
                        </w14:solidFill>
                      </w14:textFill>
                    </w:rPr>
                    <w:t>.16</w:t>
                  </w:r>
                </w:p>
              </w:tc>
              <w:tc>
                <w:tcPr>
                  <w:tcW w:w="799" w:type="dxa"/>
                  <w:tcBorders>
                    <w:top w:val="single" w:color="auto" w:sz="4" w:space="0"/>
                    <w:left w:val="single" w:color="auto" w:sz="4" w:space="0"/>
                    <w:bottom w:val="single" w:color="auto" w:sz="4" w:space="0"/>
                    <w:right w:val="single" w:color="auto" w:sz="4" w:space="0"/>
                  </w:tcBorders>
                  <w:vAlign w:val="center"/>
                </w:tcPr>
                <w:p w14:paraId="35BF59E5">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.04</w:t>
                  </w:r>
                </w:p>
              </w:tc>
              <w:tc>
                <w:tcPr>
                  <w:tcW w:w="849" w:type="dxa"/>
                  <w:tcBorders>
                    <w:top w:val="single" w:color="auto" w:sz="4" w:space="0"/>
                    <w:left w:val="single" w:color="auto" w:sz="4" w:space="0"/>
                    <w:bottom w:val="single" w:color="auto" w:sz="4" w:space="0"/>
                    <w:right w:val="single" w:color="auto" w:sz="4" w:space="0"/>
                  </w:tcBorders>
                  <w:vAlign w:val="center"/>
                </w:tcPr>
                <w:p w14:paraId="08E88654">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3</w:t>
                  </w:r>
                  <w:r>
                    <w:rPr>
                      <w:rFonts w:eastAsia="仿宋"/>
                      <w:bCs/>
                      <w:color w:val="000000" w:themeColor="text1"/>
                      <w14:textFill>
                        <w14:solidFill>
                          <w14:schemeClr w14:val="tx1"/>
                        </w14:solidFill>
                      </w14:textFill>
                    </w:rPr>
                    <w:t>0.6</w:t>
                  </w:r>
                </w:p>
              </w:tc>
            </w:tr>
            <w:tr w14:paraId="13F3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57F9B9F8">
                  <w:pPr>
                    <w:widowControl/>
                    <w:jc w:val="left"/>
                    <w:rPr>
                      <w:rFonts w:eastAsia="仿宋"/>
                      <w:bCs/>
                      <w:color w:val="000000" w:themeColor="text1"/>
                      <w:szCs w:val="21"/>
                      <w14:textFill>
                        <w14:solidFill>
                          <w14:schemeClr w14:val="tx1"/>
                        </w14:solidFill>
                      </w14:textFill>
                    </w:rPr>
                  </w:pPr>
                </w:p>
              </w:tc>
              <w:tc>
                <w:tcPr>
                  <w:tcW w:w="844" w:type="dxa"/>
                  <w:vMerge w:val="continue"/>
                  <w:tcBorders>
                    <w:left w:val="single" w:color="auto" w:sz="4" w:space="0"/>
                    <w:right w:val="single" w:color="auto" w:sz="4" w:space="0"/>
                  </w:tcBorders>
                  <w:vAlign w:val="center"/>
                </w:tcPr>
                <w:p w14:paraId="22604CCA">
                  <w:pPr>
                    <w:widowControl/>
                    <w:jc w:val="left"/>
                    <w:rPr>
                      <w:rFonts w:eastAsia="仿宋"/>
                      <w:bCs/>
                      <w:color w:val="000000" w:themeColor="text1"/>
                      <w:szCs w:val="21"/>
                      <w14:textFill>
                        <w14:solidFill>
                          <w14:schemeClr w14:val="tx1"/>
                        </w14:solidFill>
                      </w14:textFill>
                    </w:rPr>
                  </w:pPr>
                </w:p>
              </w:tc>
              <w:tc>
                <w:tcPr>
                  <w:tcW w:w="1056" w:type="dxa"/>
                  <w:vMerge w:val="continue"/>
                  <w:tcBorders>
                    <w:left w:val="single" w:color="auto" w:sz="4" w:space="0"/>
                    <w:right w:val="single" w:color="auto" w:sz="4" w:space="0"/>
                  </w:tcBorders>
                  <w:vAlign w:val="center"/>
                </w:tcPr>
                <w:p w14:paraId="636EB839">
                  <w:pPr>
                    <w:widowControl/>
                    <w:jc w:val="left"/>
                    <w:rPr>
                      <w:rFonts w:eastAsia="仿宋"/>
                      <w:bCs/>
                      <w:color w:val="000000" w:themeColor="text1"/>
                      <w:szCs w:val="2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noWrap/>
                  <w:vAlign w:val="center"/>
                </w:tcPr>
                <w:p w14:paraId="299E508E">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7" w:type="dxa"/>
                  <w:tcBorders>
                    <w:top w:val="single" w:color="auto" w:sz="4" w:space="0"/>
                    <w:left w:val="single" w:color="auto" w:sz="4" w:space="0"/>
                    <w:bottom w:val="single" w:color="auto" w:sz="4" w:space="0"/>
                    <w:right w:val="single" w:color="auto" w:sz="4" w:space="0"/>
                  </w:tcBorders>
                  <w:vAlign w:val="center"/>
                </w:tcPr>
                <w:p w14:paraId="39851600">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8" w:type="dxa"/>
                  <w:tcBorders>
                    <w:top w:val="single" w:color="auto" w:sz="4" w:space="0"/>
                    <w:left w:val="single" w:color="auto" w:sz="4" w:space="0"/>
                    <w:bottom w:val="single" w:color="auto" w:sz="4" w:space="0"/>
                    <w:right w:val="single" w:color="auto" w:sz="4" w:space="0"/>
                  </w:tcBorders>
                  <w:noWrap/>
                  <w:vAlign w:val="center"/>
                </w:tcPr>
                <w:p w14:paraId="41A9E39A">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0" w:type="dxa"/>
                  <w:tcBorders>
                    <w:top w:val="single" w:color="auto" w:sz="4" w:space="0"/>
                    <w:left w:val="single" w:color="auto" w:sz="4" w:space="0"/>
                    <w:bottom w:val="single" w:color="auto" w:sz="4" w:space="0"/>
                    <w:right w:val="single" w:color="auto" w:sz="4" w:space="0"/>
                  </w:tcBorders>
                  <w:vAlign w:val="center"/>
                </w:tcPr>
                <w:p w14:paraId="2D8D7079">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963" w:type="dxa"/>
                  <w:tcBorders>
                    <w:top w:val="nil"/>
                    <w:left w:val="single" w:color="auto" w:sz="4" w:space="0"/>
                    <w:bottom w:val="single" w:color="auto" w:sz="4" w:space="0"/>
                    <w:right w:val="single" w:color="auto" w:sz="4" w:space="0"/>
                  </w:tcBorders>
                  <w:vAlign w:val="center"/>
                </w:tcPr>
                <w:p w14:paraId="2620B085">
                  <w:pPr>
                    <w:widowControl/>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w:t>
                  </w:r>
                </w:p>
              </w:tc>
              <w:tc>
                <w:tcPr>
                  <w:tcW w:w="799" w:type="dxa"/>
                  <w:tcBorders>
                    <w:top w:val="single" w:color="auto" w:sz="4" w:space="0"/>
                    <w:left w:val="single" w:color="auto" w:sz="4" w:space="0"/>
                    <w:bottom w:val="single" w:color="auto" w:sz="4" w:space="0"/>
                    <w:right w:val="single" w:color="auto" w:sz="4" w:space="0"/>
                  </w:tcBorders>
                  <w:vAlign w:val="center"/>
                </w:tcPr>
                <w:p w14:paraId="4F209AA2">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849" w:type="dxa"/>
                  <w:tcBorders>
                    <w:top w:val="single" w:color="auto" w:sz="4" w:space="0"/>
                    <w:left w:val="single" w:color="auto" w:sz="4" w:space="0"/>
                    <w:bottom w:val="single" w:color="auto" w:sz="4" w:space="0"/>
                    <w:right w:val="single" w:color="auto" w:sz="4" w:space="0"/>
                  </w:tcBorders>
                  <w:vAlign w:val="center"/>
                </w:tcPr>
                <w:p w14:paraId="30D91B29">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3</w:t>
                  </w:r>
                  <w:r>
                    <w:rPr>
                      <w:rFonts w:eastAsia="仿宋"/>
                      <w:bCs/>
                      <w:color w:val="000000" w:themeColor="text1"/>
                      <w14:textFill>
                        <w14:solidFill>
                          <w14:schemeClr w14:val="tx1"/>
                        </w14:solidFill>
                      </w14:textFill>
                    </w:rPr>
                    <w:t>0.4</w:t>
                  </w:r>
                </w:p>
              </w:tc>
            </w:tr>
            <w:bookmarkEnd w:id="25"/>
            <w:tr w14:paraId="6F7A3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0734A47F">
                  <w:pPr>
                    <w:widowControl/>
                    <w:jc w:val="left"/>
                    <w:rPr>
                      <w:rFonts w:eastAsia="仿宋"/>
                      <w:bCs/>
                      <w:color w:val="000000" w:themeColor="text1"/>
                      <w:szCs w:val="21"/>
                      <w14:textFill>
                        <w14:solidFill>
                          <w14:schemeClr w14:val="tx1"/>
                        </w14:solidFill>
                      </w14:textFill>
                    </w:rPr>
                  </w:pPr>
                </w:p>
              </w:tc>
              <w:tc>
                <w:tcPr>
                  <w:tcW w:w="844" w:type="dxa"/>
                  <w:vMerge w:val="continue"/>
                  <w:tcBorders>
                    <w:left w:val="single" w:color="auto" w:sz="4" w:space="0"/>
                    <w:right w:val="single" w:color="auto" w:sz="4" w:space="0"/>
                  </w:tcBorders>
                  <w:vAlign w:val="center"/>
                </w:tcPr>
                <w:p w14:paraId="099747F9">
                  <w:pPr>
                    <w:widowControl/>
                    <w:jc w:val="left"/>
                    <w:rPr>
                      <w:rFonts w:eastAsia="仿宋"/>
                      <w:bCs/>
                      <w:color w:val="000000" w:themeColor="text1"/>
                      <w:szCs w:val="21"/>
                      <w14:textFill>
                        <w14:solidFill>
                          <w14:schemeClr w14:val="tx1"/>
                        </w14:solidFill>
                      </w14:textFill>
                    </w:rPr>
                  </w:pPr>
                </w:p>
              </w:tc>
              <w:tc>
                <w:tcPr>
                  <w:tcW w:w="1056" w:type="dxa"/>
                  <w:vMerge w:val="continue"/>
                  <w:tcBorders>
                    <w:left w:val="single" w:color="auto" w:sz="4" w:space="0"/>
                    <w:bottom w:val="single" w:color="auto" w:sz="4" w:space="0"/>
                    <w:right w:val="single" w:color="auto" w:sz="4" w:space="0"/>
                  </w:tcBorders>
                  <w:vAlign w:val="center"/>
                </w:tcPr>
                <w:p w14:paraId="0BB0D8E7">
                  <w:pPr>
                    <w:widowControl/>
                    <w:jc w:val="left"/>
                    <w:rPr>
                      <w:rFonts w:eastAsia="仿宋"/>
                      <w:bCs/>
                      <w:color w:val="000000" w:themeColor="text1"/>
                      <w:szCs w:val="2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noWrap/>
                  <w:vAlign w:val="center"/>
                </w:tcPr>
                <w:p w14:paraId="1A7DC74C">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7" w:type="dxa"/>
                  <w:tcBorders>
                    <w:top w:val="single" w:color="auto" w:sz="4" w:space="0"/>
                    <w:left w:val="single" w:color="auto" w:sz="4" w:space="0"/>
                    <w:bottom w:val="single" w:color="auto" w:sz="4" w:space="0"/>
                    <w:right w:val="single" w:color="auto" w:sz="4" w:space="0"/>
                  </w:tcBorders>
                  <w:vAlign w:val="center"/>
                </w:tcPr>
                <w:p w14:paraId="66537CFB">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8" w:type="dxa"/>
                  <w:tcBorders>
                    <w:top w:val="single" w:color="auto" w:sz="4" w:space="0"/>
                    <w:left w:val="single" w:color="auto" w:sz="4" w:space="0"/>
                    <w:bottom w:val="single" w:color="auto" w:sz="4" w:space="0"/>
                    <w:right w:val="single" w:color="auto" w:sz="4" w:space="0"/>
                  </w:tcBorders>
                  <w:noWrap/>
                  <w:vAlign w:val="center"/>
                </w:tcPr>
                <w:p w14:paraId="2BEEA93D">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0" w:type="dxa"/>
                  <w:tcBorders>
                    <w:top w:val="single" w:color="auto" w:sz="4" w:space="0"/>
                    <w:left w:val="single" w:color="auto" w:sz="4" w:space="0"/>
                    <w:bottom w:val="single" w:color="auto" w:sz="4" w:space="0"/>
                    <w:right w:val="single" w:color="auto" w:sz="4" w:space="0"/>
                  </w:tcBorders>
                  <w:vAlign w:val="center"/>
                </w:tcPr>
                <w:p w14:paraId="7DDF4CE4">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963" w:type="dxa"/>
                  <w:tcBorders>
                    <w:top w:val="nil"/>
                    <w:left w:val="single" w:color="auto" w:sz="4" w:space="0"/>
                    <w:bottom w:val="single" w:color="auto" w:sz="4" w:space="0"/>
                    <w:right w:val="single" w:color="auto" w:sz="4" w:space="0"/>
                  </w:tcBorders>
                  <w:vAlign w:val="center"/>
                </w:tcPr>
                <w:p w14:paraId="7A95CED2">
                  <w:pPr>
                    <w:widowControl/>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w:t>
                  </w:r>
                </w:p>
              </w:tc>
              <w:tc>
                <w:tcPr>
                  <w:tcW w:w="799" w:type="dxa"/>
                  <w:tcBorders>
                    <w:top w:val="single" w:color="auto" w:sz="4" w:space="0"/>
                    <w:left w:val="single" w:color="auto" w:sz="4" w:space="0"/>
                    <w:bottom w:val="single" w:color="auto" w:sz="4" w:space="0"/>
                    <w:right w:val="single" w:color="auto" w:sz="4" w:space="0"/>
                  </w:tcBorders>
                  <w:vAlign w:val="center"/>
                </w:tcPr>
                <w:p w14:paraId="602C4234">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849" w:type="dxa"/>
                  <w:tcBorders>
                    <w:top w:val="single" w:color="auto" w:sz="4" w:space="0"/>
                    <w:left w:val="single" w:color="auto" w:sz="4" w:space="0"/>
                    <w:bottom w:val="single" w:color="auto" w:sz="4" w:space="0"/>
                    <w:right w:val="single" w:color="auto" w:sz="4" w:space="0"/>
                  </w:tcBorders>
                  <w:vAlign w:val="center"/>
                </w:tcPr>
                <w:p w14:paraId="1CF49EBB">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3</w:t>
                  </w:r>
                  <w:r>
                    <w:rPr>
                      <w:rFonts w:eastAsia="仿宋"/>
                      <w:bCs/>
                      <w:color w:val="000000" w:themeColor="text1"/>
                      <w14:textFill>
                        <w14:solidFill>
                          <w14:schemeClr w14:val="tx1"/>
                        </w14:solidFill>
                      </w14:textFill>
                    </w:rPr>
                    <w:t>0.0</w:t>
                  </w:r>
                </w:p>
              </w:tc>
            </w:tr>
            <w:tr w14:paraId="073D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3F9A3CB3">
                  <w:pPr>
                    <w:widowControl/>
                    <w:jc w:val="left"/>
                    <w:rPr>
                      <w:rFonts w:eastAsia="仿宋"/>
                      <w:bCs/>
                      <w:color w:val="000000" w:themeColor="text1"/>
                      <w:szCs w:val="21"/>
                      <w14:textFill>
                        <w14:solidFill>
                          <w14:schemeClr w14:val="tx1"/>
                        </w14:solidFill>
                      </w14:textFill>
                    </w:rPr>
                  </w:pPr>
                </w:p>
              </w:tc>
              <w:tc>
                <w:tcPr>
                  <w:tcW w:w="844" w:type="dxa"/>
                  <w:vMerge w:val="continue"/>
                  <w:tcBorders>
                    <w:left w:val="single" w:color="auto" w:sz="4" w:space="0"/>
                    <w:right w:val="single" w:color="auto" w:sz="4" w:space="0"/>
                  </w:tcBorders>
                  <w:vAlign w:val="center"/>
                </w:tcPr>
                <w:p w14:paraId="1B176D54">
                  <w:pPr>
                    <w:widowControl/>
                    <w:jc w:val="left"/>
                    <w:rPr>
                      <w:rFonts w:eastAsia="仿宋"/>
                      <w:bCs/>
                      <w:color w:val="000000" w:themeColor="text1"/>
                      <w:szCs w:val="21"/>
                      <w14:textFill>
                        <w14:solidFill>
                          <w14:schemeClr w14:val="tx1"/>
                        </w14:solidFill>
                      </w14:textFill>
                    </w:rPr>
                  </w:pPr>
                </w:p>
              </w:tc>
              <w:tc>
                <w:tcPr>
                  <w:tcW w:w="1056" w:type="dxa"/>
                  <w:vMerge w:val="restart"/>
                  <w:tcBorders>
                    <w:top w:val="nil"/>
                    <w:left w:val="single" w:color="auto" w:sz="4" w:space="0"/>
                    <w:right w:val="single" w:color="auto" w:sz="4" w:space="0"/>
                  </w:tcBorders>
                  <w:noWrap/>
                  <w:vAlign w:val="center"/>
                </w:tcPr>
                <w:p w14:paraId="6CCA023C">
                  <w:pPr>
                    <w:widowControl/>
                    <w:jc w:val="center"/>
                    <w:rPr>
                      <w:rFonts w:eastAsia="仿宋"/>
                      <w:bCs/>
                      <w:color w:val="000000" w:themeColor="text1"/>
                      <w14:textFill>
                        <w14:solidFill>
                          <w14:schemeClr w14:val="tx1"/>
                        </w14:solidFill>
                      </w14:textFill>
                    </w:rPr>
                  </w:pPr>
                  <w:r>
                    <w:rPr>
                      <w:rFonts w:eastAsia="仿宋"/>
                      <w:bCs/>
                      <w:color w:val="000000" w:themeColor="text1"/>
                      <w14:textFill>
                        <w14:solidFill>
                          <w14:schemeClr w14:val="tx1"/>
                        </w14:solidFill>
                      </w14:textFill>
                    </w:rPr>
                    <w:t>2024.8.28</w:t>
                  </w:r>
                </w:p>
              </w:tc>
              <w:tc>
                <w:tcPr>
                  <w:tcW w:w="1276" w:type="dxa"/>
                  <w:tcBorders>
                    <w:top w:val="single" w:color="auto" w:sz="4" w:space="0"/>
                    <w:left w:val="single" w:color="auto" w:sz="4" w:space="0"/>
                    <w:bottom w:val="single" w:color="auto" w:sz="4" w:space="0"/>
                    <w:right w:val="single" w:color="auto" w:sz="4" w:space="0"/>
                  </w:tcBorders>
                  <w:noWrap/>
                  <w:vAlign w:val="center"/>
                </w:tcPr>
                <w:p w14:paraId="1CC4A605">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7</w:t>
                  </w:r>
                  <w:r>
                    <w:rPr>
                      <w:rFonts w:eastAsia="仿宋"/>
                      <w:bCs/>
                      <w:color w:val="000000" w:themeColor="text1"/>
                      <w14:textFill>
                        <w14:solidFill>
                          <w14:schemeClr w14:val="tx1"/>
                        </w14:solidFill>
                      </w14:textFill>
                    </w:rPr>
                    <w:t>.7</w:t>
                  </w:r>
                </w:p>
              </w:tc>
              <w:tc>
                <w:tcPr>
                  <w:tcW w:w="707" w:type="dxa"/>
                  <w:tcBorders>
                    <w:top w:val="single" w:color="auto" w:sz="4" w:space="0"/>
                    <w:left w:val="single" w:color="auto" w:sz="4" w:space="0"/>
                    <w:bottom w:val="single" w:color="auto" w:sz="4" w:space="0"/>
                    <w:right w:val="single" w:color="auto" w:sz="4" w:space="0"/>
                  </w:tcBorders>
                  <w:vAlign w:val="center"/>
                </w:tcPr>
                <w:p w14:paraId="3F21C8C9">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1</w:t>
                  </w:r>
                  <w:r>
                    <w:rPr>
                      <w:rFonts w:eastAsia="仿宋"/>
                      <w:bCs/>
                      <w:color w:val="000000" w:themeColor="text1"/>
                      <w14:textFill>
                        <w14:solidFill>
                          <w14:schemeClr w14:val="tx1"/>
                        </w14:solidFill>
                      </w14:textFill>
                    </w:rPr>
                    <w:t>2</w:t>
                  </w:r>
                </w:p>
              </w:tc>
              <w:tc>
                <w:tcPr>
                  <w:tcW w:w="708" w:type="dxa"/>
                  <w:tcBorders>
                    <w:top w:val="single" w:color="auto" w:sz="4" w:space="0"/>
                    <w:left w:val="single" w:color="auto" w:sz="4" w:space="0"/>
                    <w:bottom w:val="single" w:color="auto" w:sz="4" w:space="0"/>
                    <w:right w:val="single" w:color="auto" w:sz="4" w:space="0"/>
                  </w:tcBorders>
                  <w:noWrap/>
                  <w:vAlign w:val="center"/>
                </w:tcPr>
                <w:p w14:paraId="0E209EFD">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.190</w:t>
                  </w:r>
                </w:p>
              </w:tc>
              <w:tc>
                <w:tcPr>
                  <w:tcW w:w="700" w:type="dxa"/>
                  <w:tcBorders>
                    <w:top w:val="single" w:color="auto" w:sz="4" w:space="0"/>
                    <w:left w:val="single" w:color="auto" w:sz="4" w:space="0"/>
                    <w:bottom w:val="single" w:color="auto" w:sz="4" w:space="0"/>
                    <w:right w:val="single" w:color="auto" w:sz="4" w:space="0"/>
                  </w:tcBorders>
                  <w:vAlign w:val="center"/>
                </w:tcPr>
                <w:p w14:paraId="14800CD4">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.12</w:t>
                  </w:r>
                </w:p>
              </w:tc>
              <w:tc>
                <w:tcPr>
                  <w:tcW w:w="963" w:type="dxa"/>
                  <w:tcBorders>
                    <w:top w:val="nil"/>
                    <w:left w:val="single" w:color="auto" w:sz="4" w:space="0"/>
                    <w:bottom w:val="single" w:color="auto" w:sz="4" w:space="0"/>
                    <w:right w:val="single" w:color="auto" w:sz="4" w:space="0"/>
                  </w:tcBorders>
                  <w:vAlign w:val="center"/>
                </w:tcPr>
                <w:p w14:paraId="0F78EE58">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4</w:t>
                  </w:r>
                  <w:r>
                    <w:rPr>
                      <w:rFonts w:eastAsia="仿宋"/>
                      <w:bCs/>
                      <w:color w:val="000000" w:themeColor="text1"/>
                      <w14:textFill>
                        <w14:solidFill>
                          <w14:schemeClr w14:val="tx1"/>
                        </w14:solidFill>
                      </w14:textFill>
                    </w:rPr>
                    <w:t>.62</w:t>
                  </w:r>
                </w:p>
              </w:tc>
              <w:tc>
                <w:tcPr>
                  <w:tcW w:w="799" w:type="dxa"/>
                  <w:tcBorders>
                    <w:top w:val="single" w:color="auto" w:sz="4" w:space="0"/>
                    <w:left w:val="single" w:color="auto" w:sz="4" w:space="0"/>
                    <w:bottom w:val="single" w:color="auto" w:sz="4" w:space="0"/>
                    <w:right w:val="single" w:color="auto" w:sz="4" w:space="0"/>
                  </w:tcBorders>
                  <w:vAlign w:val="center"/>
                </w:tcPr>
                <w:p w14:paraId="2D5C6AD4">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.03</w:t>
                  </w:r>
                </w:p>
              </w:tc>
              <w:tc>
                <w:tcPr>
                  <w:tcW w:w="849" w:type="dxa"/>
                  <w:tcBorders>
                    <w:top w:val="single" w:color="auto" w:sz="4" w:space="0"/>
                    <w:left w:val="single" w:color="auto" w:sz="4" w:space="0"/>
                    <w:bottom w:val="single" w:color="auto" w:sz="4" w:space="0"/>
                    <w:right w:val="single" w:color="auto" w:sz="4" w:space="0"/>
                  </w:tcBorders>
                  <w:vAlign w:val="center"/>
                </w:tcPr>
                <w:p w14:paraId="4D7B1E15">
                  <w:pPr>
                    <w:widowControl/>
                    <w:jc w:val="center"/>
                    <w:rPr>
                      <w:rFonts w:eastAsia="仿宋"/>
                      <w:bCs/>
                      <w:color w:val="000000" w:themeColor="text1"/>
                      <w14:textFill>
                        <w14:solidFill>
                          <w14:schemeClr w14:val="tx1"/>
                        </w14:solidFill>
                      </w14:textFill>
                    </w:rPr>
                  </w:pPr>
                  <w:r>
                    <w:rPr>
                      <w:rFonts w:eastAsia="仿宋"/>
                      <w:bCs/>
                      <w:color w:val="000000" w:themeColor="text1"/>
                      <w14:textFill>
                        <w14:solidFill>
                          <w14:schemeClr w14:val="tx1"/>
                        </w14:solidFill>
                      </w14:textFill>
                    </w:rPr>
                    <w:t>29.2</w:t>
                  </w:r>
                </w:p>
              </w:tc>
            </w:tr>
            <w:tr w14:paraId="515CA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6CFAB9DE">
                  <w:pPr>
                    <w:widowControl/>
                    <w:jc w:val="left"/>
                    <w:rPr>
                      <w:rFonts w:eastAsia="仿宋"/>
                      <w:bCs/>
                      <w:color w:val="000000" w:themeColor="text1"/>
                      <w:szCs w:val="21"/>
                      <w14:textFill>
                        <w14:solidFill>
                          <w14:schemeClr w14:val="tx1"/>
                        </w14:solidFill>
                      </w14:textFill>
                    </w:rPr>
                  </w:pPr>
                </w:p>
              </w:tc>
              <w:tc>
                <w:tcPr>
                  <w:tcW w:w="844" w:type="dxa"/>
                  <w:vMerge w:val="continue"/>
                  <w:tcBorders>
                    <w:left w:val="single" w:color="auto" w:sz="4" w:space="0"/>
                    <w:right w:val="single" w:color="auto" w:sz="4" w:space="0"/>
                  </w:tcBorders>
                  <w:vAlign w:val="center"/>
                </w:tcPr>
                <w:p w14:paraId="69B9605F">
                  <w:pPr>
                    <w:widowControl/>
                    <w:jc w:val="left"/>
                    <w:rPr>
                      <w:rFonts w:eastAsia="仿宋"/>
                      <w:bCs/>
                      <w:color w:val="000000" w:themeColor="text1"/>
                      <w:szCs w:val="21"/>
                      <w14:textFill>
                        <w14:solidFill>
                          <w14:schemeClr w14:val="tx1"/>
                        </w14:solidFill>
                      </w14:textFill>
                    </w:rPr>
                  </w:pPr>
                </w:p>
              </w:tc>
              <w:tc>
                <w:tcPr>
                  <w:tcW w:w="1056" w:type="dxa"/>
                  <w:vMerge w:val="continue"/>
                  <w:tcBorders>
                    <w:left w:val="single" w:color="auto" w:sz="4" w:space="0"/>
                    <w:right w:val="single" w:color="auto" w:sz="4" w:space="0"/>
                  </w:tcBorders>
                  <w:vAlign w:val="center"/>
                </w:tcPr>
                <w:p w14:paraId="07B31DEB">
                  <w:pPr>
                    <w:widowControl/>
                    <w:jc w:val="left"/>
                    <w:rPr>
                      <w:rFonts w:eastAsia="仿宋"/>
                      <w:bCs/>
                      <w:color w:val="000000" w:themeColor="text1"/>
                      <w:szCs w:val="2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noWrap/>
                  <w:vAlign w:val="center"/>
                </w:tcPr>
                <w:p w14:paraId="7D8F6814">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7</w:t>
                  </w:r>
                  <w:r>
                    <w:rPr>
                      <w:rFonts w:eastAsia="仿宋"/>
                      <w:bCs/>
                      <w:color w:val="000000" w:themeColor="text1"/>
                      <w14:textFill>
                        <w14:solidFill>
                          <w14:schemeClr w14:val="tx1"/>
                        </w14:solidFill>
                      </w14:textFill>
                    </w:rPr>
                    <w:t>.7</w:t>
                  </w:r>
                </w:p>
              </w:tc>
              <w:tc>
                <w:tcPr>
                  <w:tcW w:w="707" w:type="dxa"/>
                  <w:tcBorders>
                    <w:top w:val="single" w:color="auto" w:sz="4" w:space="0"/>
                    <w:left w:val="single" w:color="auto" w:sz="4" w:space="0"/>
                    <w:bottom w:val="single" w:color="auto" w:sz="4" w:space="0"/>
                    <w:right w:val="single" w:color="auto" w:sz="4" w:space="0"/>
                  </w:tcBorders>
                  <w:vAlign w:val="center"/>
                </w:tcPr>
                <w:p w14:paraId="0198D1D0">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1</w:t>
                  </w:r>
                  <w:r>
                    <w:rPr>
                      <w:rFonts w:eastAsia="仿宋"/>
                      <w:bCs/>
                      <w:color w:val="000000" w:themeColor="text1"/>
                      <w14:textFill>
                        <w14:solidFill>
                          <w14:schemeClr w14:val="tx1"/>
                        </w14:solidFill>
                      </w14:textFill>
                    </w:rPr>
                    <w:t>3</w:t>
                  </w:r>
                </w:p>
              </w:tc>
              <w:tc>
                <w:tcPr>
                  <w:tcW w:w="708" w:type="dxa"/>
                  <w:tcBorders>
                    <w:top w:val="single" w:color="auto" w:sz="4" w:space="0"/>
                    <w:left w:val="single" w:color="auto" w:sz="4" w:space="0"/>
                    <w:bottom w:val="single" w:color="auto" w:sz="4" w:space="0"/>
                    <w:right w:val="single" w:color="auto" w:sz="4" w:space="0"/>
                  </w:tcBorders>
                  <w:noWrap/>
                  <w:vAlign w:val="center"/>
                </w:tcPr>
                <w:p w14:paraId="5EB5C67E">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.260</w:t>
                  </w:r>
                </w:p>
              </w:tc>
              <w:tc>
                <w:tcPr>
                  <w:tcW w:w="700" w:type="dxa"/>
                  <w:tcBorders>
                    <w:top w:val="single" w:color="auto" w:sz="4" w:space="0"/>
                    <w:left w:val="single" w:color="auto" w:sz="4" w:space="0"/>
                    <w:bottom w:val="single" w:color="auto" w:sz="4" w:space="0"/>
                    <w:right w:val="single" w:color="auto" w:sz="4" w:space="0"/>
                  </w:tcBorders>
                  <w:vAlign w:val="center"/>
                </w:tcPr>
                <w:p w14:paraId="7E8CB6DF">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.13</w:t>
                  </w:r>
                </w:p>
              </w:tc>
              <w:tc>
                <w:tcPr>
                  <w:tcW w:w="963" w:type="dxa"/>
                  <w:tcBorders>
                    <w:top w:val="nil"/>
                    <w:left w:val="single" w:color="auto" w:sz="4" w:space="0"/>
                    <w:bottom w:val="single" w:color="auto" w:sz="4" w:space="0"/>
                    <w:right w:val="single" w:color="auto" w:sz="4" w:space="0"/>
                  </w:tcBorders>
                  <w:vAlign w:val="center"/>
                </w:tcPr>
                <w:p w14:paraId="77509247">
                  <w:pPr>
                    <w:widowControl/>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5</w:t>
                  </w:r>
                  <w:r>
                    <w:rPr>
                      <w:rFonts w:eastAsia="仿宋"/>
                      <w:bCs/>
                      <w:color w:val="000000" w:themeColor="text1"/>
                      <w:szCs w:val="21"/>
                      <w14:textFill>
                        <w14:solidFill>
                          <w14:schemeClr w14:val="tx1"/>
                        </w14:solidFill>
                      </w14:textFill>
                    </w:rPr>
                    <w:t>.24</w:t>
                  </w:r>
                </w:p>
              </w:tc>
              <w:tc>
                <w:tcPr>
                  <w:tcW w:w="799" w:type="dxa"/>
                  <w:tcBorders>
                    <w:top w:val="single" w:color="auto" w:sz="4" w:space="0"/>
                    <w:left w:val="single" w:color="auto" w:sz="4" w:space="0"/>
                    <w:bottom w:val="single" w:color="auto" w:sz="4" w:space="0"/>
                    <w:right w:val="single" w:color="auto" w:sz="4" w:space="0"/>
                  </w:tcBorders>
                  <w:vAlign w:val="center"/>
                </w:tcPr>
                <w:p w14:paraId="6908A500">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.03</w:t>
                  </w:r>
                </w:p>
              </w:tc>
              <w:tc>
                <w:tcPr>
                  <w:tcW w:w="849" w:type="dxa"/>
                  <w:tcBorders>
                    <w:top w:val="single" w:color="auto" w:sz="4" w:space="0"/>
                    <w:left w:val="single" w:color="auto" w:sz="4" w:space="0"/>
                    <w:bottom w:val="single" w:color="auto" w:sz="4" w:space="0"/>
                    <w:right w:val="single" w:color="auto" w:sz="4" w:space="0"/>
                  </w:tcBorders>
                  <w:vAlign w:val="center"/>
                </w:tcPr>
                <w:p w14:paraId="0BAEF0E8">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3</w:t>
                  </w:r>
                  <w:r>
                    <w:rPr>
                      <w:rFonts w:eastAsia="仿宋"/>
                      <w:bCs/>
                      <w:color w:val="000000" w:themeColor="text1"/>
                      <w14:textFill>
                        <w14:solidFill>
                          <w14:schemeClr w14:val="tx1"/>
                        </w14:solidFill>
                      </w14:textFill>
                    </w:rPr>
                    <w:t>0.0</w:t>
                  </w:r>
                </w:p>
              </w:tc>
            </w:tr>
            <w:tr w14:paraId="529E9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6AF5AB23">
                  <w:pPr>
                    <w:widowControl/>
                    <w:jc w:val="left"/>
                    <w:rPr>
                      <w:rFonts w:eastAsia="仿宋"/>
                      <w:bCs/>
                      <w:color w:val="000000" w:themeColor="text1"/>
                      <w:szCs w:val="21"/>
                      <w14:textFill>
                        <w14:solidFill>
                          <w14:schemeClr w14:val="tx1"/>
                        </w14:solidFill>
                      </w14:textFill>
                    </w:rPr>
                  </w:pPr>
                </w:p>
              </w:tc>
              <w:tc>
                <w:tcPr>
                  <w:tcW w:w="844" w:type="dxa"/>
                  <w:vMerge w:val="continue"/>
                  <w:tcBorders>
                    <w:left w:val="single" w:color="auto" w:sz="4" w:space="0"/>
                    <w:right w:val="single" w:color="auto" w:sz="4" w:space="0"/>
                  </w:tcBorders>
                  <w:vAlign w:val="center"/>
                </w:tcPr>
                <w:p w14:paraId="6DB350CD">
                  <w:pPr>
                    <w:widowControl/>
                    <w:jc w:val="left"/>
                    <w:rPr>
                      <w:rFonts w:eastAsia="仿宋"/>
                      <w:bCs/>
                      <w:color w:val="000000" w:themeColor="text1"/>
                      <w:szCs w:val="21"/>
                      <w14:textFill>
                        <w14:solidFill>
                          <w14:schemeClr w14:val="tx1"/>
                        </w14:solidFill>
                      </w14:textFill>
                    </w:rPr>
                  </w:pPr>
                </w:p>
              </w:tc>
              <w:tc>
                <w:tcPr>
                  <w:tcW w:w="1056" w:type="dxa"/>
                  <w:vMerge w:val="continue"/>
                  <w:tcBorders>
                    <w:left w:val="single" w:color="auto" w:sz="4" w:space="0"/>
                    <w:right w:val="single" w:color="auto" w:sz="4" w:space="0"/>
                  </w:tcBorders>
                  <w:vAlign w:val="center"/>
                </w:tcPr>
                <w:p w14:paraId="132FC8AE">
                  <w:pPr>
                    <w:widowControl/>
                    <w:jc w:val="left"/>
                    <w:rPr>
                      <w:rFonts w:eastAsia="仿宋"/>
                      <w:bCs/>
                      <w:color w:val="000000" w:themeColor="text1"/>
                      <w:szCs w:val="2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noWrap/>
                  <w:vAlign w:val="center"/>
                </w:tcPr>
                <w:p w14:paraId="2B326699">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7" w:type="dxa"/>
                  <w:tcBorders>
                    <w:top w:val="single" w:color="auto" w:sz="4" w:space="0"/>
                    <w:left w:val="single" w:color="auto" w:sz="4" w:space="0"/>
                    <w:bottom w:val="single" w:color="auto" w:sz="4" w:space="0"/>
                    <w:right w:val="single" w:color="auto" w:sz="4" w:space="0"/>
                  </w:tcBorders>
                  <w:vAlign w:val="center"/>
                </w:tcPr>
                <w:p w14:paraId="4796B594">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8" w:type="dxa"/>
                  <w:tcBorders>
                    <w:top w:val="single" w:color="auto" w:sz="4" w:space="0"/>
                    <w:left w:val="single" w:color="auto" w:sz="4" w:space="0"/>
                    <w:bottom w:val="single" w:color="auto" w:sz="4" w:space="0"/>
                    <w:right w:val="single" w:color="auto" w:sz="4" w:space="0"/>
                  </w:tcBorders>
                  <w:noWrap/>
                  <w:vAlign w:val="center"/>
                </w:tcPr>
                <w:p w14:paraId="7BC0B8DE">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0" w:type="dxa"/>
                  <w:tcBorders>
                    <w:top w:val="single" w:color="auto" w:sz="4" w:space="0"/>
                    <w:left w:val="single" w:color="auto" w:sz="4" w:space="0"/>
                    <w:bottom w:val="single" w:color="auto" w:sz="4" w:space="0"/>
                    <w:right w:val="single" w:color="auto" w:sz="4" w:space="0"/>
                  </w:tcBorders>
                  <w:vAlign w:val="center"/>
                </w:tcPr>
                <w:p w14:paraId="2B810F24">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963" w:type="dxa"/>
                  <w:tcBorders>
                    <w:top w:val="nil"/>
                    <w:left w:val="single" w:color="auto" w:sz="4" w:space="0"/>
                    <w:bottom w:val="single" w:color="auto" w:sz="4" w:space="0"/>
                    <w:right w:val="single" w:color="auto" w:sz="4" w:space="0"/>
                  </w:tcBorders>
                  <w:vAlign w:val="center"/>
                </w:tcPr>
                <w:p w14:paraId="112EA089">
                  <w:pPr>
                    <w:widowControl/>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w:t>
                  </w:r>
                </w:p>
              </w:tc>
              <w:tc>
                <w:tcPr>
                  <w:tcW w:w="799" w:type="dxa"/>
                  <w:tcBorders>
                    <w:top w:val="single" w:color="auto" w:sz="4" w:space="0"/>
                    <w:left w:val="single" w:color="auto" w:sz="4" w:space="0"/>
                    <w:bottom w:val="single" w:color="auto" w:sz="4" w:space="0"/>
                    <w:right w:val="single" w:color="auto" w:sz="4" w:space="0"/>
                  </w:tcBorders>
                  <w:vAlign w:val="center"/>
                </w:tcPr>
                <w:p w14:paraId="44D1740C">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849" w:type="dxa"/>
                  <w:tcBorders>
                    <w:top w:val="single" w:color="auto" w:sz="4" w:space="0"/>
                    <w:left w:val="single" w:color="auto" w:sz="4" w:space="0"/>
                    <w:bottom w:val="single" w:color="auto" w:sz="4" w:space="0"/>
                    <w:right w:val="single" w:color="auto" w:sz="4" w:space="0"/>
                  </w:tcBorders>
                  <w:vAlign w:val="center"/>
                </w:tcPr>
                <w:p w14:paraId="325DC6C1">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2</w:t>
                  </w:r>
                  <w:r>
                    <w:rPr>
                      <w:rFonts w:eastAsia="仿宋"/>
                      <w:bCs/>
                      <w:color w:val="000000" w:themeColor="text1"/>
                      <w14:textFill>
                        <w14:solidFill>
                          <w14:schemeClr w14:val="tx1"/>
                        </w14:solidFill>
                      </w14:textFill>
                    </w:rPr>
                    <w:t>9.6</w:t>
                  </w:r>
                </w:p>
              </w:tc>
            </w:tr>
            <w:tr w14:paraId="14528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2A25EEF3">
                  <w:pPr>
                    <w:widowControl/>
                    <w:jc w:val="left"/>
                    <w:rPr>
                      <w:rFonts w:eastAsia="仿宋"/>
                      <w:bCs/>
                      <w:color w:val="000000" w:themeColor="text1"/>
                      <w:szCs w:val="21"/>
                      <w14:textFill>
                        <w14:solidFill>
                          <w14:schemeClr w14:val="tx1"/>
                        </w14:solidFill>
                      </w14:textFill>
                    </w:rPr>
                  </w:pPr>
                </w:p>
              </w:tc>
              <w:tc>
                <w:tcPr>
                  <w:tcW w:w="844" w:type="dxa"/>
                  <w:vMerge w:val="continue"/>
                  <w:tcBorders>
                    <w:left w:val="single" w:color="auto" w:sz="4" w:space="0"/>
                    <w:right w:val="single" w:color="auto" w:sz="4" w:space="0"/>
                  </w:tcBorders>
                  <w:vAlign w:val="center"/>
                </w:tcPr>
                <w:p w14:paraId="0C4C9D46">
                  <w:pPr>
                    <w:widowControl/>
                    <w:jc w:val="left"/>
                    <w:rPr>
                      <w:rFonts w:eastAsia="仿宋"/>
                      <w:bCs/>
                      <w:color w:val="000000" w:themeColor="text1"/>
                      <w:szCs w:val="21"/>
                      <w14:textFill>
                        <w14:solidFill>
                          <w14:schemeClr w14:val="tx1"/>
                        </w14:solidFill>
                      </w14:textFill>
                    </w:rPr>
                  </w:pPr>
                </w:p>
              </w:tc>
              <w:tc>
                <w:tcPr>
                  <w:tcW w:w="1056" w:type="dxa"/>
                  <w:vMerge w:val="continue"/>
                  <w:tcBorders>
                    <w:left w:val="single" w:color="auto" w:sz="4" w:space="0"/>
                    <w:bottom w:val="single" w:color="auto" w:sz="4" w:space="0"/>
                    <w:right w:val="single" w:color="auto" w:sz="4" w:space="0"/>
                  </w:tcBorders>
                  <w:vAlign w:val="center"/>
                </w:tcPr>
                <w:p w14:paraId="723A345C">
                  <w:pPr>
                    <w:widowControl/>
                    <w:jc w:val="left"/>
                    <w:rPr>
                      <w:rFonts w:eastAsia="仿宋"/>
                      <w:bCs/>
                      <w:color w:val="000000" w:themeColor="text1"/>
                      <w:szCs w:val="2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noWrap/>
                  <w:vAlign w:val="center"/>
                </w:tcPr>
                <w:p w14:paraId="3DF79486">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7" w:type="dxa"/>
                  <w:tcBorders>
                    <w:top w:val="single" w:color="auto" w:sz="4" w:space="0"/>
                    <w:left w:val="single" w:color="auto" w:sz="4" w:space="0"/>
                    <w:bottom w:val="single" w:color="auto" w:sz="4" w:space="0"/>
                    <w:right w:val="single" w:color="auto" w:sz="4" w:space="0"/>
                  </w:tcBorders>
                  <w:vAlign w:val="center"/>
                </w:tcPr>
                <w:p w14:paraId="5E09B01F">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8" w:type="dxa"/>
                  <w:tcBorders>
                    <w:top w:val="single" w:color="auto" w:sz="4" w:space="0"/>
                    <w:left w:val="single" w:color="auto" w:sz="4" w:space="0"/>
                    <w:bottom w:val="single" w:color="auto" w:sz="4" w:space="0"/>
                    <w:right w:val="single" w:color="auto" w:sz="4" w:space="0"/>
                  </w:tcBorders>
                  <w:noWrap/>
                  <w:vAlign w:val="center"/>
                </w:tcPr>
                <w:p w14:paraId="34B66E21">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0" w:type="dxa"/>
                  <w:tcBorders>
                    <w:top w:val="single" w:color="auto" w:sz="4" w:space="0"/>
                    <w:left w:val="single" w:color="auto" w:sz="4" w:space="0"/>
                    <w:bottom w:val="single" w:color="auto" w:sz="4" w:space="0"/>
                    <w:right w:val="single" w:color="auto" w:sz="4" w:space="0"/>
                  </w:tcBorders>
                  <w:vAlign w:val="center"/>
                </w:tcPr>
                <w:p w14:paraId="55ABABCC">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963" w:type="dxa"/>
                  <w:tcBorders>
                    <w:top w:val="nil"/>
                    <w:left w:val="single" w:color="auto" w:sz="4" w:space="0"/>
                    <w:bottom w:val="single" w:color="auto" w:sz="4" w:space="0"/>
                    <w:right w:val="single" w:color="auto" w:sz="4" w:space="0"/>
                  </w:tcBorders>
                  <w:vAlign w:val="center"/>
                </w:tcPr>
                <w:p w14:paraId="35EA99B6">
                  <w:pPr>
                    <w:widowControl/>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w:t>
                  </w:r>
                </w:p>
              </w:tc>
              <w:tc>
                <w:tcPr>
                  <w:tcW w:w="799" w:type="dxa"/>
                  <w:tcBorders>
                    <w:top w:val="single" w:color="auto" w:sz="4" w:space="0"/>
                    <w:left w:val="single" w:color="auto" w:sz="4" w:space="0"/>
                    <w:bottom w:val="single" w:color="auto" w:sz="4" w:space="0"/>
                    <w:right w:val="single" w:color="auto" w:sz="4" w:space="0"/>
                  </w:tcBorders>
                  <w:vAlign w:val="center"/>
                </w:tcPr>
                <w:p w14:paraId="0417A47A">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849" w:type="dxa"/>
                  <w:tcBorders>
                    <w:top w:val="single" w:color="auto" w:sz="4" w:space="0"/>
                    <w:left w:val="single" w:color="auto" w:sz="4" w:space="0"/>
                    <w:bottom w:val="single" w:color="auto" w:sz="4" w:space="0"/>
                    <w:right w:val="single" w:color="auto" w:sz="4" w:space="0"/>
                  </w:tcBorders>
                  <w:vAlign w:val="center"/>
                </w:tcPr>
                <w:p w14:paraId="1A0D8921">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2</w:t>
                  </w:r>
                  <w:r>
                    <w:rPr>
                      <w:rFonts w:eastAsia="仿宋"/>
                      <w:bCs/>
                      <w:color w:val="000000" w:themeColor="text1"/>
                      <w14:textFill>
                        <w14:solidFill>
                          <w14:schemeClr w14:val="tx1"/>
                        </w14:solidFill>
                      </w14:textFill>
                    </w:rPr>
                    <w:t>9.0</w:t>
                  </w:r>
                </w:p>
              </w:tc>
            </w:tr>
            <w:tr w14:paraId="20E56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3C5D3FC7">
                  <w:pPr>
                    <w:widowControl/>
                    <w:jc w:val="left"/>
                    <w:rPr>
                      <w:rFonts w:eastAsia="仿宋"/>
                      <w:bCs/>
                      <w:color w:val="000000" w:themeColor="text1"/>
                      <w:szCs w:val="21"/>
                      <w14:textFill>
                        <w14:solidFill>
                          <w14:schemeClr w14:val="tx1"/>
                        </w14:solidFill>
                      </w14:textFill>
                    </w:rPr>
                  </w:pPr>
                </w:p>
              </w:tc>
              <w:tc>
                <w:tcPr>
                  <w:tcW w:w="844" w:type="dxa"/>
                  <w:vMerge w:val="continue"/>
                  <w:tcBorders>
                    <w:left w:val="single" w:color="auto" w:sz="4" w:space="0"/>
                    <w:right w:val="single" w:color="auto" w:sz="4" w:space="0"/>
                  </w:tcBorders>
                  <w:vAlign w:val="center"/>
                </w:tcPr>
                <w:p w14:paraId="60648889">
                  <w:pPr>
                    <w:widowControl/>
                    <w:jc w:val="left"/>
                    <w:rPr>
                      <w:rFonts w:eastAsia="仿宋"/>
                      <w:bCs/>
                      <w:color w:val="000000" w:themeColor="text1"/>
                      <w:szCs w:val="21"/>
                      <w14:textFill>
                        <w14:solidFill>
                          <w14:schemeClr w14:val="tx1"/>
                        </w14:solidFill>
                      </w14:textFill>
                    </w:rPr>
                  </w:pPr>
                </w:p>
              </w:tc>
              <w:tc>
                <w:tcPr>
                  <w:tcW w:w="1056" w:type="dxa"/>
                  <w:vMerge w:val="restart"/>
                  <w:tcBorders>
                    <w:top w:val="nil"/>
                    <w:left w:val="single" w:color="auto" w:sz="4" w:space="0"/>
                    <w:right w:val="single" w:color="auto" w:sz="4" w:space="0"/>
                  </w:tcBorders>
                  <w:vAlign w:val="center"/>
                </w:tcPr>
                <w:p w14:paraId="0BD6E868">
                  <w:pPr>
                    <w:widowControl/>
                    <w:jc w:val="center"/>
                    <w:rPr>
                      <w:rFonts w:eastAsia="仿宋"/>
                      <w:bCs/>
                      <w:color w:val="000000" w:themeColor="text1"/>
                      <w14:textFill>
                        <w14:solidFill>
                          <w14:schemeClr w14:val="tx1"/>
                        </w14:solidFill>
                      </w14:textFill>
                    </w:rPr>
                  </w:pPr>
                  <w:r>
                    <w:rPr>
                      <w:rFonts w:eastAsia="仿宋"/>
                      <w:bCs/>
                      <w:color w:val="000000" w:themeColor="text1"/>
                      <w14:textFill>
                        <w14:solidFill>
                          <w14:schemeClr w14:val="tx1"/>
                        </w14:solidFill>
                      </w14:textFill>
                    </w:rPr>
                    <w:t>2024.8.29</w:t>
                  </w:r>
                </w:p>
              </w:tc>
              <w:tc>
                <w:tcPr>
                  <w:tcW w:w="1276" w:type="dxa"/>
                  <w:tcBorders>
                    <w:top w:val="single" w:color="auto" w:sz="4" w:space="0"/>
                    <w:left w:val="single" w:color="auto" w:sz="4" w:space="0"/>
                    <w:bottom w:val="single" w:color="auto" w:sz="4" w:space="0"/>
                    <w:right w:val="single" w:color="auto" w:sz="4" w:space="0"/>
                  </w:tcBorders>
                  <w:noWrap/>
                  <w:vAlign w:val="center"/>
                </w:tcPr>
                <w:p w14:paraId="4E9EA231">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7</w:t>
                  </w:r>
                  <w:r>
                    <w:rPr>
                      <w:rFonts w:eastAsia="仿宋"/>
                      <w:bCs/>
                      <w:color w:val="000000" w:themeColor="text1"/>
                      <w14:textFill>
                        <w14:solidFill>
                          <w14:schemeClr w14:val="tx1"/>
                        </w14:solidFill>
                      </w14:textFill>
                    </w:rPr>
                    <w:t>.5</w:t>
                  </w:r>
                </w:p>
              </w:tc>
              <w:tc>
                <w:tcPr>
                  <w:tcW w:w="707" w:type="dxa"/>
                  <w:tcBorders>
                    <w:top w:val="single" w:color="auto" w:sz="4" w:space="0"/>
                    <w:left w:val="single" w:color="auto" w:sz="4" w:space="0"/>
                    <w:bottom w:val="single" w:color="auto" w:sz="4" w:space="0"/>
                    <w:right w:val="single" w:color="auto" w:sz="4" w:space="0"/>
                  </w:tcBorders>
                  <w:vAlign w:val="center"/>
                </w:tcPr>
                <w:p w14:paraId="36C1056C">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1</w:t>
                  </w:r>
                  <w:r>
                    <w:rPr>
                      <w:rFonts w:eastAsia="仿宋"/>
                      <w:bCs/>
                      <w:color w:val="000000" w:themeColor="text1"/>
                      <w14:textFill>
                        <w14:solidFill>
                          <w14:schemeClr w14:val="tx1"/>
                        </w14:solidFill>
                      </w14:textFill>
                    </w:rPr>
                    <w:t>0</w:t>
                  </w:r>
                </w:p>
              </w:tc>
              <w:tc>
                <w:tcPr>
                  <w:tcW w:w="708" w:type="dxa"/>
                  <w:tcBorders>
                    <w:top w:val="single" w:color="auto" w:sz="4" w:space="0"/>
                    <w:left w:val="single" w:color="auto" w:sz="4" w:space="0"/>
                    <w:bottom w:val="single" w:color="auto" w:sz="4" w:space="0"/>
                    <w:right w:val="single" w:color="auto" w:sz="4" w:space="0"/>
                  </w:tcBorders>
                  <w:noWrap/>
                  <w:vAlign w:val="center"/>
                </w:tcPr>
                <w:p w14:paraId="25F9CEFC">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.102</w:t>
                  </w:r>
                </w:p>
              </w:tc>
              <w:tc>
                <w:tcPr>
                  <w:tcW w:w="700" w:type="dxa"/>
                  <w:tcBorders>
                    <w:top w:val="single" w:color="auto" w:sz="4" w:space="0"/>
                    <w:left w:val="single" w:color="auto" w:sz="4" w:space="0"/>
                    <w:bottom w:val="single" w:color="auto" w:sz="4" w:space="0"/>
                    <w:right w:val="single" w:color="auto" w:sz="4" w:space="0"/>
                  </w:tcBorders>
                  <w:vAlign w:val="center"/>
                </w:tcPr>
                <w:p w14:paraId="7B866FB6">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.10</w:t>
                  </w:r>
                </w:p>
              </w:tc>
              <w:tc>
                <w:tcPr>
                  <w:tcW w:w="963" w:type="dxa"/>
                  <w:tcBorders>
                    <w:top w:val="nil"/>
                    <w:left w:val="single" w:color="auto" w:sz="4" w:space="0"/>
                    <w:bottom w:val="single" w:color="auto" w:sz="4" w:space="0"/>
                    <w:right w:val="single" w:color="auto" w:sz="4" w:space="0"/>
                  </w:tcBorders>
                  <w:vAlign w:val="center"/>
                </w:tcPr>
                <w:p w14:paraId="6F7894F9">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3</w:t>
                  </w:r>
                  <w:r>
                    <w:rPr>
                      <w:rFonts w:eastAsia="仿宋"/>
                      <w:bCs/>
                      <w:color w:val="000000" w:themeColor="text1"/>
                      <w14:textFill>
                        <w14:solidFill>
                          <w14:schemeClr w14:val="tx1"/>
                        </w14:solidFill>
                      </w14:textFill>
                    </w:rPr>
                    <w:t>.96</w:t>
                  </w:r>
                </w:p>
              </w:tc>
              <w:tc>
                <w:tcPr>
                  <w:tcW w:w="799" w:type="dxa"/>
                  <w:tcBorders>
                    <w:top w:val="single" w:color="auto" w:sz="4" w:space="0"/>
                    <w:left w:val="single" w:color="auto" w:sz="4" w:space="0"/>
                    <w:bottom w:val="single" w:color="auto" w:sz="4" w:space="0"/>
                    <w:right w:val="single" w:color="auto" w:sz="4" w:space="0"/>
                  </w:tcBorders>
                  <w:vAlign w:val="center"/>
                </w:tcPr>
                <w:p w14:paraId="7FF7F808">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.03</w:t>
                  </w:r>
                </w:p>
              </w:tc>
              <w:tc>
                <w:tcPr>
                  <w:tcW w:w="849" w:type="dxa"/>
                  <w:tcBorders>
                    <w:top w:val="single" w:color="auto" w:sz="4" w:space="0"/>
                    <w:left w:val="single" w:color="auto" w:sz="4" w:space="0"/>
                    <w:bottom w:val="single" w:color="auto" w:sz="4" w:space="0"/>
                    <w:right w:val="single" w:color="auto" w:sz="4" w:space="0"/>
                  </w:tcBorders>
                  <w:vAlign w:val="center"/>
                </w:tcPr>
                <w:p w14:paraId="66F35A8B">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2</w:t>
                  </w:r>
                  <w:r>
                    <w:rPr>
                      <w:rFonts w:eastAsia="仿宋"/>
                      <w:bCs/>
                      <w:color w:val="000000" w:themeColor="text1"/>
                      <w14:textFill>
                        <w14:solidFill>
                          <w14:schemeClr w14:val="tx1"/>
                        </w14:solidFill>
                      </w14:textFill>
                    </w:rPr>
                    <w:t>6.4</w:t>
                  </w:r>
                </w:p>
              </w:tc>
            </w:tr>
            <w:tr w14:paraId="1F61A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1BDE4735">
                  <w:pPr>
                    <w:widowControl/>
                    <w:jc w:val="left"/>
                    <w:rPr>
                      <w:rFonts w:eastAsia="仿宋"/>
                      <w:bCs/>
                      <w:color w:val="000000" w:themeColor="text1"/>
                      <w:szCs w:val="21"/>
                      <w14:textFill>
                        <w14:solidFill>
                          <w14:schemeClr w14:val="tx1"/>
                        </w14:solidFill>
                      </w14:textFill>
                    </w:rPr>
                  </w:pPr>
                </w:p>
              </w:tc>
              <w:tc>
                <w:tcPr>
                  <w:tcW w:w="844" w:type="dxa"/>
                  <w:vMerge w:val="continue"/>
                  <w:tcBorders>
                    <w:left w:val="single" w:color="auto" w:sz="4" w:space="0"/>
                    <w:right w:val="single" w:color="auto" w:sz="4" w:space="0"/>
                  </w:tcBorders>
                  <w:vAlign w:val="center"/>
                </w:tcPr>
                <w:p w14:paraId="395E86CF">
                  <w:pPr>
                    <w:widowControl/>
                    <w:jc w:val="left"/>
                    <w:rPr>
                      <w:rFonts w:eastAsia="仿宋"/>
                      <w:bCs/>
                      <w:color w:val="000000" w:themeColor="text1"/>
                      <w:szCs w:val="21"/>
                      <w14:textFill>
                        <w14:solidFill>
                          <w14:schemeClr w14:val="tx1"/>
                        </w14:solidFill>
                      </w14:textFill>
                    </w:rPr>
                  </w:pPr>
                </w:p>
              </w:tc>
              <w:tc>
                <w:tcPr>
                  <w:tcW w:w="1056" w:type="dxa"/>
                  <w:vMerge w:val="continue"/>
                  <w:tcBorders>
                    <w:left w:val="single" w:color="auto" w:sz="4" w:space="0"/>
                    <w:right w:val="single" w:color="auto" w:sz="4" w:space="0"/>
                  </w:tcBorders>
                  <w:vAlign w:val="center"/>
                </w:tcPr>
                <w:p w14:paraId="7A6682C5">
                  <w:pPr>
                    <w:widowControl/>
                    <w:jc w:val="left"/>
                    <w:rPr>
                      <w:rFonts w:eastAsia="仿宋"/>
                      <w:bCs/>
                      <w:color w:val="000000" w:themeColor="text1"/>
                      <w:szCs w:val="2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noWrap/>
                  <w:vAlign w:val="center"/>
                </w:tcPr>
                <w:p w14:paraId="49B3BC06">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7</w:t>
                  </w:r>
                  <w:r>
                    <w:rPr>
                      <w:rFonts w:eastAsia="仿宋"/>
                      <w:bCs/>
                      <w:color w:val="000000" w:themeColor="text1"/>
                      <w14:textFill>
                        <w14:solidFill>
                          <w14:schemeClr w14:val="tx1"/>
                        </w14:solidFill>
                      </w14:textFill>
                    </w:rPr>
                    <w:t>.5</w:t>
                  </w:r>
                </w:p>
              </w:tc>
              <w:tc>
                <w:tcPr>
                  <w:tcW w:w="707" w:type="dxa"/>
                  <w:tcBorders>
                    <w:top w:val="single" w:color="auto" w:sz="4" w:space="0"/>
                    <w:left w:val="single" w:color="auto" w:sz="4" w:space="0"/>
                    <w:bottom w:val="single" w:color="auto" w:sz="4" w:space="0"/>
                    <w:right w:val="single" w:color="auto" w:sz="4" w:space="0"/>
                  </w:tcBorders>
                  <w:vAlign w:val="center"/>
                </w:tcPr>
                <w:p w14:paraId="0F4100C8">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1</w:t>
                  </w:r>
                  <w:r>
                    <w:rPr>
                      <w:rFonts w:eastAsia="仿宋"/>
                      <w:bCs/>
                      <w:color w:val="000000" w:themeColor="text1"/>
                      <w14:textFill>
                        <w14:solidFill>
                          <w14:schemeClr w14:val="tx1"/>
                        </w14:solidFill>
                      </w14:textFill>
                    </w:rPr>
                    <w:t>1</w:t>
                  </w:r>
                </w:p>
              </w:tc>
              <w:tc>
                <w:tcPr>
                  <w:tcW w:w="708" w:type="dxa"/>
                  <w:tcBorders>
                    <w:top w:val="single" w:color="auto" w:sz="4" w:space="0"/>
                    <w:left w:val="single" w:color="auto" w:sz="4" w:space="0"/>
                    <w:bottom w:val="single" w:color="auto" w:sz="4" w:space="0"/>
                    <w:right w:val="single" w:color="auto" w:sz="4" w:space="0"/>
                  </w:tcBorders>
                  <w:noWrap/>
                  <w:vAlign w:val="center"/>
                </w:tcPr>
                <w:p w14:paraId="4BC7C0E3">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.081</w:t>
                  </w:r>
                </w:p>
              </w:tc>
              <w:tc>
                <w:tcPr>
                  <w:tcW w:w="700" w:type="dxa"/>
                  <w:tcBorders>
                    <w:top w:val="single" w:color="auto" w:sz="4" w:space="0"/>
                    <w:left w:val="single" w:color="auto" w:sz="4" w:space="0"/>
                    <w:bottom w:val="single" w:color="auto" w:sz="4" w:space="0"/>
                    <w:right w:val="single" w:color="auto" w:sz="4" w:space="0"/>
                  </w:tcBorders>
                  <w:vAlign w:val="center"/>
                </w:tcPr>
                <w:p w14:paraId="493FA233">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.10</w:t>
                  </w:r>
                </w:p>
              </w:tc>
              <w:tc>
                <w:tcPr>
                  <w:tcW w:w="963" w:type="dxa"/>
                  <w:tcBorders>
                    <w:top w:val="nil"/>
                    <w:left w:val="single" w:color="auto" w:sz="4" w:space="0"/>
                    <w:bottom w:val="single" w:color="auto" w:sz="4" w:space="0"/>
                    <w:right w:val="single" w:color="auto" w:sz="4" w:space="0"/>
                  </w:tcBorders>
                  <w:vAlign w:val="center"/>
                </w:tcPr>
                <w:p w14:paraId="293E6149">
                  <w:pPr>
                    <w:widowControl/>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3</w:t>
                  </w:r>
                  <w:r>
                    <w:rPr>
                      <w:rFonts w:eastAsia="仿宋"/>
                      <w:bCs/>
                      <w:color w:val="000000" w:themeColor="text1"/>
                      <w:szCs w:val="21"/>
                      <w14:textFill>
                        <w14:solidFill>
                          <w14:schemeClr w14:val="tx1"/>
                        </w14:solidFill>
                      </w14:textFill>
                    </w:rPr>
                    <w:t>.73</w:t>
                  </w:r>
                </w:p>
              </w:tc>
              <w:tc>
                <w:tcPr>
                  <w:tcW w:w="799" w:type="dxa"/>
                  <w:tcBorders>
                    <w:top w:val="single" w:color="auto" w:sz="4" w:space="0"/>
                    <w:left w:val="single" w:color="auto" w:sz="4" w:space="0"/>
                    <w:bottom w:val="single" w:color="auto" w:sz="4" w:space="0"/>
                    <w:right w:val="single" w:color="auto" w:sz="4" w:space="0"/>
                  </w:tcBorders>
                  <w:vAlign w:val="center"/>
                </w:tcPr>
                <w:p w14:paraId="5926F06E">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.03</w:t>
                  </w:r>
                </w:p>
              </w:tc>
              <w:tc>
                <w:tcPr>
                  <w:tcW w:w="849" w:type="dxa"/>
                  <w:tcBorders>
                    <w:top w:val="single" w:color="auto" w:sz="4" w:space="0"/>
                    <w:left w:val="single" w:color="auto" w:sz="4" w:space="0"/>
                    <w:bottom w:val="single" w:color="auto" w:sz="4" w:space="0"/>
                    <w:right w:val="single" w:color="auto" w:sz="4" w:space="0"/>
                  </w:tcBorders>
                  <w:vAlign w:val="center"/>
                </w:tcPr>
                <w:p w14:paraId="45E28DAB">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3</w:t>
                  </w:r>
                  <w:r>
                    <w:rPr>
                      <w:rFonts w:eastAsia="仿宋"/>
                      <w:bCs/>
                      <w:color w:val="000000" w:themeColor="text1"/>
                      <w14:textFill>
                        <w14:solidFill>
                          <w14:schemeClr w14:val="tx1"/>
                        </w14:solidFill>
                      </w14:textFill>
                    </w:rPr>
                    <w:t>0.4</w:t>
                  </w:r>
                </w:p>
              </w:tc>
            </w:tr>
            <w:tr w14:paraId="5ECC0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014C625B">
                  <w:pPr>
                    <w:widowControl/>
                    <w:jc w:val="left"/>
                    <w:rPr>
                      <w:rFonts w:eastAsia="仿宋"/>
                      <w:bCs/>
                      <w:color w:val="000000" w:themeColor="text1"/>
                      <w:szCs w:val="21"/>
                      <w14:textFill>
                        <w14:solidFill>
                          <w14:schemeClr w14:val="tx1"/>
                        </w14:solidFill>
                      </w14:textFill>
                    </w:rPr>
                  </w:pPr>
                </w:p>
              </w:tc>
              <w:tc>
                <w:tcPr>
                  <w:tcW w:w="844" w:type="dxa"/>
                  <w:vMerge w:val="continue"/>
                  <w:tcBorders>
                    <w:left w:val="single" w:color="auto" w:sz="4" w:space="0"/>
                    <w:right w:val="single" w:color="auto" w:sz="4" w:space="0"/>
                  </w:tcBorders>
                  <w:vAlign w:val="center"/>
                </w:tcPr>
                <w:p w14:paraId="6A65E5E4">
                  <w:pPr>
                    <w:widowControl/>
                    <w:jc w:val="left"/>
                    <w:rPr>
                      <w:rFonts w:eastAsia="仿宋"/>
                      <w:bCs/>
                      <w:color w:val="000000" w:themeColor="text1"/>
                      <w:szCs w:val="21"/>
                      <w14:textFill>
                        <w14:solidFill>
                          <w14:schemeClr w14:val="tx1"/>
                        </w14:solidFill>
                      </w14:textFill>
                    </w:rPr>
                  </w:pPr>
                </w:p>
              </w:tc>
              <w:tc>
                <w:tcPr>
                  <w:tcW w:w="1056" w:type="dxa"/>
                  <w:vMerge w:val="continue"/>
                  <w:tcBorders>
                    <w:left w:val="single" w:color="auto" w:sz="4" w:space="0"/>
                    <w:right w:val="single" w:color="auto" w:sz="4" w:space="0"/>
                  </w:tcBorders>
                  <w:vAlign w:val="center"/>
                </w:tcPr>
                <w:p w14:paraId="62315BCE">
                  <w:pPr>
                    <w:widowControl/>
                    <w:jc w:val="left"/>
                    <w:rPr>
                      <w:rFonts w:eastAsia="仿宋"/>
                      <w:bCs/>
                      <w:color w:val="000000" w:themeColor="text1"/>
                      <w:szCs w:val="2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noWrap/>
                  <w:vAlign w:val="center"/>
                </w:tcPr>
                <w:p w14:paraId="1A9BDC6F">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7" w:type="dxa"/>
                  <w:tcBorders>
                    <w:top w:val="single" w:color="auto" w:sz="4" w:space="0"/>
                    <w:left w:val="single" w:color="auto" w:sz="4" w:space="0"/>
                    <w:bottom w:val="single" w:color="auto" w:sz="4" w:space="0"/>
                    <w:right w:val="single" w:color="auto" w:sz="4" w:space="0"/>
                  </w:tcBorders>
                  <w:vAlign w:val="center"/>
                </w:tcPr>
                <w:p w14:paraId="686445B2">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8" w:type="dxa"/>
                  <w:tcBorders>
                    <w:top w:val="single" w:color="auto" w:sz="4" w:space="0"/>
                    <w:left w:val="single" w:color="auto" w:sz="4" w:space="0"/>
                    <w:bottom w:val="single" w:color="auto" w:sz="4" w:space="0"/>
                    <w:right w:val="single" w:color="auto" w:sz="4" w:space="0"/>
                  </w:tcBorders>
                  <w:noWrap/>
                  <w:vAlign w:val="center"/>
                </w:tcPr>
                <w:p w14:paraId="69D2A06B">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0" w:type="dxa"/>
                  <w:tcBorders>
                    <w:top w:val="single" w:color="auto" w:sz="4" w:space="0"/>
                    <w:left w:val="single" w:color="auto" w:sz="4" w:space="0"/>
                    <w:bottom w:val="single" w:color="auto" w:sz="4" w:space="0"/>
                    <w:right w:val="single" w:color="auto" w:sz="4" w:space="0"/>
                  </w:tcBorders>
                  <w:vAlign w:val="center"/>
                </w:tcPr>
                <w:p w14:paraId="50611225">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963" w:type="dxa"/>
                  <w:tcBorders>
                    <w:top w:val="nil"/>
                    <w:left w:val="single" w:color="auto" w:sz="4" w:space="0"/>
                    <w:bottom w:val="single" w:color="auto" w:sz="4" w:space="0"/>
                    <w:right w:val="single" w:color="auto" w:sz="4" w:space="0"/>
                  </w:tcBorders>
                  <w:vAlign w:val="center"/>
                </w:tcPr>
                <w:p w14:paraId="3701F726">
                  <w:pPr>
                    <w:widowControl/>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w:t>
                  </w:r>
                </w:p>
              </w:tc>
              <w:tc>
                <w:tcPr>
                  <w:tcW w:w="799" w:type="dxa"/>
                  <w:tcBorders>
                    <w:top w:val="single" w:color="auto" w:sz="4" w:space="0"/>
                    <w:left w:val="single" w:color="auto" w:sz="4" w:space="0"/>
                    <w:bottom w:val="single" w:color="auto" w:sz="4" w:space="0"/>
                    <w:right w:val="single" w:color="auto" w:sz="4" w:space="0"/>
                  </w:tcBorders>
                  <w:vAlign w:val="center"/>
                </w:tcPr>
                <w:p w14:paraId="6173413F">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849" w:type="dxa"/>
                  <w:tcBorders>
                    <w:top w:val="single" w:color="auto" w:sz="4" w:space="0"/>
                    <w:left w:val="single" w:color="auto" w:sz="4" w:space="0"/>
                    <w:bottom w:val="single" w:color="auto" w:sz="4" w:space="0"/>
                    <w:right w:val="single" w:color="auto" w:sz="4" w:space="0"/>
                  </w:tcBorders>
                  <w:vAlign w:val="center"/>
                </w:tcPr>
                <w:p w14:paraId="1D9B02ED">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2</w:t>
                  </w:r>
                  <w:r>
                    <w:rPr>
                      <w:rFonts w:eastAsia="仿宋"/>
                      <w:bCs/>
                      <w:color w:val="000000" w:themeColor="text1"/>
                      <w14:textFill>
                        <w14:solidFill>
                          <w14:schemeClr w14:val="tx1"/>
                        </w14:solidFill>
                      </w14:textFill>
                    </w:rPr>
                    <w:t>9.2</w:t>
                  </w:r>
                </w:p>
              </w:tc>
            </w:tr>
            <w:tr w14:paraId="593B7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5526F639">
                  <w:pPr>
                    <w:widowControl/>
                    <w:jc w:val="left"/>
                    <w:rPr>
                      <w:rFonts w:eastAsia="仿宋"/>
                      <w:bCs/>
                      <w:color w:val="000000" w:themeColor="text1"/>
                      <w:szCs w:val="21"/>
                      <w14:textFill>
                        <w14:solidFill>
                          <w14:schemeClr w14:val="tx1"/>
                        </w14:solidFill>
                      </w14:textFill>
                    </w:rPr>
                  </w:pPr>
                </w:p>
              </w:tc>
              <w:tc>
                <w:tcPr>
                  <w:tcW w:w="844" w:type="dxa"/>
                  <w:vMerge w:val="continue"/>
                  <w:tcBorders>
                    <w:left w:val="single" w:color="auto" w:sz="4" w:space="0"/>
                    <w:bottom w:val="single" w:color="auto" w:sz="4" w:space="0"/>
                    <w:right w:val="single" w:color="auto" w:sz="4" w:space="0"/>
                  </w:tcBorders>
                  <w:vAlign w:val="center"/>
                </w:tcPr>
                <w:p w14:paraId="52C0CBD6">
                  <w:pPr>
                    <w:widowControl/>
                    <w:jc w:val="left"/>
                    <w:rPr>
                      <w:rFonts w:eastAsia="仿宋"/>
                      <w:bCs/>
                      <w:color w:val="000000" w:themeColor="text1"/>
                      <w:szCs w:val="21"/>
                      <w14:textFill>
                        <w14:solidFill>
                          <w14:schemeClr w14:val="tx1"/>
                        </w14:solidFill>
                      </w14:textFill>
                    </w:rPr>
                  </w:pPr>
                </w:p>
              </w:tc>
              <w:tc>
                <w:tcPr>
                  <w:tcW w:w="1056" w:type="dxa"/>
                  <w:vMerge w:val="continue"/>
                  <w:tcBorders>
                    <w:left w:val="single" w:color="auto" w:sz="4" w:space="0"/>
                    <w:bottom w:val="single" w:color="auto" w:sz="4" w:space="0"/>
                    <w:right w:val="single" w:color="auto" w:sz="4" w:space="0"/>
                  </w:tcBorders>
                  <w:vAlign w:val="center"/>
                </w:tcPr>
                <w:p w14:paraId="4958B67F">
                  <w:pPr>
                    <w:widowControl/>
                    <w:jc w:val="left"/>
                    <w:rPr>
                      <w:rFonts w:eastAsia="仿宋"/>
                      <w:bCs/>
                      <w:color w:val="000000" w:themeColor="text1"/>
                      <w:szCs w:val="2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noWrap/>
                  <w:vAlign w:val="center"/>
                </w:tcPr>
                <w:p w14:paraId="6B5DF33C">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7" w:type="dxa"/>
                  <w:tcBorders>
                    <w:top w:val="single" w:color="auto" w:sz="4" w:space="0"/>
                    <w:left w:val="single" w:color="auto" w:sz="4" w:space="0"/>
                    <w:bottom w:val="single" w:color="auto" w:sz="4" w:space="0"/>
                    <w:right w:val="single" w:color="auto" w:sz="4" w:space="0"/>
                  </w:tcBorders>
                  <w:vAlign w:val="center"/>
                </w:tcPr>
                <w:p w14:paraId="0E49417B">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8" w:type="dxa"/>
                  <w:tcBorders>
                    <w:top w:val="single" w:color="auto" w:sz="4" w:space="0"/>
                    <w:left w:val="single" w:color="auto" w:sz="4" w:space="0"/>
                    <w:bottom w:val="single" w:color="auto" w:sz="4" w:space="0"/>
                    <w:right w:val="single" w:color="auto" w:sz="4" w:space="0"/>
                  </w:tcBorders>
                  <w:noWrap/>
                  <w:vAlign w:val="center"/>
                </w:tcPr>
                <w:p w14:paraId="2B61C8C0">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0" w:type="dxa"/>
                  <w:tcBorders>
                    <w:top w:val="single" w:color="auto" w:sz="4" w:space="0"/>
                    <w:left w:val="single" w:color="auto" w:sz="4" w:space="0"/>
                    <w:bottom w:val="single" w:color="auto" w:sz="4" w:space="0"/>
                    <w:right w:val="single" w:color="auto" w:sz="4" w:space="0"/>
                  </w:tcBorders>
                  <w:vAlign w:val="center"/>
                </w:tcPr>
                <w:p w14:paraId="615F4903">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963" w:type="dxa"/>
                  <w:tcBorders>
                    <w:top w:val="nil"/>
                    <w:left w:val="single" w:color="auto" w:sz="4" w:space="0"/>
                    <w:bottom w:val="single" w:color="auto" w:sz="4" w:space="0"/>
                    <w:right w:val="single" w:color="auto" w:sz="4" w:space="0"/>
                  </w:tcBorders>
                  <w:vAlign w:val="center"/>
                </w:tcPr>
                <w:p w14:paraId="1F80DB13">
                  <w:pPr>
                    <w:widowControl/>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w:t>
                  </w:r>
                </w:p>
              </w:tc>
              <w:tc>
                <w:tcPr>
                  <w:tcW w:w="799" w:type="dxa"/>
                  <w:tcBorders>
                    <w:top w:val="single" w:color="auto" w:sz="4" w:space="0"/>
                    <w:left w:val="single" w:color="auto" w:sz="4" w:space="0"/>
                    <w:bottom w:val="single" w:color="auto" w:sz="4" w:space="0"/>
                    <w:right w:val="single" w:color="auto" w:sz="4" w:space="0"/>
                  </w:tcBorders>
                  <w:vAlign w:val="center"/>
                </w:tcPr>
                <w:p w14:paraId="2D61195B">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849" w:type="dxa"/>
                  <w:tcBorders>
                    <w:top w:val="single" w:color="auto" w:sz="4" w:space="0"/>
                    <w:left w:val="single" w:color="auto" w:sz="4" w:space="0"/>
                    <w:bottom w:val="single" w:color="auto" w:sz="4" w:space="0"/>
                    <w:right w:val="single" w:color="auto" w:sz="4" w:space="0"/>
                  </w:tcBorders>
                  <w:vAlign w:val="center"/>
                </w:tcPr>
                <w:p w14:paraId="01168D68">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2</w:t>
                  </w:r>
                  <w:r>
                    <w:rPr>
                      <w:rFonts w:eastAsia="仿宋"/>
                      <w:bCs/>
                      <w:color w:val="000000" w:themeColor="text1"/>
                      <w14:textFill>
                        <w14:solidFill>
                          <w14:schemeClr w14:val="tx1"/>
                        </w14:solidFill>
                      </w14:textFill>
                    </w:rPr>
                    <w:t>7.2</w:t>
                  </w:r>
                </w:p>
              </w:tc>
            </w:tr>
            <w:tr w14:paraId="4753C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5A5D1705">
                  <w:pPr>
                    <w:widowControl/>
                    <w:jc w:val="left"/>
                    <w:rPr>
                      <w:rFonts w:eastAsia="仿宋"/>
                      <w:bCs/>
                      <w:color w:val="000000" w:themeColor="text1"/>
                      <w:szCs w:val="21"/>
                      <w14:textFill>
                        <w14:solidFill>
                          <w14:schemeClr w14:val="tx1"/>
                        </w14:solidFill>
                      </w14:textFill>
                    </w:rPr>
                  </w:pPr>
                </w:p>
              </w:tc>
              <w:tc>
                <w:tcPr>
                  <w:tcW w:w="844" w:type="dxa"/>
                  <w:vMerge w:val="restart"/>
                  <w:tcBorders>
                    <w:top w:val="nil"/>
                    <w:left w:val="single" w:color="auto" w:sz="4" w:space="0"/>
                    <w:right w:val="single" w:color="auto" w:sz="4" w:space="0"/>
                  </w:tcBorders>
                  <w:vAlign w:val="center"/>
                </w:tcPr>
                <w:p w14:paraId="40490464">
                  <w:pPr>
                    <w:widowControl/>
                    <w:jc w:val="center"/>
                    <w:rPr>
                      <w:rFonts w:eastAsia="仿宋"/>
                      <w:bCs/>
                      <w:color w:val="000000" w:themeColor="text1"/>
                      <w14:textFill>
                        <w14:solidFill>
                          <w14:schemeClr w14:val="tx1"/>
                        </w14:solidFill>
                      </w14:textFill>
                    </w:rPr>
                  </w:pPr>
                  <w:r>
                    <w:rPr>
                      <w:rFonts w:eastAsia="仿宋"/>
                      <w:bCs/>
                      <w:color w:val="000000" w:themeColor="text1"/>
                      <w14:textFill>
                        <w14:solidFill>
                          <w14:schemeClr w14:val="tx1"/>
                        </w14:solidFill>
                      </w14:textFill>
                    </w:rPr>
                    <w:t>W2</w:t>
                  </w:r>
                  <w:r>
                    <w:rPr>
                      <w:rFonts w:ascii="仿宋" w:hAnsi="仿宋" w:eastAsia="仿宋"/>
                      <w:bCs/>
                      <w:color w:val="000000" w:themeColor="text1"/>
                      <w14:textFill>
                        <w14:solidFill>
                          <w14:schemeClr w14:val="tx1"/>
                        </w14:solidFill>
                      </w14:textFill>
                    </w:rPr>
                    <w:t>（</w:t>
                  </w:r>
                  <w:r>
                    <w:rPr>
                      <w:rFonts w:hint="eastAsia" w:ascii="仿宋" w:hAnsi="仿宋" w:eastAsia="仿宋"/>
                      <w:bCs/>
                      <w:color w:val="000000" w:themeColor="text1"/>
                      <w14:textFill>
                        <w14:solidFill>
                          <w14:schemeClr w14:val="tx1"/>
                        </w14:solidFill>
                      </w14:textFill>
                    </w:rPr>
                    <w:t>常州</w:t>
                  </w:r>
                  <w:r>
                    <w:rPr>
                      <w:rFonts w:ascii="仿宋" w:hAnsi="仿宋" w:eastAsia="仿宋"/>
                      <w:bCs/>
                      <w:color w:val="000000" w:themeColor="text1"/>
                      <w14:textFill>
                        <w14:solidFill>
                          <w14:schemeClr w14:val="tx1"/>
                        </w14:solidFill>
                      </w14:textFill>
                    </w:rPr>
                    <w:t>金坛区第二污水处理厂排口下游</w:t>
                  </w:r>
                  <w:r>
                    <w:rPr>
                      <w:rFonts w:eastAsia="仿宋"/>
                      <w:bCs/>
                      <w:color w:val="000000" w:themeColor="text1"/>
                      <w14:textFill>
                        <w14:solidFill>
                          <w14:schemeClr w14:val="tx1"/>
                        </w14:solidFill>
                      </w14:textFill>
                    </w:rPr>
                    <w:t>2000</w:t>
                  </w:r>
                  <w:r>
                    <w:rPr>
                      <w:rFonts w:ascii="仿宋" w:hAnsi="仿宋" w:eastAsia="仿宋"/>
                      <w:bCs/>
                      <w:color w:val="000000" w:themeColor="text1"/>
                      <w14:textFill>
                        <w14:solidFill>
                          <w14:schemeClr w14:val="tx1"/>
                        </w14:solidFill>
                      </w14:textFill>
                    </w:rPr>
                    <w:t>米）</w:t>
                  </w:r>
                </w:p>
              </w:tc>
              <w:tc>
                <w:tcPr>
                  <w:tcW w:w="1056" w:type="dxa"/>
                  <w:vMerge w:val="restart"/>
                  <w:tcBorders>
                    <w:top w:val="nil"/>
                    <w:left w:val="single" w:color="auto" w:sz="4" w:space="0"/>
                    <w:right w:val="single" w:color="auto" w:sz="4" w:space="0"/>
                  </w:tcBorders>
                  <w:vAlign w:val="center"/>
                </w:tcPr>
                <w:p w14:paraId="4C3A478B">
                  <w:pPr>
                    <w:widowControl/>
                    <w:jc w:val="center"/>
                    <w:rPr>
                      <w:rFonts w:eastAsia="仿宋"/>
                      <w:bCs/>
                      <w:color w:val="000000" w:themeColor="text1"/>
                      <w14:textFill>
                        <w14:solidFill>
                          <w14:schemeClr w14:val="tx1"/>
                        </w14:solidFill>
                      </w14:textFill>
                    </w:rPr>
                  </w:pPr>
                  <w:r>
                    <w:rPr>
                      <w:rFonts w:eastAsia="仿宋"/>
                      <w:bCs/>
                      <w:color w:val="000000" w:themeColor="text1"/>
                      <w14:textFill>
                        <w14:solidFill>
                          <w14:schemeClr w14:val="tx1"/>
                        </w14:solidFill>
                      </w14:textFill>
                    </w:rPr>
                    <w:t>2024.8.27</w:t>
                  </w:r>
                </w:p>
              </w:tc>
              <w:tc>
                <w:tcPr>
                  <w:tcW w:w="1276" w:type="dxa"/>
                  <w:tcBorders>
                    <w:top w:val="single" w:color="auto" w:sz="4" w:space="0"/>
                    <w:left w:val="single" w:color="auto" w:sz="4" w:space="0"/>
                    <w:bottom w:val="single" w:color="auto" w:sz="4" w:space="0"/>
                    <w:right w:val="single" w:color="auto" w:sz="4" w:space="0"/>
                  </w:tcBorders>
                  <w:noWrap/>
                  <w:vAlign w:val="center"/>
                </w:tcPr>
                <w:p w14:paraId="72D789D1">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7</w:t>
                  </w:r>
                  <w:r>
                    <w:rPr>
                      <w:rFonts w:eastAsia="仿宋"/>
                      <w:bCs/>
                      <w:color w:val="000000" w:themeColor="text1"/>
                      <w14:textFill>
                        <w14:solidFill>
                          <w14:schemeClr w14:val="tx1"/>
                        </w14:solidFill>
                      </w14:textFill>
                    </w:rPr>
                    <w:t>.9</w:t>
                  </w:r>
                </w:p>
              </w:tc>
              <w:tc>
                <w:tcPr>
                  <w:tcW w:w="707" w:type="dxa"/>
                  <w:tcBorders>
                    <w:top w:val="single" w:color="auto" w:sz="4" w:space="0"/>
                    <w:left w:val="single" w:color="auto" w:sz="4" w:space="0"/>
                    <w:bottom w:val="single" w:color="auto" w:sz="4" w:space="0"/>
                    <w:right w:val="single" w:color="auto" w:sz="4" w:space="0"/>
                  </w:tcBorders>
                  <w:vAlign w:val="center"/>
                </w:tcPr>
                <w:p w14:paraId="51CF0D76">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8</w:t>
                  </w:r>
                </w:p>
              </w:tc>
              <w:tc>
                <w:tcPr>
                  <w:tcW w:w="708" w:type="dxa"/>
                  <w:tcBorders>
                    <w:top w:val="single" w:color="auto" w:sz="4" w:space="0"/>
                    <w:left w:val="single" w:color="auto" w:sz="4" w:space="0"/>
                    <w:bottom w:val="single" w:color="auto" w:sz="4" w:space="0"/>
                    <w:right w:val="single" w:color="auto" w:sz="4" w:space="0"/>
                  </w:tcBorders>
                  <w:noWrap/>
                  <w:vAlign w:val="center"/>
                </w:tcPr>
                <w:p w14:paraId="0F444F7F">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.084</w:t>
                  </w:r>
                </w:p>
              </w:tc>
              <w:tc>
                <w:tcPr>
                  <w:tcW w:w="700" w:type="dxa"/>
                  <w:tcBorders>
                    <w:top w:val="single" w:color="auto" w:sz="4" w:space="0"/>
                    <w:left w:val="single" w:color="auto" w:sz="4" w:space="0"/>
                    <w:bottom w:val="single" w:color="auto" w:sz="4" w:space="0"/>
                    <w:right w:val="single" w:color="auto" w:sz="4" w:space="0"/>
                  </w:tcBorders>
                  <w:vAlign w:val="center"/>
                </w:tcPr>
                <w:p w14:paraId="4AAA76A1">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.15</w:t>
                  </w:r>
                </w:p>
              </w:tc>
              <w:tc>
                <w:tcPr>
                  <w:tcW w:w="963" w:type="dxa"/>
                  <w:tcBorders>
                    <w:top w:val="nil"/>
                    <w:left w:val="single" w:color="auto" w:sz="4" w:space="0"/>
                    <w:bottom w:val="single" w:color="auto" w:sz="4" w:space="0"/>
                    <w:right w:val="single" w:color="auto" w:sz="4" w:space="0"/>
                  </w:tcBorders>
                  <w:vAlign w:val="center"/>
                </w:tcPr>
                <w:p w14:paraId="0895E0DF">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4</w:t>
                  </w:r>
                  <w:r>
                    <w:rPr>
                      <w:rFonts w:eastAsia="仿宋"/>
                      <w:bCs/>
                      <w:color w:val="000000" w:themeColor="text1"/>
                      <w14:textFill>
                        <w14:solidFill>
                          <w14:schemeClr w14:val="tx1"/>
                        </w14:solidFill>
                      </w14:textFill>
                    </w:rPr>
                    <w:t>.47</w:t>
                  </w:r>
                </w:p>
              </w:tc>
              <w:tc>
                <w:tcPr>
                  <w:tcW w:w="799" w:type="dxa"/>
                  <w:tcBorders>
                    <w:top w:val="single" w:color="auto" w:sz="4" w:space="0"/>
                    <w:left w:val="single" w:color="auto" w:sz="4" w:space="0"/>
                    <w:bottom w:val="single" w:color="auto" w:sz="4" w:space="0"/>
                    <w:right w:val="single" w:color="auto" w:sz="4" w:space="0"/>
                  </w:tcBorders>
                  <w:vAlign w:val="center"/>
                </w:tcPr>
                <w:p w14:paraId="78E09171">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.03</w:t>
                  </w:r>
                </w:p>
              </w:tc>
              <w:tc>
                <w:tcPr>
                  <w:tcW w:w="849" w:type="dxa"/>
                  <w:tcBorders>
                    <w:top w:val="single" w:color="auto" w:sz="4" w:space="0"/>
                    <w:left w:val="single" w:color="auto" w:sz="4" w:space="0"/>
                    <w:bottom w:val="single" w:color="auto" w:sz="4" w:space="0"/>
                    <w:right w:val="single" w:color="auto" w:sz="4" w:space="0"/>
                  </w:tcBorders>
                  <w:vAlign w:val="center"/>
                </w:tcPr>
                <w:p w14:paraId="5A38925C">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2</w:t>
                  </w:r>
                  <w:r>
                    <w:rPr>
                      <w:rFonts w:eastAsia="仿宋"/>
                      <w:bCs/>
                      <w:color w:val="000000" w:themeColor="text1"/>
                      <w14:textFill>
                        <w14:solidFill>
                          <w14:schemeClr w14:val="tx1"/>
                        </w14:solidFill>
                      </w14:textFill>
                    </w:rPr>
                    <w:t>9.2</w:t>
                  </w:r>
                </w:p>
              </w:tc>
            </w:tr>
            <w:tr w14:paraId="7499B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74D67F36">
                  <w:pPr>
                    <w:widowControl/>
                    <w:jc w:val="left"/>
                    <w:rPr>
                      <w:rFonts w:eastAsia="仿宋"/>
                      <w:bCs/>
                      <w:color w:val="000000" w:themeColor="text1"/>
                      <w:szCs w:val="21"/>
                      <w14:textFill>
                        <w14:solidFill>
                          <w14:schemeClr w14:val="tx1"/>
                        </w14:solidFill>
                      </w14:textFill>
                    </w:rPr>
                  </w:pPr>
                </w:p>
              </w:tc>
              <w:tc>
                <w:tcPr>
                  <w:tcW w:w="844" w:type="dxa"/>
                  <w:vMerge w:val="continue"/>
                  <w:tcBorders>
                    <w:left w:val="single" w:color="auto" w:sz="4" w:space="0"/>
                    <w:right w:val="single" w:color="auto" w:sz="4" w:space="0"/>
                  </w:tcBorders>
                  <w:vAlign w:val="center"/>
                </w:tcPr>
                <w:p w14:paraId="63DB1FFE">
                  <w:pPr>
                    <w:widowControl/>
                    <w:jc w:val="left"/>
                    <w:rPr>
                      <w:rFonts w:eastAsia="仿宋"/>
                      <w:bCs/>
                      <w:color w:val="000000" w:themeColor="text1"/>
                      <w:szCs w:val="21"/>
                      <w14:textFill>
                        <w14:solidFill>
                          <w14:schemeClr w14:val="tx1"/>
                        </w14:solidFill>
                      </w14:textFill>
                    </w:rPr>
                  </w:pPr>
                </w:p>
              </w:tc>
              <w:tc>
                <w:tcPr>
                  <w:tcW w:w="1056" w:type="dxa"/>
                  <w:vMerge w:val="continue"/>
                  <w:tcBorders>
                    <w:left w:val="single" w:color="auto" w:sz="4" w:space="0"/>
                    <w:right w:val="single" w:color="auto" w:sz="4" w:space="0"/>
                  </w:tcBorders>
                  <w:vAlign w:val="center"/>
                </w:tcPr>
                <w:p w14:paraId="68674A55">
                  <w:pPr>
                    <w:widowControl/>
                    <w:jc w:val="left"/>
                    <w:rPr>
                      <w:rFonts w:eastAsia="仿宋"/>
                      <w:bCs/>
                      <w:color w:val="000000" w:themeColor="text1"/>
                      <w:szCs w:val="2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noWrap/>
                  <w:vAlign w:val="center"/>
                </w:tcPr>
                <w:p w14:paraId="5D9B90C5">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7</w:t>
                  </w:r>
                  <w:r>
                    <w:rPr>
                      <w:rFonts w:eastAsia="仿宋"/>
                      <w:bCs/>
                      <w:color w:val="000000" w:themeColor="text1"/>
                      <w14:textFill>
                        <w14:solidFill>
                          <w14:schemeClr w14:val="tx1"/>
                        </w14:solidFill>
                      </w14:textFill>
                    </w:rPr>
                    <w:t>.9</w:t>
                  </w:r>
                </w:p>
              </w:tc>
              <w:tc>
                <w:tcPr>
                  <w:tcW w:w="707" w:type="dxa"/>
                  <w:tcBorders>
                    <w:top w:val="single" w:color="auto" w:sz="4" w:space="0"/>
                    <w:left w:val="single" w:color="auto" w:sz="4" w:space="0"/>
                    <w:bottom w:val="single" w:color="auto" w:sz="4" w:space="0"/>
                    <w:right w:val="single" w:color="auto" w:sz="4" w:space="0"/>
                  </w:tcBorders>
                  <w:vAlign w:val="center"/>
                </w:tcPr>
                <w:p w14:paraId="340DB301">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7</w:t>
                  </w:r>
                </w:p>
              </w:tc>
              <w:tc>
                <w:tcPr>
                  <w:tcW w:w="708" w:type="dxa"/>
                  <w:tcBorders>
                    <w:top w:val="single" w:color="auto" w:sz="4" w:space="0"/>
                    <w:left w:val="single" w:color="auto" w:sz="4" w:space="0"/>
                    <w:bottom w:val="single" w:color="auto" w:sz="4" w:space="0"/>
                    <w:right w:val="single" w:color="auto" w:sz="4" w:space="0"/>
                  </w:tcBorders>
                  <w:noWrap/>
                  <w:vAlign w:val="center"/>
                </w:tcPr>
                <w:p w14:paraId="0C98F440">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.191</w:t>
                  </w:r>
                </w:p>
              </w:tc>
              <w:tc>
                <w:tcPr>
                  <w:tcW w:w="700" w:type="dxa"/>
                  <w:tcBorders>
                    <w:top w:val="single" w:color="auto" w:sz="4" w:space="0"/>
                    <w:left w:val="single" w:color="auto" w:sz="4" w:space="0"/>
                    <w:bottom w:val="single" w:color="auto" w:sz="4" w:space="0"/>
                    <w:right w:val="single" w:color="auto" w:sz="4" w:space="0"/>
                  </w:tcBorders>
                  <w:vAlign w:val="center"/>
                </w:tcPr>
                <w:p w14:paraId="62DEE848">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.13</w:t>
                  </w:r>
                </w:p>
              </w:tc>
              <w:tc>
                <w:tcPr>
                  <w:tcW w:w="963" w:type="dxa"/>
                  <w:tcBorders>
                    <w:top w:val="nil"/>
                    <w:left w:val="single" w:color="auto" w:sz="4" w:space="0"/>
                    <w:bottom w:val="single" w:color="auto" w:sz="4" w:space="0"/>
                    <w:right w:val="single" w:color="auto" w:sz="4" w:space="0"/>
                  </w:tcBorders>
                  <w:vAlign w:val="center"/>
                </w:tcPr>
                <w:p w14:paraId="1C81F25E">
                  <w:pPr>
                    <w:widowControl/>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4</w:t>
                  </w:r>
                  <w:r>
                    <w:rPr>
                      <w:rFonts w:eastAsia="仿宋"/>
                      <w:bCs/>
                      <w:color w:val="000000" w:themeColor="text1"/>
                      <w:szCs w:val="21"/>
                      <w14:textFill>
                        <w14:solidFill>
                          <w14:schemeClr w14:val="tx1"/>
                        </w14:solidFill>
                      </w14:textFill>
                    </w:rPr>
                    <w:t>.42</w:t>
                  </w:r>
                </w:p>
              </w:tc>
              <w:tc>
                <w:tcPr>
                  <w:tcW w:w="799" w:type="dxa"/>
                  <w:tcBorders>
                    <w:top w:val="single" w:color="auto" w:sz="4" w:space="0"/>
                    <w:left w:val="single" w:color="auto" w:sz="4" w:space="0"/>
                    <w:bottom w:val="single" w:color="auto" w:sz="4" w:space="0"/>
                    <w:right w:val="single" w:color="auto" w:sz="4" w:space="0"/>
                  </w:tcBorders>
                  <w:vAlign w:val="center"/>
                </w:tcPr>
                <w:p w14:paraId="403BBC51">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.03</w:t>
                  </w:r>
                </w:p>
              </w:tc>
              <w:tc>
                <w:tcPr>
                  <w:tcW w:w="849" w:type="dxa"/>
                  <w:tcBorders>
                    <w:top w:val="single" w:color="auto" w:sz="4" w:space="0"/>
                    <w:left w:val="single" w:color="auto" w:sz="4" w:space="0"/>
                    <w:bottom w:val="single" w:color="auto" w:sz="4" w:space="0"/>
                    <w:right w:val="single" w:color="auto" w:sz="4" w:space="0"/>
                  </w:tcBorders>
                  <w:vAlign w:val="center"/>
                </w:tcPr>
                <w:p w14:paraId="4EB443CB">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3</w:t>
                  </w:r>
                  <w:r>
                    <w:rPr>
                      <w:rFonts w:eastAsia="仿宋"/>
                      <w:bCs/>
                      <w:color w:val="000000" w:themeColor="text1"/>
                      <w14:textFill>
                        <w14:solidFill>
                          <w14:schemeClr w14:val="tx1"/>
                        </w14:solidFill>
                      </w14:textFill>
                    </w:rPr>
                    <w:t>0.3</w:t>
                  </w:r>
                </w:p>
              </w:tc>
            </w:tr>
            <w:tr w14:paraId="43205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4721153F">
                  <w:pPr>
                    <w:widowControl/>
                    <w:jc w:val="left"/>
                    <w:rPr>
                      <w:rFonts w:eastAsia="仿宋"/>
                      <w:bCs/>
                      <w:color w:val="000000" w:themeColor="text1"/>
                      <w:szCs w:val="21"/>
                      <w14:textFill>
                        <w14:solidFill>
                          <w14:schemeClr w14:val="tx1"/>
                        </w14:solidFill>
                      </w14:textFill>
                    </w:rPr>
                  </w:pPr>
                </w:p>
              </w:tc>
              <w:tc>
                <w:tcPr>
                  <w:tcW w:w="844" w:type="dxa"/>
                  <w:vMerge w:val="continue"/>
                  <w:tcBorders>
                    <w:left w:val="single" w:color="auto" w:sz="4" w:space="0"/>
                    <w:right w:val="single" w:color="auto" w:sz="4" w:space="0"/>
                  </w:tcBorders>
                  <w:vAlign w:val="center"/>
                </w:tcPr>
                <w:p w14:paraId="5B38EB20">
                  <w:pPr>
                    <w:widowControl/>
                    <w:jc w:val="left"/>
                    <w:rPr>
                      <w:rFonts w:eastAsia="仿宋"/>
                      <w:bCs/>
                      <w:color w:val="000000" w:themeColor="text1"/>
                      <w:szCs w:val="21"/>
                      <w14:textFill>
                        <w14:solidFill>
                          <w14:schemeClr w14:val="tx1"/>
                        </w14:solidFill>
                      </w14:textFill>
                    </w:rPr>
                  </w:pPr>
                </w:p>
              </w:tc>
              <w:tc>
                <w:tcPr>
                  <w:tcW w:w="1056" w:type="dxa"/>
                  <w:vMerge w:val="continue"/>
                  <w:tcBorders>
                    <w:left w:val="single" w:color="auto" w:sz="4" w:space="0"/>
                    <w:right w:val="single" w:color="auto" w:sz="4" w:space="0"/>
                  </w:tcBorders>
                  <w:vAlign w:val="center"/>
                </w:tcPr>
                <w:p w14:paraId="31A11147">
                  <w:pPr>
                    <w:widowControl/>
                    <w:jc w:val="left"/>
                    <w:rPr>
                      <w:rFonts w:eastAsia="仿宋"/>
                      <w:bCs/>
                      <w:color w:val="000000" w:themeColor="text1"/>
                      <w:szCs w:val="2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noWrap/>
                  <w:vAlign w:val="center"/>
                </w:tcPr>
                <w:p w14:paraId="0B20A4CB">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7" w:type="dxa"/>
                  <w:tcBorders>
                    <w:top w:val="single" w:color="auto" w:sz="4" w:space="0"/>
                    <w:left w:val="single" w:color="auto" w:sz="4" w:space="0"/>
                    <w:bottom w:val="single" w:color="auto" w:sz="4" w:space="0"/>
                    <w:right w:val="single" w:color="auto" w:sz="4" w:space="0"/>
                  </w:tcBorders>
                  <w:vAlign w:val="center"/>
                </w:tcPr>
                <w:p w14:paraId="7E5EA49B">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8" w:type="dxa"/>
                  <w:tcBorders>
                    <w:top w:val="single" w:color="auto" w:sz="4" w:space="0"/>
                    <w:left w:val="single" w:color="auto" w:sz="4" w:space="0"/>
                    <w:bottom w:val="single" w:color="auto" w:sz="4" w:space="0"/>
                    <w:right w:val="single" w:color="auto" w:sz="4" w:space="0"/>
                  </w:tcBorders>
                  <w:noWrap/>
                  <w:vAlign w:val="center"/>
                </w:tcPr>
                <w:p w14:paraId="0FDDDC9A">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0" w:type="dxa"/>
                  <w:tcBorders>
                    <w:top w:val="single" w:color="auto" w:sz="4" w:space="0"/>
                    <w:left w:val="single" w:color="auto" w:sz="4" w:space="0"/>
                    <w:bottom w:val="single" w:color="auto" w:sz="4" w:space="0"/>
                    <w:right w:val="single" w:color="auto" w:sz="4" w:space="0"/>
                  </w:tcBorders>
                  <w:vAlign w:val="center"/>
                </w:tcPr>
                <w:p w14:paraId="4D64B106">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963" w:type="dxa"/>
                  <w:tcBorders>
                    <w:top w:val="nil"/>
                    <w:left w:val="single" w:color="auto" w:sz="4" w:space="0"/>
                    <w:bottom w:val="single" w:color="auto" w:sz="4" w:space="0"/>
                    <w:right w:val="single" w:color="auto" w:sz="4" w:space="0"/>
                  </w:tcBorders>
                  <w:vAlign w:val="center"/>
                </w:tcPr>
                <w:p w14:paraId="2AE80C0C">
                  <w:pPr>
                    <w:widowControl/>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w:t>
                  </w:r>
                </w:p>
              </w:tc>
              <w:tc>
                <w:tcPr>
                  <w:tcW w:w="799" w:type="dxa"/>
                  <w:tcBorders>
                    <w:top w:val="single" w:color="auto" w:sz="4" w:space="0"/>
                    <w:left w:val="single" w:color="auto" w:sz="4" w:space="0"/>
                    <w:bottom w:val="single" w:color="auto" w:sz="4" w:space="0"/>
                    <w:right w:val="single" w:color="auto" w:sz="4" w:space="0"/>
                  </w:tcBorders>
                  <w:vAlign w:val="center"/>
                </w:tcPr>
                <w:p w14:paraId="2322EC2C">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849" w:type="dxa"/>
                  <w:tcBorders>
                    <w:top w:val="single" w:color="auto" w:sz="4" w:space="0"/>
                    <w:left w:val="single" w:color="auto" w:sz="4" w:space="0"/>
                    <w:bottom w:val="single" w:color="auto" w:sz="4" w:space="0"/>
                    <w:right w:val="single" w:color="auto" w:sz="4" w:space="0"/>
                  </w:tcBorders>
                  <w:vAlign w:val="center"/>
                </w:tcPr>
                <w:p w14:paraId="0DCB1639">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2</w:t>
                  </w:r>
                  <w:r>
                    <w:rPr>
                      <w:rFonts w:eastAsia="仿宋"/>
                      <w:bCs/>
                      <w:color w:val="000000" w:themeColor="text1"/>
                      <w14:textFill>
                        <w14:solidFill>
                          <w14:schemeClr w14:val="tx1"/>
                        </w14:solidFill>
                      </w14:textFill>
                    </w:rPr>
                    <w:t>9.8</w:t>
                  </w:r>
                </w:p>
              </w:tc>
            </w:tr>
            <w:tr w14:paraId="240C5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49F902FC">
                  <w:pPr>
                    <w:widowControl/>
                    <w:jc w:val="left"/>
                    <w:rPr>
                      <w:rFonts w:eastAsia="仿宋"/>
                      <w:bCs/>
                      <w:color w:val="000000" w:themeColor="text1"/>
                      <w:szCs w:val="21"/>
                      <w14:textFill>
                        <w14:solidFill>
                          <w14:schemeClr w14:val="tx1"/>
                        </w14:solidFill>
                      </w14:textFill>
                    </w:rPr>
                  </w:pPr>
                </w:p>
              </w:tc>
              <w:tc>
                <w:tcPr>
                  <w:tcW w:w="844" w:type="dxa"/>
                  <w:vMerge w:val="continue"/>
                  <w:tcBorders>
                    <w:left w:val="single" w:color="auto" w:sz="4" w:space="0"/>
                    <w:right w:val="single" w:color="auto" w:sz="4" w:space="0"/>
                  </w:tcBorders>
                  <w:vAlign w:val="center"/>
                </w:tcPr>
                <w:p w14:paraId="70F448D9">
                  <w:pPr>
                    <w:widowControl/>
                    <w:jc w:val="left"/>
                    <w:rPr>
                      <w:rFonts w:eastAsia="仿宋"/>
                      <w:bCs/>
                      <w:color w:val="000000" w:themeColor="text1"/>
                      <w:szCs w:val="21"/>
                      <w14:textFill>
                        <w14:solidFill>
                          <w14:schemeClr w14:val="tx1"/>
                        </w14:solidFill>
                      </w14:textFill>
                    </w:rPr>
                  </w:pPr>
                </w:p>
              </w:tc>
              <w:tc>
                <w:tcPr>
                  <w:tcW w:w="1056" w:type="dxa"/>
                  <w:vMerge w:val="continue"/>
                  <w:tcBorders>
                    <w:left w:val="single" w:color="auto" w:sz="4" w:space="0"/>
                    <w:bottom w:val="single" w:color="auto" w:sz="4" w:space="0"/>
                    <w:right w:val="single" w:color="auto" w:sz="4" w:space="0"/>
                  </w:tcBorders>
                  <w:vAlign w:val="center"/>
                </w:tcPr>
                <w:p w14:paraId="669B9BB9">
                  <w:pPr>
                    <w:widowControl/>
                    <w:jc w:val="left"/>
                    <w:rPr>
                      <w:rFonts w:eastAsia="仿宋"/>
                      <w:bCs/>
                      <w:color w:val="000000" w:themeColor="text1"/>
                      <w:szCs w:val="2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noWrap/>
                  <w:vAlign w:val="center"/>
                </w:tcPr>
                <w:p w14:paraId="7AB201D0">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7" w:type="dxa"/>
                  <w:tcBorders>
                    <w:top w:val="single" w:color="auto" w:sz="4" w:space="0"/>
                    <w:left w:val="single" w:color="auto" w:sz="4" w:space="0"/>
                    <w:bottom w:val="single" w:color="auto" w:sz="4" w:space="0"/>
                    <w:right w:val="single" w:color="auto" w:sz="4" w:space="0"/>
                  </w:tcBorders>
                  <w:vAlign w:val="center"/>
                </w:tcPr>
                <w:p w14:paraId="19FC8133">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8" w:type="dxa"/>
                  <w:tcBorders>
                    <w:top w:val="single" w:color="auto" w:sz="4" w:space="0"/>
                    <w:left w:val="single" w:color="auto" w:sz="4" w:space="0"/>
                    <w:bottom w:val="single" w:color="auto" w:sz="4" w:space="0"/>
                    <w:right w:val="single" w:color="auto" w:sz="4" w:space="0"/>
                  </w:tcBorders>
                  <w:noWrap/>
                  <w:vAlign w:val="center"/>
                </w:tcPr>
                <w:p w14:paraId="06F54617">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0" w:type="dxa"/>
                  <w:tcBorders>
                    <w:top w:val="single" w:color="auto" w:sz="4" w:space="0"/>
                    <w:left w:val="single" w:color="auto" w:sz="4" w:space="0"/>
                    <w:bottom w:val="single" w:color="auto" w:sz="4" w:space="0"/>
                    <w:right w:val="single" w:color="auto" w:sz="4" w:space="0"/>
                  </w:tcBorders>
                  <w:vAlign w:val="center"/>
                </w:tcPr>
                <w:p w14:paraId="0A8E9B8D">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963" w:type="dxa"/>
                  <w:tcBorders>
                    <w:top w:val="nil"/>
                    <w:left w:val="single" w:color="auto" w:sz="4" w:space="0"/>
                    <w:bottom w:val="single" w:color="auto" w:sz="4" w:space="0"/>
                    <w:right w:val="single" w:color="auto" w:sz="4" w:space="0"/>
                  </w:tcBorders>
                  <w:vAlign w:val="center"/>
                </w:tcPr>
                <w:p w14:paraId="1BF236BC">
                  <w:pPr>
                    <w:widowControl/>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w:t>
                  </w:r>
                </w:p>
              </w:tc>
              <w:tc>
                <w:tcPr>
                  <w:tcW w:w="799" w:type="dxa"/>
                  <w:tcBorders>
                    <w:top w:val="single" w:color="auto" w:sz="4" w:space="0"/>
                    <w:left w:val="single" w:color="auto" w:sz="4" w:space="0"/>
                    <w:bottom w:val="single" w:color="auto" w:sz="4" w:space="0"/>
                    <w:right w:val="single" w:color="auto" w:sz="4" w:space="0"/>
                  </w:tcBorders>
                  <w:vAlign w:val="center"/>
                </w:tcPr>
                <w:p w14:paraId="362A7ADA">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849" w:type="dxa"/>
                  <w:tcBorders>
                    <w:top w:val="single" w:color="auto" w:sz="4" w:space="0"/>
                    <w:left w:val="single" w:color="auto" w:sz="4" w:space="0"/>
                    <w:bottom w:val="single" w:color="auto" w:sz="4" w:space="0"/>
                    <w:right w:val="single" w:color="auto" w:sz="4" w:space="0"/>
                  </w:tcBorders>
                  <w:vAlign w:val="center"/>
                </w:tcPr>
                <w:p w14:paraId="16B7CBA6">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2</w:t>
                  </w:r>
                  <w:r>
                    <w:rPr>
                      <w:rFonts w:eastAsia="仿宋"/>
                      <w:bCs/>
                      <w:color w:val="000000" w:themeColor="text1"/>
                      <w14:textFill>
                        <w14:solidFill>
                          <w14:schemeClr w14:val="tx1"/>
                        </w14:solidFill>
                      </w14:textFill>
                    </w:rPr>
                    <w:t>9.4</w:t>
                  </w:r>
                </w:p>
              </w:tc>
            </w:tr>
            <w:tr w14:paraId="12374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08D62890">
                  <w:pPr>
                    <w:widowControl/>
                    <w:jc w:val="left"/>
                    <w:rPr>
                      <w:rFonts w:eastAsia="仿宋"/>
                      <w:bCs/>
                      <w:color w:val="000000" w:themeColor="text1"/>
                      <w:szCs w:val="21"/>
                      <w14:textFill>
                        <w14:solidFill>
                          <w14:schemeClr w14:val="tx1"/>
                        </w14:solidFill>
                      </w14:textFill>
                    </w:rPr>
                  </w:pPr>
                </w:p>
              </w:tc>
              <w:tc>
                <w:tcPr>
                  <w:tcW w:w="844" w:type="dxa"/>
                  <w:vMerge w:val="continue"/>
                  <w:tcBorders>
                    <w:left w:val="single" w:color="auto" w:sz="4" w:space="0"/>
                    <w:right w:val="single" w:color="auto" w:sz="4" w:space="0"/>
                  </w:tcBorders>
                  <w:vAlign w:val="center"/>
                </w:tcPr>
                <w:p w14:paraId="1ADED7F5">
                  <w:pPr>
                    <w:widowControl/>
                    <w:jc w:val="left"/>
                    <w:rPr>
                      <w:rFonts w:eastAsia="仿宋"/>
                      <w:bCs/>
                      <w:color w:val="000000" w:themeColor="text1"/>
                      <w:szCs w:val="21"/>
                      <w14:textFill>
                        <w14:solidFill>
                          <w14:schemeClr w14:val="tx1"/>
                        </w14:solidFill>
                      </w14:textFill>
                    </w:rPr>
                  </w:pPr>
                </w:p>
              </w:tc>
              <w:tc>
                <w:tcPr>
                  <w:tcW w:w="1056" w:type="dxa"/>
                  <w:vMerge w:val="restart"/>
                  <w:tcBorders>
                    <w:top w:val="nil"/>
                    <w:left w:val="single" w:color="auto" w:sz="4" w:space="0"/>
                    <w:right w:val="single" w:color="auto" w:sz="4" w:space="0"/>
                  </w:tcBorders>
                  <w:vAlign w:val="center"/>
                </w:tcPr>
                <w:p w14:paraId="720F9BF5">
                  <w:pPr>
                    <w:widowControl/>
                    <w:jc w:val="center"/>
                    <w:rPr>
                      <w:rFonts w:eastAsia="仿宋"/>
                      <w:bCs/>
                      <w:color w:val="000000" w:themeColor="text1"/>
                      <w14:textFill>
                        <w14:solidFill>
                          <w14:schemeClr w14:val="tx1"/>
                        </w14:solidFill>
                      </w14:textFill>
                    </w:rPr>
                  </w:pPr>
                  <w:r>
                    <w:rPr>
                      <w:rFonts w:eastAsia="仿宋"/>
                      <w:bCs/>
                      <w:color w:val="000000" w:themeColor="text1"/>
                      <w14:textFill>
                        <w14:solidFill>
                          <w14:schemeClr w14:val="tx1"/>
                        </w14:solidFill>
                      </w14:textFill>
                    </w:rPr>
                    <w:t>2024.8.28</w:t>
                  </w:r>
                </w:p>
              </w:tc>
              <w:tc>
                <w:tcPr>
                  <w:tcW w:w="1276" w:type="dxa"/>
                  <w:tcBorders>
                    <w:top w:val="single" w:color="auto" w:sz="4" w:space="0"/>
                    <w:left w:val="single" w:color="auto" w:sz="4" w:space="0"/>
                    <w:bottom w:val="single" w:color="auto" w:sz="4" w:space="0"/>
                    <w:right w:val="single" w:color="auto" w:sz="4" w:space="0"/>
                  </w:tcBorders>
                  <w:noWrap/>
                  <w:vAlign w:val="center"/>
                </w:tcPr>
                <w:p w14:paraId="5BDEEA8E">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7</w:t>
                  </w:r>
                  <w:r>
                    <w:rPr>
                      <w:rFonts w:eastAsia="仿宋"/>
                      <w:bCs/>
                      <w:color w:val="000000" w:themeColor="text1"/>
                      <w14:textFill>
                        <w14:solidFill>
                          <w14:schemeClr w14:val="tx1"/>
                        </w14:solidFill>
                      </w14:textFill>
                    </w:rPr>
                    <w:t>.7</w:t>
                  </w:r>
                </w:p>
              </w:tc>
              <w:tc>
                <w:tcPr>
                  <w:tcW w:w="707" w:type="dxa"/>
                  <w:tcBorders>
                    <w:top w:val="single" w:color="auto" w:sz="4" w:space="0"/>
                    <w:left w:val="single" w:color="auto" w:sz="4" w:space="0"/>
                    <w:bottom w:val="single" w:color="auto" w:sz="4" w:space="0"/>
                    <w:right w:val="single" w:color="auto" w:sz="4" w:space="0"/>
                  </w:tcBorders>
                  <w:vAlign w:val="center"/>
                </w:tcPr>
                <w:p w14:paraId="11D940CD">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1</w:t>
                  </w:r>
                  <w:r>
                    <w:rPr>
                      <w:rFonts w:eastAsia="仿宋"/>
                      <w:bCs/>
                      <w:color w:val="000000" w:themeColor="text1"/>
                      <w14:textFill>
                        <w14:solidFill>
                          <w14:schemeClr w14:val="tx1"/>
                        </w14:solidFill>
                      </w14:textFill>
                    </w:rPr>
                    <w:t>1</w:t>
                  </w:r>
                </w:p>
              </w:tc>
              <w:tc>
                <w:tcPr>
                  <w:tcW w:w="708" w:type="dxa"/>
                  <w:tcBorders>
                    <w:top w:val="single" w:color="auto" w:sz="4" w:space="0"/>
                    <w:left w:val="single" w:color="auto" w:sz="4" w:space="0"/>
                    <w:bottom w:val="single" w:color="auto" w:sz="4" w:space="0"/>
                    <w:right w:val="single" w:color="auto" w:sz="4" w:space="0"/>
                  </w:tcBorders>
                  <w:noWrap/>
                  <w:vAlign w:val="center"/>
                </w:tcPr>
                <w:p w14:paraId="5697AB93">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.095</w:t>
                  </w:r>
                </w:p>
              </w:tc>
              <w:tc>
                <w:tcPr>
                  <w:tcW w:w="700" w:type="dxa"/>
                  <w:tcBorders>
                    <w:top w:val="single" w:color="auto" w:sz="4" w:space="0"/>
                    <w:left w:val="single" w:color="auto" w:sz="4" w:space="0"/>
                    <w:bottom w:val="single" w:color="auto" w:sz="4" w:space="0"/>
                    <w:right w:val="single" w:color="auto" w:sz="4" w:space="0"/>
                  </w:tcBorders>
                  <w:vAlign w:val="center"/>
                </w:tcPr>
                <w:p w14:paraId="139DFB99">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.13</w:t>
                  </w:r>
                </w:p>
              </w:tc>
              <w:tc>
                <w:tcPr>
                  <w:tcW w:w="963" w:type="dxa"/>
                  <w:tcBorders>
                    <w:top w:val="nil"/>
                    <w:left w:val="single" w:color="auto" w:sz="4" w:space="0"/>
                    <w:bottom w:val="single" w:color="auto" w:sz="4" w:space="0"/>
                    <w:right w:val="single" w:color="auto" w:sz="4" w:space="0"/>
                  </w:tcBorders>
                  <w:vAlign w:val="center"/>
                </w:tcPr>
                <w:p w14:paraId="2EC9E437">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5</w:t>
                  </w:r>
                  <w:r>
                    <w:rPr>
                      <w:rFonts w:eastAsia="仿宋"/>
                      <w:bCs/>
                      <w:color w:val="000000" w:themeColor="text1"/>
                      <w14:textFill>
                        <w14:solidFill>
                          <w14:schemeClr w14:val="tx1"/>
                        </w14:solidFill>
                      </w14:textFill>
                    </w:rPr>
                    <w:t>.32</w:t>
                  </w:r>
                </w:p>
              </w:tc>
              <w:tc>
                <w:tcPr>
                  <w:tcW w:w="799" w:type="dxa"/>
                  <w:tcBorders>
                    <w:top w:val="single" w:color="auto" w:sz="4" w:space="0"/>
                    <w:left w:val="single" w:color="auto" w:sz="4" w:space="0"/>
                    <w:bottom w:val="single" w:color="auto" w:sz="4" w:space="0"/>
                    <w:right w:val="single" w:color="auto" w:sz="4" w:space="0"/>
                  </w:tcBorders>
                  <w:vAlign w:val="center"/>
                </w:tcPr>
                <w:p w14:paraId="1244DE56">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.03</w:t>
                  </w:r>
                </w:p>
              </w:tc>
              <w:tc>
                <w:tcPr>
                  <w:tcW w:w="849" w:type="dxa"/>
                  <w:tcBorders>
                    <w:top w:val="single" w:color="auto" w:sz="4" w:space="0"/>
                    <w:left w:val="single" w:color="auto" w:sz="4" w:space="0"/>
                    <w:bottom w:val="single" w:color="auto" w:sz="4" w:space="0"/>
                    <w:right w:val="single" w:color="auto" w:sz="4" w:space="0"/>
                  </w:tcBorders>
                  <w:vAlign w:val="center"/>
                </w:tcPr>
                <w:p w14:paraId="7712403D">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2</w:t>
                  </w:r>
                  <w:r>
                    <w:rPr>
                      <w:rFonts w:eastAsia="仿宋"/>
                      <w:bCs/>
                      <w:color w:val="000000" w:themeColor="text1"/>
                      <w14:textFill>
                        <w14:solidFill>
                          <w14:schemeClr w14:val="tx1"/>
                        </w14:solidFill>
                      </w14:textFill>
                    </w:rPr>
                    <w:t>9.0</w:t>
                  </w:r>
                </w:p>
              </w:tc>
            </w:tr>
            <w:tr w14:paraId="4210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6E2F8247">
                  <w:pPr>
                    <w:widowControl/>
                    <w:jc w:val="left"/>
                    <w:rPr>
                      <w:rFonts w:eastAsia="仿宋"/>
                      <w:bCs/>
                      <w:color w:val="000000" w:themeColor="text1"/>
                      <w:szCs w:val="21"/>
                      <w14:textFill>
                        <w14:solidFill>
                          <w14:schemeClr w14:val="tx1"/>
                        </w14:solidFill>
                      </w14:textFill>
                    </w:rPr>
                  </w:pPr>
                </w:p>
              </w:tc>
              <w:tc>
                <w:tcPr>
                  <w:tcW w:w="844" w:type="dxa"/>
                  <w:vMerge w:val="continue"/>
                  <w:tcBorders>
                    <w:left w:val="single" w:color="auto" w:sz="4" w:space="0"/>
                    <w:right w:val="single" w:color="auto" w:sz="4" w:space="0"/>
                  </w:tcBorders>
                  <w:vAlign w:val="center"/>
                </w:tcPr>
                <w:p w14:paraId="2FA5C499">
                  <w:pPr>
                    <w:widowControl/>
                    <w:jc w:val="left"/>
                    <w:rPr>
                      <w:rFonts w:eastAsia="仿宋"/>
                      <w:bCs/>
                      <w:color w:val="000000" w:themeColor="text1"/>
                      <w:szCs w:val="21"/>
                      <w14:textFill>
                        <w14:solidFill>
                          <w14:schemeClr w14:val="tx1"/>
                        </w14:solidFill>
                      </w14:textFill>
                    </w:rPr>
                  </w:pPr>
                </w:p>
              </w:tc>
              <w:tc>
                <w:tcPr>
                  <w:tcW w:w="1056" w:type="dxa"/>
                  <w:vMerge w:val="continue"/>
                  <w:tcBorders>
                    <w:left w:val="single" w:color="auto" w:sz="4" w:space="0"/>
                    <w:right w:val="single" w:color="auto" w:sz="4" w:space="0"/>
                  </w:tcBorders>
                  <w:vAlign w:val="center"/>
                </w:tcPr>
                <w:p w14:paraId="0573DD27">
                  <w:pPr>
                    <w:widowControl/>
                    <w:jc w:val="left"/>
                    <w:rPr>
                      <w:rFonts w:eastAsia="仿宋"/>
                      <w:bCs/>
                      <w:color w:val="000000" w:themeColor="text1"/>
                      <w:szCs w:val="2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noWrap/>
                  <w:vAlign w:val="center"/>
                </w:tcPr>
                <w:p w14:paraId="48F7E427">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7</w:t>
                  </w:r>
                  <w:r>
                    <w:rPr>
                      <w:rFonts w:eastAsia="仿宋"/>
                      <w:bCs/>
                      <w:color w:val="000000" w:themeColor="text1"/>
                      <w14:textFill>
                        <w14:solidFill>
                          <w14:schemeClr w14:val="tx1"/>
                        </w14:solidFill>
                      </w14:textFill>
                    </w:rPr>
                    <w:t>.7</w:t>
                  </w:r>
                </w:p>
              </w:tc>
              <w:tc>
                <w:tcPr>
                  <w:tcW w:w="707" w:type="dxa"/>
                  <w:tcBorders>
                    <w:top w:val="single" w:color="auto" w:sz="4" w:space="0"/>
                    <w:left w:val="single" w:color="auto" w:sz="4" w:space="0"/>
                    <w:bottom w:val="single" w:color="auto" w:sz="4" w:space="0"/>
                    <w:right w:val="single" w:color="auto" w:sz="4" w:space="0"/>
                  </w:tcBorders>
                  <w:vAlign w:val="center"/>
                </w:tcPr>
                <w:p w14:paraId="68F894D7">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1</w:t>
                  </w:r>
                  <w:r>
                    <w:rPr>
                      <w:rFonts w:eastAsia="仿宋"/>
                      <w:bCs/>
                      <w:color w:val="000000" w:themeColor="text1"/>
                      <w14:textFill>
                        <w14:solidFill>
                          <w14:schemeClr w14:val="tx1"/>
                        </w14:solidFill>
                      </w14:textFill>
                    </w:rPr>
                    <w:t>1</w:t>
                  </w:r>
                </w:p>
              </w:tc>
              <w:tc>
                <w:tcPr>
                  <w:tcW w:w="708" w:type="dxa"/>
                  <w:tcBorders>
                    <w:top w:val="single" w:color="auto" w:sz="4" w:space="0"/>
                    <w:left w:val="single" w:color="auto" w:sz="4" w:space="0"/>
                    <w:bottom w:val="single" w:color="auto" w:sz="4" w:space="0"/>
                    <w:right w:val="single" w:color="auto" w:sz="4" w:space="0"/>
                  </w:tcBorders>
                  <w:noWrap/>
                  <w:vAlign w:val="center"/>
                </w:tcPr>
                <w:p w14:paraId="2372F2CB">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.136</w:t>
                  </w:r>
                </w:p>
              </w:tc>
              <w:tc>
                <w:tcPr>
                  <w:tcW w:w="700" w:type="dxa"/>
                  <w:tcBorders>
                    <w:top w:val="single" w:color="auto" w:sz="4" w:space="0"/>
                    <w:left w:val="single" w:color="auto" w:sz="4" w:space="0"/>
                    <w:bottom w:val="single" w:color="auto" w:sz="4" w:space="0"/>
                    <w:right w:val="single" w:color="auto" w:sz="4" w:space="0"/>
                  </w:tcBorders>
                  <w:vAlign w:val="center"/>
                </w:tcPr>
                <w:p w14:paraId="0BD924CD">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.14</w:t>
                  </w:r>
                </w:p>
              </w:tc>
              <w:tc>
                <w:tcPr>
                  <w:tcW w:w="963" w:type="dxa"/>
                  <w:tcBorders>
                    <w:top w:val="nil"/>
                    <w:left w:val="single" w:color="auto" w:sz="4" w:space="0"/>
                    <w:bottom w:val="single" w:color="auto" w:sz="4" w:space="0"/>
                    <w:right w:val="single" w:color="auto" w:sz="4" w:space="0"/>
                  </w:tcBorders>
                  <w:vAlign w:val="center"/>
                </w:tcPr>
                <w:p w14:paraId="246571CA">
                  <w:pPr>
                    <w:widowControl/>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5</w:t>
                  </w:r>
                  <w:r>
                    <w:rPr>
                      <w:rFonts w:eastAsia="仿宋"/>
                      <w:bCs/>
                      <w:color w:val="000000" w:themeColor="text1"/>
                      <w:szCs w:val="21"/>
                      <w14:textFill>
                        <w14:solidFill>
                          <w14:schemeClr w14:val="tx1"/>
                        </w14:solidFill>
                      </w14:textFill>
                    </w:rPr>
                    <w:t>.66</w:t>
                  </w:r>
                </w:p>
              </w:tc>
              <w:tc>
                <w:tcPr>
                  <w:tcW w:w="799" w:type="dxa"/>
                  <w:tcBorders>
                    <w:top w:val="single" w:color="auto" w:sz="4" w:space="0"/>
                    <w:left w:val="single" w:color="auto" w:sz="4" w:space="0"/>
                    <w:bottom w:val="single" w:color="auto" w:sz="4" w:space="0"/>
                    <w:right w:val="single" w:color="auto" w:sz="4" w:space="0"/>
                  </w:tcBorders>
                  <w:vAlign w:val="center"/>
                </w:tcPr>
                <w:p w14:paraId="62CB1764">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.03</w:t>
                  </w:r>
                </w:p>
              </w:tc>
              <w:tc>
                <w:tcPr>
                  <w:tcW w:w="849" w:type="dxa"/>
                  <w:tcBorders>
                    <w:top w:val="single" w:color="auto" w:sz="4" w:space="0"/>
                    <w:left w:val="single" w:color="auto" w:sz="4" w:space="0"/>
                    <w:bottom w:val="single" w:color="auto" w:sz="4" w:space="0"/>
                    <w:right w:val="single" w:color="auto" w:sz="4" w:space="0"/>
                  </w:tcBorders>
                  <w:vAlign w:val="center"/>
                </w:tcPr>
                <w:p w14:paraId="244D3C55">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2</w:t>
                  </w:r>
                  <w:r>
                    <w:rPr>
                      <w:rFonts w:eastAsia="仿宋"/>
                      <w:bCs/>
                      <w:color w:val="000000" w:themeColor="text1"/>
                      <w14:textFill>
                        <w14:solidFill>
                          <w14:schemeClr w14:val="tx1"/>
                        </w14:solidFill>
                      </w14:textFill>
                    </w:rPr>
                    <w:t>9.8</w:t>
                  </w:r>
                </w:p>
              </w:tc>
            </w:tr>
            <w:tr w14:paraId="1A3ED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08CD8859">
                  <w:pPr>
                    <w:widowControl/>
                    <w:jc w:val="left"/>
                    <w:rPr>
                      <w:rFonts w:eastAsia="仿宋"/>
                      <w:bCs/>
                      <w:color w:val="000000" w:themeColor="text1"/>
                      <w:szCs w:val="21"/>
                      <w14:textFill>
                        <w14:solidFill>
                          <w14:schemeClr w14:val="tx1"/>
                        </w14:solidFill>
                      </w14:textFill>
                    </w:rPr>
                  </w:pPr>
                </w:p>
              </w:tc>
              <w:tc>
                <w:tcPr>
                  <w:tcW w:w="844" w:type="dxa"/>
                  <w:vMerge w:val="continue"/>
                  <w:tcBorders>
                    <w:left w:val="single" w:color="auto" w:sz="4" w:space="0"/>
                    <w:right w:val="single" w:color="auto" w:sz="4" w:space="0"/>
                  </w:tcBorders>
                  <w:vAlign w:val="center"/>
                </w:tcPr>
                <w:p w14:paraId="4FF477A7">
                  <w:pPr>
                    <w:widowControl/>
                    <w:jc w:val="left"/>
                    <w:rPr>
                      <w:rFonts w:eastAsia="仿宋"/>
                      <w:bCs/>
                      <w:color w:val="000000" w:themeColor="text1"/>
                      <w:szCs w:val="21"/>
                      <w14:textFill>
                        <w14:solidFill>
                          <w14:schemeClr w14:val="tx1"/>
                        </w14:solidFill>
                      </w14:textFill>
                    </w:rPr>
                  </w:pPr>
                </w:p>
              </w:tc>
              <w:tc>
                <w:tcPr>
                  <w:tcW w:w="1056" w:type="dxa"/>
                  <w:vMerge w:val="continue"/>
                  <w:tcBorders>
                    <w:left w:val="single" w:color="auto" w:sz="4" w:space="0"/>
                    <w:right w:val="single" w:color="auto" w:sz="4" w:space="0"/>
                  </w:tcBorders>
                  <w:vAlign w:val="center"/>
                </w:tcPr>
                <w:p w14:paraId="709F19C8">
                  <w:pPr>
                    <w:widowControl/>
                    <w:jc w:val="left"/>
                    <w:rPr>
                      <w:rFonts w:eastAsia="仿宋"/>
                      <w:bCs/>
                      <w:color w:val="000000" w:themeColor="text1"/>
                      <w:szCs w:val="2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noWrap/>
                  <w:vAlign w:val="center"/>
                </w:tcPr>
                <w:p w14:paraId="22ACFEE0">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7" w:type="dxa"/>
                  <w:tcBorders>
                    <w:top w:val="single" w:color="auto" w:sz="4" w:space="0"/>
                    <w:left w:val="single" w:color="auto" w:sz="4" w:space="0"/>
                    <w:bottom w:val="single" w:color="auto" w:sz="4" w:space="0"/>
                    <w:right w:val="single" w:color="auto" w:sz="4" w:space="0"/>
                  </w:tcBorders>
                  <w:vAlign w:val="center"/>
                </w:tcPr>
                <w:p w14:paraId="61BA9C88">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8" w:type="dxa"/>
                  <w:tcBorders>
                    <w:top w:val="single" w:color="auto" w:sz="4" w:space="0"/>
                    <w:left w:val="single" w:color="auto" w:sz="4" w:space="0"/>
                    <w:bottom w:val="single" w:color="auto" w:sz="4" w:space="0"/>
                    <w:right w:val="single" w:color="auto" w:sz="4" w:space="0"/>
                  </w:tcBorders>
                  <w:noWrap/>
                  <w:vAlign w:val="center"/>
                </w:tcPr>
                <w:p w14:paraId="4F140058">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0" w:type="dxa"/>
                  <w:tcBorders>
                    <w:top w:val="single" w:color="auto" w:sz="4" w:space="0"/>
                    <w:left w:val="single" w:color="auto" w:sz="4" w:space="0"/>
                    <w:bottom w:val="single" w:color="auto" w:sz="4" w:space="0"/>
                    <w:right w:val="single" w:color="auto" w:sz="4" w:space="0"/>
                  </w:tcBorders>
                  <w:vAlign w:val="center"/>
                </w:tcPr>
                <w:p w14:paraId="4D5E223C">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963" w:type="dxa"/>
                  <w:tcBorders>
                    <w:top w:val="nil"/>
                    <w:left w:val="single" w:color="auto" w:sz="4" w:space="0"/>
                    <w:bottom w:val="single" w:color="auto" w:sz="4" w:space="0"/>
                    <w:right w:val="single" w:color="auto" w:sz="4" w:space="0"/>
                  </w:tcBorders>
                  <w:vAlign w:val="center"/>
                </w:tcPr>
                <w:p w14:paraId="2F5431B6">
                  <w:pPr>
                    <w:widowControl/>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w:t>
                  </w:r>
                </w:p>
              </w:tc>
              <w:tc>
                <w:tcPr>
                  <w:tcW w:w="799" w:type="dxa"/>
                  <w:tcBorders>
                    <w:top w:val="single" w:color="auto" w:sz="4" w:space="0"/>
                    <w:left w:val="single" w:color="auto" w:sz="4" w:space="0"/>
                    <w:bottom w:val="single" w:color="auto" w:sz="4" w:space="0"/>
                    <w:right w:val="single" w:color="auto" w:sz="4" w:space="0"/>
                  </w:tcBorders>
                  <w:vAlign w:val="center"/>
                </w:tcPr>
                <w:p w14:paraId="4C03EBC2">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849" w:type="dxa"/>
                  <w:tcBorders>
                    <w:top w:val="single" w:color="auto" w:sz="4" w:space="0"/>
                    <w:left w:val="single" w:color="auto" w:sz="4" w:space="0"/>
                    <w:bottom w:val="single" w:color="auto" w:sz="4" w:space="0"/>
                    <w:right w:val="single" w:color="auto" w:sz="4" w:space="0"/>
                  </w:tcBorders>
                  <w:vAlign w:val="center"/>
                </w:tcPr>
                <w:p w14:paraId="4D7846BF">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2</w:t>
                  </w:r>
                  <w:r>
                    <w:rPr>
                      <w:rFonts w:eastAsia="仿宋"/>
                      <w:bCs/>
                      <w:color w:val="000000" w:themeColor="text1"/>
                      <w14:textFill>
                        <w14:solidFill>
                          <w14:schemeClr w14:val="tx1"/>
                        </w14:solidFill>
                      </w14:textFill>
                    </w:rPr>
                    <w:t>9.6</w:t>
                  </w:r>
                </w:p>
              </w:tc>
            </w:tr>
            <w:tr w14:paraId="7401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788A4123">
                  <w:pPr>
                    <w:widowControl/>
                    <w:jc w:val="left"/>
                    <w:rPr>
                      <w:rFonts w:eastAsia="仿宋"/>
                      <w:bCs/>
                      <w:color w:val="000000" w:themeColor="text1"/>
                      <w:szCs w:val="21"/>
                      <w14:textFill>
                        <w14:solidFill>
                          <w14:schemeClr w14:val="tx1"/>
                        </w14:solidFill>
                      </w14:textFill>
                    </w:rPr>
                  </w:pPr>
                </w:p>
              </w:tc>
              <w:tc>
                <w:tcPr>
                  <w:tcW w:w="844" w:type="dxa"/>
                  <w:vMerge w:val="continue"/>
                  <w:tcBorders>
                    <w:left w:val="single" w:color="auto" w:sz="4" w:space="0"/>
                    <w:right w:val="single" w:color="auto" w:sz="4" w:space="0"/>
                  </w:tcBorders>
                  <w:vAlign w:val="center"/>
                </w:tcPr>
                <w:p w14:paraId="6AF1DFD0">
                  <w:pPr>
                    <w:widowControl/>
                    <w:jc w:val="left"/>
                    <w:rPr>
                      <w:rFonts w:eastAsia="仿宋"/>
                      <w:bCs/>
                      <w:color w:val="000000" w:themeColor="text1"/>
                      <w:szCs w:val="21"/>
                      <w14:textFill>
                        <w14:solidFill>
                          <w14:schemeClr w14:val="tx1"/>
                        </w14:solidFill>
                      </w14:textFill>
                    </w:rPr>
                  </w:pPr>
                </w:p>
              </w:tc>
              <w:tc>
                <w:tcPr>
                  <w:tcW w:w="1056" w:type="dxa"/>
                  <w:vMerge w:val="continue"/>
                  <w:tcBorders>
                    <w:left w:val="single" w:color="auto" w:sz="4" w:space="0"/>
                    <w:bottom w:val="single" w:color="auto" w:sz="4" w:space="0"/>
                    <w:right w:val="single" w:color="auto" w:sz="4" w:space="0"/>
                  </w:tcBorders>
                  <w:vAlign w:val="center"/>
                </w:tcPr>
                <w:p w14:paraId="5C241164">
                  <w:pPr>
                    <w:widowControl/>
                    <w:jc w:val="left"/>
                    <w:rPr>
                      <w:rFonts w:eastAsia="仿宋"/>
                      <w:bCs/>
                      <w:color w:val="000000" w:themeColor="text1"/>
                      <w:szCs w:val="2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noWrap/>
                  <w:vAlign w:val="center"/>
                </w:tcPr>
                <w:p w14:paraId="6EBC19A5">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7" w:type="dxa"/>
                  <w:tcBorders>
                    <w:top w:val="single" w:color="auto" w:sz="4" w:space="0"/>
                    <w:left w:val="single" w:color="auto" w:sz="4" w:space="0"/>
                    <w:bottom w:val="single" w:color="auto" w:sz="4" w:space="0"/>
                    <w:right w:val="single" w:color="auto" w:sz="4" w:space="0"/>
                  </w:tcBorders>
                  <w:vAlign w:val="center"/>
                </w:tcPr>
                <w:p w14:paraId="4130B37F">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8" w:type="dxa"/>
                  <w:tcBorders>
                    <w:top w:val="single" w:color="auto" w:sz="4" w:space="0"/>
                    <w:left w:val="single" w:color="auto" w:sz="4" w:space="0"/>
                    <w:bottom w:val="single" w:color="auto" w:sz="4" w:space="0"/>
                    <w:right w:val="single" w:color="auto" w:sz="4" w:space="0"/>
                  </w:tcBorders>
                  <w:noWrap/>
                  <w:vAlign w:val="center"/>
                </w:tcPr>
                <w:p w14:paraId="0462DFFD">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0" w:type="dxa"/>
                  <w:tcBorders>
                    <w:top w:val="single" w:color="auto" w:sz="4" w:space="0"/>
                    <w:left w:val="single" w:color="auto" w:sz="4" w:space="0"/>
                    <w:bottom w:val="single" w:color="auto" w:sz="4" w:space="0"/>
                    <w:right w:val="single" w:color="auto" w:sz="4" w:space="0"/>
                  </w:tcBorders>
                  <w:vAlign w:val="center"/>
                </w:tcPr>
                <w:p w14:paraId="6037A002">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963" w:type="dxa"/>
                  <w:tcBorders>
                    <w:top w:val="nil"/>
                    <w:left w:val="single" w:color="auto" w:sz="4" w:space="0"/>
                    <w:bottom w:val="single" w:color="auto" w:sz="4" w:space="0"/>
                    <w:right w:val="single" w:color="auto" w:sz="4" w:space="0"/>
                  </w:tcBorders>
                  <w:vAlign w:val="center"/>
                </w:tcPr>
                <w:p w14:paraId="51026848">
                  <w:pPr>
                    <w:widowControl/>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w:t>
                  </w:r>
                </w:p>
              </w:tc>
              <w:tc>
                <w:tcPr>
                  <w:tcW w:w="799" w:type="dxa"/>
                  <w:tcBorders>
                    <w:top w:val="single" w:color="auto" w:sz="4" w:space="0"/>
                    <w:left w:val="single" w:color="auto" w:sz="4" w:space="0"/>
                    <w:bottom w:val="single" w:color="auto" w:sz="4" w:space="0"/>
                    <w:right w:val="single" w:color="auto" w:sz="4" w:space="0"/>
                  </w:tcBorders>
                  <w:vAlign w:val="center"/>
                </w:tcPr>
                <w:p w14:paraId="64678026">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849" w:type="dxa"/>
                  <w:tcBorders>
                    <w:top w:val="single" w:color="auto" w:sz="4" w:space="0"/>
                    <w:left w:val="single" w:color="auto" w:sz="4" w:space="0"/>
                    <w:bottom w:val="single" w:color="auto" w:sz="4" w:space="0"/>
                    <w:right w:val="single" w:color="auto" w:sz="4" w:space="0"/>
                  </w:tcBorders>
                  <w:vAlign w:val="center"/>
                </w:tcPr>
                <w:p w14:paraId="71AC2484">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2</w:t>
                  </w:r>
                  <w:r>
                    <w:rPr>
                      <w:rFonts w:eastAsia="仿宋"/>
                      <w:bCs/>
                      <w:color w:val="000000" w:themeColor="text1"/>
                      <w14:textFill>
                        <w14:solidFill>
                          <w14:schemeClr w14:val="tx1"/>
                        </w14:solidFill>
                      </w14:textFill>
                    </w:rPr>
                    <w:t>8.8</w:t>
                  </w:r>
                </w:p>
              </w:tc>
            </w:tr>
            <w:tr w14:paraId="40F35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06EED647">
                  <w:pPr>
                    <w:widowControl/>
                    <w:jc w:val="left"/>
                    <w:rPr>
                      <w:rFonts w:eastAsia="仿宋"/>
                      <w:bCs/>
                      <w:color w:val="000000" w:themeColor="text1"/>
                      <w:szCs w:val="21"/>
                      <w14:textFill>
                        <w14:solidFill>
                          <w14:schemeClr w14:val="tx1"/>
                        </w14:solidFill>
                      </w14:textFill>
                    </w:rPr>
                  </w:pPr>
                </w:p>
              </w:tc>
              <w:tc>
                <w:tcPr>
                  <w:tcW w:w="844" w:type="dxa"/>
                  <w:vMerge w:val="continue"/>
                  <w:tcBorders>
                    <w:left w:val="single" w:color="auto" w:sz="4" w:space="0"/>
                    <w:right w:val="single" w:color="auto" w:sz="4" w:space="0"/>
                  </w:tcBorders>
                  <w:vAlign w:val="center"/>
                </w:tcPr>
                <w:p w14:paraId="139F20F6">
                  <w:pPr>
                    <w:widowControl/>
                    <w:jc w:val="left"/>
                    <w:rPr>
                      <w:rFonts w:eastAsia="仿宋"/>
                      <w:bCs/>
                      <w:color w:val="000000" w:themeColor="text1"/>
                      <w:szCs w:val="21"/>
                      <w14:textFill>
                        <w14:solidFill>
                          <w14:schemeClr w14:val="tx1"/>
                        </w14:solidFill>
                      </w14:textFill>
                    </w:rPr>
                  </w:pPr>
                </w:p>
              </w:tc>
              <w:tc>
                <w:tcPr>
                  <w:tcW w:w="1056" w:type="dxa"/>
                  <w:vMerge w:val="restart"/>
                  <w:tcBorders>
                    <w:top w:val="nil"/>
                    <w:left w:val="single" w:color="auto" w:sz="4" w:space="0"/>
                    <w:right w:val="single" w:color="auto" w:sz="4" w:space="0"/>
                  </w:tcBorders>
                  <w:vAlign w:val="center"/>
                </w:tcPr>
                <w:p w14:paraId="5AC03590">
                  <w:pPr>
                    <w:widowControl/>
                    <w:jc w:val="center"/>
                    <w:rPr>
                      <w:rFonts w:eastAsia="仿宋"/>
                      <w:bCs/>
                      <w:color w:val="000000" w:themeColor="text1"/>
                      <w14:textFill>
                        <w14:solidFill>
                          <w14:schemeClr w14:val="tx1"/>
                        </w14:solidFill>
                      </w14:textFill>
                    </w:rPr>
                  </w:pPr>
                  <w:r>
                    <w:rPr>
                      <w:rFonts w:eastAsia="仿宋"/>
                      <w:bCs/>
                      <w:color w:val="000000" w:themeColor="text1"/>
                      <w14:textFill>
                        <w14:solidFill>
                          <w14:schemeClr w14:val="tx1"/>
                        </w14:solidFill>
                      </w14:textFill>
                    </w:rPr>
                    <w:t>2024.8.29</w:t>
                  </w:r>
                </w:p>
              </w:tc>
              <w:tc>
                <w:tcPr>
                  <w:tcW w:w="1276" w:type="dxa"/>
                  <w:tcBorders>
                    <w:top w:val="single" w:color="auto" w:sz="4" w:space="0"/>
                    <w:left w:val="single" w:color="auto" w:sz="4" w:space="0"/>
                    <w:bottom w:val="single" w:color="auto" w:sz="4" w:space="0"/>
                    <w:right w:val="single" w:color="auto" w:sz="4" w:space="0"/>
                  </w:tcBorders>
                  <w:noWrap/>
                  <w:vAlign w:val="center"/>
                </w:tcPr>
                <w:p w14:paraId="1AD3B7FF">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7</w:t>
                  </w:r>
                  <w:r>
                    <w:rPr>
                      <w:rFonts w:eastAsia="仿宋"/>
                      <w:bCs/>
                      <w:color w:val="000000" w:themeColor="text1"/>
                      <w14:textFill>
                        <w14:solidFill>
                          <w14:schemeClr w14:val="tx1"/>
                        </w14:solidFill>
                      </w14:textFill>
                    </w:rPr>
                    <w:t>.8</w:t>
                  </w:r>
                </w:p>
              </w:tc>
              <w:tc>
                <w:tcPr>
                  <w:tcW w:w="707" w:type="dxa"/>
                  <w:tcBorders>
                    <w:top w:val="single" w:color="auto" w:sz="4" w:space="0"/>
                    <w:left w:val="single" w:color="auto" w:sz="4" w:space="0"/>
                    <w:bottom w:val="single" w:color="auto" w:sz="4" w:space="0"/>
                    <w:right w:val="single" w:color="auto" w:sz="4" w:space="0"/>
                  </w:tcBorders>
                  <w:vAlign w:val="center"/>
                </w:tcPr>
                <w:p w14:paraId="47466D94">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1</w:t>
                  </w:r>
                  <w:r>
                    <w:rPr>
                      <w:rFonts w:eastAsia="仿宋"/>
                      <w:bCs/>
                      <w:color w:val="000000" w:themeColor="text1"/>
                      <w14:textFill>
                        <w14:solidFill>
                          <w14:schemeClr w14:val="tx1"/>
                        </w14:solidFill>
                      </w14:textFill>
                    </w:rPr>
                    <w:t>3</w:t>
                  </w:r>
                </w:p>
              </w:tc>
              <w:tc>
                <w:tcPr>
                  <w:tcW w:w="708" w:type="dxa"/>
                  <w:tcBorders>
                    <w:top w:val="single" w:color="auto" w:sz="4" w:space="0"/>
                    <w:left w:val="single" w:color="auto" w:sz="4" w:space="0"/>
                    <w:bottom w:val="single" w:color="auto" w:sz="4" w:space="0"/>
                    <w:right w:val="single" w:color="auto" w:sz="4" w:space="0"/>
                  </w:tcBorders>
                  <w:noWrap/>
                  <w:vAlign w:val="center"/>
                </w:tcPr>
                <w:p w14:paraId="73E6AC97">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.119</w:t>
                  </w:r>
                </w:p>
              </w:tc>
              <w:tc>
                <w:tcPr>
                  <w:tcW w:w="700" w:type="dxa"/>
                  <w:tcBorders>
                    <w:top w:val="single" w:color="auto" w:sz="4" w:space="0"/>
                    <w:left w:val="single" w:color="auto" w:sz="4" w:space="0"/>
                    <w:bottom w:val="single" w:color="auto" w:sz="4" w:space="0"/>
                    <w:right w:val="single" w:color="auto" w:sz="4" w:space="0"/>
                  </w:tcBorders>
                  <w:vAlign w:val="center"/>
                </w:tcPr>
                <w:p w14:paraId="73781749">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.11</w:t>
                  </w:r>
                </w:p>
              </w:tc>
              <w:tc>
                <w:tcPr>
                  <w:tcW w:w="963" w:type="dxa"/>
                  <w:tcBorders>
                    <w:top w:val="nil"/>
                    <w:left w:val="single" w:color="auto" w:sz="4" w:space="0"/>
                    <w:bottom w:val="single" w:color="auto" w:sz="4" w:space="0"/>
                    <w:right w:val="single" w:color="auto" w:sz="4" w:space="0"/>
                  </w:tcBorders>
                  <w:vAlign w:val="center"/>
                </w:tcPr>
                <w:p w14:paraId="6122443A">
                  <w:pPr>
                    <w:widowControl/>
                    <w:snapToGrid w:val="0"/>
                    <w:jc w:val="center"/>
                    <w:rPr>
                      <w:rFonts w:eastAsia="仿宋"/>
                      <w:bCs/>
                      <w:color w:val="000000" w:themeColor="text1"/>
                      <w14:textFill>
                        <w14:solidFill>
                          <w14:schemeClr w14:val="tx1"/>
                        </w14:solidFill>
                      </w14:textFill>
                    </w:rPr>
                  </w:pPr>
                  <w:r>
                    <w:rPr>
                      <w:rFonts w:eastAsia="仿宋"/>
                      <w:bCs/>
                      <w:color w:val="000000" w:themeColor="text1"/>
                      <w14:textFill>
                        <w14:solidFill>
                          <w14:schemeClr w14:val="tx1"/>
                        </w14:solidFill>
                      </w14:textFill>
                    </w:rPr>
                    <w:t>4.3</w:t>
                  </w:r>
                </w:p>
              </w:tc>
              <w:tc>
                <w:tcPr>
                  <w:tcW w:w="799" w:type="dxa"/>
                  <w:tcBorders>
                    <w:top w:val="single" w:color="auto" w:sz="4" w:space="0"/>
                    <w:left w:val="single" w:color="auto" w:sz="4" w:space="0"/>
                    <w:bottom w:val="single" w:color="auto" w:sz="4" w:space="0"/>
                    <w:right w:val="single" w:color="auto" w:sz="4" w:space="0"/>
                  </w:tcBorders>
                  <w:vAlign w:val="center"/>
                </w:tcPr>
                <w:p w14:paraId="7AA056E2">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.03</w:t>
                  </w:r>
                </w:p>
              </w:tc>
              <w:tc>
                <w:tcPr>
                  <w:tcW w:w="849" w:type="dxa"/>
                  <w:tcBorders>
                    <w:top w:val="single" w:color="auto" w:sz="4" w:space="0"/>
                    <w:left w:val="single" w:color="auto" w:sz="4" w:space="0"/>
                    <w:bottom w:val="single" w:color="auto" w:sz="4" w:space="0"/>
                    <w:right w:val="single" w:color="auto" w:sz="4" w:space="0"/>
                  </w:tcBorders>
                  <w:vAlign w:val="center"/>
                </w:tcPr>
                <w:p w14:paraId="743218EE">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2</w:t>
                  </w:r>
                  <w:r>
                    <w:rPr>
                      <w:rFonts w:eastAsia="仿宋"/>
                      <w:bCs/>
                      <w:color w:val="000000" w:themeColor="text1"/>
                      <w14:textFill>
                        <w14:solidFill>
                          <w14:schemeClr w14:val="tx1"/>
                        </w14:solidFill>
                      </w14:textFill>
                    </w:rPr>
                    <w:t>6.2</w:t>
                  </w:r>
                </w:p>
              </w:tc>
            </w:tr>
            <w:tr w14:paraId="20942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51E97EDA">
                  <w:pPr>
                    <w:widowControl/>
                    <w:jc w:val="left"/>
                    <w:rPr>
                      <w:rFonts w:eastAsia="仿宋"/>
                      <w:bCs/>
                      <w:color w:val="000000" w:themeColor="text1"/>
                      <w:szCs w:val="21"/>
                      <w14:textFill>
                        <w14:solidFill>
                          <w14:schemeClr w14:val="tx1"/>
                        </w14:solidFill>
                      </w14:textFill>
                    </w:rPr>
                  </w:pPr>
                </w:p>
              </w:tc>
              <w:tc>
                <w:tcPr>
                  <w:tcW w:w="844" w:type="dxa"/>
                  <w:vMerge w:val="continue"/>
                  <w:tcBorders>
                    <w:left w:val="single" w:color="auto" w:sz="4" w:space="0"/>
                    <w:right w:val="single" w:color="auto" w:sz="4" w:space="0"/>
                  </w:tcBorders>
                  <w:vAlign w:val="center"/>
                </w:tcPr>
                <w:p w14:paraId="05B453A8">
                  <w:pPr>
                    <w:widowControl/>
                    <w:jc w:val="left"/>
                    <w:rPr>
                      <w:rFonts w:eastAsia="仿宋"/>
                      <w:bCs/>
                      <w:color w:val="000000" w:themeColor="text1"/>
                      <w:szCs w:val="21"/>
                      <w14:textFill>
                        <w14:solidFill>
                          <w14:schemeClr w14:val="tx1"/>
                        </w14:solidFill>
                      </w14:textFill>
                    </w:rPr>
                  </w:pPr>
                </w:p>
              </w:tc>
              <w:tc>
                <w:tcPr>
                  <w:tcW w:w="1056" w:type="dxa"/>
                  <w:vMerge w:val="continue"/>
                  <w:tcBorders>
                    <w:left w:val="single" w:color="auto" w:sz="4" w:space="0"/>
                    <w:right w:val="single" w:color="auto" w:sz="4" w:space="0"/>
                  </w:tcBorders>
                  <w:vAlign w:val="center"/>
                </w:tcPr>
                <w:p w14:paraId="71F9FB11">
                  <w:pPr>
                    <w:widowControl/>
                    <w:jc w:val="left"/>
                    <w:rPr>
                      <w:rFonts w:eastAsia="仿宋"/>
                      <w:bCs/>
                      <w:color w:val="000000" w:themeColor="text1"/>
                      <w:szCs w:val="2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noWrap/>
                  <w:vAlign w:val="center"/>
                </w:tcPr>
                <w:p w14:paraId="1E21AD5E">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7</w:t>
                  </w:r>
                  <w:r>
                    <w:rPr>
                      <w:rFonts w:eastAsia="仿宋"/>
                      <w:bCs/>
                      <w:color w:val="000000" w:themeColor="text1"/>
                      <w14:textFill>
                        <w14:solidFill>
                          <w14:schemeClr w14:val="tx1"/>
                        </w14:solidFill>
                      </w14:textFill>
                    </w:rPr>
                    <w:t>.8</w:t>
                  </w:r>
                </w:p>
              </w:tc>
              <w:tc>
                <w:tcPr>
                  <w:tcW w:w="707" w:type="dxa"/>
                  <w:tcBorders>
                    <w:top w:val="single" w:color="auto" w:sz="4" w:space="0"/>
                    <w:left w:val="single" w:color="auto" w:sz="4" w:space="0"/>
                    <w:bottom w:val="single" w:color="auto" w:sz="4" w:space="0"/>
                    <w:right w:val="single" w:color="auto" w:sz="4" w:space="0"/>
                  </w:tcBorders>
                  <w:vAlign w:val="center"/>
                </w:tcPr>
                <w:p w14:paraId="0D04C219">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1</w:t>
                  </w:r>
                  <w:r>
                    <w:rPr>
                      <w:rFonts w:eastAsia="仿宋"/>
                      <w:bCs/>
                      <w:color w:val="000000" w:themeColor="text1"/>
                      <w14:textFill>
                        <w14:solidFill>
                          <w14:schemeClr w14:val="tx1"/>
                        </w14:solidFill>
                      </w14:textFill>
                    </w:rPr>
                    <w:t>2</w:t>
                  </w:r>
                </w:p>
              </w:tc>
              <w:tc>
                <w:tcPr>
                  <w:tcW w:w="708" w:type="dxa"/>
                  <w:tcBorders>
                    <w:top w:val="single" w:color="auto" w:sz="4" w:space="0"/>
                    <w:left w:val="single" w:color="auto" w:sz="4" w:space="0"/>
                    <w:bottom w:val="single" w:color="auto" w:sz="4" w:space="0"/>
                    <w:right w:val="single" w:color="auto" w:sz="4" w:space="0"/>
                  </w:tcBorders>
                  <w:noWrap/>
                  <w:vAlign w:val="center"/>
                </w:tcPr>
                <w:p w14:paraId="0A96EF7C">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.17</w:t>
                  </w:r>
                </w:p>
              </w:tc>
              <w:tc>
                <w:tcPr>
                  <w:tcW w:w="700" w:type="dxa"/>
                  <w:tcBorders>
                    <w:top w:val="single" w:color="auto" w:sz="4" w:space="0"/>
                    <w:left w:val="single" w:color="auto" w:sz="4" w:space="0"/>
                    <w:bottom w:val="single" w:color="auto" w:sz="4" w:space="0"/>
                    <w:right w:val="single" w:color="auto" w:sz="4" w:space="0"/>
                  </w:tcBorders>
                  <w:vAlign w:val="center"/>
                </w:tcPr>
                <w:p w14:paraId="5B6E1693">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.12</w:t>
                  </w:r>
                </w:p>
              </w:tc>
              <w:tc>
                <w:tcPr>
                  <w:tcW w:w="963" w:type="dxa"/>
                  <w:tcBorders>
                    <w:top w:val="nil"/>
                    <w:left w:val="single" w:color="auto" w:sz="4" w:space="0"/>
                    <w:bottom w:val="single" w:color="auto" w:sz="4" w:space="0"/>
                    <w:right w:val="single" w:color="auto" w:sz="4" w:space="0"/>
                  </w:tcBorders>
                  <w:vAlign w:val="center"/>
                </w:tcPr>
                <w:p w14:paraId="2964FDE4">
                  <w:pPr>
                    <w:widowControl/>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4</w:t>
                  </w:r>
                  <w:r>
                    <w:rPr>
                      <w:rFonts w:eastAsia="仿宋"/>
                      <w:bCs/>
                      <w:color w:val="000000" w:themeColor="text1"/>
                      <w:szCs w:val="21"/>
                      <w14:textFill>
                        <w14:solidFill>
                          <w14:schemeClr w14:val="tx1"/>
                        </w14:solidFill>
                      </w14:textFill>
                    </w:rPr>
                    <w:t>.54</w:t>
                  </w:r>
                </w:p>
              </w:tc>
              <w:tc>
                <w:tcPr>
                  <w:tcW w:w="799" w:type="dxa"/>
                  <w:tcBorders>
                    <w:top w:val="single" w:color="auto" w:sz="4" w:space="0"/>
                    <w:left w:val="single" w:color="auto" w:sz="4" w:space="0"/>
                    <w:bottom w:val="single" w:color="auto" w:sz="4" w:space="0"/>
                    <w:right w:val="single" w:color="auto" w:sz="4" w:space="0"/>
                  </w:tcBorders>
                  <w:vAlign w:val="center"/>
                </w:tcPr>
                <w:p w14:paraId="226CCA4E">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0</w:t>
                  </w:r>
                  <w:r>
                    <w:rPr>
                      <w:rFonts w:eastAsia="仿宋"/>
                      <w:bCs/>
                      <w:color w:val="000000" w:themeColor="text1"/>
                      <w14:textFill>
                        <w14:solidFill>
                          <w14:schemeClr w14:val="tx1"/>
                        </w14:solidFill>
                      </w14:textFill>
                    </w:rPr>
                    <w:t>.03</w:t>
                  </w:r>
                </w:p>
              </w:tc>
              <w:tc>
                <w:tcPr>
                  <w:tcW w:w="849" w:type="dxa"/>
                  <w:tcBorders>
                    <w:top w:val="single" w:color="auto" w:sz="4" w:space="0"/>
                    <w:left w:val="single" w:color="auto" w:sz="4" w:space="0"/>
                    <w:bottom w:val="single" w:color="auto" w:sz="4" w:space="0"/>
                    <w:right w:val="single" w:color="auto" w:sz="4" w:space="0"/>
                  </w:tcBorders>
                  <w:vAlign w:val="center"/>
                </w:tcPr>
                <w:p w14:paraId="4299C7D6">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3</w:t>
                  </w:r>
                  <w:r>
                    <w:rPr>
                      <w:rFonts w:eastAsia="仿宋"/>
                      <w:bCs/>
                      <w:color w:val="000000" w:themeColor="text1"/>
                      <w14:textFill>
                        <w14:solidFill>
                          <w14:schemeClr w14:val="tx1"/>
                        </w14:solidFill>
                      </w14:textFill>
                    </w:rPr>
                    <w:t>0.2</w:t>
                  </w:r>
                </w:p>
              </w:tc>
            </w:tr>
            <w:tr w14:paraId="0AC1A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6F38983B">
                  <w:pPr>
                    <w:widowControl/>
                    <w:jc w:val="left"/>
                    <w:rPr>
                      <w:rFonts w:eastAsia="仿宋"/>
                      <w:bCs/>
                      <w:color w:val="000000" w:themeColor="text1"/>
                      <w:szCs w:val="21"/>
                      <w14:textFill>
                        <w14:solidFill>
                          <w14:schemeClr w14:val="tx1"/>
                        </w14:solidFill>
                      </w14:textFill>
                    </w:rPr>
                  </w:pPr>
                </w:p>
              </w:tc>
              <w:tc>
                <w:tcPr>
                  <w:tcW w:w="844" w:type="dxa"/>
                  <w:vMerge w:val="continue"/>
                  <w:tcBorders>
                    <w:left w:val="single" w:color="auto" w:sz="4" w:space="0"/>
                    <w:right w:val="single" w:color="auto" w:sz="4" w:space="0"/>
                  </w:tcBorders>
                  <w:vAlign w:val="center"/>
                </w:tcPr>
                <w:p w14:paraId="69350E23">
                  <w:pPr>
                    <w:widowControl/>
                    <w:jc w:val="left"/>
                    <w:rPr>
                      <w:rFonts w:eastAsia="仿宋"/>
                      <w:bCs/>
                      <w:color w:val="000000" w:themeColor="text1"/>
                      <w:szCs w:val="21"/>
                      <w14:textFill>
                        <w14:solidFill>
                          <w14:schemeClr w14:val="tx1"/>
                        </w14:solidFill>
                      </w14:textFill>
                    </w:rPr>
                  </w:pPr>
                </w:p>
              </w:tc>
              <w:tc>
                <w:tcPr>
                  <w:tcW w:w="1056" w:type="dxa"/>
                  <w:vMerge w:val="continue"/>
                  <w:tcBorders>
                    <w:left w:val="single" w:color="auto" w:sz="4" w:space="0"/>
                    <w:right w:val="single" w:color="auto" w:sz="4" w:space="0"/>
                  </w:tcBorders>
                  <w:vAlign w:val="center"/>
                </w:tcPr>
                <w:p w14:paraId="336C348D">
                  <w:pPr>
                    <w:widowControl/>
                    <w:jc w:val="left"/>
                    <w:rPr>
                      <w:rFonts w:eastAsia="仿宋"/>
                      <w:bCs/>
                      <w:color w:val="000000" w:themeColor="text1"/>
                      <w:szCs w:val="2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noWrap/>
                  <w:vAlign w:val="center"/>
                </w:tcPr>
                <w:p w14:paraId="5928C4E9">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7" w:type="dxa"/>
                  <w:tcBorders>
                    <w:top w:val="single" w:color="auto" w:sz="4" w:space="0"/>
                    <w:left w:val="single" w:color="auto" w:sz="4" w:space="0"/>
                    <w:bottom w:val="single" w:color="auto" w:sz="4" w:space="0"/>
                    <w:right w:val="single" w:color="auto" w:sz="4" w:space="0"/>
                  </w:tcBorders>
                  <w:vAlign w:val="center"/>
                </w:tcPr>
                <w:p w14:paraId="0C17079F">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8" w:type="dxa"/>
                  <w:tcBorders>
                    <w:top w:val="single" w:color="auto" w:sz="4" w:space="0"/>
                    <w:left w:val="single" w:color="auto" w:sz="4" w:space="0"/>
                    <w:bottom w:val="single" w:color="auto" w:sz="4" w:space="0"/>
                    <w:right w:val="single" w:color="auto" w:sz="4" w:space="0"/>
                  </w:tcBorders>
                  <w:noWrap/>
                  <w:vAlign w:val="center"/>
                </w:tcPr>
                <w:p w14:paraId="6A8C2498">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0" w:type="dxa"/>
                  <w:tcBorders>
                    <w:top w:val="single" w:color="auto" w:sz="4" w:space="0"/>
                    <w:left w:val="single" w:color="auto" w:sz="4" w:space="0"/>
                    <w:bottom w:val="single" w:color="auto" w:sz="4" w:space="0"/>
                    <w:right w:val="single" w:color="auto" w:sz="4" w:space="0"/>
                  </w:tcBorders>
                  <w:vAlign w:val="center"/>
                </w:tcPr>
                <w:p w14:paraId="1D64C026">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963" w:type="dxa"/>
                  <w:tcBorders>
                    <w:top w:val="nil"/>
                    <w:left w:val="single" w:color="auto" w:sz="4" w:space="0"/>
                    <w:bottom w:val="single" w:color="auto" w:sz="4" w:space="0"/>
                    <w:right w:val="single" w:color="auto" w:sz="4" w:space="0"/>
                  </w:tcBorders>
                  <w:vAlign w:val="center"/>
                </w:tcPr>
                <w:p w14:paraId="3D2C3EFB">
                  <w:pPr>
                    <w:widowControl/>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w:t>
                  </w:r>
                </w:p>
              </w:tc>
              <w:tc>
                <w:tcPr>
                  <w:tcW w:w="799" w:type="dxa"/>
                  <w:tcBorders>
                    <w:top w:val="single" w:color="auto" w:sz="4" w:space="0"/>
                    <w:left w:val="single" w:color="auto" w:sz="4" w:space="0"/>
                    <w:bottom w:val="single" w:color="auto" w:sz="4" w:space="0"/>
                    <w:right w:val="single" w:color="auto" w:sz="4" w:space="0"/>
                  </w:tcBorders>
                  <w:vAlign w:val="center"/>
                </w:tcPr>
                <w:p w14:paraId="65790078">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849" w:type="dxa"/>
                  <w:tcBorders>
                    <w:top w:val="single" w:color="auto" w:sz="4" w:space="0"/>
                    <w:left w:val="single" w:color="auto" w:sz="4" w:space="0"/>
                    <w:bottom w:val="single" w:color="auto" w:sz="4" w:space="0"/>
                    <w:right w:val="single" w:color="auto" w:sz="4" w:space="0"/>
                  </w:tcBorders>
                  <w:vAlign w:val="center"/>
                </w:tcPr>
                <w:p w14:paraId="6E13DAE6">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2</w:t>
                  </w:r>
                  <w:r>
                    <w:rPr>
                      <w:rFonts w:eastAsia="仿宋"/>
                      <w:bCs/>
                      <w:color w:val="000000" w:themeColor="text1"/>
                      <w14:textFill>
                        <w14:solidFill>
                          <w14:schemeClr w14:val="tx1"/>
                        </w14:solidFill>
                      </w14:textFill>
                    </w:rPr>
                    <w:t>9.4</w:t>
                  </w:r>
                </w:p>
              </w:tc>
            </w:tr>
            <w:tr w14:paraId="6D211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bottom w:val="single" w:color="auto" w:sz="4" w:space="0"/>
                    <w:right w:val="single" w:color="auto" w:sz="4" w:space="0"/>
                  </w:tcBorders>
                  <w:vAlign w:val="center"/>
                </w:tcPr>
                <w:p w14:paraId="42DF461F">
                  <w:pPr>
                    <w:widowControl/>
                    <w:jc w:val="left"/>
                    <w:rPr>
                      <w:rFonts w:eastAsia="仿宋"/>
                      <w:bCs/>
                      <w:color w:val="000000" w:themeColor="text1"/>
                      <w:szCs w:val="21"/>
                      <w14:textFill>
                        <w14:solidFill>
                          <w14:schemeClr w14:val="tx1"/>
                        </w14:solidFill>
                      </w14:textFill>
                    </w:rPr>
                  </w:pPr>
                </w:p>
              </w:tc>
              <w:tc>
                <w:tcPr>
                  <w:tcW w:w="844" w:type="dxa"/>
                  <w:vMerge w:val="continue"/>
                  <w:tcBorders>
                    <w:left w:val="single" w:color="auto" w:sz="4" w:space="0"/>
                    <w:bottom w:val="single" w:color="auto" w:sz="4" w:space="0"/>
                    <w:right w:val="single" w:color="auto" w:sz="4" w:space="0"/>
                  </w:tcBorders>
                  <w:vAlign w:val="center"/>
                </w:tcPr>
                <w:p w14:paraId="0A91DD72">
                  <w:pPr>
                    <w:widowControl/>
                    <w:jc w:val="left"/>
                    <w:rPr>
                      <w:rFonts w:eastAsia="仿宋"/>
                      <w:bCs/>
                      <w:color w:val="000000" w:themeColor="text1"/>
                      <w:szCs w:val="21"/>
                      <w14:textFill>
                        <w14:solidFill>
                          <w14:schemeClr w14:val="tx1"/>
                        </w14:solidFill>
                      </w14:textFill>
                    </w:rPr>
                  </w:pPr>
                </w:p>
              </w:tc>
              <w:tc>
                <w:tcPr>
                  <w:tcW w:w="1056" w:type="dxa"/>
                  <w:vMerge w:val="continue"/>
                  <w:tcBorders>
                    <w:left w:val="single" w:color="auto" w:sz="4" w:space="0"/>
                    <w:bottom w:val="single" w:color="auto" w:sz="4" w:space="0"/>
                    <w:right w:val="single" w:color="auto" w:sz="4" w:space="0"/>
                  </w:tcBorders>
                  <w:vAlign w:val="center"/>
                </w:tcPr>
                <w:p w14:paraId="18E90B26">
                  <w:pPr>
                    <w:widowControl/>
                    <w:jc w:val="left"/>
                    <w:rPr>
                      <w:rFonts w:eastAsia="仿宋"/>
                      <w:bCs/>
                      <w:color w:val="000000" w:themeColor="text1"/>
                      <w:szCs w:val="21"/>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noWrap/>
                  <w:vAlign w:val="center"/>
                </w:tcPr>
                <w:p w14:paraId="3F5D7524">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7" w:type="dxa"/>
                  <w:tcBorders>
                    <w:top w:val="single" w:color="auto" w:sz="4" w:space="0"/>
                    <w:left w:val="single" w:color="auto" w:sz="4" w:space="0"/>
                    <w:bottom w:val="single" w:color="auto" w:sz="4" w:space="0"/>
                    <w:right w:val="single" w:color="auto" w:sz="4" w:space="0"/>
                  </w:tcBorders>
                  <w:vAlign w:val="center"/>
                </w:tcPr>
                <w:p w14:paraId="7F63B2BA">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8" w:type="dxa"/>
                  <w:tcBorders>
                    <w:top w:val="single" w:color="auto" w:sz="4" w:space="0"/>
                    <w:left w:val="single" w:color="auto" w:sz="4" w:space="0"/>
                    <w:bottom w:val="single" w:color="auto" w:sz="4" w:space="0"/>
                    <w:right w:val="single" w:color="auto" w:sz="4" w:space="0"/>
                  </w:tcBorders>
                  <w:noWrap/>
                  <w:vAlign w:val="center"/>
                </w:tcPr>
                <w:p w14:paraId="2ECC82CE">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700" w:type="dxa"/>
                  <w:tcBorders>
                    <w:top w:val="single" w:color="auto" w:sz="4" w:space="0"/>
                    <w:left w:val="single" w:color="auto" w:sz="4" w:space="0"/>
                    <w:bottom w:val="single" w:color="auto" w:sz="4" w:space="0"/>
                    <w:right w:val="single" w:color="auto" w:sz="4" w:space="0"/>
                  </w:tcBorders>
                  <w:vAlign w:val="center"/>
                </w:tcPr>
                <w:p w14:paraId="76C2EEC7">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963" w:type="dxa"/>
                  <w:tcBorders>
                    <w:top w:val="nil"/>
                    <w:left w:val="single" w:color="auto" w:sz="4" w:space="0"/>
                    <w:bottom w:val="single" w:color="auto" w:sz="4" w:space="0"/>
                    <w:right w:val="single" w:color="auto" w:sz="4" w:space="0"/>
                  </w:tcBorders>
                  <w:vAlign w:val="center"/>
                </w:tcPr>
                <w:p w14:paraId="2F4F2F3F">
                  <w:pPr>
                    <w:widowControl/>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w:t>
                  </w:r>
                </w:p>
              </w:tc>
              <w:tc>
                <w:tcPr>
                  <w:tcW w:w="799" w:type="dxa"/>
                  <w:tcBorders>
                    <w:top w:val="single" w:color="auto" w:sz="4" w:space="0"/>
                    <w:left w:val="single" w:color="auto" w:sz="4" w:space="0"/>
                    <w:bottom w:val="single" w:color="auto" w:sz="4" w:space="0"/>
                    <w:right w:val="single" w:color="auto" w:sz="4" w:space="0"/>
                  </w:tcBorders>
                  <w:vAlign w:val="center"/>
                </w:tcPr>
                <w:p w14:paraId="0BD44D8B">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w:t>
                  </w:r>
                </w:p>
              </w:tc>
              <w:tc>
                <w:tcPr>
                  <w:tcW w:w="849" w:type="dxa"/>
                  <w:tcBorders>
                    <w:top w:val="single" w:color="auto" w:sz="4" w:space="0"/>
                    <w:left w:val="single" w:color="auto" w:sz="4" w:space="0"/>
                    <w:bottom w:val="single" w:color="auto" w:sz="4" w:space="0"/>
                    <w:right w:val="single" w:color="auto" w:sz="4" w:space="0"/>
                  </w:tcBorders>
                  <w:vAlign w:val="center"/>
                </w:tcPr>
                <w:p w14:paraId="6AAF962D">
                  <w:pPr>
                    <w:widowControl/>
                    <w:snapToGrid w:val="0"/>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2</w:t>
                  </w:r>
                  <w:r>
                    <w:rPr>
                      <w:rFonts w:eastAsia="仿宋"/>
                      <w:bCs/>
                      <w:color w:val="000000" w:themeColor="text1"/>
                      <w14:textFill>
                        <w14:solidFill>
                          <w14:schemeClr w14:val="tx1"/>
                        </w14:solidFill>
                      </w14:textFill>
                    </w:rPr>
                    <w:t>7.4</w:t>
                  </w:r>
                </w:p>
              </w:tc>
            </w:tr>
            <w:tr w14:paraId="056D0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0" w:type="dxa"/>
                  <w:gridSpan w:val="2"/>
                  <w:tcBorders>
                    <w:top w:val="single" w:color="auto" w:sz="4" w:space="0"/>
                    <w:left w:val="single" w:color="auto" w:sz="4" w:space="0"/>
                    <w:bottom w:val="single" w:color="auto" w:sz="4" w:space="0"/>
                    <w:right w:val="single" w:color="auto" w:sz="4" w:space="0"/>
                  </w:tcBorders>
                  <w:vAlign w:val="center"/>
                </w:tcPr>
                <w:p w14:paraId="2A76B470">
                  <w:pPr>
                    <w:widowControl/>
                    <w:jc w:val="center"/>
                    <w:rPr>
                      <w:rFonts w:eastAsia="仿宋"/>
                      <w:b/>
                      <w:color w:val="000000" w:themeColor="text1"/>
                      <w14:textFill>
                        <w14:solidFill>
                          <w14:schemeClr w14:val="tx1"/>
                        </w14:solidFill>
                      </w14:textFill>
                    </w:rPr>
                  </w:pPr>
                  <w:r>
                    <w:rPr>
                      <w:rFonts w:eastAsia="仿宋"/>
                      <w:b/>
                      <w:color w:val="000000" w:themeColor="text1"/>
                      <w14:textFill>
                        <w14:solidFill>
                          <w14:schemeClr w14:val="tx1"/>
                        </w14:solidFill>
                      </w14:textFill>
                    </w:rPr>
                    <w:t>标准值</w:t>
                  </w:r>
                </w:p>
              </w:tc>
              <w:tc>
                <w:tcPr>
                  <w:tcW w:w="1056" w:type="dxa"/>
                  <w:tcBorders>
                    <w:top w:val="single" w:color="auto" w:sz="4" w:space="0"/>
                    <w:left w:val="single" w:color="auto" w:sz="4" w:space="0"/>
                    <w:bottom w:val="single" w:color="auto" w:sz="4" w:space="0"/>
                    <w:right w:val="single" w:color="auto" w:sz="4" w:space="0"/>
                  </w:tcBorders>
                  <w:vAlign w:val="center"/>
                </w:tcPr>
                <w:p w14:paraId="26F4F1D9">
                  <w:pPr>
                    <w:widowControl/>
                    <w:jc w:val="center"/>
                    <w:rPr>
                      <w:rFonts w:eastAsia="仿宋"/>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Ⅲ</w:t>
                  </w:r>
                  <w:r>
                    <w:rPr>
                      <w:rFonts w:eastAsia="仿宋"/>
                      <w:b/>
                      <w:color w:val="000000" w:themeColor="text1"/>
                      <w14:textFill>
                        <w14:solidFill>
                          <w14:schemeClr w14:val="tx1"/>
                        </w14:solidFill>
                      </w14:textFill>
                    </w:rPr>
                    <w:t>类</w:t>
                  </w:r>
                </w:p>
              </w:tc>
              <w:tc>
                <w:tcPr>
                  <w:tcW w:w="1276" w:type="dxa"/>
                  <w:tcBorders>
                    <w:top w:val="single" w:color="auto" w:sz="4" w:space="0"/>
                    <w:left w:val="single" w:color="auto" w:sz="4" w:space="0"/>
                    <w:bottom w:val="single" w:color="auto" w:sz="4" w:space="0"/>
                    <w:right w:val="single" w:color="auto" w:sz="4" w:space="0"/>
                  </w:tcBorders>
                  <w:noWrap/>
                  <w:vAlign w:val="center"/>
                </w:tcPr>
                <w:p w14:paraId="1DEEDE69">
                  <w:pPr>
                    <w:widowControl/>
                    <w:tabs>
                      <w:tab w:val="left" w:pos="3252"/>
                    </w:tabs>
                    <w:jc w:val="center"/>
                    <w:rPr>
                      <w:rFonts w:eastAsia="仿宋"/>
                      <w:b/>
                      <w:color w:val="000000" w:themeColor="text1"/>
                      <w14:textFill>
                        <w14:solidFill>
                          <w14:schemeClr w14:val="tx1"/>
                        </w14:solidFill>
                      </w14:textFill>
                    </w:rPr>
                  </w:pPr>
                  <w:r>
                    <w:rPr>
                      <w:rFonts w:eastAsia="仿宋"/>
                      <w:b/>
                      <w:color w:val="000000" w:themeColor="text1"/>
                      <w14:textFill>
                        <w14:solidFill>
                          <w14:schemeClr w14:val="tx1"/>
                        </w14:solidFill>
                      </w14:textFill>
                    </w:rPr>
                    <w:t>6-9</w:t>
                  </w:r>
                </w:p>
              </w:tc>
              <w:tc>
                <w:tcPr>
                  <w:tcW w:w="707" w:type="dxa"/>
                  <w:tcBorders>
                    <w:top w:val="single" w:color="auto" w:sz="4" w:space="0"/>
                    <w:left w:val="single" w:color="auto" w:sz="4" w:space="0"/>
                    <w:bottom w:val="single" w:color="auto" w:sz="4" w:space="0"/>
                    <w:right w:val="single" w:color="auto" w:sz="4" w:space="0"/>
                  </w:tcBorders>
                  <w:vAlign w:val="center"/>
                </w:tcPr>
                <w:p w14:paraId="6FD72E0B">
                  <w:pPr>
                    <w:widowControl/>
                    <w:tabs>
                      <w:tab w:val="left" w:pos="3252"/>
                    </w:tabs>
                    <w:jc w:val="center"/>
                    <w:rPr>
                      <w:rFonts w:eastAsia="仿宋"/>
                      <w:b/>
                      <w:color w:val="000000" w:themeColor="text1"/>
                      <w14:textFill>
                        <w14:solidFill>
                          <w14:schemeClr w14:val="tx1"/>
                        </w14:solidFill>
                      </w14:textFill>
                    </w:rPr>
                  </w:pPr>
                  <w:r>
                    <w:rPr>
                      <w:rFonts w:eastAsia="仿宋"/>
                      <w:b/>
                      <w:color w:val="000000" w:themeColor="text1"/>
                      <w14:textFill>
                        <w14:solidFill>
                          <w14:schemeClr w14:val="tx1"/>
                        </w14:solidFill>
                      </w14:textFill>
                    </w:rPr>
                    <w:t>20</w:t>
                  </w:r>
                </w:p>
              </w:tc>
              <w:tc>
                <w:tcPr>
                  <w:tcW w:w="708" w:type="dxa"/>
                  <w:tcBorders>
                    <w:top w:val="single" w:color="auto" w:sz="4" w:space="0"/>
                    <w:left w:val="single" w:color="auto" w:sz="4" w:space="0"/>
                    <w:bottom w:val="single" w:color="auto" w:sz="4" w:space="0"/>
                    <w:right w:val="single" w:color="auto" w:sz="4" w:space="0"/>
                  </w:tcBorders>
                  <w:noWrap/>
                  <w:vAlign w:val="center"/>
                </w:tcPr>
                <w:p w14:paraId="2D0E5C46">
                  <w:pPr>
                    <w:widowControl/>
                    <w:tabs>
                      <w:tab w:val="left" w:pos="3252"/>
                    </w:tabs>
                    <w:jc w:val="center"/>
                    <w:rPr>
                      <w:rFonts w:eastAsia="仿宋"/>
                      <w:b/>
                      <w:color w:val="000000" w:themeColor="text1"/>
                      <w14:textFill>
                        <w14:solidFill>
                          <w14:schemeClr w14:val="tx1"/>
                        </w14:solidFill>
                      </w14:textFill>
                    </w:rPr>
                  </w:pPr>
                  <w:r>
                    <w:rPr>
                      <w:rFonts w:eastAsia="仿宋"/>
                      <w:b/>
                      <w:color w:val="000000" w:themeColor="text1"/>
                      <w14:textFill>
                        <w14:solidFill>
                          <w14:schemeClr w14:val="tx1"/>
                        </w14:solidFill>
                      </w14:textFill>
                    </w:rPr>
                    <w:t>1.0</w:t>
                  </w:r>
                </w:p>
              </w:tc>
              <w:tc>
                <w:tcPr>
                  <w:tcW w:w="700" w:type="dxa"/>
                  <w:tcBorders>
                    <w:top w:val="single" w:color="auto" w:sz="4" w:space="0"/>
                    <w:left w:val="single" w:color="auto" w:sz="4" w:space="0"/>
                    <w:bottom w:val="single" w:color="auto" w:sz="4" w:space="0"/>
                    <w:right w:val="single" w:color="auto" w:sz="4" w:space="0"/>
                  </w:tcBorders>
                  <w:vAlign w:val="center"/>
                </w:tcPr>
                <w:p w14:paraId="1AF6C213">
                  <w:pPr>
                    <w:widowControl/>
                    <w:tabs>
                      <w:tab w:val="left" w:pos="3252"/>
                    </w:tabs>
                    <w:jc w:val="center"/>
                    <w:rPr>
                      <w:rFonts w:eastAsia="仿宋"/>
                      <w:b/>
                      <w:color w:val="000000" w:themeColor="text1"/>
                      <w14:textFill>
                        <w14:solidFill>
                          <w14:schemeClr w14:val="tx1"/>
                        </w14:solidFill>
                      </w14:textFill>
                    </w:rPr>
                  </w:pPr>
                  <w:r>
                    <w:rPr>
                      <w:rFonts w:eastAsia="仿宋"/>
                      <w:b/>
                      <w:color w:val="000000" w:themeColor="text1"/>
                      <w14:textFill>
                        <w14:solidFill>
                          <w14:schemeClr w14:val="tx1"/>
                        </w14:solidFill>
                      </w14:textFill>
                    </w:rPr>
                    <w:t>0.2</w:t>
                  </w:r>
                </w:p>
              </w:tc>
              <w:tc>
                <w:tcPr>
                  <w:tcW w:w="963" w:type="dxa"/>
                  <w:tcBorders>
                    <w:top w:val="single" w:color="auto" w:sz="4" w:space="0"/>
                    <w:left w:val="single" w:color="auto" w:sz="4" w:space="0"/>
                    <w:bottom w:val="single" w:color="auto" w:sz="4" w:space="0"/>
                    <w:right w:val="single" w:color="auto" w:sz="4" w:space="0"/>
                  </w:tcBorders>
                  <w:vAlign w:val="center"/>
                </w:tcPr>
                <w:p w14:paraId="078001D0">
                  <w:pPr>
                    <w:widowControl/>
                    <w:tabs>
                      <w:tab w:val="left" w:pos="3252"/>
                    </w:tabs>
                    <w:jc w:val="center"/>
                    <w:rPr>
                      <w:rFonts w:eastAsia="仿宋"/>
                      <w:b/>
                      <w:color w:val="000000" w:themeColor="text1"/>
                      <w14:textFill>
                        <w14:solidFill>
                          <w14:schemeClr w14:val="tx1"/>
                        </w14:solidFill>
                      </w14:textFill>
                    </w:rPr>
                  </w:pPr>
                  <w:r>
                    <w:rPr>
                      <w:rFonts w:eastAsia="仿宋"/>
                      <w:b/>
                      <w:color w:val="000000" w:themeColor="text1"/>
                      <w14:textFill>
                        <w14:solidFill>
                          <w14:schemeClr w14:val="tx1"/>
                        </w14:solidFill>
                      </w14:textFill>
                    </w:rPr>
                    <w:t>≤6</w:t>
                  </w:r>
                </w:p>
              </w:tc>
              <w:tc>
                <w:tcPr>
                  <w:tcW w:w="799" w:type="dxa"/>
                  <w:tcBorders>
                    <w:top w:val="single" w:color="auto" w:sz="4" w:space="0"/>
                    <w:left w:val="single" w:color="auto" w:sz="4" w:space="0"/>
                    <w:bottom w:val="single" w:color="auto" w:sz="4" w:space="0"/>
                    <w:right w:val="single" w:color="auto" w:sz="4" w:space="0"/>
                  </w:tcBorders>
                  <w:vAlign w:val="center"/>
                </w:tcPr>
                <w:p w14:paraId="54D230CC">
                  <w:pPr>
                    <w:widowControl/>
                    <w:tabs>
                      <w:tab w:val="left" w:pos="3252"/>
                    </w:tabs>
                    <w:jc w:val="center"/>
                    <w:rPr>
                      <w:rFonts w:eastAsia="仿宋"/>
                      <w:b/>
                      <w:color w:val="000000" w:themeColor="text1"/>
                      <w14:textFill>
                        <w14:solidFill>
                          <w14:schemeClr w14:val="tx1"/>
                        </w14:solidFill>
                      </w14:textFill>
                    </w:rPr>
                  </w:pPr>
                  <w:r>
                    <w:rPr>
                      <w:rFonts w:eastAsia="仿宋"/>
                      <w:b/>
                      <w:color w:val="000000" w:themeColor="text1"/>
                      <w14:textFill>
                        <w14:solidFill>
                          <w14:schemeClr w14:val="tx1"/>
                        </w14:solidFill>
                      </w14:textFill>
                    </w:rPr>
                    <w:t>≤0.05</w:t>
                  </w:r>
                </w:p>
              </w:tc>
              <w:tc>
                <w:tcPr>
                  <w:tcW w:w="849" w:type="dxa"/>
                  <w:tcBorders>
                    <w:top w:val="single" w:color="auto" w:sz="4" w:space="0"/>
                    <w:left w:val="single" w:color="auto" w:sz="4" w:space="0"/>
                    <w:bottom w:val="single" w:color="auto" w:sz="4" w:space="0"/>
                    <w:right w:val="single" w:color="auto" w:sz="4" w:space="0"/>
                  </w:tcBorders>
                  <w:vAlign w:val="center"/>
                </w:tcPr>
                <w:p w14:paraId="1EA6F0B5">
                  <w:pPr>
                    <w:widowControl/>
                    <w:tabs>
                      <w:tab w:val="left" w:pos="3252"/>
                    </w:tabs>
                    <w:jc w:val="center"/>
                    <w:rPr>
                      <w:rFonts w:eastAsia="仿宋"/>
                      <w:b/>
                      <w:color w:val="000000" w:themeColor="text1"/>
                      <w14:textFill>
                        <w14:solidFill>
                          <w14:schemeClr w14:val="tx1"/>
                        </w14:solidFill>
                      </w14:textFill>
                    </w:rPr>
                  </w:pPr>
                  <w:r>
                    <w:rPr>
                      <w:rFonts w:eastAsia="仿宋"/>
                      <w:b/>
                      <w:color w:val="000000" w:themeColor="text1"/>
                      <w14:textFill>
                        <w14:solidFill>
                          <w14:schemeClr w14:val="tx1"/>
                        </w14:solidFill>
                      </w14:textFill>
                    </w:rPr>
                    <w:t>/</w:t>
                  </w:r>
                </w:p>
              </w:tc>
            </w:tr>
          </w:tbl>
          <w:p w14:paraId="42B73961">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根据检测结果，本项目</w:t>
            </w:r>
            <w:r>
              <w:rPr>
                <w:rFonts w:hint="eastAsia" w:eastAsia="仿宋"/>
                <w:color w:val="000000" w:themeColor="text1"/>
                <w:sz w:val="24"/>
                <w14:textFill>
                  <w14:solidFill>
                    <w14:schemeClr w14:val="tx1"/>
                  </w14:solidFill>
                </w14:textFill>
              </w:rPr>
              <w:t>常州金坛区第二污水处理厂排口上游5</w:t>
            </w:r>
            <w:r>
              <w:rPr>
                <w:rFonts w:eastAsia="仿宋"/>
                <w:color w:val="000000" w:themeColor="text1"/>
                <w:sz w:val="24"/>
                <w14:textFill>
                  <w14:solidFill>
                    <w14:schemeClr w14:val="tx1"/>
                  </w14:solidFill>
                </w14:textFill>
              </w:rPr>
              <w:t>00m</w:t>
            </w:r>
            <w:r>
              <w:rPr>
                <w:rFonts w:eastAsia="仿宋"/>
                <w:bCs/>
                <w:color w:val="000000" w:themeColor="text1"/>
                <w:sz w:val="24"/>
                <w14:textFill>
                  <w14:solidFill>
                    <w14:schemeClr w14:val="tx1"/>
                  </w14:solidFill>
                </w14:textFill>
              </w:rPr>
              <w:t>（W1）、</w:t>
            </w:r>
            <w:r>
              <w:rPr>
                <w:rFonts w:hint="eastAsia" w:eastAsia="仿宋"/>
                <w:bCs/>
                <w:color w:val="000000" w:themeColor="text1"/>
                <w:sz w:val="24"/>
                <w14:textFill>
                  <w14:solidFill>
                    <w14:schemeClr w14:val="tx1"/>
                  </w14:solidFill>
                </w14:textFill>
              </w:rPr>
              <w:t>常州金坛区第二污水处理厂排口下游2</w:t>
            </w:r>
            <w:r>
              <w:rPr>
                <w:rFonts w:eastAsia="仿宋"/>
                <w:bCs/>
                <w:color w:val="000000" w:themeColor="text1"/>
                <w:sz w:val="24"/>
                <w14:textFill>
                  <w14:solidFill>
                    <w14:schemeClr w14:val="tx1"/>
                  </w14:solidFill>
                </w14:textFill>
              </w:rPr>
              <w:t>000m（W2）</w:t>
            </w:r>
            <w:r>
              <w:rPr>
                <w:rFonts w:hint="eastAsia" w:eastAsia="仿宋"/>
                <w:bCs/>
                <w:color w:val="000000" w:themeColor="text1"/>
                <w:sz w:val="24"/>
                <w14:textFill>
                  <w14:solidFill>
                    <w14:schemeClr w14:val="tx1"/>
                  </w14:solidFill>
                </w14:textFill>
              </w:rPr>
              <w:t>两</w:t>
            </w:r>
            <w:r>
              <w:rPr>
                <w:rFonts w:eastAsia="仿宋"/>
                <w:bCs/>
                <w:color w:val="000000" w:themeColor="text1"/>
                <w:sz w:val="24"/>
                <w14:textFill>
                  <w14:solidFill>
                    <w14:schemeClr w14:val="tx1"/>
                  </w14:solidFill>
                </w14:textFill>
              </w:rPr>
              <w:t>个断面的监测结果中pH、COD、NH</w:t>
            </w:r>
            <w:r>
              <w:rPr>
                <w:rFonts w:eastAsia="仿宋"/>
                <w:bCs/>
                <w:color w:val="000000" w:themeColor="text1"/>
                <w:sz w:val="24"/>
                <w:vertAlign w:val="subscript"/>
                <w14:textFill>
                  <w14:solidFill>
                    <w14:schemeClr w14:val="tx1"/>
                  </w14:solidFill>
                </w14:textFill>
              </w:rPr>
              <w:t>3</w:t>
            </w:r>
            <w:r>
              <w:rPr>
                <w:rFonts w:eastAsia="仿宋"/>
                <w:bCs/>
                <w:color w:val="000000" w:themeColor="text1"/>
                <w:sz w:val="24"/>
                <w14:textFill>
                  <w14:solidFill>
                    <w14:schemeClr w14:val="tx1"/>
                  </w14:solidFill>
                </w14:textFill>
              </w:rPr>
              <w:t>-N、TP</w:t>
            </w:r>
            <w:r>
              <w:rPr>
                <w:rFonts w:hint="eastAsia"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高锰酸盐指数、石油类等各监测指标的现状监测值均符合满足《地表水环境质量标准》（GB3838-2002）中</w:t>
            </w:r>
            <w:r>
              <w:rPr>
                <w:rFonts w:hint="eastAsia" w:ascii="宋体" w:hAnsi="宋体" w:cs="宋体"/>
                <w:bCs/>
                <w:color w:val="000000" w:themeColor="text1"/>
                <w:sz w:val="24"/>
                <w14:textFill>
                  <w14:solidFill>
                    <w14:schemeClr w14:val="tx1"/>
                  </w14:solidFill>
                </w14:textFill>
              </w:rPr>
              <w:t>Ⅲ</w:t>
            </w:r>
            <w:r>
              <w:rPr>
                <w:rFonts w:eastAsia="仿宋"/>
                <w:bCs/>
                <w:color w:val="000000" w:themeColor="text1"/>
                <w:sz w:val="24"/>
                <w14:textFill>
                  <w14:solidFill>
                    <w14:schemeClr w14:val="tx1"/>
                  </w14:solidFill>
                </w14:textFill>
              </w:rPr>
              <w:t>类水质要求。</w:t>
            </w:r>
          </w:p>
          <w:p w14:paraId="0A212784">
            <w:pPr>
              <w:spacing w:line="48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（二）环境空气质量现状</w:t>
            </w:r>
          </w:p>
          <w:p w14:paraId="34F5AE4C">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根据《常州市环境空气质量功能区划分规定（2017）》（常州市人民政府，常政办发〔2017〕160号），本项目所在地为二类区，基本大气污染物SO</w:t>
            </w:r>
            <w:r>
              <w:rPr>
                <w:rFonts w:eastAsia="仿宋"/>
                <w:bCs/>
                <w:color w:val="000000" w:themeColor="text1"/>
                <w:sz w:val="24"/>
                <w:vertAlign w:val="subscript"/>
                <w14:textFill>
                  <w14:solidFill>
                    <w14:schemeClr w14:val="tx1"/>
                  </w14:solidFill>
                </w14:textFill>
              </w:rPr>
              <w:t>2</w:t>
            </w:r>
            <w:r>
              <w:rPr>
                <w:rFonts w:eastAsia="仿宋"/>
                <w:bCs/>
                <w:color w:val="000000" w:themeColor="text1"/>
                <w:sz w:val="24"/>
                <w14:textFill>
                  <w14:solidFill>
                    <w14:schemeClr w14:val="tx1"/>
                  </w14:solidFill>
                </w14:textFill>
              </w:rPr>
              <w:t>、NO</w:t>
            </w:r>
            <w:r>
              <w:rPr>
                <w:rFonts w:eastAsia="仿宋"/>
                <w:bCs/>
                <w:color w:val="000000" w:themeColor="text1"/>
                <w:sz w:val="24"/>
                <w:vertAlign w:val="subscript"/>
                <w14:textFill>
                  <w14:solidFill>
                    <w14:schemeClr w14:val="tx1"/>
                  </w14:solidFill>
                </w14:textFill>
              </w:rPr>
              <w:t>2</w:t>
            </w:r>
            <w:r>
              <w:rPr>
                <w:rFonts w:eastAsia="仿宋"/>
                <w:bCs/>
                <w:color w:val="000000" w:themeColor="text1"/>
                <w:sz w:val="24"/>
                <w14:textFill>
                  <w14:solidFill>
                    <w14:schemeClr w14:val="tx1"/>
                  </w14:solidFill>
                </w14:textFill>
              </w:rPr>
              <w:t>、CO、O</w:t>
            </w:r>
            <w:r>
              <w:rPr>
                <w:rFonts w:eastAsia="仿宋"/>
                <w:bCs/>
                <w:color w:val="000000" w:themeColor="text1"/>
                <w:sz w:val="24"/>
                <w:vertAlign w:val="subscript"/>
                <w14:textFill>
                  <w14:solidFill>
                    <w14:schemeClr w14:val="tx1"/>
                  </w14:solidFill>
                </w14:textFill>
              </w:rPr>
              <w:t>3</w:t>
            </w:r>
            <w:r>
              <w:rPr>
                <w:rFonts w:eastAsia="仿宋"/>
                <w:bCs/>
                <w:color w:val="000000" w:themeColor="text1"/>
                <w:sz w:val="24"/>
                <w14:textFill>
                  <w14:solidFill>
                    <w14:schemeClr w14:val="tx1"/>
                  </w14:solidFill>
                </w14:textFill>
              </w:rPr>
              <w:t>、PM</w:t>
            </w:r>
            <w:r>
              <w:rPr>
                <w:rFonts w:eastAsia="仿宋"/>
                <w:bCs/>
                <w:color w:val="000000" w:themeColor="text1"/>
                <w:sz w:val="24"/>
                <w:vertAlign w:val="subscript"/>
                <w14:textFill>
                  <w14:solidFill>
                    <w14:schemeClr w14:val="tx1"/>
                  </w14:solidFill>
                </w14:textFill>
              </w:rPr>
              <w:t>10</w:t>
            </w:r>
            <w:r>
              <w:rPr>
                <w:rFonts w:eastAsia="仿宋"/>
                <w:bCs/>
                <w:color w:val="000000" w:themeColor="text1"/>
                <w:sz w:val="24"/>
                <w14:textFill>
                  <w14:solidFill>
                    <w14:schemeClr w14:val="tx1"/>
                  </w14:solidFill>
                </w14:textFill>
              </w:rPr>
              <w:t>、PM</w:t>
            </w:r>
            <w:r>
              <w:rPr>
                <w:rFonts w:eastAsia="仿宋"/>
                <w:bCs/>
                <w:color w:val="000000" w:themeColor="text1"/>
                <w:sz w:val="24"/>
                <w:vertAlign w:val="subscript"/>
                <w14:textFill>
                  <w14:solidFill>
                    <w14:schemeClr w14:val="tx1"/>
                  </w14:solidFill>
                </w14:textFill>
              </w:rPr>
              <w:t>2.5</w:t>
            </w:r>
            <w:r>
              <w:rPr>
                <w:rFonts w:eastAsia="仿宋"/>
                <w:bCs/>
                <w:color w:val="000000" w:themeColor="text1"/>
                <w:sz w:val="24"/>
                <w14:textFill>
                  <w14:solidFill>
                    <w14:schemeClr w14:val="tx1"/>
                  </w14:solidFill>
                </w14:textFill>
              </w:rPr>
              <w:t>执行《环境空气质量标准》（GB3095-2012）中二级标准</w:t>
            </w:r>
            <w:r>
              <w:rPr>
                <w:rFonts w:hint="eastAsia" w:eastAsia="仿宋"/>
                <w:bCs/>
                <w:color w:val="000000" w:themeColor="text1"/>
                <w:sz w:val="24"/>
                <w14:textFill>
                  <w14:solidFill>
                    <w14:schemeClr w14:val="tx1"/>
                  </w14:solidFill>
                </w14:textFill>
              </w:rPr>
              <w:t>。</w:t>
            </w:r>
          </w:p>
          <w:p w14:paraId="502C6E0E">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根据《环境影响评价技术导则 大气环境》（HJ2.2-2018），项目所在区域达标情况判定优先采用国家或地方生态环境主管部门公开发布的环境质量报告或环境质量报告书中的数据或结论。</w:t>
            </w:r>
          </w:p>
          <w:p w14:paraId="5386DDC3">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本次评价选取2</w:t>
            </w:r>
            <w:r>
              <w:rPr>
                <w:rFonts w:eastAsia="仿宋"/>
                <w:bCs/>
                <w:color w:val="000000" w:themeColor="text1"/>
                <w:sz w:val="24"/>
                <w14:textFill>
                  <w14:solidFill>
                    <w14:schemeClr w14:val="tx1"/>
                  </w14:solidFill>
                </w14:textFill>
              </w:rPr>
              <w:t>023</w:t>
            </w:r>
            <w:r>
              <w:rPr>
                <w:rFonts w:hint="eastAsia" w:eastAsia="仿宋"/>
                <w:bCs/>
                <w:color w:val="000000" w:themeColor="text1"/>
                <w:sz w:val="24"/>
                <w14:textFill>
                  <w14:solidFill>
                    <w14:schemeClr w14:val="tx1"/>
                  </w14:solidFill>
                </w14:textFill>
              </w:rPr>
              <w:t>年作为评价基准年，</w:t>
            </w:r>
            <w:r>
              <w:rPr>
                <w:rFonts w:eastAsia="仿宋"/>
                <w:bCs/>
                <w:color w:val="000000" w:themeColor="text1"/>
                <w:sz w:val="24"/>
                <w14:textFill>
                  <w14:solidFill>
                    <w14:schemeClr w14:val="tx1"/>
                  </w14:solidFill>
                </w14:textFill>
              </w:rPr>
              <w:t>本项目所在区域空气质量现状评价引用</w:t>
            </w:r>
            <w:r>
              <w:rPr>
                <w:rFonts w:hint="eastAsia" w:eastAsia="仿宋"/>
                <w:bCs/>
                <w:color w:val="000000" w:themeColor="text1"/>
                <w:sz w:val="24"/>
                <w14:textFill>
                  <w14:solidFill>
                    <w14:schemeClr w14:val="tx1"/>
                  </w14:solidFill>
                </w14:textFill>
              </w:rPr>
              <w:t>《2023年常州市生态环境状况公报》</w:t>
            </w:r>
            <w:r>
              <w:rPr>
                <w:rFonts w:eastAsia="仿宋"/>
                <w:bCs/>
                <w:color w:val="000000" w:themeColor="text1"/>
                <w:sz w:val="24"/>
                <w14:textFill>
                  <w14:solidFill>
                    <w14:schemeClr w14:val="tx1"/>
                  </w14:solidFill>
                </w14:textFill>
              </w:rPr>
              <w:t>中的数据，具体见下表：</w:t>
            </w:r>
          </w:p>
          <w:p w14:paraId="77F65109">
            <w:pPr>
              <w:spacing w:line="480" w:lineRule="exact"/>
              <w:jc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表3</w:t>
            </w:r>
            <w:r>
              <w:rPr>
                <w:rFonts w:eastAsia="仿宋"/>
                <w:b/>
                <w:color w:val="000000" w:themeColor="text1"/>
                <w:szCs w:val="21"/>
                <w14:textFill>
                  <w14:solidFill>
                    <w14:schemeClr w14:val="tx1"/>
                  </w14:solidFill>
                </w14:textFill>
              </w:rPr>
              <w:t>-2 大气基本污染物环境质量现状</w:t>
            </w:r>
          </w:p>
          <w:tbl>
            <w:tblPr>
              <w:tblStyle w:val="24"/>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3077"/>
              <w:gridCol w:w="1275"/>
              <w:gridCol w:w="1276"/>
              <w:gridCol w:w="1134"/>
              <w:gridCol w:w="1088"/>
            </w:tblGrid>
            <w:tr w14:paraId="49BE7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noWrap/>
                  <w:vAlign w:val="center"/>
                </w:tcPr>
                <w:p w14:paraId="3F8FC63F">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污染物</w:t>
                  </w:r>
                </w:p>
              </w:tc>
              <w:tc>
                <w:tcPr>
                  <w:tcW w:w="3077" w:type="dxa"/>
                  <w:noWrap/>
                  <w:vAlign w:val="center"/>
                </w:tcPr>
                <w:p w14:paraId="09B54205">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年评价指标</w:t>
                  </w:r>
                </w:p>
              </w:tc>
              <w:tc>
                <w:tcPr>
                  <w:tcW w:w="1275" w:type="dxa"/>
                  <w:noWrap/>
                  <w:vAlign w:val="center"/>
                </w:tcPr>
                <w:p w14:paraId="09B27936">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现状浓度（μg/m</w:t>
                  </w:r>
                  <w:r>
                    <w:rPr>
                      <w:rFonts w:eastAsia="仿宋"/>
                      <w:b/>
                      <w:bCs/>
                      <w:color w:val="000000" w:themeColor="text1"/>
                      <w:szCs w:val="21"/>
                      <w:vertAlign w:val="superscript"/>
                      <w14:textFill>
                        <w14:solidFill>
                          <w14:schemeClr w14:val="tx1"/>
                        </w14:solidFill>
                      </w14:textFill>
                    </w:rPr>
                    <w:t>3</w:t>
                  </w:r>
                  <w:r>
                    <w:rPr>
                      <w:rFonts w:eastAsia="仿宋"/>
                      <w:b/>
                      <w:bCs/>
                      <w:color w:val="000000" w:themeColor="text1"/>
                      <w:szCs w:val="21"/>
                      <w14:textFill>
                        <w14:solidFill>
                          <w14:schemeClr w14:val="tx1"/>
                        </w14:solidFill>
                      </w14:textFill>
                    </w:rPr>
                    <w:t>）</w:t>
                  </w:r>
                </w:p>
              </w:tc>
              <w:tc>
                <w:tcPr>
                  <w:tcW w:w="1276" w:type="dxa"/>
                  <w:noWrap/>
                  <w:vAlign w:val="center"/>
                </w:tcPr>
                <w:p w14:paraId="1EE0B35C">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标准值（μg/m</w:t>
                  </w:r>
                  <w:r>
                    <w:rPr>
                      <w:rFonts w:eastAsia="仿宋"/>
                      <w:b/>
                      <w:bCs/>
                      <w:color w:val="000000" w:themeColor="text1"/>
                      <w:szCs w:val="21"/>
                      <w:vertAlign w:val="superscript"/>
                      <w14:textFill>
                        <w14:solidFill>
                          <w14:schemeClr w14:val="tx1"/>
                        </w14:solidFill>
                      </w14:textFill>
                    </w:rPr>
                    <w:t>3</w:t>
                  </w:r>
                  <w:r>
                    <w:rPr>
                      <w:rFonts w:eastAsia="仿宋"/>
                      <w:b/>
                      <w:bCs/>
                      <w:color w:val="000000" w:themeColor="text1"/>
                      <w:szCs w:val="21"/>
                      <w14:textFill>
                        <w14:solidFill>
                          <w14:schemeClr w14:val="tx1"/>
                        </w14:solidFill>
                      </w14:textFill>
                    </w:rPr>
                    <w:t>）</w:t>
                  </w:r>
                </w:p>
              </w:tc>
              <w:tc>
                <w:tcPr>
                  <w:tcW w:w="1134" w:type="dxa"/>
                  <w:noWrap/>
                  <w:vAlign w:val="center"/>
                </w:tcPr>
                <w:p w14:paraId="2D4D8061">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达标率（%）</w:t>
                  </w:r>
                </w:p>
              </w:tc>
              <w:tc>
                <w:tcPr>
                  <w:tcW w:w="1088" w:type="dxa"/>
                  <w:noWrap/>
                  <w:vAlign w:val="center"/>
                </w:tcPr>
                <w:p w14:paraId="1142C64F">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达标情况</w:t>
                  </w:r>
                </w:p>
              </w:tc>
            </w:tr>
            <w:tr w14:paraId="67DC9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vMerge w:val="restart"/>
                  <w:noWrap/>
                  <w:vAlign w:val="center"/>
                </w:tcPr>
                <w:p w14:paraId="2B4BC59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SO</w:t>
                  </w:r>
                  <w:r>
                    <w:rPr>
                      <w:rFonts w:eastAsia="仿宋"/>
                      <w:color w:val="000000" w:themeColor="text1"/>
                      <w:szCs w:val="21"/>
                      <w:vertAlign w:val="subscript"/>
                      <w14:textFill>
                        <w14:solidFill>
                          <w14:schemeClr w14:val="tx1"/>
                        </w14:solidFill>
                      </w14:textFill>
                    </w:rPr>
                    <w:t>2</w:t>
                  </w:r>
                </w:p>
              </w:tc>
              <w:tc>
                <w:tcPr>
                  <w:tcW w:w="3077" w:type="dxa"/>
                  <w:noWrap/>
                  <w:vAlign w:val="center"/>
                </w:tcPr>
                <w:p w14:paraId="14E6FD2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年平均质量浓度</w:t>
                  </w:r>
                </w:p>
              </w:tc>
              <w:tc>
                <w:tcPr>
                  <w:tcW w:w="1275" w:type="dxa"/>
                  <w:noWrap/>
                  <w:vAlign w:val="center"/>
                </w:tcPr>
                <w:p w14:paraId="7C89B05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w:t>
                  </w:r>
                </w:p>
              </w:tc>
              <w:tc>
                <w:tcPr>
                  <w:tcW w:w="1276" w:type="dxa"/>
                  <w:noWrap/>
                  <w:vAlign w:val="center"/>
                </w:tcPr>
                <w:p w14:paraId="493E827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60</w:t>
                  </w:r>
                </w:p>
              </w:tc>
              <w:tc>
                <w:tcPr>
                  <w:tcW w:w="1134" w:type="dxa"/>
                  <w:noWrap/>
                  <w:vAlign w:val="center"/>
                </w:tcPr>
                <w:p w14:paraId="7E1F3A0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1088" w:type="dxa"/>
                  <w:vMerge w:val="restart"/>
                  <w:noWrap/>
                  <w:vAlign w:val="center"/>
                </w:tcPr>
                <w:p w14:paraId="0F02575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达标</w:t>
                  </w:r>
                </w:p>
              </w:tc>
            </w:tr>
            <w:tr w14:paraId="5817B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vMerge w:val="continue"/>
                  <w:noWrap/>
                  <w:vAlign w:val="center"/>
                </w:tcPr>
                <w:p w14:paraId="1462BF09">
                  <w:pPr>
                    <w:jc w:val="center"/>
                    <w:rPr>
                      <w:rFonts w:eastAsia="仿宋"/>
                      <w:color w:val="000000" w:themeColor="text1"/>
                      <w:szCs w:val="21"/>
                      <w14:textFill>
                        <w14:solidFill>
                          <w14:schemeClr w14:val="tx1"/>
                        </w14:solidFill>
                      </w14:textFill>
                    </w:rPr>
                  </w:pPr>
                </w:p>
              </w:tc>
              <w:tc>
                <w:tcPr>
                  <w:tcW w:w="3077" w:type="dxa"/>
                  <w:noWrap/>
                  <w:vAlign w:val="center"/>
                </w:tcPr>
                <w:p w14:paraId="2B476A3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日均值范围</w:t>
                  </w:r>
                </w:p>
              </w:tc>
              <w:tc>
                <w:tcPr>
                  <w:tcW w:w="1275" w:type="dxa"/>
                  <w:noWrap/>
                  <w:vAlign w:val="center"/>
                </w:tcPr>
                <w:p w14:paraId="6DC20DA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4-17</w:t>
                  </w:r>
                </w:p>
              </w:tc>
              <w:tc>
                <w:tcPr>
                  <w:tcW w:w="1276" w:type="dxa"/>
                  <w:noWrap/>
                  <w:vAlign w:val="center"/>
                </w:tcPr>
                <w:p w14:paraId="4891B0E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150</w:t>
                  </w:r>
                </w:p>
              </w:tc>
              <w:tc>
                <w:tcPr>
                  <w:tcW w:w="1134" w:type="dxa"/>
                  <w:noWrap/>
                  <w:vAlign w:val="center"/>
                </w:tcPr>
                <w:p w14:paraId="183D736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w:t>
                  </w:r>
                </w:p>
              </w:tc>
              <w:tc>
                <w:tcPr>
                  <w:tcW w:w="1088" w:type="dxa"/>
                  <w:vMerge w:val="continue"/>
                  <w:noWrap/>
                  <w:vAlign w:val="center"/>
                </w:tcPr>
                <w:p w14:paraId="08810133">
                  <w:pPr>
                    <w:jc w:val="center"/>
                    <w:rPr>
                      <w:rFonts w:eastAsia="仿宋"/>
                      <w:color w:val="000000" w:themeColor="text1"/>
                      <w:szCs w:val="21"/>
                      <w14:textFill>
                        <w14:solidFill>
                          <w14:schemeClr w14:val="tx1"/>
                        </w14:solidFill>
                      </w14:textFill>
                    </w:rPr>
                  </w:pPr>
                </w:p>
              </w:tc>
            </w:tr>
            <w:tr w14:paraId="30EF4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vMerge w:val="restart"/>
                  <w:noWrap/>
                  <w:vAlign w:val="center"/>
                </w:tcPr>
                <w:p w14:paraId="221FE6A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NO</w:t>
                  </w:r>
                  <w:r>
                    <w:rPr>
                      <w:rFonts w:eastAsia="仿宋"/>
                      <w:color w:val="000000" w:themeColor="text1"/>
                      <w:szCs w:val="21"/>
                      <w:vertAlign w:val="subscript"/>
                      <w14:textFill>
                        <w14:solidFill>
                          <w14:schemeClr w14:val="tx1"/>
                        </w14:solidFill>
                      </w14:textFill>
                    </w:rPr>
                    <w:t>2</w:t>
                  </w:r>
                </w:p>
              </w:tc>
              <w:tc>
                <w:tcPr>
                  <w:tcW w:w="3077" w:type="dxa"/>
                  <w:noWrap/>
                  <w:vAlign w:val="center"/>
                </w:tcPr>
                <w:p w14:paraId="3CE1242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年平均质量浓度</w:t>
                  </w:r>
                </w:p>
              </w:tc>
              <w:tc>
                <w:tcPr>
                  <w:tcW w:w="1275" w:type="dxa"/>
                  <w:noWrap/>
                  <w:vAlign w:val="center"/>
                </w:tcPr>
                <w:p w14:paraId="2434096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30</w:t>
                  </w:r>
                </w:p>
              </w:tc>
              <w:tc>
                <w:tcPr>
                  <w:tcW w:w="1276" w:type="dxa"/>
                  <w:noWrap/>
                  <w:vAlign w:val="center"/>
                </w:tcPr>
                <w:p w14:paraId="7B59F1E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w:t>
                  </w:r>
                </w:p>
              </w:tc>
              <w:tc>
                <w:tcPr>
                  <w:tcW w:w="1134" w:type="dxa"/>
                  <w:noWrap/>
                  <w:vAlign w:val="center"/>
                </w:tcPr>
                <w:p w14:paraId="44A25FA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1088" w:type="dxa"/>
                  <w:vMerge w:val="restart"/>
                  <w:noWrap/>
                  <w:vAlign w:val="center"/>
                </w:tcPr>
                <w:p w14:paraId="243C1B4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达标</w:t>
                  </w:r>
                </w:p>
              </w:tc>
            </w:tr>
            <w:tr w14:paraId="20E88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vMerge w:val="continue"/>
                  <w:noWrap/>
                  <w:vAlign w:val="center"/>
                </w:tcPr>
                <w:p w14:paraId="658CE958">
                  <w:pPr>
                    <w:jc w:val="center"/>
                    <w:rPr>
                      <w:rFonts w:eastAsia="仿宋"/>
                      <w:color w:val="000000" w:themeColor="text1"/>
                      <w:szCs w:val="21"/>
                      <w14:textFill>
                        <w14:solidFill>
                          <w14:schemeClr w14:val="tx1"/>
                        </w14:solidFill>
                      </w14:textFill>
                    </w:rPr>
                  </w:pPr>
                </w:p>
              </w:tc>
              <w:tc>
                <w:tcPr>
                  <w:tcW w:w="3077" w:type="dxa"/>
                  <w:noWrap/>
                  <w:vAlign w:val="center"/>
                </w:tcPr>
                <w:p w14:paraId="69E0B9A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日均值范围</w:t>
                  </w:r>
                </w:p>
              </w:tc>
              <w:tc>
                <w:tcPr>
                  <w:tcW w:w="1275" w:type="dxa"/>
                  <w:noWrap/>
                  <w:vAlign w:val="center"/>
                </w:tcPr>
                <w:p w14:paraId="6D3FDA1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6-106</w:t>
                  </w:r>
                </w:p>
              </w:tc>
              <w:tc>
                <w:tcPr>
                  <w:tcW w:w="1276" w:type="dxa"/>
                  <w:noWrap/>
                  <w:vAlign w:val="center"/>
                </w:tcPr>
                <w:p w14:paraId="459F9A8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80</w:t>
                  </w:r>
                </w:p>
              </w:tc>
              <w:tc>
                <w:tcPr>
                  <w:tcW w:w="1134" w:type="dxa"/>
                  <w:noWrap/>
                  <w:vAlign w:val="center"/>
                </w:tcPr>
                <w:p w14:paraId="16F8CB3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98.1</w:t>
                  </w:r>
                </w:p>
              </w:tc>
              <w:tc>
                <w:tcPr>
                  <w:tcW w:w="1088" w:type="dxa"/>
                  <w:vMerge w:val="continue"/>
                  <w:noWrap/>
                  <w:vAlign w:val="center"/>
                </w:tcPr>
                <w:p w14:paraId="61980AF0">
                  <w:pPr>
                    <w:jc w:val="center"/>
                    <w:rPr>
                      <w:rFonts w:eastAsia="仿宋"/>
                      <w:color w:val="000000" w:themeColor="text1"/>
                      <w:szCs w:val="21"/>
                      <w14:textFill>
                        <w14:solidFill>
                          <w14:schemeClr w14:val="tx1"/>
                        </w14:solidFill>
                      </w14:textFill>
                    </w:rPr>
                  </w:pPr>
                </w:p>
              </w:tc>
            </w:tr>
            <w:tr w14:paraId="749F2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vMerge w:val="restart"/>
                  <w:noWrap/>
                  <w:vAlign w:val="center"/>
                </w:tcPr>
                <w:p w14:paraId="13B0C14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CO</w:t>
                  </w:r>
                </w:p>
              </w:tc>
              <w:tc>
                <w:tcPr>
                  <w:tcW w:w="3077" w:type="dxa"/>
                  <w:noWrap/>
                  <w:vAlign w:val="center"/>
                </w:tcPr>
                <w:p w14:paraId="7EF305F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24小时平均第95百分位数质量浓度</w:t>
                  </w:r>
                </w:p>
              </w:tc>
              <w:tc>
                <w:tcPr>
                  <w:tcW w:w="1275" w:type="dxa"/>
                  <w:noWrap/>
                  <w:vAlign w:val="center"/>
                </w:tcPr>
                <w:p w14:paraId="4C390B1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1100</w:t>
                  </w:r>
                </w:p>
              </w:tc>
              <w:tc>
                <w:tcPr>
                  <w:tcW w:w="1276" w:type="dxa"/>
                  <w:noWrap/>
                  <w:vAlign w:val="center"/>
                </w:tcPr>
                <w:p w14:paraId="436BE92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4000</w:t>
                  </w:r>
                </w:p>
              </w:tc>
              <w:tc>
                <w:tcPr>
                  <w:tcW w:w="1134" w:type="dxa"/>
                  <w:noWrap/>
                  <w:vAlign w:val="center"/>
                </w:tcPr>
                <w:p w14:paraId="1DDBFE3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1088" w:type="dxa"/>
                  <w:vMerge w:val="restart"/>
                  <w:noWrap/>
                  <w:vAlign w:val="center"/>
                </w:tcPr>
                <w:p w14:paraId="1BB472A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达标</w:t>
                  </w:r>
                </w:p>
              </w:tc>
            </w:tr>
            <w:tr w14:paraId="52ECC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vMerge w:val="continue"/>
                  <w:noWrap/>
                  <w:vAlign w:val="center"/>
                </w:tcPr>
                <w:p w14:paraId="19DB3E5D">
                  <w:pPr>
                    <w:jc w:val="center"/>
                    <w:rPr>
                      <w:rFonts w:eastAsia="仿宋"/>
                      <w:color w:val="000000" w:themeColor="text1"/>
                      <w:szCs w:val="21"/>
                      <w14:textFill>
                        <w14:solidFill>
                          <w14:schemeClr w14:val="tx1"/>
                        </w14:solidFill>
                      </w14:textFill>
                    </w:rPr>
                  </w:pPr>
                </w:p>
              </w:tc>
              <w:tc>
                <w:tcPr>
                  <w:tcW w:w="3077" w:type="dxa"/>
                  <w:noWrap/>
                  <w:vAlign w:val="center"/>
                </w:tcPr>
                <w:p w14:paraId="0AF4392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日均值范围</w:t>
                  </w:r>
                </w:p>
              </w:tc>
              <w:tc>
                <w:tcPr>
                  <w:tcW w:w="1275" w:type="dxa"/>
                  <w:noWrap/>
                  <w:vAlign w:val="center"/>
                </w:tcPr>
                <w:p w14:paraId="5641259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400-1500</w:t>
                  </w:r>
                </w:p>
              </w:tc>
              <w:tc>
                <w:tcPr>
                  <w:tcW w:w="1276" w:type="dxa"/>
                  <w:noWrap/>
                  <w:vAlign w:val="center"/>
                </w:tcPr>
                <w:p w14:paraId="1C4C1A4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4000</w:t>
                  </w:r>
                </w:p>
              </w:tc>
              <w:tc>
                <w:tcPr>
                  <w:tcW w:w="1134" w:type="dxa"/>
                  <w:noWrap/>
                  <w:vAlign w:val="center"/>
                </w:tcPr>
                <w:p w14:paraId="2E99CCE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w:t>
                  </w:r>
                </w:p>
              </w:tc>
              <w:tc>
                <w:tcPr>
                  <w:tcW w:w="1088" w:type="dxa"/>
                  <w:vMerge w:val="continue"/>
                  <w:noWrap/>
                  <w:vAlign w:val="center"/>
                </w:tcPr>
                <w:p w14:paraId="5D564D9F">
                  <w:pPr>
                    <w:jc w:val="center"/>
                    <w:rPr>
                      <w:rFonts w:eastAsia="仿宋"/>
                      <w:color w:val="000000" w:themeColor="text1"/>
                      <w:szCs w:val="21"/>
                      <w14:textFill>
                        <w14:solidFill>
                          <w14:schemeClr w14:val="tx1"/>
                        </w14:solidFill>
                      </w14:textFill>
                    </w:rPr>
                  </w:pPr>
                </w:p>
              </w:tc>
            </w:tr>
            <w:tr w14:paraId="53800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vMerge w:val="restart"/>
                  <w:noWrap/>
                  <w:vAlign w:val="center"/>
                </w:tcPr>
                <w:p w14:paraId="602FA088">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O</w:t>
                  </w:r>
                  <w:r>
                    <w:rPr>
                      <w:rFonts w:eastAsia="仿宋"/>
                      <w:b/>
                      <w:bCs/>
                      <w:color w:val="000000" w:themeColor="text1"/>
                      <w:szCs w:val="21"/>
                      <w:vertAlign w:val="subscript"/>
                      <w14:textFill>
                        <w14:solidFill>
                          <w14:schemeClr w14:val="tx1"/>
                        </w14:solidFill>
                      </w14:textFill>
                    </w:rPr>
                    <w:t>3</w:t>
                  </w:r>
                </w:p>
              </w:tc>
              <w:tc>
                <w:tcPr>
                  <w:tcW w:w="3077" w:type="dxa"/>
                  <w:noWrap/>
                  <w:vAlign w:val="center"/>
                </w:tcPr>
                <w:p w14:paraId="1E2E709A">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日最大8小时滑动平均值的第90位百分位数质量浓度</w:t>
                  </w:r>
                </w:p>
              </w:tc>
              <w:tc>
                <w:tcPr>
                  <w:tcW w:w="1275" w:type="dxa"/>
                  <w:noWrap/>
                  <w:vAlign w:val="center"/>
                </w:tcPr>
                <w:p w14:paraId="76A28CB3">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174</w:t>
                  </w:r>
                </w:p>
              </w:tc>
              <w:tc>
                <w:tcPr>
                  <w:tcW w:w="1276" w:type="dxa"/>
                  <w:noWrap/>
                  <w:vAlign w:val="center"/>
                </w:tcPr>
                <w:p w14:paraId="54FC972D">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160</w:t>
                  </w:r>
                </w:p>
              </w:tc>
              <w:tc>
                <w:tcPr>
                  <w:tcW w:w="1134" w:type="dxa"/>
                  <w:noWrap/>
                  <w:vAlign w:val="center"/>
                </w:tcPr>
                <w:p w14:paraId="794085C4">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w:t>
                  </w:r>
                </w:p>
              </w:tc>
              <w:tc>
                <w:tcPr>
                  <w:tcW w:w="1088" w:type="dxa"/>
                  <w:vMerge w:val="restart"/>
                  <w:noWrap/>
                  <w:vAlign w:val="center"/>
                </w:tcPr>
                <w:p w14:paraId="3B58AA0A">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不达标</w:t>
                  </w:r>
                </w:p>
              </w:tc>
            </w:tr>
            <w:tr w14:paraId="07B95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vMerge w:val="continue"/>
                  <w:noWrap/>
                  <w:vAlign w:val="center"/>
                </w:tcPr>
                <w:p w14:paraId="70F06D90">
                  <w:pPr>
                    <w:jc w:val="center"/>
                    <w:rPr>
                      <w:rFonts w:eastAsia="仿宋"/>
                      <w:b/>
                      <w:bCs/>
                      <w:color w:val="000000" w:themeColor="text1"/>
                      <w:szCs w:val="21"/>
                      <w14:textFill>
                        <w14:solidFill>
                          <w14:schemeClr w14:val="tx1"/>
                        </w14:solidFill>
                      </w14:textFill>
                    </w:rPr>
                  </w:pPr>
                </w:p>
              </w:tc>
              <w:tc>
                <w:tcPr>
                  <w:tcW w:w="3077" w:type="dxa"/>
                  <w:noWrap/>
                  <w:vAlign w:val="center"/>
                </w:tcPr>
                <w:p w14:paraId="52A8202D">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日均值范围</w:t>
                  </w:r>
                </w:p>
              </w:tc>
              <w:tc>
                <w:tcPr>
                  <w:tcW w:w="1275" w:type="dxa"/>
                  <w:noWrap/>
                  <w:vAlign w:val="center"/>
                </w:tcPr>
                <w:p w14:paraId="16E749B9">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11-246</w:t>
                  </w:r>
                </w:p>
              </w:tc>
              <w:tc>
                <w:tcPr>
                  <w:tcW w:w="1276" w:type="dxa"/>
                  <w:noWrap/>
                  <w:vAlign w:val="center"/>
                </w:tcPr>
                <w:p w14:paraId="4203FCD9">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160</w:t>
                  </w:r>
                </w:p>
              </w:tc>
              <w:tc>
                <w:tcPr>
                  <w:tcW w:w="1134" w:type="dxa"/>
                  <w:noWrap/>
                  <w:vAlign w:val="center"/>
                </w:tcPr>
                <w:p w14:paraId="2E07E4FA">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85.5%</w:t>
                  </w:r>
                </w:p>
              </w:tc>
              <w:tc>
                <w:tcPr>
                  <w:tcW w:w="1088" w:type="dxa"/>
                  <w:vMerge w:val="continue"/>
                  <w:noWrap/>
                  <w:vAlign w:val="center"/>
                </w:tcPr>
                <w:p w14:paraId="7FE823FB">
                  <w:pPr>
                    <w:jc w:val="center"/>
                    <w:rPr>
                      <w:rFonts w:eastAsia="仿宋"/>
                      <w:b/>
                      <w:bCs/>
                      <w:color w:val="000000" w:themeColor="text1"/>
                      <w:szCs w:val="21"/>
                      <w14:textFill>
                        <w14:solidFill>
                          <w14:schemeClr w14:val="tx1"/>
                        </w14:solidFill>
                      </w14:textFill>
                    </w:rPr>
                  </w:pPr>
                </w:p>
              </w:tc>
            </w:tr>
            <w:tr w14:paraId="138A1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vMerge w:val="restart"/>
                  <w:noWrap/>
                  <w:vAlign w:val="center"/>
                </w:tcPr>
                <w:p w14:paraId="6CC7619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PM</w:t>
                  </w:r>
                  <w:r>
                    <w:rPr>
                      <w:rFonts w:eastAsia="仿宋"/>
                      <w:color w:val="000000" w:themeColor="text1"/>
                      <w:szCs w:val="21"/>
                      <w:vertAlign w:val="subscript"/>
                      <w14:textFill>
                        <w14:solidFill>
                          <w14:schemeClr w14:val="tx1"/>
                        </w14:solidFill>
                      </w14:textFill>
                    </w:rPr>
                    <w:t>10</w:t>
                  </w:r>
                </w:p>
              </w:tc>
              <w:tc>
                <w:tcPr>
                  <w:tcW w:w="3077" w:type="dxa"/>
                  <w:noWrap/>
                  <w:vAlign w:val="center"/>
                </w:tcPr>
                <w:p w14:paraId="37F908F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年平均质量浓度</w:t>
                  </w:r>
                </w:p>
              </w:tc>
              <w:tc>
                <w:tcPr>
                  <w:tcW w:w="1275" w:type="dxa"/>
                  <w:noWrap/>
                  <w:vAlign w:val="center"/>
                </w:tcPr>
                <w:p w14:paraId="67D9133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57</w:t>
                  </w:r>
                </w:p>
              </w:tc>
              <w:tc>
                <w:tcPr>
                  <w:tcW w:w="1276" w:type="dxa"/>
                  <w:noWrap/>
                  <w:vAlign w:val="center"/>
                </w:tcPr>
                <w:p w14:paraId="0DC3F78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70</w:t>
                  </w:r>
                </w:p>
              </w:tc>
              <w:tc>
                <w:tcPr>
                  <w:tcW w:w="1134" w:type="dxa"/>
                  <w:noWrap/>
                  <w:vAlign w:val="center"/>
                </w:tcPr>
                <w:p w14:paraId="31FB02B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1088" w:type="dxa"/>
                  <w:vMerge w:val="restart"/>
                  <w:noWrap/>
                  <w:vAlign w:val="center"/>
                </w:tcPr>
                <w:p w14:paraId="05A484D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达标</w:t>
                  </w:r>
                </w:p>
              </w:tc>
            </w:tr>
            <w:tr w14:paraId="3EE61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vMerge w:val="continue"/>
                  <w:noWrap/>
                  <w:vAlign w:val="center"/>
                </w:tcPr>
                <w:p w14:paraId="33950FD7">
                  <w:pPr>
                    <w:jc w:val="center"/>
                    <w:rPr>
                      <w:rFonts w:eastAsia="仿宋"/>
                      <w:color w:val="000000" w:themeColor="text1"/>
                      <w:szCs w:val="21"/>
                      <w14:textFill>
                        <w14:solidFill>
                          <w14:schemeClr w14:val="tx1"/>
                        </w14:solidFill>
                      </w14:textFill>
                    </w:rPr>
                  </w:pPr>
                </w:p>
              </w:tc>
              <w:tc>
                <w:tcPr>
                  <w:tcW w:w="3077" w:type="dxa"/>
                  <w:noWrap/>
                  <w:vAlign w:val="center"/>
                </w:tcPr>
                <w:p w14:paraId="788D83E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日均值范围</w:t>
                  </w:r>
                </w:p>
              </w:tc>
              <w:tc>
                <w:tcPr>
                  <w:tcW w:w="1275" w:type="dxa"/>
                  <w:noWrap/>
                  <w:vAlign w:val="center"/>
                </w:tcPr>
                <w:p w14:paraId="6809CB6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12-188</w:t>
                  </w:r>
                </w:p>
              </w:tc>
              <w:tc>
                <w:tcPr>
                  <w:tcW w:w="1276" w:type="dxa"/>
                  <w:noWrap/>
                  <w:vAlign w:val="center"/>
                </w:tcPr>
                <w:p w14:paraId="5ACCCE6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150</w:t>
                  </w:r>
                </w:p>
              </w:tc>
              <w:tc>
                <w:tcPr>
                  <w:tcW w:w="1134" w:type="dxa"/>
                  <w:noWrap/>
                  <w:vAlign w:val="center"/>
                </w:tcPr>
                <w:p w14:paraId="7E17817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98.8</w:t>
                  </w:r>
                </w:p>
              </w:tc>
              <w:tc>
                <w:tcPr>
                  <w:tcW w:w="1088" w:type="dxa"/>
                  <w:vMerge w:val="continue"/>
                  <w:noWrap/>
                  <w:vAlign w:val="center"/>
                </w:tcPr>
                <w:p w14:paraId="66CF6F1A">
                  <w:pPr>
                    <w:jc w:val="center"/>
                    <w:rPr>
                      <w:rFonts w:eastAsia="仿宋"/>
                      <w:color w:val="000000" w:themeColor="text1"/>
                      <w:szCs w:val="21"/>
                      <w14:textFill>
                        <w14:solidFill>
                          <w14:schemeClr w14:val="tx1"/>
                        </w14:solidFill>
                      </w14:textFill>
                    </w:rPr>
                  </w:pPr>
                </w:p>
              </w:tc>
            </w:tr>
            <w:tr w14:paraId="6997F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vMerge w:val="restart"/>
                  <w:noWrap/>
                  <w:vAlign w:val="center"/>
                </w:tcPr>
                <w:p w14:paraId="1C440197">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PM</w:t>
                  </w:r>
                  <w:r>
                    <w:rPr>
                      <w:rFonts w:eastAsia="仿宋"/>
                      <w:b/>
                      <w:bCs/>
                      <w:color w:val="000000" w:themeColor="text1"/>
                      <w:szCs w:val="21"/>
                      <w:vertAlign w:val="subscript"/>
                      <w14:textFill>
                        <w14:solidFill>
                          <w14:schemeClr w14:val="tx1"/>
                        </w14:solidFill>
                      </w14:textFill>
                    </w:rPr>
                    <w:t>2.5</w:t>
                  </w:r>
                </w:p>
              </w:tc>
              <w:tc>
                <w:tcPr>
                  <w:tcW w:w="3077" w:type="dxa"/>
                  <w:noWrap/>
                  <w:vAlign w:val="center"/>
                </w:tcPr>
                <w:p w14:paraId="77FDB839">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年平均质量浓度</w:t>
                  </w:r>
                </w:p>
              </w:tc>
              <w:tc>
                <w:tcPr>
                  <w:tcW w:w="1275" w:type="dxa"/>
                  <w:noWrap/>
                  <w:vAlign w:val="center"/>
                </w:tcPr>
                <w:p w14:paraId="5B914FA7">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34</w:t>
                  </w:r>
                </w:p>
              </w:tc>
              <w:tc>
                <w:tcPr>
                  <w:tcW w:w="1276" w:type="dxa"/>
                  <w:noWrap/>
                  <w:vAlign w:val="center"/>
                </w:tcPr>
                <w:p w14:paraId="70A997B3">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35</w:t>
                  </w:r>
                </w:p>
              </w:tc>
              <w:tc>
                <w:tcPr>
                  <w:tcW w:w="1134" w:type="dxa"/>
                  <w:noWrap/>
                  <w:vAlign w:val="center"/>
                </w:tcPr>
                <w:p w14:paraId="352DACA8">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w:t>
                  </w:r>
                </w:p>
              </w:tc>
              <w:tc>
                <w:tcPr>
                  <w:tcW w:w="1088" w:type="dxa"/>
                  <w:vMerge w:val="restart"/>
                  <w:noWrap/>
                  <w:vAlign w:val="center"/>
                </w:tcPr>
                <w:p w14:paraId="344581F9">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不达标</w:t>
                  </w:r>
                </w:p>
              </w:tc>
            </w:tr>
            <w:tr w14:paraId="505D5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dxa"/>
                  <w:vMerge w:val="continue"/>
                  <w:noWrap/>
                  <w:vAlign w:val="center"/>
                </w:tcPr>
                <w:p w14:paraId="061AFA48">
                  <w:pPr>
                    <w:adjustRightInd w:val="0"/>
                    <w:snapToGrid w:val="0"/>
                    <w:jc w:val="center"/>
                    <w:rPr>
                      <w:rFonts w:eastAsia="仿宋"/>
                      <w:b/>
                      <w:color w:val="000000" w:themeColor="text1"/>
                      <w:szCs w:val="21"/>
                      <w14:textFill>
                        <w14:solidFill>
                          <w14:schemeClr w14:val="tx1"/>
                        </w14:solidFill>
                      </w14:textFill>
                    </w:rPr>
                  </w:pPr>
                </w:p>
              </w:tc>
              <w:tc>
                <w:tcPr>
                  <w:tcW w:w="3077" w:type="dxa"/>
                  <w:noWrap/>
                  <w:vAlign w:val="center"/>
                </w:tcPr>
                <w:p w14:paraId="54003F86">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日均值范围</w:t>
                  </w:r>
                </w:p>
              </w:tc>
              <w:tc>
                <w:tcPr>
                  <w:tcW w:w="1275" w:type="dxa"/>
                  <w:noWrap/>
                  <w:vAlign w:val="center"/>
                </w:tcPr>
                <w:p w14:paraId="2891C755">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6-151</w:t>
                  </w:r>
                </w:p>
              </w:tc>
              <w:tc>
                <w:tcPr>
                  <w:tcW w:w="1276" w:type="dxa"/>
                  <w:noWrap/>
                  <w:vAlign w:val="center"/>
                </w:tcPr>
                <w:p w14:paraId="7B98BE93">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75</w:t>
                  </w:r>
                </w:p>
              </w:tc>
              <w:tc>
                <w:tcPr>
                  <w:tcW w:w="1134" w:type="dxa"/>
                  <w:noWrap/>
                  <w:vAlign w:val="center"/>
                </w:tcPr>
                <w:p w14:paraId="2DD3FE2C">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93.6</w:t>
                  </w:r>
                </w:p>
              </w:tc>
              <w:tc>
                <w:tcPr>
                  <w:tcW w:w="1088" w:type="dxa"/>
                  <w:vMerge w:val="continue"/>
                  <w:noWrap/>
                  <w:vAlign w:val="center"/>
                </w:tcPr>
                <w:p w14:paraId="38CA9FB2">
                  <w:pPr>
                    <w:adjustRightInd w:val="0"/>
                    <w:snapToGrid w:val="0"/>
                    <w:jc w:val="center"/>
                    <w:rPr>
                      <w:rFonts w:eastAsia="仿宋"/>
                      <w:b/>
                      <w:color w:val="000000" w:themeColor="text1"/>
                      <w:szCs w:val="21"/>
                      <w14:textFill>
                        <w14:solidFill>
                          <w14:schemeClr w14:val="tx1"/>
                        </w14:solidFill>
                      </w14:textFill>
                    </w:rPr>
                  </w:pPr>
                </w:p>
              </w:tc>
            </w:tr>
          </w:tbl>
          <w:p w14:paraId="279177C0">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由上表可知，项目所在区域内NO</w:t>
            </w:r>
            <w:r>
              <w:rPr>
                <w:rFonts w:hint="eastAsia" w:eastAsia="仿宋"/>
                <w:bCs/>
                <w:color w:val="000000" w:themeColor="text1"/>
                <w:sz w:val="24"/>
                <w:vertAlign w:val="subscript"/>
                <w14:textFill>
                  <w14:solidFill>
                    <w14:schemeClr w14:val="tx1"/>
                  </w14:solidFill>
                </w14:textFill>
              </w:rPr>
              <w:t>2</w:t>
            </w:r>
            <w:r>
              <w:rPr>
                <w:rFonts w:hint="eastAsia" w:eastAsia="仿宋"/>
                <w:bCs/>
                <w:color w:val="000000" w:themeColor="text1"/>
                <w:sz w:val="24"/>
                <w14:textFill>
                  <w14:solidFill>
                    <w14:schemeClr w14:val="tx1"/>
                  </w14:solidFill>
                </w14:textFill>
              </w:rPr>
              <w:t>年均值、SO</w:t>
            </w:r>
            <w:r>
              <w:rPr>
                <w:rFonts w:hint="eastAsia" w:eastAsia="仿宋"/>
                <w:bCs/>
                <w:color w:val="000000" w:themeColor="text1"/>
                <w:sz w:val="24"/>
                <w:vertAlign w:val="subscript"/>
                <w14:textFill>
                  <w14:solidFill>
                    <w14:schemeClr w14:val="tx1"/>
                  </w14:solidFill>
                </w14:textFill>
              </w:rPr>
              <w:t>2</w:t>
            </w:r>
            <w:r>
              <w:rPr>
                <w:rFonts w:hint="eastAsia" w:eastAsia="仿宋"/>
                <w:bCs/>
                <w:color w:val="000000" w:themeColor="text1"/>
                <w:sz w:val="24"/>
                <w14:textFill>
                  <w14:solidFill>
                    <w14:schemeClr w14:val="tx1"/>
                  </w14:solidFill>
                </w14:textFill>
              </w:rPr>
              <w:t>年均值、CO 24小时平均第95百分位数以及PM</w:t>
            </w:r>
            <w:r>
              <w:rPr>
                <w:rFonts w:hint="eastAsia" w:eastAsia="仿宋"/>
                <w:bCs/>
                <w:color w:val="000000" w:themeColor="text1"/>
                <w:sz w:val="24"/>
                <w:vertAlign w:val="subscript"/>
                <w14:textFill>
                  <w14:solidFill>
                    <w14:schemeClr w14:val="tx1"/>
                  </w14:solidFill>
                </w14:textFill>
              </w:rPr>
              <w:t>10</w:t>
            </w:r>
            <w:r>
              <w:rPr>
                <w:rFonts w:hint="eastAsia" w:eastAsia="仿宋"/>
                <w:bCs/>
                <w:color w:val="000000" w:themeColor="text1"/>
                <w:sz w:val="24"/>
                <w14:textFill>
                  <w14:solidFill>
                    <w14:schemeClr w14:val="tx1"/>
                  </w14:solidFill>
                </w14:textFill>
              </w:rPr>
              <w:t>年均值均符合《环境空气质量标准》（GB3095-2012）表1中二级标准，O</w:t>
            </w:r>
            <w:r>
              <w:rPr>
                <w:rFonts w:hint="eastAsia" w:eastAsia="仿宋"/>
                <w:bCs/>
                <w:color w:val="000000" w:themeColor="text1"/>
                <w:sz w:val="24"/>
                <w:vertAlign w:val="subscript"/>
                <w14:textFill>
                  <w14:solidFill>
                    <w14:schemeClr w14:val="tx1"/>
                  </w14:solidFill>
                </w14:textFill>
              </w:rPr>
              <w:t>3</w:t>
            </w:r>
            <w:r>
              <w:rPr>
                <w:rFonts w:hint="eastAsia" w:eastAsia="仿宋"/>
                <w:bCs/>
                <w:color w:val="000000" w:themeColor="text1"/>
                <w:sz w:val="24"/>
                <w14:textFill>
                  <w14:solidFill>
                    <w14:schemeClr w14:val="tx1"/>
                  </w14:solidFill>
                </w14:textFill>
              </w:rPr>
              <w:t>、PM</w:t>
            </w:r>
            <w:r>
              <w:rPr>
                <w:rFonts w:hint="eastAsia" w:eastAsia="仿宋"/>
                <w:bCs/>
                <w:color w:val="000000" w:themeColor="text1"/>
                <w:sz w:val="24"/>
                <w:vertAlign w:val="subscript"/>
                <w14:textFill>
                  <w14:solidFill>
                    <w14:schemeClr w14:val="tx1"/>
                  </w14:solidFill>
                </w14:textFill>
              </w:rPr>
              <w:t>2.5</w:t>
            </w:r>
            <w:r>
              <w:rPr>
                <w:rFonts w:hint="eastAsia" w:eastAsia="仿宋"/>
                <w:bCs/>
                <w:color w:val="000000" w:themeColor="text1"/>
                <w:sz w:val="24"/>
                <w14:textFill>
                  <w14:solidFill>
                    <w14:schemeClr w14:val="tx1"/>
                  </w14:solidFill>
                </w14:textFill>
              </w:rPr>
              <w:t>两项评价指标均不达标，因此，区域环境空气质量目前不达标。总体而言，本项目所在地为不达标区。</w:t>
            </w:r>
          </w:p>
          <w:p w14:paraId="12ABC96F">
            <w:pPr>
              <w:spacing w:line="480" w:lineRule="exact"/>
              <w:ind w:firstLine="482" w:firstLineChars="200"/>
              <w:rPr>
                <w:rFonts w:eastAsia="仿宋"/>
                <w:b/>
                <w:color w:val="000000" w:themeColor="text1"/>
                <w:sz w:val="24"/>
                <w14:textFill>
                  <w14:solidFill>
                    <w14:schemeClr w14:val="tx1"/>
                  </w14:solidFill>
                </w14:textFill>
              </w:rPr>
            </w:pPr>
            <w:r>
              <w:rPr>
                <w:rFonts w:eastAsia="仿宋"/>
                <w:b/>
                <w:color w:val="000000" w:themeColor="text1"/>
                <w:sz w:val="24"/>
                <w14:textFill>
                  <w14:solidFill>
                    <w14:schemeClr w14:val="tx1"/>
                  </w14:solidFill>
                </w14:textFill>
              </w:rPr>
              <w:t>区域大气污染物削减方案及措施：</w:t>
            </w:r>
          </w:p>
          <w:p w14:paraId="635B6224">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根据常州市生态文明建设委员会关于印发《2024年度全面推进美丽常州建设工作方案》的通知，主要举措如下：</w:t>
            </w:r>
          </w:p>
          <w:p w14:paraId="417FBA1E">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开展火电煤堆场专项整治行动。年内完成国能常州发电有限公司、常州经开区亚太热电2家火电“一企一策”综合整治，年底前完成广达热电关闭退出工作。抓好钢铁、水泥、铸造、垃圾焚烧、汽修“五大行业”整治。完成宝润钢铁全流程超低排放改造；完成江苏常宝钢管股份有限公司2台工业炉窑烟气脱硝或低氮改造；完成光大常高新垃圾焚烧提标改造。推进燃烧法工艺（RTO、RCO、TO）治污设施建设，力争4月底前完成50%以上的年度VOCs治理重点工程项目。9月底前完成154家汽修行业企业全面排查和系统治理。强化挥发性有机物全过程全环节综合治理，实施源头替代工程，年内木质家具制造、工程机械替代比例力争达到80%，汽车零部件及配件制造、钢结构（防腐级别C4及以上的除外）替代比例力争达到60%。开展虚假“油改水”专项清理。常州滨江经济开发区新材料产园、金坛新材料科技产业园制定化工园区综合整治方案，建立统一的泄漏检测与修复信息管理平台。对挥发性有机液体储罐开展排查，4月底前符合要求的力争实现全更换。中石油、中石化两个油库完成储罐浮盘高效密封改造。持续加强原油成品油码头和油船挥发性有机物治理。开展55家水泥行业企业和43家玻璃行企业排查整治，对733家铸造企业“回头看”，培育环保绩效AB级水平标杆企业37家以上。鼓励开展清洁生产审核的铸造企业，主动提升清洁生产先进水平。强化施工工地、道路、园林绿化、裸地以及港口码头等扬尘治理，严格执行《常州市扬尘污染防治管理办法》要求，施工工地严格执行“六个百分百”要求，“两区三厂”范围内无大面积未覆盖裸土。推进规模以上工地安装扬尘在线监测和视频监控设备，鼓励实施监测超标预警和喷淋、雾炮等设施的远程控制与自动降尘有效联动。持续对全市63个镇（街道）、园区实施降尘考核，全市降尘不得高于2.2吨/平方千米·月。开展餐饮油烟专项治理，推动产生油烟或异味的餐饮服务单位安装油烟净化装置并定期维护，每季度清洗一次烟道。推进建设钟楼吾悦国际综合体为主要集中治理区域的餐饮油烟治理示范街区。严格落实《江苏省重污染天气应急预案》有关要求，9月底前完成绩效分级、应急减排清单和豁免企业清单修订工作。加强秸秆禁烧，全面提升秸秆收、运、贮、用等方面能力。加强春节、中秋、国庆等重点时段的烟花爆竹燃放管控工作，严防禁放区内发生聚集性违规燃放。溧阳高新区开展减污降碳协同创新试点，制定形成试点任务清单。</w:t>
            </w:r>
          </w:p>
          <w:p w14:paraId="5C13DD79">
            <w:pPr>
              <w:spacing w:line="480" w:lineRule="exact"/>
              <w:ind w:firstLine="482" w:firstLineChars="200"/>
              <w:rPr>
                <w:rFonts w:eastAsia="仿宋"/>
                <w:b/>
                <w:color w:val="000000" w:themeColor="text1"/>
                <w:sz w:val="24"/>
                <w14:textFill>
                  <w14:solidFill>
                    <w14:schemeClr w14:val="tx1"/>
                  </w14:solidFill>
                </w14:textFill>
              </w:rPr>
            </w:pPr>
            <w:r>
              <w:rPr>
                <w:rFonts w:hint="eastAsia" w:eastAsia="仿宋"/>
                <w:b/>
                <w:color w:val="000000" w:themeColor="text1"/>
                <w:sz w:val="24"/>
                <w14:textFill>
                  <w14:solidFill>
                    <w14:schemeClr w14:val="tx1"/>
                  </w14:solidFill>
                </w14:textFill>
              </w:rPr>
              <w:t>采取上述措施，常州市的大气空气质量将得到进一步改善。</w:t>
            </w:r>
          </w:p>
          <w:p w14:paraId="01245D3A">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（2）</w:t>
            </w:r>
            <w:r>
              <w:rPr>
                <w:rFonts w:eastAsia="仿宋"/>
                <w:bCs/>
                <w:color w:val="000000" w:themeColor="text1"/>
                <w:sz w:val="24"/>
                <w14:textFill>
                  <w14:solidFill>
                    <w14:schemeClr w14:val="tx1"/>
                  </w14:solidFill>
                </w14:textFill>
              </w:rPr>
              <w:t>其他污染物环境质量现状</w:t>
            </w:r>
          </w:p>
          <w:p w14:paraId="6B192D9E">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本次非甲烷总烃、氨、臭气浓度现状</w:t>
            </w:r>
            <w:r>
              <w:rPr>
                <w:rFonts w:eastAsia="仿宋"/>
                <w:bCs/>
                <w:color w:val="000000" w:themeColor="text1"/>
                <w:sz w:val="24"/>
                <w14:textFill>
                  <w14:solidFill>
                    <w14:schemeClr w14:val="tx1"/>
                  </w14:solidFill>
                </w14:textFill>
              </w:rPr>
              <w:t>引用</w:t>
            </w:r>
            <w:r>
              <w:rPr>
                <w:rFonts w:hint="eastAsia" w:eastAsia="仿宋"/>
                <w:bCs/>
                <w:color w:val="000000" w:themeColor="text1"/>
                <w:sz w:val="24"/>
                <w14:textFill>
                  <w14:solidFill>
                    <w14:schemeClr w14:val="tx1"/>
                  </w14:solidFill>
                </w14:textFill>
              </w:rPr>
              <w:t>江苏科发检测技术有限公司</w:t>
            </w:r>
            <w:r>
              <w:rPr>
                <w:rFonts w:eastAsia="仿宋"/>
                <w:bCs/>
                <w:color w:val="000000" w:themeColor="text1"/>
                <w:sz w:val="24"/>
                <w14:textFill>
                  <w14:solidFill>
                    <w14:schemeClr w14:val="tx1"/>
                  </w14:solidFill>
                </w14:textFill>
              </w:rPr>
              <w:t>于2024年1月8日-1月14日</w:t>
            </w:r>
            <w:r>
              <w:rPr>
                <w:rFonts w:hint="eastAsia" w:eastAsia="仿宋"/>
                <w:bCs/>
                <w:color w:val="000000" w:themeColor="text1"/>
                <w:sz w:val="24"/>
                <w14:textFill>
                  <w14:solidFill>
                    <w14:schemeClr w14:val="tx1"/>
                  </w14:solidFill>
                </w14:textFill>
              </w:rPr>
              <w:t>在</w:t>
            </w:r>
            <w:bookmarkStart w:id="26" w:name="OLE_LINK15"/>
            <w:r>
              <w:rPr>
                <w:rFonts w:hint="eastAsia" w:eastAsia="仿宋"/>
                <w:bCs/>
                <w:color w:val="000000" w:themeColor="text1"/>
                <w:sz w:val="24"/>
                <w14:textFill>
                  <w14:solidFill>
                    <w14:schemeClr w14:val="tx1"/>
                  </w14:solidFill>
                </w14:textFill>
              </w:rPr>
              <w:t>江苏贝特瑞纳米科技有限公司</w:t>
            </w:r>
            <w:bookmarkEnd w:id="26"/>
            <w:r>
              <w:rPr>
                <w:rFonts w:hint="eastAsia" w:eastAsia="仿宋"/>
                <w:bCs/>
                <w:color w:val="000000" w:themeColor="text1"/>
                <w:sz w:val="24"/>
                <w14:textFill>
                  <w14:solidFill>
                    <w14:schemeClr w14:val="tx1"/>
                  </w14:solidFill>
                </w14:textFill>
              </w:rPr>
              <w:t>所在地（东南，</w:t>
            </w:r>
            <w:r>
              <w:rPr>
                <w:rFonts w:eastAsia="仿宋"/>
                <w:bCs/>
                <w:color w:val="000000" w:themeColor="text1"/>
                <w:sz w:val="24"/>
                <w14:textFill>
                  <w14:solidFill>
                    <w14:schemeClr w14:val="tx1"/>
                  </w14:solidFill>
                </w14:textFill>
              </w:rPr>
              <w:t>3940</w:t>
            </w:r>
            <w:r>
              <w:rPr>
                <w:rFonts w:hint="eastAsia" w:eastAsia="仿宋"/>
                <w:bCs/>
                <w:color w:val="000000" w:themeColor="text1"/>
                <w:sz w:val="24"/>
                <w14:textFill>
                  <w14:solidFill>
                    <w14:schemeClr w14:val="tx1"/>
                  </w14:solidFill>
                </w14:textFill>
              </w:rPr>
              <w:t>m）对非甲烷</w:t>
            </w:r>
            <w:r>
              <w:rPr>
                <w:rFonts w:eastAsia="仿宋"/>
                <w:bCs/>
                <w:color w:val="000000" w:themeColor="text1"/>
                <w:sz w:val="24"/>
                <w14:textFill>
                  <w14:solidFill>
                    <w14:schemeClr w14:val="tx1"/>
                  </w14:solidFill>
                </w14:textFill>
              </w:rPr>
              <w:t>总烃</w:t>
            </w:r>
            <w:r>
              <w:rPr>
                <w:rFonts w:hint="eastAsia" w:eastAsia="仿宋"/>
                <w:bCs/>
                <w:color w:val="000000" w:themeColor="text1"/>
                <w:sz w:val="24"/>
                <w14:textFill>
                  <w14:solidFill>
                    <w14:schemeClr w14:val="tx1"/>
                  </w14:solidFill>
                </w14:textFill>
              </w:rPr>
              <w:t>、氨、臭气浓度的本底监测数据，检测报告编号：(20</w:t>
            </w:r>
            <w:r>
              <w:rPr>
                <w:rFonts w:eastAsia="仿宋"/>
                <w:bCs/>
                <w:color w:val="000000" w:themeColor="text1"/>
                <w:sz w:val="24"/>
                <w14:textFill>
                  <w14:solidFill>
                    <w14:schemeClr w14:val="tx1"/>
                  </w14:solidFill>
                </w14:textFill>
              </w:rPr>
              <w:t>24</w:t>
            </w:r>
            <w:r>
              <w:rPr>
                <w:rFonts w:hint="eastAsia" w:eastAsia="仿宋"/>
                <w:bCs/>
                <w:color w:val="000000" w:themeColor="text1"/>
                <w:sz w:val="24"/>
                <w14:textFill>
                  <w14:solidFill>
                    <w14:schemeClr w14:val="tx1"/>
                  </w14:solidFill>
                </w14:textFill>
              </w:rPr>
              <w:t>)科检(环)字第(C-0</w:t>
            </w:r>
            <w:r>
              <w:rPr>
                <w:rFonts w:eastAsia="仿宋"/>
                <w:bCs/>
                <w:color w:val="000000" w:themeColor="text1"/>
                <w:sz w:val="24"/>
                <w14:textFill>
                  <w14:solidFill>
                    <w14:schemeClr w14:val="tx1"/>
                  </w14:solidFill>
                </w14:textFill>
              </w:rPr>
              <w:t>16</w:t>
            </w:r>
            <w:r>
              <w:rPr>
                <w:rFonts w:hint="eastAsia" w:eastAsia="仿宋"/>
                <w:bCs/>
                <w:color w:val="000000" w:themeColor="text1"/>
                <w:sz w:val="24"/>
                <w14:textFill>
                  <w14:solidFill>
                    <w14:schemeClr w14:val="tx1"/>
                  </w14:solidFill>
                </w14:textFill>
              </w:rPr>
              <w:t>)号</w:t>
            </w:r>
            <w:r>
              <w:rPr>
                <w:rFonts w:eastAsia="仿宋"/>
                <w:bCs/>
                <w:color w:val="000000" w:themeColor="text1"/>
                <w:sz w:val="24"/>
                <w14:textFill>
                  <w14:solidFill>
                    <w14:schemeClr w14:val="tx1"/>
                  </w14:solidFill>
                </w14:textFill>
              </w:rPr>
              <w:t>。</w:t>
            </w:r>
          </w:p>
          <w:p w14:paraId="3FF80567">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引用数据有效性分析：①根据《</w:t>
            </w:r>
            <w:r>
              <w:rPr>
                <w:rFonts w:hint="eastAsia" w:eastAsia="仿宋"/>
                <w:bCs/>
                <w:color w:val="000000" w:themeColor="text1"/>
                <w:sz w:val="24"/>
                <w14:textFill>
                  <w14:solidFill>
                    <w14:schemeClr w14:val="tx1"/>
                  </w14:solidFill>
                </w14:textFill>
              </w:rPr>
              <w:t>建设项目环境影响报告表编制技术指南</w:t>
            </w:r>
            <w:r>
              <w:rPr>
                <w:rFonts w:eastAsia="仿宋"/>
                <w:bCs/>
                <w:color w:val="000000" w:themeColor="text1"/>
                <w:sz w:val="24"/>
                <w14:textFill>
                  <w14:solidFill>
                    <w14:schemeClr w14:val="tx1"/>
                  </w14:solidFill>
                </w14:textFill>
              </w:rPr>
              <w:t>》</w:t>
            </w:r>
            <w:r>
              <w:rPr>
                <w:rFonts w:hint="eastAsia" w:eastAsia="仿宋"/>
                <w:bCs/>
                <w:color w:val="000000" w:themeColor="text1"/>
                <w:sz w:val="24"/>
                <w14:textFill>
                  <w14:solidFill>
                    <w14:schemeClr w14:val="tx1"/>
                  </w14:solidFill>
                </w14:textFill>
              </w:rPr>
              <w:t>（污染影响类）（试行）</w:t>
            </w:r>
            <w:r>
              <w:rPr>
                <w:rFonts w:eastAsia="仿宋"/>
                <w:bCs/>
                <w:color w:val="000000" w:themeColor="text1"/>
                <w:sz w:val="24"/>
                <w14:textFill>
                  <w14:solidFill>
                    <w14:schemeClr w14:val="tx1"/>
                  </w14:solidFill>
                </w14:textFill>
              </w:rPr>
              <w:t>可知，排放国家、地方环境空气质量标准中有标准限值要求的特征污染物时，引用建设项目周边5千米范围内近3年的现有监测数据，本次选取点位位于本项目</w:t>
            </w:r>
            <w:r>
              <w:rPr>
                <w:rFonts w:hint="eastAsia" w:eastAsia="仿宋"/>
                <w:bCs/>
                <w:color w:val="000000" w:themeColor="text1"/>
                <w:sz w:val="24"/>
                <w14:textFill>
                  <w14:solidFill>
                    <w14:schemeClr w14:val="tx1"/>
                  </w14:solidFill>
                </w14:textFill>
              </w:rPr>
              <w:t>东南侧约</w:t>
            </w:r>
            <w:r>
              <w:rPr>
                <w:rFonts w:eastAsia="仿宋"/>
                <w:bCs/>
                <w:color w:val="000000" w:themeColor="text1"/>
                <w:sz w:val="24"/>
                <w14:textFill>
                  <w14:solidFill>
                    <w14:schemeClr w14:val="tx1"/>
                  </w14:solidFill>
                </w14:textFill>
              </w:rPr>
              <w:t>3.94</w:t>
            </w:r>
            <w:r>
              <w:rPr>
                <w:rFonts w:hint="eastAsia" w:eastAsia="仿宋"/>
                <w:bCs/>
                <w:color w:val="000000" w:themeColor="text1"/>
                <w:sz w:val="24"/>
                <w14:textFill>
                  <w14:solidFill>
                    <w14:schemeClr w14:val="tx1"/>
                  </w14:solidFill>
                </w14:textFill>
              </w:rPr>
              <w:t>公里</w:t>
            </w:r>
            <w:r>
              <w:rPr>
                <w:rFonts w:eastAsia="仿宋"/>
                <w:bCs/>
                <w:color w:val="000000" w:themeColor="text1"/>
                <w:sz w:val="24"/>
                <w14:textFill>
                  <w14:solidFill>
                    <w14:schemeClr w14:val="tx1"/>
                  </w14:solidFill>
                </w14:textFill>
              </w:rPr>
              <w:t>，</w:t>
            </w:r>
            <w:r>
              <w:rPr>
                <w:rFonts w:hint="eastAsia" w:eastAsia="仿宋"/>
                <w:bCs/>
                <w:color w:val="000000" w:themeColor="text1"/>
                <w:sz w:val="24"/>
                <w14:textFill>
                  <w14:solidFill>
                    <w14:schemeClr w14:val="tx1"/>
                  </w14:solidFill>
                </w14:textFill>
              </w:rPr>
              <w:t>为3年内监测数据</w:t>
            </w:r>
            <w:r>
              <w:rPr>
                <w:rFonts w:eastAsia="仿宋"/>
                <w:bCs/>
                <w:color w:val="000000" w:themeColor="text1"/>
                <w:sz w:val="24"/>
                <w14:textFill>
                  <w14:solidFill>
                    <w14:schemeClr w14:val="tx1"/>
                  </w14:solidFill>
                </w14:textFill>
              </w:rPr>
              <w:t>，符合点位选择要求。具体监测数据统计结果见下表。</w:t>
            </w:r>
          </w:p>
          <w:p w14:paraId="28F4214D">
            <w:pPr>
              <w:spacing w:line="480" w:lineRule="exact"/>
              <w:jc w:val="center"/>
              <w:rPr>
                <w:rFonts w:eastAsia="仿宋"/>
                <w:b/>
                <w:color w:val="000000" w:themeColor="text1"/>
                <w:szCs w:val="21"/>
                <w:lang w:val="zh-CN"/>
                <w14:textFill>
                  <w14:solidFill>
                    <w14:schemeClr w14:val="tx1"/>
                  </w14:solidFill>
                </w14:textFill>
              </w:rPr>
            </w:pPr>
            <w:r>
              <w:rPr>
                <w:rFonts w:hint="eastAsia" w:eastAsia="仿宋"/>
                <w:b/>
                <w:color w:val="000000" w:themeColor="text1"/>
                <w:szCs w:val="21"/>
                <w:lang w:val="zh-CN"/>
                <w14:textFill>
                  <w14:solidFill>
                    <w14:schemeClr w14:val="tx1"/>
                  </w14:solidFill>
                </w14:textFill>
              </w:rPr>
              <w:t>表3</w:t>
            </w:r>
            <w:r>
              <w:rPr>
                <w:rFonts w:eastAsia="仿宋"/>
                <w:b/>
                <w:color w:val="000000" w:themeColor="text1"/>
                <w:szCs w:val="21"/>
                <w:lang w:val="zh-CN"/>
                <w14:textFill>
                  <w14:solidFill>
                    <w14:schemeClr w14:val="tx1"/>
                  </w14:solidFill>
                </w14:textFill>
              </w:rPr>
              <w:t>-3 环境空气质量现状监测结果</w:t>
            </w:r>
            <w:r>
              <w:rPr>
                <w:rFonts w:hint="eastAsia" w:eastAsia="仿宋"/>
                <w:b/>
                <w:color w:val="000000" w:themeColor="text1"/>
                <w:szCs w:val="21"/>
                <w:lang w:val="zh-CN"/>
                <w14:textFill>
                  <w14:solidFill>
                    <w14:schemeClr w14:val="tx1"/>
                  </w14:solidFill>
                </w14:textFill>
              </w:rPr>
              <w:t xml:space="preserve"> </w:t>
            </w:r>
            <w:r>
              <w:rPr>
                <w:rFonts w:eastAsia="仿宋"/>
                <w:b/>
                <w:color w:val="000000" w:themeColor="text1"/>
                <w:szCs w:val="21"/>
                <w:lang w:val="zh-CN"/>
                <w14:textFill>
                  <w14:solidFill>
                    <w14:schemeClr w14:val="tx1"/>
                  </w14:solidFill>
                </w14:textFill>
              </w:rPr>
              <w:t>单位：mg/m</w:t>
            </w:r>
            <w:r>
              <w:rPr>
                <w:rFonts w:eastAsia="仿宋"/>
                <w:b/>
                <w:color w:val="000000" w:themeColor="text1"/>
                <w:szCs w:val="21"/>
                <w:vertAlign w:val="superscript"/>
                <w:lang w:val="zh-CN"/>
                <w14:textFill>
                  <w14:solidFill>
                    <w14:schemeClr w14:val="tx1"/>
                  </w14:solidFill>
                </w14:textFill>
              </w:rPr>
              <w:t>3</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787"/>
              <w:gridCol w:w="1436"/>
              <w:gridCol w:w="1298"/>
              <w:gridCol w:w="1022"/>
              <w:gridCol w:w="1404"/>
              <w:gridCol w:w="895"/>
            </w:tblGrid>
            <w:tr w14:paraId="4E7D6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576" w:type="pct"/>
                  <w:vMerge w:val="restart"/>
                  <w:noWrap/>
                  <w:vAlign w:val="center"/>
                </w:tcPr>
                <w:p w14:paraId="38AE5B7E">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监测点位</w:t>
                  </w:r>
                </w:p>
              </w:tc>
              <w:tc>
                <w:tcPr>
                  <w:tcW w:w="812" w:type="pct"/>
                  <w:vMerge w:val="restart"/>
                  <w:noWrap/>
                  <w:vAlign w:val="center"/>
                </w:tcPr>
                <w:p w14:paraId="13F8C66B">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项目</w:t>
                  </w:r>
                </w:p>
              </w:tc>
              <w:tc>
                <w:tcPr>
                  <w:tcW w:w="2612" w:type="pct"/>
                  <w:gridSpan w:val="4"/>
                  <w:noWrap/>
                  <w:vAlign w:val="center"/>
                </w:tcPr>
                <w:p w14:paraId="49E0C1F3">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小时平均浓度</w:t>
                  </w:r>
                </w:p>
              </w:tc>
            </w:tr>
            <w:tr w14:paraId="74E96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576" w:type="pct"/>
                  <w:vMerge w:val="continue"/>
                  <w:noWrap/>
                  <w:vAlign w:val="center"/>
                </w:tcPr>
                <w:p w14:paraId="3B094D50">
                  <w:pPr>
                    <w:jc w:val="center"/>
                    <w:rPr>
                      <w:rFonts w:eastAsia="仿宋"/>
                      <w:b/>
                      <w:bCs/>
                      <w:color w:val="000000" w:themeColor="text1"/>
                      <w:szCs w:val="21"/>
                      <w14:textFill>
                        <w14:solidFill>
                          <w14:schemeClr w14:val="tx1"/>
                        </w14:solidFill>
                      </w14:textFill>
                    </w:rPr>
                  </w:pPr>
                </w:p>
              </w:tc>
              <w:tc>
                <w:tcPr>
                  <w:tcW w:w="812" w:type="pct"/>
                  <w:vMerge w:val="continue"/>
                  <w:noWrap/>
                  <w:vAlign w:val="center"/>
                </w:tcPr>
                <w:p w14:paraId="6EE7C735">
                  <w:pPr>
                    <w:jc w:val="center"/>
                    <w:rPr>
                      <w:rFonts w:eastAsia="仿宋"/>
                      <w:b/>
                      <w:bCs/>
                      <w:color w:val="000000" w:themeColor="text1"/>
                      <w:szCs w:val="21"/>
                      <w14:textFill>
                        <w14:solidFill>
                          <w14:schemeClr w14:val="tx1"/>
                        </w14:solidFill>
                      </w14:textFill>
                    </w:rPr>
                  </w:pPr>
                </w:p>
              </w:tc>
              <w:tc>
                <w:tcPr>
                  <w:tcW w:w="734" w:type="pct"/>
                  <w:noWrap/>
                  <w:vAlign w:val="center"/>
                </w:tcPr>
                <w:p w14:paraId="4CD23197">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浓度范围</w:t>
                  </w:r>
                </w:p>
              </w:tc>
              <w:tc>
                <w:tcPr>
                  <w:tcW w:w="578" w:type="pct"/>
                  <w:noWrap/>
                  <w:vAlign w:val="center"/>
                </w:tcPr>
                <w:p w14:paraId="36C55914">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标准</w:t>
                  </w:r>
                </w:p>
              </w:tc>
              <w:tc>
                <w:tcPr>
                  <w:tcW w:w="794" w:type="pct"/>
                  <w:vAlign w:val="center"/>
                </w:tcPr>
                <w:p w14:paraId="4BF72B55">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最大超标倍数</w:t>
                  </w:r>
                </w:p>
              </w:tc>
              <w:tc>
                <w:tcPr>
                  <w:tcW w:w="506" w:type="pct"/>
                  <w:noWrap/>
                  <w:vAlign w:val="center"/>
                </w:tcPr>
                <w:p w14:paraId="64463843">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超标率%</w:t>
                  </w:r>
                </w:p>
              </w:tc>
            </w:tr>
            <w:tr w14:paraId="2A19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576" w:type="pct"/>
                  <w:vMerge w:val="restart"/>
                  <w:noWrap/>
                  <w:vAlign w:val="center"/>
                </w:tcPr>
                <w:p w14:paraId="383FA2A0">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江苏贝特瑞纳米科技有限公司</w:t>
                  </w:r>
                </w:p>
              </w:tc>
              <w:tc>
                <w:tcPr>
                  <w:tcW w:w="812" w:type="pct"/>
                  <w:noWrap/>
                  <w:vAlign w:val="center"/>
                </w:tcPr>
                <w:p w14:paraId="7C4EAF29">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非甲烷</w:t>
                  </w:r>
                  <w:r>
                    <w:rPr>
                      <w:rFonts w:eastAsia="仿宋"/>
                      <w:color w:val="000000" w:themeColor="text1"/>
                      <w:szCs w:val="21"/>
                      <w14:textFill>
                        <w14:solidFill>
                          <w14:schemeClr w14:val="tx1"/>
                        </w14:solidFill>
                      </w14:textFill>
                    </w:rPr>
                    <w:t>总烃</w:t>
                  </w:r>
                </w:p>
              </w:tc>
              <w:tc>
                <w:tcPr>
                  <w:tcW w:w="734" w:type="pct"/>
                  <w:noWrap/>
                  <w:vAlign w:val="center"/>
                </w:tcPr>
                <w:p w14:paraId="71A2AC55">
                  <w:pPr>
                    <w:jc w:val="center"/>
                    <w:rPr>
                      <w:rFonts w:eastAsia="仿宋_GB2312"/>
                      <w:bCs/>
                      <w:color w:val="000000" w:themeColor="text1"/>
                      <w:szCs w:val="21"/>
                      <w14:textFill>
                        <w14:solidFill>
                          <w14:schemeClr w14:val="tx1"/>
                        </w14:solidFill>
                      </w14:textFill>
                    </w:rPr>
                  </w:pPr>
                  <w:r>
                    <w:rPr>
                      <w:rFonts w:hint="eastAsia" w:eastAsia="仿宋_GB2312"/>
                      <w:color w:val="000000" w:themeColor="text1"/>
                      <w:szCs w:val="21"/>
                      <w14:textFill>
                        <w14:solidFill>
                          <w14:schemeClr w14:val="tx1"/>
                        </w14:solidFill>
                      </w14:textFill>
                    </w:rPr>
                    <w:t>0.</w:t>
                  </w:r>
                  <w:r>
                    <w:rPr>
                      <w:rFonts w:eastAsia="仿宋_GB2312"/>
                      <w:color w:val="000000" w:themeColor="text1"/>
                      <w:szCs w:val="21"/>
                      <w14:textFill>
                        <w14:solidFill>
                          <w14:schemeClr w14:val="tx1"/>
                        </w14:solidFill>
                      </w14:textFill>
                    </w:rPr>
                    <w:t>8</w:t>
                  </w:r>
                  <w:r>
                    <w:rPr>
                      <w:rFonts w:hint="eastAsia" w:eastAsia="仿宋_GB2312"/>
                      <w:color w:val="000000" w:themeColor="text1"/>
                      <w:szCs w:val="21"/>
                      <w14:textFill>
                        <w14:solidFill>
                          <w14:schemeClr w14:val="tx1"/>
                        </w14:solidFill>
                      </w14:textFill>
                    </w:rPr>
                    <w:t>6-</w:t>
                  </w:r>
                  <w:r>
                    <w:rPr>
                      <w:rFonts w:eastAsia="仿宋_GB2312"/>
                      <w:color w:val="000000" w:themeColor="text1"/>
                      <w:szCs w:val="21"/>
                      <w14:textFill>
                        <w14:solidFill>
                          <w14:schemeClr w14:val="tx1"/>
                        </w14:solidFill>
                      </w14:textFill>
                    </w:rPr>
                    <w:t>1.46</w:t>
                  </w:r>
                </w:p>
              </w:tc>
              <w:tc>
                <w:tcPr>
                  <w:tcW w:w="578" w:type="pct"/>
                  <w:noWrap/>
                  <w:vAlign w:val="center"/>
                </w:tcPr>
                <w:p w14:paraId="08BA1D36">
                  <w:pPr>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2.0</w:t>
                  </w:r>
                </w:p>
              </w:tc>
              <w:tc>
                <w:tcPr>
                  <w:tcW w:w="794" w:type="pct"/>
                  <w:vAlign w:val="center"/>
                </w:tcPr>
                <w:p w14:paraId="66FF5C7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w:t>
                  </w:r>
                </w:p>
              </w:tc>
              <w:tc>
                <w:tcPr>
                  <w:tcW w:w="506" w:type="pct"/>
                  <w:noWrap/>
                  <w:vAlign w:val="center"/>
                </w:tcPr>
                <w:p w14:paraId="6D8BDFE7">
                  <w:pPr>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0</w:t>
                  </w:r>
                </w:p>
              </w:tc>
            </w:tr>
            <w:tr w14:paraId="44FED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576" w:type="pct"/>
                  <w:vMerge w:val="continue"/>
                  <w:noWrap/>
                  <w:vAlign w:val="center"/>
                </w:tcPr>
                <w:p w14:paraId="3407B6DB">
                  <w:pPr>
                    <w:jc w:val="center"/>
                    <w:rPr>
                      <w:rFonts w:eastAsia="仿宋"/>
                      <w:color w:val="000000" w:themeColor="text1"/>
                      <w:szCs w:val="21"/>
                      <w14:textFill>
                        <w14:solidFill>
                          <w14:schemeClr w14:val="tx1"/>
                        </w14:solidFill>
                      </w14:textFill>
                    </w:rPr>
                  </w:pPr>
                </w:p>
              </w:tc>
              <w:tc>
                <w:tcPr>
                  <w:tcW w:w="812" w:type="pct"/>
                  <w:noWrap/>
                  <w:vAlign w:val="center"/>
                </w:tcPr>
                <w:p w14:paraId="26FEB77E">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氨</w:t>
                  </w:r>
                </w:p>
              </w:tc>
              <w:tc>
                <w:tcPr>
                  <w:tcW w:w="734" w:type="pct"/>
                  <w:noWrap/>
                  <w:vAlign w:val="center"/>
                </w:tcPr>
                <w:p w14:paraId="14D21EA3">
                  <w:pPr>
                    <w:jc w:val="center"/>
                    <w:rPr>
                      <w:rFonts w:eastAsia="仿宋_GB2312"/>
                      <w:color w:val="000000" w:themeColor="text1"/>
                      <w:szCs w:val="21"/>
                      <w14:textFill>
                        <w14:solidFill>
                          <w14:schemeClr w14:val="tx1"/>
                        </w14:solidFill>
                      </w14:textFill>
                    </w:rPr>
                  </w:pPr>
                  <w:r>
                    <w:rPr>
                      <w:rFonts w:hint="eastAsia" w:eastAsia="仿宋_GB2312"/>
                      <w:color w:val="000000" w:themeColor="text1"/>
                      <w:szCs w:val="21"/>
                      <w14:textFill>
                        <w14:solidFill>
                          <w14:schemeClr w14:val="tx1"/>
                        </w14:solidFill>
                      </w14:textFill>
                    </w:rPr>
                    <w:t>0</w:t>
                  </w:r>
                  <w:r>
                    <w:rPr>
                      <w:rFonts w:eastAsia="仿宋_GB2312"/>
                      <w:color w:val="000000" w:themeColor="text1"/>
                      <w:szCs w:val="21"/>
                      <w14:textFill>
                        <w14:solidFill>
                          <w14:schemeClr w14:val="tx1"/>
                        </w14:solidFill>
                      </w14:textFill>
                    </w:rPr>
                    <w:t>.01~0.02</w:t>
                  </w:r>
                </w:p>
              </w:tc>
              <w:tc>
                <w:tcPr>
                  <w:tcW w:w="578" w:type="pct"/>
                  <w:noWrap/>
                  <w:vAlign w:val="center"/>
                </w:tcPr>
                <w:p w14:paraId="5BEE2017">
                  <w:pPr>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0</w:t>
                  </w:r>
                  <w:r>
                    <w:rPr>
                      <w:rFonts w:eastAsia="仿宋"/>
                      <w:bCs/>
                      <w:color w:val="000000" w:themeColor="text1"/>
                      <w:szCs w:val="21"/>
                      <w14:textFill>
                        <w14:solidFill>
                          <w14:schemeClr w14:val="tx1"/>
                        </w14:solidFill>
                      </w14:textFill>
                    </w:rPr>
                    <w:t>.2</w:t>
                  </w:r>
                </w:p>
              </w:tc>
              <w:tc>
                <w:tcPr>
                  <w:tcW w:w="794" w:type="pct"/>
                  <w:vAlign w:val="center"/>
                </w:tcPr>
                <w:p w14:paraId="5951FA21">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0</w:t>
                  </w:r>
                </w:p>
              </w:tc>
              <w:tc>
                <w:tcPr>
                  <w:tcW w:w="506" w:type="pct"/>
                  <w:noWrap/>
                  <w:vAlign w:val="center"/>
                </w:tcPr>
                <w:p w14:paraId="38F5B3C8">
                  <w:pPr>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0</w:t>
                  </w:r>
                </w:p>
              </w:tc>
            </w:tr>
            <w:tr w14:paraId="7158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576" w:type="pct"/>
                  <w:vMerge w:val="continue"/>
                  <w:noWrap/>
                  <w:vAlign w:val="center"/>
                </w:tcPr>
                <w:p w14:paraId="7FF62E4A">
                  <w:pPr>
                    <w:jc w:val="center"/>
                    <w:rPr>
                      <w:rFonts w:eastAsia="仿宋"/>
                      <w:color w:val="000000" w:themeColor="text1"/>
                      <w:szCs w:val="21"/>
                      <w14:textFill>
                        <w14:solidFill>
                          <w14:schemeClr w14:val="tx1"/>
                        </w14:solidFill>
                      </w14:textFill>
                    </w:rPr>
                  </w:pPr>
                </w:p>
              </w:tc>
              <w:tc>
                <w:tcPr>
                  <w:tcW w:w="812" w:type="pct"/>
                  <w:noWrap/>
                  <w:vAlign w:val="center"/>
                </w:tcPr>
                <w:p w14:paraId="225ABC27">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臭气浓度</w:t>
                  </w:r>
                </w:p>
              </w:tc>
              <w:tc>
                <w:tcPr>
                  <w:tcW w:w="734" w:type="pct"/>
                  <w:noWrap/>
                  <w:vAlign w:val="center"/>
                </w:tcPr>
                <w:p w14:paraId="0DF0F3F8">
                  <w:pPr>
                    <w:jc w:val="center"/>
                    <w:rPr>
                      <w:rFonts w:eastAsia="仿宋_GB2312"/>
                      <w:color w:val="000000" w:themeColor="text1"/>
                      <w:szCs w:val="21"/>
                      <w14:textFill>
                        <w14:solidFill>
                          <w14:schemeClr w14:val="tx1"/>
                        </w14:solidFill>
                      </w14:textFill>
                    </w:rPr>
                  </w:pPr>
                  <w:r>
                    <w:rPr>
                      <w:rFonts w:hint="eastAsia" w:eastAsia="仿宋_GB2312"/>
                      <w:color w:val="000000" w:themeColor="text1"/>
                      <w:szCs w:val="21"/>
                      <w14:textFill>
                        <w14:solidFill>
                          <w14:schemeClr w14:val="tx1"/>
                        </w14:solidFill>
                      </w14:textFill>
                    </w:rPr>
                    <w:t>＜1</w:t>
                  </w:r>
                  <w:r>
                    <w:rPr>
                      <w:rFonts w:eastAsia="仿宋_GB2312"/>
                      <w:color w:val="000000" w:themeColor="text1"/>
                      <w:szCs w:val="21"/>
                      <w14:textFill>
                        <w14:solidFill>
                          <w14:schemeClr w14:val="tx1"/>
                        </w14:solidFill>
                      </w14:textFill>
                    </w:rPr>
                    <w:t>0</w:t>
                  </w:r>
                </w:p>
              </w:tc>
              <w:tc>
                <w:tcPr>
                  <w:tcW w:w="578" w:type="pct"/>
                  <w:noWrap/>
                  <w:vAlign w:val="center"/>
                </w:tcPr>
                <w:p w14:paraId="6FCC35BA">
                  <w:pPr>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w:t>
                  </w:r>
                </w:p>
              </w:tc>
              <w:tc>
                <w:tcPr>
                  <w:tcW w:w="794" w:type="pct"/>
                  <w:vAlign w:val="center"/>
                </w:tcPr>
                <w:p w14:paraId="08360919">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0</w:t>
                  </w:r>
                </w:p>
              </w:tc>
              <w:tc>
                <w:tcPr>
                  <w:tcW w:w="506" w:type="pct"/>
                  <w:noWrap/>
                  <w:vAlign w:val="center"/>
                </w:tcPr>
                <w:p w14:paraId="1C07C68C">
                  <w:pPr>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0</w:t>
                  </w:r>
                </w:p>
              </w:tc>
            </w:tr>
          </w:tbl>
          <w:p w14:paraId="701BF948">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由上表监测统计结果可知，项目所在地空气污染物</w:t>
            </w:r>
            <w:r>
              <w:rPr>
                <w:rFonts w:hint="eastAsia" w:eastAsia="仿宋"/>
                <w:bCs/>
                <w:color w:val="000000" w:themeColor="text1"/>
                <w:sz w:val="24"/>
                <w14:textFill>
                  <w14:solidFill>
                    <w14:schemeClr w14:val="tx1"/>
                  </w14:solidFill>
                </w14:textFill>
              </w:rPr>
              <w:t>非甲烷总烃一次浓度</w:t>
            </w:r>
            <w:r>
              <w:rPr>
                <w:rFonts w:eastAsia="仿宋"/>
                <w:bCs/>
                <w:color w:val="000000" w:themeColor="text1"/>
                <w:sz w:val="24"/>
                <w14:textFill>
                  <w14:solidFill>
                    <w14:schemeClr w14:val="tx1"/>
                  </w14:solidFill>
                </w14:textFill>
              </w:rPr>
              <w:t>满足《大气污染</w:t>
            </w:r>
            <w:r>
              <w:rPr>
                <w:rFonts w:hint="eastAsia" w:eastAsia="仿宋"/>
                <w:bCs/>
                <w:color w:val="000000" w:themeColor="text1"/>
                <w:sz w:val="24"/>
                <w14:textFill>
                  <w14:solidFill>
                    <w14:schemeClr w14:val="tx1"/>
                  </w14:solidFill>
                </w14:textFill>
              </w:rPr>
              <w:t>物</w:t>
            </w:r>
            <w:r>
              <w:rPr>
                <w:rFonts w:eastAsia="仿宋"/>
                <w:bCs/>
                <w:color w:val="000000" w:themeColor="text1"/>
                <w:sz w:val="24"/>
                <w14:textFill>
                  <w14:solidFill>
                    <w14:schemeClr w14:val="tx1"/>
                  </w14:solidFill>
                </w14:textFill>
              </w:rPr>
              <w:t>综合排放标准详解》</w:t>
            </w:r>
            <w:r>
              <w:rPr>
                <w:rFonts w:hint="eastAsia" w:eastAsia="仿宋"/>
                <w:bCs/>
                <w:color w:val="000000" w:themeColor="text1"/>
                <w:sz w:val="24"/>
                <w14:textFill>
                  <w14:solidFill>
                    <w14:schemeClr w14:val="tx1"/>
                  </w14:solidFill>
                </w14:textFill>
              </w:rPr>
              <w:t>中相关标准，氨一次浓度满足《环境影响评价技术导则 大气环境》（H</w:t>
            </w:r>
            <w:r>
              <w:rPr>
                <w:rFonts w:eastAsia="仿宋"/>
                <w:bCs/>
                <w:color w:val="000000" w:themeColor="text1"/>
                <w:sz w:val="24"/>
                <w14:textFill>
                  <w14:solidFill>
                    <w14:schemeClr w14:val="tx1"/>
                  </w14:solidFill>
                </w14:textFill>
              </w:rPr>
              <w:t>J2.2-2018</w:t>
            </w:r>
            <w:r>
              <w:rPr>
                <w:rFonts w:hint="eastAsia" w:eastAsia="仿宋"/>
                <w:bCs/>
                <w:color w:val="000000" w:themeColor="text1"/>
                <w:sz w:val="24"/>
                <w14:textFill>
                  <w14:solidFill>
                    <w14:schemeClr w14:val="tx1"/>
                  </w14:solidFill>
                </w14:textFill>
              </w:rPr>
              <w:t>）附录D中参考限值</w:t>
            </w:r>
            <w:r>
              <w:rPr>
                <w:rFonts w:eastAsia="仿宋"/>
                <w:bCs/>
                <w:color w:val="000000" w:themeColor="text1"/>
                <w:sz w:val="24"/>
                <w14:textFill>
                  <w14:solidFill>
                    <w14:schemeClr w14:val="tx1"/>
                  </w14:solidFill>
                </w14:textFill>
              </w:rPr>
              <w:t>。</w:t>
            </w:r>
          </w:p>
          <w:p w14:paraId="7C373205">
            <w:pPr>
              <w:spacing w:line="48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（三）声环境质量现状</w:t>
            </w:r>
          </w:p>
          <w:p w14:paraId="6C86D530">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根据《常州市市区声环境功能区划（2017）》（常政发〔2017〕161号），厂区</w:t>
            </w:r>
            <w:r>
              <w:rPr>
                <w:rFonts w:hint="eastAsia" w:eastAsia="仿宋"/>
                <w:bCs/>
                <w:color w:val="000000" w:themeColor="text1"/>
                <w:sz w:val="24"/>
                <w14:textFill>
                  <w14:solidFill>
                    <w14:schemeClr w14:val="tx1"/>
                  </w14:solidFill>
                </w14:textFill>
              </w:rPr>
              <w:t>南、西、北</w:t>
            </w:r>
            <w:r>
              <w:rPr>
                <w:rFonts w:eastAsia="仿宋"/>
                <w:bCs/>
                <w:color w:val="000000" w:themeColor="text1"/>
                <w:sz w:val="24"/>
                <w14:textFill>
                  <w14:solidFill>
                    <w14:schemeClr w14:val="tx1"/>
                  </w14:solidFill>
                </w14:textFill>
              </w:rPr>
              <w:t>厂界声环境质量执行《声环境质量标准》（GB3096-2008）中3类标准</w:t>
            </w:r>
            <w:r>
              <w:rPr>
                <w:rFonts w:hint="eastAsia" w:eastAsia="仿宋"/>
                <w:bCs/>
                <w:color w:val="000000" w:themeColor="text1"/>
                <w:sz w:val="24"/>
                <w14:textFill>
                  <w14:solidFill>
                    <w14:schemeClr w14:val="tx1"/>
                  </w14:solidFill>
                </w14:textFill>
              </w:rPr>
              <w:t>。</w:t>
            </w:r>
          </w:p>
          <w:p w14:paraId="0BAD7785">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根据《建设项目环境影响报告表编制技术指南(污染影响类)(试行)》“</w:t>
            </w:r>
            <w:r>
              <w:rPr>
                <w:rFonts w:eastAsia="仿宋"/>
                <w:bCs/>
                <w:color w:val="000000" w:themeColor="text1"/>
                <w:sz w:val="24"/>
                <w14:textFill>
                  <w14:solidFill>
                    <w14:schemeClr w14:val="tx1"/>
                  </w14:solidFill>
                </w14:textFill>
              </w:rPr>
              <w:t>3</w:t>
            </w:r>
            <w:r>
              <w:rPr>
                <w:rFonts w:hint="eastAsia" w:eastAsia="仿宋"/>
                <w:bCs/>
                <w:color w:val="000000" w:themeColor="text1"/>
                <w:sz w:val="24"/>
                <w14:textFill>
                  <w14:solidFill>
                    <w14:schemeClr w14:val="tx1"/>
                  </w14:solidFill>
                </w14:textFill>
              </w:rPr>
              <w:t>.声环境。厂界外周边5</w:t>
            </w:r>
            <w:r>
              <w:rPr>
                <w:rFonts w:eastAsia="仿宋"/>
                <w:bCs/>
                <w:color w:val="000000" w:themeColor="text1"/>
                <w:sz w:val="24"/>
                <w14:textFill>
                  <w14:solidFill>
                    <w14:schemeClr w14:val="tx1"/>
                  </w14:solidFill>
                </w14:textFill>
              </w:rPr>
              <w:t>0</w:t>
            </w:r>
            <w:r>
              <w:rPr>
                <w:rFonts w:hint="eastAsia" w:eastAsia="仿宋"/>
                <w:bCs/>
                <w:color w:val="000000" w:themeColor="text1"/>
                <w:sz w:val="24"/>
                <w14:textFill>
                  <w14:solidFill>
                    <w14:schemeClr w14:val="tx1"/>
                  </w14:solidFill>
                </w14:textFill>
              </w:rPr>
              <w:t>米范围内存在声环境保护目标的建设项目，应监测保护目标声环境质量现状并评价达标情况。”本项目厂界外周边5</w:t>
            </w:r>
            <w:r>
              <w:rPr>
                <w:rFonts w:eastAsia="仿宋"/>
                <w:bCs/>
                <w:color w:val="000000" w:themeColor="text1"/>
                <w:sz w:val="24"/>
                <w14:textFill>
                  <w14:solidFill>
                    <w14:schemeClr w14:val="tx1"/>
                  </w14:solidFill>
                </w14:textFill>
              </w:rPr>
              <w:t>0</w:t>
            </w:r>
            <w:r>
              <w:rPr>
                <w:rFonts w:hint="eastAsia" w:eastAsia="仿宋"/>
                <w:bCs/>
                <w:color w:val="000000" w:themeColor="text1"/>
                <w:sz w:val="24"/>
                <w14:textFill>
                  <w14:solidFill>
                    <w14:schemeClr w14:val="tx1"/>
                  </w14:solidFill>
                </w14:textFill>
              </w:rPr>
              <w:t>米范围内不存在声环境保护目标，因此不开展声环境质量现状调查。</w:t>
            </w:r>
          </w:p>
          <w:p w14:paraId="18CEDE25">
            <w:pPr>
              <w:spacing w:line="48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w:t>
            </w:r>
            <w:r>
              <w:rPr>
                <w:rFonts w:hint="eastAsia" w:eastAsia="仿宋"/>
                <w:b/>
                <w:bCs/>
                <w:color w:val="000000" w:themeColor="text1"/>
                <w:sz w:val="24"/>
                <w14:textFill>
                  <w14:solidFill>
                    <w14:schemeClr w14:val="tx1"/>
                  </w14:solidFill>
                </w14:textFill>
              </w:rPr>
              <w:t>四</w:t>
            </w:r>
            <w:r>
              <w:rPr>
                <w:rFonts w:eastAsia="仿宋"/>
                <w:b/>
                <w:bCs/>
                <w:color w:val="000000" w:themeColor="text1"/>
                <w:sz w:val="24"/>
                <w14:textFill>
                  <w14:solidFill>
                    <w14:schemeClr w14:val="tx1"/>
                  </w14:solidFill>
                </w14:textFill>
              </w:rPr>
              <w:t>）</w:t>
            </w:r>
            <w:r>
              <w:rPr>
                <w:rFonts w:hint="eastAsia" w:eastAsia="仿宋"/>
                <w:b/>
                <w:bCs/>
                <w:color w:val="000000" w:themeColor="text1"/>
                <w:sz w:val="24"/>
                <w14:textFill>
                  <w14:solidFill>
                    <w14:schemeClr w14:val="tx1"/>
                  </w14:solidFill>
                </w14:textFill>
              </w:rPr>
              <w:t>地下水</w:t>
            </w:r>
            <w:r>
              <w:rPr>
                <w:rFonts w:eastAsia="仿宋"/>
                <w:b/>
                <w:bCs/>
                <w:color w:val="000000" w:themeColor="text1"/>
                <w:sz w:val="24"/>
                <w14:textFill>
                  <w14:solidFill>
                    <w14:schemeClr w14:val="tx1"/>
                  </w14:solidFill>
                </w14:textFill>
              </w:rPr>
              <w:t>、土壤</w:t>
            </w:r>
          </w:p>
          <w:p w14:paraId="532CE717">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建设项目环境影响报告表编制技术指南(污染影响类)(试行)》“6.地下水、土壤环境。原则上不开展环境质量现状调查。建设项目存在土壤、地下水环境污染途径的，应结合污染源、保护目标分布情况开展现状调查以留作背景值。”本项目生产及仓储区域按分区防渗的要求设置防渗措施，</w:t>
            </w:r>
            <w:r>
              <w:rPr>
                <w:rFonts w:hint="eastAsia" w:eastAsia="仿宋"/>
                <w:bCs/>
                <w:color w:val="000000" w:themeColor="text1"/>
                <w:sz w:val="24"/>
                <w14:textFill>
                  <w14:solidFill>
                    <w14:schemeClr w14:val="tx1"/>
                  </w14:solidFill>
                </w14:textFill>
              </w:rPr>
              <w:t>废气在</w:t>
            </w:r>
            <w:r>
              <w:rPr>
                <w:rFonts w:eastAsia="仿宋"/>
                <w:bCs/>
                <w:color w:val="000000" w:themeColor="text1"/>
                <w:sz w:val="24"/>
                <w14:textFill>
                  <w14:solidFill>
                    <w14:schemeClr w14:val="tx1"/>
                  </w14:solidFill>
                </w14:textFill>
              </w:rPr>
              <w:t>空气中迁移转化，正常生产运营过程中无大气沉降污染途径</w:t>
            </w:r>
            <w:r>
              <w:rPr>
                <w:rFonts w:hint="eastAsia"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无地下水、土壤污染途径，因此不开展地下水、土壤环境质量现状调查。</w:t>
            </w:r>
          </w:p>
          <w:p w14:paraId="7CAA394A">
            <w:pPr>
              <w:spacing w:line="48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w:t>
            </w:r>
            <w:r>
              <w:rPr>
                <w:rFonts w:hint="eastAsia" w:eastAsia="仿宋"/>
                <w:b/>
                <w:bCs/>
                <w:color w:val="000000" w:themeColor="text1"/>
                <w:sz w:val="24"/>
                <w14:textFill>
                  <w14:solidFill>
                    <w14:schemeClr w14:val="tx1"/>
                  </w14:solidFill>
                </w14:textFill>
              </w:rPr>
              <w:t>五</w:t>
            </w:r>
            <w:r>
              <w:rPr>
                <w:rFonts w:eastAsia="仿宋"/>
                <w:b/>
                <w:bCs/>
                <w:color w:val="000000" w:themeColor="text1"/>
                <w:sz w:val="24"/>
                <w14:textFill>
                  <w14:solidFill>
                    <w14:schemeClr w14:val="tx1"/>
                  </w14:solidFill>
                </w14:textFill>
              </w:rPr>
              <w:t>）</w:t>
            </w:r>
            <w:r>
              <w:rPr>
                <w:rFonts w:hint="eastAsia" w:eastAsia="仿宋"/>
                <w:b/>
                <w:bCs/>
                <w:color w:val="000000" w:themeColor="text1"/>
                <w:sz w:val="24"/>
                <w14:textFill>
                  <w14:solidFill>
                    <w14:schemeClr w14:val="tx1"/>
                  </w14:solidFill>
                </w14:textFill>
              </w:rPr>
              <w:t>生态</w:t>
            </w:r>
          </w:p>
          <w:p w14:paraId="2964C737">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根据《建设项目环境影响报告表编制技术指南(污染影响类)(试行)》“4.生态环境。产业园区外建设项目新增用地且用地范围内含有生态环境保护目标时，应进行生态现状调查。”本项目位于</w:t>
            </w:r>
            <w:r>
              <w:rPr>
                <w:rFonts w:hint="eastAsia" w:eastAsia="仿宋"/>
                <w:bCs/>
                <w:color w:val="000000" w:themeColor="text1"/>
                <w:sz w:val="24"/>
                <w14:textFill>
                  <w14:solidFill>
                    <w14:schemeClr w14:val="tx1"/>
                  </w14:solidFill>
                </w14:textFill>
              </w:rPr>
              <w:t>常州市金坛区江苏金坛经济开发区汇福路东侧，珠山路南侧</w:t>
            </w:r>
            <w:r>
              <w:rPr>
                <w:rFonts w:eastAsia="仿宋"/>
                <w:bCs/>
                <w:color w:val="000000" w:themeColor="text1"/>
                <w:sz w:val="24"/>
                <w14:textFill>
                  <w14:solidFill>
                    <w14:schemeClr w14:val="tx1"/>
                  </w14:solidFill>
                </w14:textFill>
              </w:rPr>
              <w:t>，本项目</w:t>
            </w:r>
            <w:r>
              <w:rPr>
                <w:rFonts w:hint="eastAsia" w:eastAsia="仿宋"/>
                <w:bCs/>
                <w:color w:val="000000" w:themeColor="text1"/>
                <w:sz w:val="24"/>
                <w14:textFill>
                  <w14:solidFill>
                    <w14:schemeClr w14:val="tx1"/>
                  </w14:solidFill>
                </w14:textFill>
              </w:rPr>
              <w:t>在现有</w:t>
            </w:r>
            <w:r>
              <w:rPr>
                <w:rFonts w:eastAsia="仿宋"/>
                <w:bCs/>
                <w:color w:val="000000" w:themeColor="text1"/>
                <w:sz w:val="24"/>
                <w14:textFill>
                  <w14:solidFill>
                    <w14:schemeClr w14:val="tx1"/>
                  </w14:solidFill>
                </w14:textFill>
              </w:rPr>
              <w:t>厂房</w:t>
            </w:r>
            <w:r>
              <w:rPr>
                <w:rFonts w:hint="eastAsia" w:eastAsia="仿宋"/>
                <w:bCs/>
                <w:color w:val="000000" w:themeColor="text1"/>
                <w:sz w:val="24"/>
                <w14:textFill>
                  <w14:solidFill>
                    <w14:schemeClr w14:val="tx1"/>
                  </w14:solidFill>
                </w14:textFill>
              </w:rPr>
              <w:t>内</w:t>
            </w:r>
            <w:r>
              <w:rPr>
                <w:rFonts w:eastAsia="仿宋"/>
                <w:bCs/>
                <w:color w:val="000000" w:themeColor="text1"/>
                <w:sz w:val="24"/>
                <w14:textFill>
                  <w14:solidFill>
                    <w14:schemeClr w14:val="tx1"/>
                  </w14:solidFill>
                </w14:textFill>
              </w:rPr>
              <w:t>进行生产、不新增用地且占地范围内无生态环境保护目标，因此不开展生态现状调查。</w:t>
            </w:r>
          </w:p>
          <w:p w14:paraId="1A3B6239">
            <w:pPr>
              <w:spacing w:line="480" w:lineRule="exact"/>
              <w:ind w:firstLine="482" w:firstLineChars="200"/>
              <w:rPr>
                <w:rFonts w:eastAsia="仿宋"/>
                <w:b/>
                <w:color w:val="000000" w:themeColor="text1"/>
                <w:sz w:val="24"/>
                <w14:textFill>
                  <w14:solidFill>
                    <w14:schemeClr w14:val="tx1"/>
                  </w14:solidFill>
                </w14:textFill>
              </w:rPr>
            </w:pPr>
            <w:r>
              <w:rPr>
                <w:rFonts w:hint="eastAsia" w:eastAsia="仿宋"/>
                <w:b/>
                <w:color w:val="000000" w:themeColor="text1"/>
                <w:sz w:val="24"/>
                <w14:textFill>
                  <w14:solidFill>
                    <w14:schemeClr w14:val="tx1"/>
                  </w14:solidFill>
                </w14:textFill>
              </w:rPr>
              <w:t>（六）环境功能区划</w:t>
            </w:r>
          </w:p>
          <w:p w14:paraId="7333E4FE">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根据《江苏省地表水（环境）功能区划（2</w:t>
            </w:r>
            <w:r>
              <w:rPr>
                <w:rFonts w:eastAsia="仿宋"/>
                <w:bCs/>
                <w:color w:val="000000" w:themeColor="text1"/>
                <w:sz w:val="24"/>
                <w14:textFill>
                  <w14:solidFill>
                    <w14:schemeClr w14:val="tx1"/>
                  </w14:solidFill>
                </w14:textFill>
              </w:rPr>
              <w:t>021-2030</w:t>
            </w:r>
            <w:r>
              <w:rPr>
                <w:rFonts w:hint="eastAsia" w:eastAsia="仿宋"/>
                <w:bCs/>
                <w:color w:val="000000" w:themeColor="text1"/>
                <w:sz w:val="24"/>
                <w14:textFill>
                  <w14:solidFill>
                    <w14:schemeClr w14:val="tx1"/>
                  </w14:solidFill>
                </w14:textFill>
              </w:rPr>
              <w:t>）年》规定，尧塘河水质执行《地表水环境质量标准》（G</w:t>
            </w:r>
            <w:r>
              <w:rPr>
                <w:rFonts w:eastAsia="仿宋"/>
                <w:bCs/>
                <w:color w:val="000000" w:themeColor="text1"/>
                <w:sz w:val="24"/>
                <w14:textFill>
                  <w14:solidFill>
                    <w14:schemeClr w14:val="tx1"/>
                  </w14:solidFill>
                </w14:textFill>
              </w:rPr>
              <w:t>B3838-2002</w:t>
            </w:r>
            <w:r>
              <w:rPr>
                <w:rFonts w:hint="eastAsia" w:eastAsia="仿宋"/>
                <w:bCs/>
                <w:color w:val="000000" w:themeColor="text1"/>
                <w:sz w:val="24"/>
                <w14:textFill>
                  <w14:solidFill>
                    <w14:schemeClr w14:val="tx1"/>
                  </w14:solidFill>
                </w14:textFill>
              </w:rPr>
              <w:t>）中</w:t>
            </w:r>
            <w:r>
              <w:rPr>
                <w:rFonts w:hint="eastAsia" w:ascii="仿宋" w:hAnsi="仿宋" w:eastAsia="仿宋"/>
                <w:bCs/>
                <w:color w:val="000000" w:themeColor="text1"/>
                <w:sz w:val="24"/>
                <w14:textFill>
                  <w14:solidFill>
                    <w14:schemeClr w14:val="tx1"/>
                  </w14:solidFill>
                </w14:textFill>
              </w:rPr>
              <w:t>Ⅲ</w:t>
            </w:r>
            <w:r>
              <w:rPr>
                <w:rFonts w:hint="eastAsia" w:eastAsia="仿宋"/>
                <w:bCs/>
                <w:color w:val="000000" w:themeColor="text1"/>
                <w:sz w:val="24"/>
                <w14:textFill>
                  <w14:solidFill>
                    <w14:schemeClr w14:val="tx1"/>
                  </w14:solidFill>
                </w14:textFill>
              </w:rPr>
              <w:t>类水质标准。</w:t>
            </w:r>
          </w:p>
          <w:p w14:paraId="28E4DEA2">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根据《常州市环境空气质量功能区划规定（暂行2</w:t>
            </w:r>
            <w:r>
              <w:rPr>
                <w:rFonts w:eastAsia="仿宋"/>
                <w:bCs/>
                <w:color w:val="000000" w:themeColor="text1"/>
                <w:sz w:val="24"/>
                <w14:textFill>
                  <w14:solidFill>
                    <w14:schemeClr w14:val="tx1"/>
                  </w14:solidFill>
                </w14:textFill>
              </w:rPr>
              <w:t>017</w:t>
            </w:r>
            <w:r>
              <w:rPr>
                <w:rFonts w:hint="eastAsia" w:eastAsia="仿宋"/>
                <w:bCs/>
                <w:color w:val="000000" w:themeColor="text1"/>
                <w:sz w:val="24"/>
                <w14:textFill>
                  <w14:solidFill>
                    <w14:schemeClr w14:val="tx1"/>
                  </w14:solidFill>
                </w14:textFill>
              </w:rPr>
              <w:t>）》，本项目所在地执行《环境空气质量标准》（G</w:t>
            </w:r>
            <w:r>
              <w:rPr>
                <w:rFonts w:eastAsia="仿宋"/>
                <w:bCs/>
                <w:color w:val="000000" w:themeColor="text1"/>
                <w:sz w:val="24"/>
                <w14:textFill>
                  <w14:solidFill>
                    <w14:schemeClr w14:val="tx1"/>
                  </w14:solidFill>
                </w14:textFill>
              </w:rPr>
              <w:t>B3095-2012</w:t>
            </w:r>
            <w:r>
              <w:rPr>
                <w:rFonts w:hint="eastAsia" w:eastAsia="仿宋"/>
                <w:bCs/>
                <w:color w:val="000000" w:themeColor="text1"/>
                <w:sz w:val="24"/>
                <w14:textFill>
                  <w14:solidFill>
                    <w14:schemeClr w14:val="tx1"/>
                  </w14:solidFill>
                </w14:textFill>
              </w:rPr>
              <w:t>）表1中二级标准。</w:t>
            </w:r>
          </w:p>
          <w:p w14:paraId="6F3DB827">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根据《常州市市区声环境功能区划（2</w:t>
            </w:r>
            <w:r>
              <w:rPr>
                <w:rFonts w:eastAsia="仿宋"/>
                <w:bCs/>
                <w:color w:val="000000" w:themeColor="text1"/>
                <w:sz w:val="24"/>
                <w14:textFill>
                  <w14:solidFill>
                    <w14:schemeClr w14:val="tx1"/>
                  </w14:solidFill>
                </w14:textFill>
              </w:rPr>
              <w:t>017</w:t>
            </w:r>
            <w:r>
              <w:rPr>
                <w:rFonts w:hint="eastAsia" w:eastAsia="仿宋"/>
                <w:bCs/>
                <w:color w:val="000000" w:themeColor="text1"/>
                <w:sz w:val="24"/>
                <w14:textFill>
                  <w14:solidFill>
                    <w14:schemeClr w14:val="tx1"/>
                  </w14:solidFill>
                </w14:textFill>
              </w:rPr>
              <w:t>）》，本项目所在地执行《声环境质量标准》（G</w:t>
            </w:r>
            <w:r>
              <w:rPr>
                <w:rFonts w:eastAsia="仿宋"/>
                <w:bCs/>
                <w:color w:val="000000" w:themeColor="text1"/>
                <w:sz w:val="24"/>
                <w14:textFill>
                  <w14:solidFill>
                    <w14:schemeClr w14:val="tx1"/>
                  </w14:solidFill>
                </w14:textFill>
              </w:rPr>
              <w:t>B3096-2008</w:t>
            </w:r>
            <w:r>
              <w:rPr>
                <w:rFonts w:hint="eastAsia" w:eastAsia="仿宋"/>
                <w:bCs/>
                <w:color w:val="000000" w:themeColor="text1"/>
                <w:sz w:val="24"/>
                <w14:textFill>
                  <w14:solidFill>
                    <w14:schemeClr w14:val="tx1"/>
                  </w14:solidFill>
                </w14:textFill>
              </w:rPr>
              <w:t>）3类标准。</w:t>
            </w:r>
          </w:p>
          <w:p w14:paraId="2DCE9F10">
            <w:pPr>
              <w:spacing w:line="500" w:lineRule="exact"/>
              <w:ind w:firstLine="480" w:firstLineChars="200"/>
              <w:rPr>
                <w:rFonts w:eastAsia="仿宋"/>
                <w:bCs/>
                <w:color w:val="000000" w:themeColor="text1"/>
                <w:sz w:val="24"/>
                <w14:textFill>
                  <w14:solidFill>
                    <w14:schemeClr w14:val="tx1"/>
                  </w14:solidFill>
                </w14:textFill>
              </w:rPr>
            </w:pPr>
          </w:p>
          <w:p w14:paraId="6AB8FC0E">
            <w:pPr>
              <w:spacing w:line="500" w:lineRule="exact"/>
              <w:ind w:firstLine="480" w:firstLineChars="200"/>
              <w:rPr>
                <w:rFonts w:eastAsia="仿宋"/>
                <w:bCs/>
                <w:color w:val="000000" w:themeColor="text1"/>
                <w:sz w:val="24"/>
                <w14:textFill>
                  <w14:solidFill>
                    <w14:schemeClr w14:val="tx1"/>
                  </w14:solidFill>
                </w14:textFill>
              </w:rPr>
            </w:pPr>
          </w:p>
          <w:p w14:paraId="55AA9DB8">
            <w:pPr>
              <w:spacing w:line="500" w:lineRule="exact"/>
              <w:rPr>
                <w:rFonts w:eastAsia="仿宋"/>
                <w:bCs/>
                <w:color w:val="000000" w:themeColor="text1"/>
                <w:sz w:val="24"/>
                <w14:textFill>
                  <w14:solidFill>
                    <w14:schemeClr w14:val="tx1"/>
                  </w14:solidFill>
                </w14:textFill>
              </w:rPr>
            </w:pPr>
          </w:p>
          <w:p w14:paraId="0D71869F">
            <w:pPr>
              <w:spacing w:line="500" w:lineRule="exact"/>
              <w:rPr>
                <w:rFonts w:eastAsia="仿宋"/>
                <w:bCs/>
                <w:color w:val="000000" w:themeColor="text1"/>
                <w:sz w:val="24"/>
                <w14:textFill>
                  <w14:solidFill>
                    <w14:schemeClr w14:val="tx1"/>
                  </w14:solidFill>
                </w14:textFill>
              </w:rPr>
            </w:pPr>
          </w:p>
          <w:p w14:paraId="57462F04">
            <w:pPr>
              <w:spacing w:line="500" w:lineRule="exact"/>
              <w:rPr>
                <w:rFonts w:eastAsia="仿宋"/>
                <w:bCs/>
                <w:color w:val="000000" w:themeColor="text1"/>
                <w:sz w:val="24"/>
                <w14:textFill>
                  <w14:solidFill>
                    <w14:schemeClr w14:val="tx1"/>
                  </w14:solidFill>
                </w14:textFill>
              </w:rPr>
            </w:pPr>
          </w:p>
          <w:p w14:paraId="3A86A191">
            <w:pPr>
              <w:spacing w:line="500" w:lineRule="exact"/>
              <w:rPr>
                <w:rFonts w:eastAsia="仿宋"/>
                <w:bCs/>
                <w:color w:val="000000" w:themeColor="text1"/>
                <w:sz w:val="24"/>
                <w14:textFill>
                  <w14:solidFill>
                    <w14:schemeClr w14:val="tx1"/>
                  </w14:solidFill>
                </w14:textFill>
              </w:rPr>
            </w:pPr>
          </w:p>
          <w:p w14:paraId="59F10DD8">
            <w:pPr>
              <w:spacing w:line="500" w:lineRule="exact"/>
              <w:rPr>
                <w:rFonts w:eastAsia="仿宋"/>
                <w:bCs/>
                <w:color w:val="000000" w:themeColor="text1"/>
                <w:sz w:val="24"/>
                <w14:textFill>
                  <w14:solidFill>
                    <w14:schemeClr w14:val="tx1"/>
                  </w14:solidFill>
                </w14:textFill>
              </w:rPr>
            </w:pPr>
          </w:p>
          <w:p w14:paraId="7B7D8053">
            <w:pPr>
              <w:spacing w:line="500" w:lineRule="exact"/>
              <w:rPr>
                <w:rFonts w:eastAsia="仿宋"/>
                <w:bCs/>
                <w:color w:val="000000" w:themeColor="text1"/>
                <w:sz w:val="24"/>
                <w14:textFill>
                  <w14:solidFill>
                    <w14:schemeClr w14:val="tx1"/>
                  </w14:solidFill>
                </w14:textFill>
              </w:rPr>
            </w:pPr>
          </w:p>
        </w:tc>
      </w:tr>
      <w:tr w14:paraId="636DA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4" w:hRule="atLeast"/>
          <w:jc w:val="center"/>
        </w:trPr>
        <w:tc>
          <w:tcPr>
            <w:tcW w:w="846" w:type="dxa"/>
            <w:vAlign w:val="center"/>
          </w:tcPr>
          <w:p w14:paraId="587753FE">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环境</w:t>
            </w:r>
          </w:p>
          <w:p w14:paraId="74DE18FA">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保护</w:t>
            </w:r>
          </w:p>
          <w:p w14:paraId="077129A2">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 w:val="24"/>
                <w14:textFill>
                  <w14:solidFill>
                    <w14:schemeClr w14:val="tx1"/>
                  </w14:solidFill>
                </w14:textFill>
              </w:rPr>
              <w:t>目标</w:t>
            </w:r>
          </w:p>
        </w:tc>
        <w:tc>
          <w:tcPr>
            <w:tcW w:w="9072" w:type="dxa"/>
            <w:vAlign w:val="center"/>
          </w:tcPr>
          <w:p w14:paraId="1B56D43E">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本项目主要环境保护目标见下表。</w:t>
            </w:r>
          </w:p>
          <w:p w14:paraId="6D18FE53">
            <w:pPr>
              <w:spacing w:line="500" w:lineRule="exact"/>
              <w:jc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表3</w:t>
            </w:r>
            <w:r>
              <w:rPr>
                <w:rFonts w:eastAsia="仿宋"/>
                <w:b/>
                <w:color w:val="000000" w:themeColor="text1"/>
                <w:szCs w:val="21"/>
                <w14:textFill>
                  <w14:solidFill>
                    <w14:schemeClr w14:val="tx1"/>
                  </w14:solidFill>
                </w14:textFill>
              </w:rPr>
              <w:t>-4 主要环境保护目标</w:t>
            </w:r>
          </w:p>
          <w:tbl>
            <w:tblPr>
              <w:tblStyle w:val="24"/>
              <w:tblW w:w="49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671"/>
              <w:gridCol w:w="1237"/>
              <w:gridCol w:w="1225"/>
              <w:gridCol w:w="623"/>
              <w:gridCol w:w="623"/>
              <w:gridCol w:w="722"/>
              <w:gridCol w:w="953"/>
              <w:gridCol w:w="2130"/>
            </w:tblGrid>
            <w:tr w14:paraId="4B969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vMerge w:val="restart"/>
                  <w:tcBorders>
                    <w:top w:val="single" w:color="auto" w:sz="4" w:space="0"/>
                    <w:left w:val="single" w:color="auto" w:sz="4" w:space="0"/>
                    <w:bottom w:val="single" w:color="auto" w:sz="4" w:space="0"/>
                    <w:right w:val="single" w:color="auto" w:sz="4" w:space="0"/>
                  </w:tcBorders>
                  <w:vAlign w:val="center"/>
                </w:tcPr>
                <w:p w14:paraId="72E1B202">
                  <w:pPr>
                    <w:widowControl/>
                    <w:jc w:val="center"/>
                    <w:rPr>
                      <w:rFonts w:eastAsia="仿宋"/>
                      <w:b/>
                      <w:color w:val="000000" w:themeColor="text1"/>
                      <w:szCs w:val="21"/>
                      <w14:textFill>
                        <w14:solidFill>
                          <w14:schemeClr w14:val="tx1"/>
                        </w14:solidFill>
                      </w14:textFill>
                    </w:rPr>
                  </w:pPr>
                  <w:r>
                    <w:rPr>
                      <w:rFonts w:ascii="仿宋" w:hAnsi="仿宋" w:eastAsia="仿宋"/>
                      <w:b/>
                      <w:color w:val="000000" w:themeColor="text1"/>
                      <w14:textFill>
                        <w14:solidFill>
                          <w14:schemeClr w14:val="tx1"/>
                        </w14:solidFill>
                      </w14:textFill>
                    </w:rPr>
                    <w:t>环境要素</w:t>
                  </w:r>
                </w:p>
              </w:tc>
              <w:tc>
                <w:tcPr>
                  <w:tcW w:w="778" w:type="dxa"/>
                  <w:vMerge w:val="restart"/>
                  <w:tcBorders>
                    <w:top w:val="single" w:color="auto" w:sz="4" w:space="0"/>
                    <w:left w:val="single" w:color="auto" w:sz="4" w:space="0"/>
                    <w:bottom w:val="single" w:color="auto" w:sz="4" w:space="0"/>
                    <w:right w:val="single" w:color="auto" w:sz="4" w:space="0"/>
                  </w:tcBorders>
                  <w:vAlign w:val="center"/>
                </w:tcPr>
                <w:p w14:paraId="5776DA4E">
                  <w:pPr>
                    <w:widowControl/>
                    <w:jc w:val="center"/>
                    <w:rPr>
                      <w:rFonts w:eastAsia="仿宋"/>
                      <w:b/>
                      <w:color w:val="000000" w:themeColor="text1"/>
                      <w14:textFill>
                        <w14:solidFill>
                          <w14:schemeClr w14:val="tx1"/>
                        </w14:solidFill>
                      </w14:textFill>
                    </w:rPr>
                  </w:pPr>
                  <w:r>
                    <w:rPr>
                      <w:rFonts w:ascii="仿宋" w:hAnsi="仿宋" w:eastAsia="仿宋"/>
                      <w:b/>
                      <w:color w:val="000000" w:themeColor="text1"/>
                      <w14:textFill>
                        <w14:solidFill>
                          <w14:schemeClr w14:val="tx1"/>
                        </w14:solidFill>
                      </w14:textFill>
                    </w:rPr>
                    <w:t>名称</w:t>
                  </w:r>
                </w:p>
              </w:tc>
              <w:tc>
                <w:tcPr>
                  <w:tcW w:w="2526" w:type="dxa"/>
                  <w:gridSpan w:val="2"/>
                  <w:tcBorders>
                    <w:top w:val="single" w:color="auto" w:sz="4" w:space="0"/>
                    <w:left w:val="single" w:color="auto" w:sz="4" w:space="0"/>
                    <w:bottom w:val="single" w:color="auto" w:sz="4" w:space="0"/>
                    <w:right w:val="single" w:color="auto" w:sz="4" w:space="0"/>
                  </w:tcBorders>
                  <w:vAlign w:val="center"/>
                </w:tcPr>
                <w:p w14:paraId="05A1CB9D">
                  <w:pPr>
                    <w:widowControl/>
                    <w:jc w:val="center"/>
                    <w:rPr>
                      <w:rFonts w:eastAsia="仿宋"/>
                      <w:b/>
                      <w:color w:val="000000" w:themeColor="text1"/>
                      <w14:textFill>
                        <w14:solidFill>
                          <w14:schemeClr w14:val="tx1"/>
                        </w14:solidFill>
                      </w14:textFill>
                    </w:rPr>
                  </w:pPr>
                  <w:r>
                    <w:rPr>
                      <w:rFonts w:ascii="仿宋" w:hAnsi="仿宋" w:eastAsia="仿宋"/>
                      <w:b/>
                      <w:color w:val="000000" w:themeColor="text1"/>
                      <w14:textFill>
                        <w14:solidFill>
                          <w14:schemeClr w14:val="tx1"/>
                        </w14:solidFill>
                      </w14:textFill>
                    </w:rPr>
                    <w:t>经纬度（</w:t>
                  </w:r>
                  <w:r>
                    <w:rPr>
                      <w:rFonts w:eastAsia="仿宋"/>
                      <w:b/>
                      <w:color w:val="000000" w:themeColor="text1"/>
                      <w14:textFill>
                        <w14:solidFill>
                          <w14:schemeClr w14:val="tx1"/>
                        </w14:solidFill>
                      </w14:textFill>
                    </w:rPr>
                    <w:t>°</w:t>
                  </w:r>
                  <w:r>
                    <w:rPr>
                      <w:rFonts w:ascii="仿宋" w:hAnsi="仿宋" w:eastAsia="仿宋"/>
                      <w:b/>
                      <w:color w:val="000000" w:themeColor="text1"/>
                      <w14:textFill>
                        <w14:solidFill>
                          <w14:schemeClr w14:val="tx1"/>
                        </w14:solidFill>
                      </w14:textFill>
                    </w:rPr>
                    <w:t>）</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2B0D0161">
                  <w:pPr>
                    <w:widowControl/>
                    <w:jc w:val="center"/>
                    <w:rPr>
                      <w:rFonts w:eastAsia="仿宋"/>
                      <w:b/>
                      <w:color w:val="000000" w:themeColor="text1"/>
                      <w14:textFill>
                        <w14:solidFill>
                          <w14:schemeClr w14:val="tx1"/>
                        </w14:solidFill>
                      </w14:textFill>
                    </w:rPr>
                  </w:pPr>
                  <w:r>
                    <w:rPr>
                      <w:rFonts w:ascii="仿宋" w:hAnsi="仿宋" w:eastAsia="仿宋"/>
                      <w:b/>
                      <w:color w:val="000000" w:themeColor="text1"/>
                      <w14:textFill>
                        <w14:solidFill>
                          <w14:schemeClr w14:val="tx1"/>
                        </w14:solidFill>
                      </w14:textFill>
                    </w:rPr>
                    <w:t>保护对象</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2CFABAAF">
                  <w:pPr>
                    <w:widowControl/>
                    <w:jc w:val="center"/>
                    <w:rPr>
                      <w:rFonts w:eastAsia="仿宋"/>
                      <w:b/>
                      <w:color w:val="000000" w:themeColor="text1"/>
                      <w14:textFill>
                        <w14:solidFill>
                          <w14:schemeClr w14:val="tx1"/>
                        </w14:solidFill>
                      </w14:textFill>
                    </w:rPr>
                  </w:pPr>
                  <w:r>
                    <w:rPr>
                      <w:rFonts w:ascii="仿宋" w:hAnsi="仿宋" w:eastAsia="仿宋"/>
                      <w:b/>
                      <w:color w:val="000000" w:themeColor="text1"/>
                      <w14:textFill>
                        <w14:solidFill>
                          <w14:schemeClr w14:val="tx1"/>
                        </w14:solidFill>
                      </w14:textFill>
                    </w:rPr>
                    <w:t>规模</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14:paraId="29D89A40">
                  <w:pPr>
                    <w:widowControl/>
                    <w:jc w:val="center"/>
                    <w:rPr>
                      <w:rFonts w:eastAsia="仿宋"/>
                      <w:b/>
                      <w:color w:val="000000" w:themeColor="text1"/>
                      <w14:textFill>
                        <w14:solidFill>
                          <w14:schemeClr w14:val="tx1"/>
                        </w14:solidFill>
                      </w14:textFill>
                    </w:rPr>
                  </w:pPr>
                  <w:r>
                    <w:rPr>
                      <w:rFonts w:ascii="仿宋" w:hAnsi="仿宋" w:eastAsia="仿宋"/>
                      <w:b/>
                      <w:color w:val="000000" w:themeColor="text1"/>
                      <w14:textFill>
                        <w14:solidFill>
                          <w14:schemeClr w14:val="tx1"/>
                        </w14:solidFill>
                      </w14:textFill>
                    </w:rPr>
                    <w:t>相对厂址方位</w:t>
                  </w:r>
                </w:p>
              </w:tc>
              <w:tc>
                <w:tcPr>
                  <w:tcW w:w="1014" w:type="dxa"/>
                  <w:vMerge w:val="restart"/>
                  <w:tcBorders>
                    <w:top w:val="single" w:color="auto" w:sz="4" w:space="0"/>
                    <w:left w:val="single" w:color="auto" w:sz="4" w:space="0"/>
                    <w:bottom w:val="single" w:color="auto" w:sz="4" w:space="0"/>
                    <w:right w:val="single" w:color="auto" w:sz="4" w:space="0"/>
                  </w:tcBorders>
                  <w:vAlign w:val="center"/>
                </w:tcPr>
                <w:p w14:paraId="75A25872">
                  <w:pPr>
                    <w:widowControl/>
                    <w:jc w:val="center"/>
                    <w:rPr>
                      <w:rFonts w:eastAsia="仿宋"/>
                      <w:b/>
                      <w:color w:val="000000" w:themeColor="text1"/>
                      <w14:textFill>
                        <w14:solidFill>
                          <w14:schemeClr w14:val="tx1"/>
                        </w14:solidFill>
                      </w14:textFill>
                    </w:rPr>
                  </w:pPr>
                  <w:r>
                    <w:rPr>
                      <w:rFonts w:ascii="仿宋" w:hAnsi="仿宋" w:eastAsia="仿宋"/>
                      <w:b/>
                      <w:color w:val="000000" w:themeColor="text1"/>
                      <w14:textFill>
                        <w14:solidFill>
                          <w14:schemeClr w14:val="tx1"/>
                        </w14:solidFill>
                      </w14:textFill>
                    </w:rPr>
                    <w:t>相对厂界距离（</w:t>
                  </w:r>
                  <w:r>
                    <w:rPr>
                      <w:rFonts w:eastAsia="仿宋"/>
                      <w:b/>
                      <w:color w:val="000000" w:themeColor="text1"/>
                      <w14:textFill>
                        <w14:solidFill>
                          <w14:schemeClr w14:val="tx1"/>
                        </w14:solidFill>
                      </w14:textFill>
                    </w:rPr>
                    <w:t>m</w:t>
                  </w:r>
                  <w:r>
                    <w:rPr>
                      <w:rFonts w:ascii="仿宋" w:hAnsi="仿宋" w:eastAsia="仿宋"/>
                      <w:b/>
                      <w:color w:val="000000" w:themeColor="text1"/>
                      <w14:textFill>
                        <w14:solidFill>
                          <w14:schemeClr w14:val="tx1"/>
                        </w14:solidFill>
                      </w14:textFill>
                    </w:rPr>
                    <w:t>）</w:t>
                  </w:r>
                </w:p>
              </w:tc>
              <w:tc>
                <w:tcPr>
                  <w:tcW w:w="1526" w:type="dxa"/>
                  <w:vMerge w:val="restart"/>
                  <w:tcBorders>
                    <w:top w:val="single" w:color="auto" w:sz="4" w:space="0"/>
                    <w:left w:val="single" w:color="auto" w:sz="4" w:space="0"/>
                    <w:bottom w:val="single" w:color="auto" w:sz="4" w:space="0"/>
                    <w:right w:val="single" w:color="auto" w:sz="4" w:space="0"/>
                  </w:tcBorders>
                  <w:vAlign w:val="center"/>
                </w:tcPr>
                <w:p w14:paraId="70280D64">
                  <w:pPr>
                    <w:widowControl/>
                    <w:jc w:val="center"/>
                    <w:rPr>
                      <w:rFonts w:eastAsia="仿宋"/>
                      <w:b/>
                      <w:color w:val="000000" w:themeColor="text1"/>
                      <w14:textFill>
                        <w14:solidFill>
                          <w14:schemeClr w14:val="tx1"/>
                        </w14:solidFill>
                      </w14:textFill>
                    </w:rPr>
                  </w:pPr>
                  <w:r>
                    <w:rPr>
                      <w:rFonts w:ascii="仿宋" w:hAnsi="仿宋" w:eastAsia="仿宋"/>
                      <w:b/>
                      <w:color w:val="000000" w:themeColor="text1"/>
                      <w14:textFill>
                        <w14:solidFill>
                          <w14:schemeClr w14:val="tx1"/>
                        </w14:solidFill>
                      </w14:textFill>
                    </w:rPr>
                    <w:t>环境功能</w:t>
                  </w:r>
                </w:p>
              </w:tc>
            </w:tr>
            <w:tr w14:paraId="3BBF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vMerge w:val="continue"/>
                  <w:tcBorders>
                    <w:top w:val="single" w:color="auto" w:sz="4" w:space="0"/>
                    <w:left w:val="single" w:color="auto" w:sz="4" w:space="0"/>
                    <w:bottom w:val="single" w:color="auto" w:sz="4" w:space="0"/>
                    <w:right w:val="single" w:color="auto" w:sz="4" w:space="0"/>
                  </w:tcBorders>
                  <w:vAlign w:val="center"/>
                </w:tcPr>
                <w:p w14:paraId="6B63A654">
                  <w:pPr>
                    <w:widowControl/>
                    <w:jc w:val="left"/>
                    <w:rPr>
                      <w:rFonts w:eastAsia="仿宋"/>
                      <w:bCs/>
                      <w:color w:val="000000" w:themeColor="text1"/>
                      <w:szCs w:val="21"/>
                      <w14:textFill>
                        <w14:solidFill>
                          <w14:schemeClr w14:val="tx1"/>
                        </w14:solidFill>
                      </w14:textFill>
                    </w:rPr>
                  </w:pPr>
                </w:p>
              </w:tc>
              <w:tc>
                <w:tcPr>
                  <w:tcW w:w="778" w:type="dxa"/>
                  <w:vMerge w:val="continue"/>
                  <w:tcBorders>
                    <w:top w:val="single" w:color="auto" w:sz="4" w:space="0"/>
                    <w:left w:val="single" w:color="auto" w:sz="4" w:space="0"/>
                    <w:bottom w:val="single" w:color="auto" w:sz="4" w:space="0"/>
                    <w:right w:val="single" w:color="auto" w:sz="4" w:space="0"/>
                  </w:tcBorders>
                  <w:vAlign w:val="center"/>
                </w:tcPr>
                <w:p w14:paraId="68F0DEF2">
                  <w:pPr>
                    <w:widowControl/>
                    <w:jc w:val="left"/>
                    <w:rPr>
                      <w:rFonts w:eastAsia="仿宋"/>
                      <w:bCs/>
                      <w:color w:val="000000" w:themeColor="text1"/>
                      <w:szCs w:val="21"/>
                      <w14:textFill>
                        <w14:solidFill>
                          <w14:schemeClr w14:val="tx1"/>
                        </w14:solidFill>
                      </w14:textFill>
                    </w:rPr>
                  </w:pPr>
                </w:p>
              </w:tc>
              <w:tc>
                <w:tcPr>
                  <w:tcW w:w="1250" w:type="dxa"/>
                  <w:tcBorders>
                    <w:top w:val="single" w:color="auto" w:sz="4" w:space="0"/>
                    <w:left w:val="single" w:color="auto" w:sz="4" w:space="0"/>
                    <w:bottom w:val="single" w:color="auto" w:sz="4" w:space="0"/>
                    <w:right w:val="single" w:color="auto" w:sz="4" w:space="0"/>
                  </w:tcBorders>
                  <w:vAlign w:val="center"/>
                </w:tcPr>
                <w:p w14:paraId="7BA5E29F">
                  <w:pPr>
                    <w:widowControl/>
                    <w:jc w:val="center"/>
                    <w:rPr>
                      <w:rFonts w:eastAsia="仿宋"/>
                      <w:b/>
                      <w:color w:val="000000" w:themeColor="text1"/>
                      <w14:textFill>
                        <w14:solidFill>
                          <w14:schemeClr w14:val="tx1"/>
                        </w14:solidFill>
                      </w14:textFill>
                    </w:rPr>
                  </w:pPr>
                  <w:r>
                    <w:rPr>
                      <w:rFonts w:ascii="仿宋" w:hAnsi="仿宋" w:eastAsia="仿宋"/>
                      <w:b/>
                      <w:color w:val="000000" w:themeColor="text1"/>
                      <w14:textFill>
                        <w14:solidFill>
                          <w14:schemeClr w14:val="tx1"/>
                        </w14:solidFill>
                      </w14:textFill>
                    </w:rPr>
                    <w:t>经度</w:t>
                  </w:r>
                </w:p>
              </w:tc>
              <w:tc>
                <w:tcPr>
                  <w:tcW w:w="1276" w:type="dxa"/>
                  <w:tcBorders>
                    <w:top w:val="single" w:color="auto" w:sz="4" w:space="0"/>
                    <w:left w:val="single" w:color="auto" w:sz="4" w:space="0"/>
                    <w:bottom w:val="single" w:color="auto" w:sz="4" w:space="0"/>
                    <w:right w:val="single" w:color="auto" w:sz="4" w:space="0"/>
                  </w:tcBorders>
                  <w:vAlign w:val="center"/>
                </w:tcPr>
                <w:p w14:paraId="25F3DF81">
                  <w:pPr>
                    <w:widowControl/>
                    <w:jc w:val="center"/>
                    <w:rPr>
                      <w:rFonts w:eastAsia="仿宋"/>
                      <w:b/>
                      <w:color w:val="000000" w:themeColor="text1"/>
                      <w14:textFill>
                        <w14:solidFill>
                          <w14:schemeClr w14:val="tx1"/>
                        </w14:solidFill>
                      </w14:textFill>
                    </w:rPr>
                  </w:pPr>
                  <w:r>
                    <w:rPr>
                      <w:rFonts w:ascii="仿宋" w:hAnsi="仿宋" w:eastAsia="仿宋"/>
                      <w:b/>
                      <w:color w:val="000000" w:themeColor="text1"/>
                      <w14:textFill>
                        <w14:solidFill>
                          <w14:schemeClr w14:val="tx1"/>
                        </w14:solidFill>
                      </w14:textFill>
                    </w:rPr>
                    <w:t>纬度</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17D22784">
                  <w:pPr>
                    <w:widowControl/>
                    <w:jc w:val="left"/>
                    <w:rPr>
                      <w:rFonts w:eastAsia="仿宋"/>
                      <w:bCs/>
                      <w:color w:val="000000" w:themeColor="text1"/>
                      <w:szCs w:val="21"/>
                      <w14:textFill>
                        <w14:solidFill>
                          <w14:schemeClr w14:val="tx1"/>
                        </w14:solidFill>
                      </w14:textFill>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7442A9A6">
                  <w:pPr>
                    <w:widowControl/>
                    <w:jc w:val="left"/>
                    <w:rPr>
                      <w:rFonts w:eastAsia="仿宋"/>
                      <w:bCs/>
                      <w:color w:val="000000" w:themeColor="text1"/>
                      <w:szCs w:val="21"/>
                      <w14:textFill>
                        <w14:solidFill>
                          <w14:schemeClr w14:val="tx1"/>
                        </w14:solidFill>
                      </w14:textFill>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14:paraId="3C733613">
                  <w:pPr>
                    <w:widowControl/>
                    <w:jc w:val="left"/>
                    <w:rPr>
                      <w:rFonts w:eastAsia="仿宋"/>
                      <w:bCs/>
                      <w:color w:val="000000" w:themeColor="text1"/>
                      <w:szCs w:val="21"/>
                      <w14:textFill>
                        <w14:solidFill>
                          <w14:schemeClr w14:val="tx1"/>
                        </w14:solidFill>
                      </w14:textFill>
                    </w:rPr>
                  </w:pPr>
                </w:p>
              </w:tc>
              <w:tc>
                <w:tcPr>
                  <w:tcW w:w="1014" w:type="dxa"/>
                  <w:vMerge w:val="continue"/>
                  <w:tcBorders>
                    <w:top w:val="single" w:color="auto" w:sz="4" w:space="0"/>
                    <w:left w:val="single" w:color="auto" w:sz="4" w:space="0"/>
                    <w:bottom w:val="single" w:color="auto" w:sz="4" w:space="0"/>
                    <w:right w:val="single" w:color="auto" w:sz="4" w:space="0"/>
                  </w:tcBorders>
                  <w:vAlign w:val="center"/>
                </w:tcPr>
                <w:p w14:paraId="2AEE389E">
                  <w:pPr>
                    <w:widowControl/>
                    <w:jc w:val="left"/>
                    <w:rPr>
                      <w:rFonts w:eastAsia="仿宋"/>
                      <w:bCs/>
                      <w:color w:val="000000" w:themeColor="text1"/>
                      <w:szCs w:val="21"/>
                      <w14:textFill>
                        <w14:solidFill>
                          <w14:schemeClr w14:val="tx1"/>
                        </w14:solidFill>
                      </w14:textFill>
                    </w:rPr>
                  </w:pPr>
                </w:p>
              </w:tc>
              <w:tc>
                <w:tcPr>
                  <w:tcW w:w="1526" w:type="dxa"/>
                  <w:vMerge w:val="continue"/>
                  <w:tcBorders>
                    <w:top w:val="single" w:color="auto" w:sz="4" w:space="0"/>
                    <w:left w:val="single" w:color="auto" w:sz="4" w:space="0"/>
                    <w:bottom w:val="single" w:color="auto" w:sz="4" w:space="0"/>
                    <w:right w:val="single" w:color="auto" w:sz="4" w:space="0"/>
                  </w:tcBorders>
                  <w:vAlign w:val="center"/>
                </w:tcPr>
                <w:p w14:paraId="0FFEC457">
                  <w:pPr>
                    <w:widowControl/>
                    <w:jc w:val="left"/>
                    <w:rPr>
                      <w:rFonts w:eastAsia="仿宋"/>
                      <w:bCs/>
                      <w:color w:val="000000" w:themeColor="text1"/>
                      <w:szCs w:val="21"/>
                      <w14:textFill>
                        <w14:solidFill>
                          <w14:schemeClr w14:val="tx1"/>
                        </w14:solidFill>
                      </w14:textFill>
                    </w:rPr>
                  </w:pPr>
                </w:p>
              </w:tc>
            </w:tr>
            <w:tr w14:paraId="094F9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tcBorders>
                    <w:top w:val="nil"/>
                    <w:left w:val="single" w:color="auto" w:sz="4" w:space="0"/>
                    <w:bottom w:val="single" w:color="auto" w:sz="4" w:space="0"/>
                    <w:right w:val="single" w:color="auto" w:sz="4" w:space="0"/>
                  </w:tcBorders>
                  <w:vAlign w:val="center"/>
                </w:tcPr>
                <w:p w14:paraId="2A865E06">
                  <w:pPr>
                    <w:widowControl/>
                    <w:jc w:val="center"/>
                    <w:rPr>
                      <w:rFonts w:eastAsia="仿宋"/>
                      <w:bCs/>
                      <w:color w:val="000000" w:themeColor="text1"/>
                      <w14:textFill>
                        <w14:solidFill>
                          <w14:schemeClr w14:val="tx1"/>
                        </w14:solidFill>
                      </w14:textFill>
                    </w:rPr>
                  </w:pPr>
                  <w:r>
                    <w:rPr>
                      <w:rFonts w:ascii="仿宋" w:hAnsi="仿宋" w:eastAsia="仿宋"/>
                      <w:bCs/>
                      <w:color w:val="000000" w:themeColor="text1"/>
                      <w14:textFill>
                        <w14:solidFill>
                          <w14:schemeClr w14:val="tx1"/>
                        </w14:solidFill>
                      </w14:textFill>
                    </w:rPr>
                    <w:t>大气环境</w:t>
                  </w:r>
                </w:p>
              </w:tc>
              <w:tc>
                <w:tcPr>
                  <w:tcW w:w="6586" w:type="dxa"/>
                  <w:gridSpan w:val="7"/>
                  <w:tcBorders>
                    <w:top w:val="single" w:color="auto" w:sz="4" w:space="0"/>
                    <w:left w:val="single" w:color="auto" w:sz="4" w:space="0"/>
                    <w:right w:val="single" w:color="auto" w:sz="4" w:space="0"/>
                  </w:tcBorders>
                  <w:vAlign w:val="center"/>
                </w:tcPr>
                <w:p w14:paraId="7FD1C6FF">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厂界外500米范围内无自然保护区、风景名胜区、居住区、文化区和农村地区中人群较集中的区域等保护目标</w:t>
                  </w:r>
                </w:p>
              </w:tc>
              <w:tc>
                <w:tcPr>
                  <w:tcW w:w="1526" w:type="dxa"/>
                  <w:tcBorders>
                    <w:top w:val="nil"/>
                    <w:left w:val="single" w:color="auto" w:sz="4" w:space="0"/>
                    <w:bottom w:val="single" w:color="auto" w:sz="4" w:space="0"/>
                    <w:right w:val="single" w:color="auto" w:sz="4" w:space="0"/>
                  </w:tcBorders>
                  <w:vAlign w:val="center"/>
                </w:tcPr>
                <w:p w14:paraId="2DCC1508">
                  <w:pPr>
                    <w:widowControl/>
                    <w:jc w:val="center"/>
                    <w:rPr>
                      <w:rFonts w:eastAsia="仿宋"/>
                      <w:bCs/>
                      <w:color w:val="000000" w:themeColor="text1"/>
                      <w14:textFill>
                        <w14:solidFill>
                          <w14:schemeClr w14:val="tx1"/>
                        </w14:solidFill>
                      </w14:textFill>
                    </w:rPr>
                  </w:pPr>
                  <w:r>
                    <w:rPr>
                      <w:rFonts w:ascii="仿宋" w:hAnsi="仿宋" w:eastAsia="仿宋"/>
                      <w:bCs/>
                      <w:color w:val="000000" w:themeColor="text1"/>
                      <w14:textFill>
                        <w14:solidFill>
                          <w14:schemeClr w14:val="tx1"/>
                        </w14:solidFill>
                      </w14:textFill>
                    </w:rPr>
                    <w:t>《环境空气质量标准》（</w:t>
                  </w:r>
                  <w:r>
                    <w:rPr>
                      <w:rFonts w:eastAsia="仿宋"/>
                      <w:bCs/>
                      <w:color w:val="000000" w:themeColor="text1"/>
                      <w14:textFill>
                        <w14:solidFill>
                          <w14:schemeClr w14:val="tx1"/>
                        </w14:solidFill>
                      </w14:textFill>
                    </w:rPr>
                    <w:t>GB3095-2012</w:t>
                  </w:r>
                  <w:r>
                    <w:rPr>
                      <w:rFonts w:ascii="仿宋" w:hAnsi="仿宋" w:eastAsia="仿宋"/>
                      <w:bCs/>
                      <w:color w:val="000000" w:themeColor="text1"/>
                      <w14:textFill>
                        <w14:solidFill>
                          <w14:schemeClr w14:val="tx1"/>
                        </w14:solidFill>
                      </w14:textFill>
                    </w:rPr>
                    <w:t>）二级标准</w:t>
                  </w:r>
                </w:p>
              </w:tc>
            </w:tr>
            <w:tr w14:paraId="10F58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tcBorders>
                    <w:top w:val="single" w:color="auto" w:sz="4" w:space="0"/>
                    <w:left w:val="single" w:color="auto" w:sz="4" w:space="0"/>
                    <w:bottom w:val="single" w:color="auto" w:sz="4" w:space="0"/>
                    <w:right w:val="single" w:color="auto" w:sz="4" w:space="0"/>
                  </w:tcBorders>
                  <w:vAlign w:val="center"/>
                </w:tcPr>
                <w:p w14:paraId="4DAFEDC1">
                  <w:pPr>
                    <w:widowControl/>
                    <w:jc w:val="center"/>
                    <w:rPr>
                      <w:rFonts w:eastAsia="仿宋"/>
                      <w:bCs/>
                      <w:color w:val="000000" w:themeColor="text1"/>
                      <w14:textFill>
                        <w14:solidFill>
                          <w14:schemeClr w14:val="tx1"/>
                        </w14:solidFill>
                      </w14:textFill>
                    </w:rPr>
                  </w:pPr>
                  <w:r>
                    <w:rPr>
                      <w:rFonts w:ascii="仿宋" w:hAnsi="仿宋" w:eastAsia="仿宋"/>
                      <w:bCs/>
                      <w:color w:val="000000" w:themeColor="text1"/>
                      <w14:textFill>
                        <w14:solidFill>
                          <w14:schemeClr w14:val="tx1"/>
                        </w14:solidFill>
                      </w14:textFill>
                    </w:rPr>
                    <w:t>地表水环境</w:t>
                  </w:r>
                </w:p>
              </w:tc>
              <w:tc>
                <w:tcPr>
                  <w:tcW w:w="778" w:type="dxa"/>
                  <w:tcBorders>
                    <w:top w:val="single" w:color="auto" w:sz="4" w:space="0"/>
                    <w:left w:val="single" w:color="auto" w:sz="4" w:space="0"/>
                    <w:bottom w:val="single" w:color="auto" w:sz="4" w:space="0"/>
                    <w:right w:val="single" w:color="auto" w:sz="4" w:space="0"/>
                  </w:tcBorders>
                  <w:vAlign w:val="center"/>
                </w:tcPr>
                <w:p w14:paraId="7140D103">
                  <w:pPr>
                    <w:widowControl/>
                    <w:autoSpaceDE w:val="0"/>
                    <w:autoSpaceDN w:val="0"/>
                    <w:adjustRightInd w:val="0"/>
                    <w:snapToGrid w:val="0"/>
                    <w:jc w:val="center"/>
                    <w:rPr>
                      <w:rFonts w:eastAsia="仿宋"/>
                      <w:bCs/>
                      <w:color w:val="000000" w:themeColor="text1"/>
                      <w14:textFill>
                        <w14:solidFill>
                          <w14:schemeClr w14:val="tx1"/>
                        </w14:solidFill>
                      </w14:textFill>
                    </w:rPr>
                  </w:pPr>
                  <w:r>
                    <w:rPr>
                      <w:rFonts w:ascii="仿宋" w:hAnsi="仿宋" w:eastAsia="仿宋"/>
                      <w:bCs/>
                      <w:color w:val="000000" w:themeColor="text1"/>
                      <w14:textFill>
                        <w14:solidFill>
                          <w14:schemeClr w14:val="tx1"/>
                        </w14:solidFill>
                      </w14:textFill>
                    </w:rPr>
                    <w:t>尧塘河</w:t>
                  </w:r>
                </w:p>
              </w:tc>
              <w:tc>
                <w:tcPr>
                  <w:tcW w:w="1250" w:type="dxa"/>
                  <w:tcBorders>
                    <w:top w:val="single" w:color="auto" w:sz="4" w:space="0"/>
                    <w:left w:val="single" w:color="auto" w:sz="4" w:space="0"/>
                    <w:bottom w:val="single" w:color="auto" w:sz="4" w:space="0"/>
                    <w:right w:val="single" w:color="auto" w:sz="4" w:space="0"/>
                  </w:tcBorders>
                  <w:vAlign w:val="center"/>
                </w:tcPr>
                <w:p w14:paraId="5E9F605E">
                  <w:pPr>
                    <w:widowControl/>
                    <w:jc w:val="center"/>
                    <w:rPr>
                      <w:rFonts w:eastAsia="仿宋"/>
                      <w:bCs/>
                      <w:color w:val="000000" w:themeColor="text1"/>
                      <w:szCs w:val="21"/>
                      <w14:textFill>
                        <w14:solidFill>
                          <w14:schemeClr w14:val="tx1"/>
                        </w14:solidFill>
                      </w14:textFill>
                    </w:rPr>
                  </w:pPr>
                  <w:r>
                    <w:rPr>
                      <w:rFonts w:eastAsia="仿宋"/>
                      <w:bCs/>
                      <w:color w:val="000000" w:themeColor="text1"/>
                      <w14:textFill>
                        <w14:solidFill>
                          <w14:schemeClr w14:val="tx1"/>
                        </w14:solidFill>
                      </w14:textFill>
                    </w:rPr>
                    <w:t>119.628869</w:t>
                  </w:r>
                </w:p>
              </w:tc>
              <w:tc>
                <w:tcPr>
                  <w:tcW w:w="1276" w:type="dxa"/>
                  <w:tcBorders>
                    <w:top w:val="single" w:color="auto" w:sz="4" w:space="0"/>
                    <w:left w:val="single" w:color="auto" w:sz="4" w:space="0"/>
                    <w:bottom w:val="single" w:color="auto" w:sz="4" w:space="0"/>
                    <w:right w:val="single" w:color="auto" w:sz="4" w:space="0"/>
                  </w:tcBorders>
                  <w:vAlign w:val="center"/>
                </w:tcPr>
                <w:p w14:paraId="2340CECA">
                  <w:pPr>
                    <w:widowControl/>
                    <w:jc w:val="center"/>
                    <w:rPr>
                      <w:rFonts w:eastAsia="仿宋"/>
                      <w:bCs/>
                      <w:color w:val="000000" w:themeColor="text1"/>
                      <w14:textFill>
                        <w14:solidFill>
                          <w14:schemeClr w14:val="tx1"/>
                        </w14:solidFill>
                      </w14:textFill>
                    </w:rPr>
                  </w:pPr>
                  <w:r>
                    <w:rPr>
                      <w:rFonts w:eastAsia="仿宋"/>
                      <w:bCs/>
                      <w:color w:val="000000" w:themeColor="text1"/>
                      <w14:textFill>
                        <w14:solidFill>
                          <w14:schemeClr w14:val="tx1"/>
                        </w14:solidFill>
                      </w14:textFill>
                    </w:rPr>
                    <w:t>31.726587</w:t>
                  </w:r>
                </w:p>
              </w:tc>
              <w:tc>
                <w:tcPr>
                  <w:tcW w:w="708" w:type="dxa"/>
                  <w:tcBorders>
                    <w:top w:val="single" w:color="auto" w:sz="4" w:space="0"/>
                    <w:left w:val="single" w:color="auto" w:sz="4" w:space="0"/>
                    <w:bottom w:val="single" w:color="auto" w:sz="4" w:space="0"/>
                    <w:right w:val="single" w:color="auto" w:sz="4" w:space="0"/>
                  </w:tcBorders>
                  <w:vAlign w:val="center"/>
                </w:tcPr>
                <w:p w14:paraId="0849F0A8">
                  <w:pPr>
                    <w:widowControl/>
                    <w:jc w:val="center"/>
                    <w:rPr>
                      <w:rFonts w:eastAsia="仿宋"/>
                      <w:bCs/>
                      <w:color w:val="000000" w:themeColor="text1"/>
                      <w14:textFill>
                        <w14:solidFill>
                          <w14:schemeClr w14:val="tx1"/>
                        </w14:solidFill>
                      </w14:textFill>
                    </w:rPr>
                  </w:pPr>
                  <w:r>
                    <w:rPr>
                      <w:rFonts w:ascii="仿宋" w:hAnsi="仿宋" w:eastAsia="仿宋"/>
                      <w:bCs/>
                      <w:color w:val="000000" w:themeColor="text1"/>
                      <w14:textFill>
                        <w14:solidFill>
                          <w14:schemeClr w14:val="tx1"/>
                        </w14:solidFill>
                      </w14:textFill>
                    </w:rPr>
                    <w:t>河流</w:t>
                  </w:r>
                </w:p>
              </w:tc>
              <w:tc>
                <w:tcPr>
                  <w:tcW w:w="709" w:type="dxa"/>
                  <w:tcBorders>
                    <w:top w:val="single" w:color="auto" w:sz="4" w:space="0"/>
                    <w:left w:val="single" w:color="auto" w:sz="4" w:space="0"/>
                    <w:bottom w:val="single" w:color="auto" w:sz="4" w:space="0"/>
                    <w:right w:val="single" w:color="auto" w:sz="4" w:space="0"/>
                  </w:tcBorders>
                  <w:vAlign w:val="center"/>
                </w:tcPr>
                <w:p w14:paraId="17A20545">
                  <w:pPr>
                    <w:widowControl/>
                    <w:jc w:val="center"/>
                    <w:rPr>
                      <w:rFonts w:eastAsia="仿宋"/>
                      <w:bCs/>
                      <w:color w:val="000000" w:themeColor="text1"/>
                      <w14:textFill>
                        <w14:solidFill>
                          <w14:schemeClr w14:val="tx1"/>
                        </w14:solidFill>
                      </w14:textFill>
                    </w:rPr>
                  </w:pPr>
                  <w:r>
                    <w:rPr>
                      <w:rFonts w:eastAsia="仿宋"/>
                      <w:bCs/>
                      <w:color w:val="000000" w:themeColor="text1"/>
                      <w14:textFill>
                        <w14:solidFill>
                          <w14:schemeClr w14:val="tx1"/>
                        </w14:solidFill>
                      </w14:textFill>
                    </w:rPr>
                    <w:t>/</w:t>
                  </w:r>
                </w:p>
              </w:tc>
              <w:tc>
                <w:tcPr>
                  <w:tcW w:w="851" w:type="dxa"/>
                  <w:tcBorders>
                    <w:top w:val="single" w:color="auto" w:sz="4" w:space="0"/>
                    <w:left w:val="single" w:color="auto" w:sz="4" w:space="0"/>
                    <w:bottom w:val="single" w:color="auto" w:sz="4" w:space="0"/>
                    <w:right w:val="single" w:color="auto" w:sz="4" w:space="0"/>
                  </w:tcBorders>
                  <w:vAlign w:val="center"/>
                </w:tcPr>
                <w:p w14:paraId="3DB0F04C">
                  <w:pPr>
                    <w:widowControl/>
                    <w:autoSpaceDE w:val="0"/>
                    <w:autoSpaceDN w:val="0"/>
                    <w:adjustRightInd w:val="0"/>
                    <w:snapToGrid w:val="0"/>
                    <w:jc w:val="center"/>
                    <w:rPr>
                      <w:rFonts w:eastAsia="仿宋"/>
                      <w:bCs/>
                      <w:color w:val="000000" w:themeColor="text1"/>
                      <w14:textFill>
                        <w14:solidFill>
                          <w14:schemeClr w14:val="tx1"/>
                        </w14:solidFill>
                      </w14:textFill>
                    </w:rPr>
                  </w:pPr>
                  <w:r>
                    <w:rPr>
                      <w:rFonts w:hint="eastAsia" w:ascii="仿宋" w:hAnsi="仿宋" w:eastAsia="仿宋"/>
                      <w:bCs/>
                      <w:color w:val="000000" w:themeColor="text1"/>
                      <w14:textFill>
                        <w14:solidFill>
                          <w14:schemeClr w14:val="tx1"/>
                        </w14:solidFill>
                      </w14:textFill>
                    </w:rPr>
                    <w:t>东</w:t>
                  </w:r>
                </w:p>
              </w:tc>
              <w:tc>
                <w:tcPr>
                  <w:tcW w:w="1014" w:type="dxa"/>
                  <w:tcBorders>
                    <w:top w:val="single" w:color="auto" w:sz="4" w:space="0"/>
                    <w:left w:val="single" w:color="auto" w:sz="4" w:space="0"/>
                    <w:bottom w:val="single" w:color="auto" w:sz="4" w:space="0"/>
                    <w:right w:val="single" w:color="auto" w:sz="4" w:space="0"/>
                  </w:tcBorders>
                  <w:vAlign w:val="center"/>
                </w:tcPr>
                <w:p w14:paraId="2DAC1FBA">
                  <w:pPr>
                    <w:widowControl/>
                    <w:jc w:val="center"/>
                    <w:rPr>
                      <w:rFonts w:eastAsia="仿宋"/>
                      <w:bCs/>
                      <w:color w:val="000000" w:themeColor="text1"/>
                      <w14:textFill>
                        <w14:solidFill>
                          <w14:schemeClr w14:val="tx1"/>
                        </w14:solidFill>
                      </w14:textFill>
                    </w:rPr>
                  </w:pPr>
                  <w:r>
                    <w:rPr>
                      <w:rFonts w:hint="eastAsia" w:eastAsia="仿宋"/>
                      <w:bCs/>
                      <w:color w:val="000000" w:themeColor="text1"/>
                      <w14:textFill>
                        <w14:solidFill>
                          <w14:schemeClr w14:val="tx1"/>
                        </w14:solidFill>
                      </w14:textFill>
                    </w:rPr>
                    <w:t>3</w:t>
                  </w:r>
                  <w:r>
                    <w:rPr>
                      <w:rFonts w:eastAsia="仿宋"/>
                      <w:bCs/>
                      <w:color w:val="000000" w:themeColor="text1"/>
                      <w14:textFill>
                        <w14:solidFill>
                          <w14:schemeClr w14:val="tx1"/>
                        </w14:solidFill>
                      </w14:textFill>
                    </w:rPr>
                    <w:t>260m</w:t>
                  </w:r>
                </w:p>
              </w:tc>
              <w:tc>
                <w:tcPr>
                  <w:tcW w:w="1526" w:type="dxa"/>
                  <w:tcBorders>
                    <w:top w:val="single" w:color="auto" w:sz="4" w:space="0"/>
                    <w:left w:val="single" w:color="auto" w:sz="4" w:space="0"/>
                    <w:bottom w:val="single" w:color="auto" w:sz="4" w:space="0"/>
                    <w:right w:val="single" w:color="auto" w:sz="4" w:space="0"/>
                  </w:tcBorders>
                  <w:vAlign w:val="center"/>
                </w:tcPr>
                <w:p w14:paraId="3F49E57B">
                  <w:pPr>
                    <w:widowControl/>
                    <w:jc w:val="center"/>
                    <w:rPr>
                      <w:rFonts w:eastAsia="仿宋"/>
                      <w:bCs/>
                      <w:color w:val="000000" w:themeColor="text1"/>
                      <w14:textFill>
                        <w14:solidFill>
                          <w14:schemeClr w14:val="tx1"/>
                        </w14:solidFill>
                      </w14:textFill>
                    </w:rPr>
                  </w:pPr>
                  <w:r>
                    <w:rPr>
                      <w:rFonts w:ascii="仿宋" w:hAnsi="仿宋" w:eastAsia="仿宋"/>
                      <w:bCs/>
                      <w:color w:val="000000" w:themeColor="text1"/>
                      <w14:textFill>
                        <w14:solidFill>
                          <w14:schemeClr w14:val="tx1"/>
                        </w14:solidFill>
                      </w14:textFill>
                    </w:rPr>
                    <w:t>《地表水环境质量标准》（</w:t>
                  </w:r>
                  <w:r>
                    <w:rPr>
                      <w:rFonts w:eastAsia="仿宋"/>
                      <w:bCs/>
                      <w:color w:val="000000" w:themeColor="text1"/>
                      <w14:textFill>
                        <w14:solidFill>
                          <w14:schemeClr w14:val="tx1"/>
                        </w14:solidFill>
                      </w14:textFill>
                    </w:rPr>
                    <w:t>GB3838-2002</w:t>
                  </w:r>
                  <w:r>
                    <w:rPr>
                      <w:rFonts w:ascii="仿宋" w:hAnsi="仿宋" w:eastAsia="仿宋"/>
                      <w:bCs/>
                      <w:color w:val="000000" w:themeColor="text1"/>
                      <w14:textFill>
                        <w14:solidFill>
                          <w14:schemeClr w14:val="tx1"/>
                        </w14:solidFill>
                      </w14:textFill>
                    </w:rPr>
                    <w:t>）</w:t>
                  </w:r>
                  <w:r>
                    <w:rPr>
                      <w:rFonts w:hint="eastAsia" w:ascii="宋体" w:hAnsi="宋体" w:cs="宋体"/>
                      <w:bCs/>
                      <w:color w:val="000000" w:themeColor="text1"/>
                      <w14:textFill>
                        <w14:solidFill>
                          <w14:schemeClr w14:val="tx1"/>
                        </w14:solidFill>
                      </w14:textFill>
                    </w:rPr>
                    <w:t>Ⅲ</w:t>
                  </w:r>
                  <w:r>
                    <w:rPr>
                      <w:rFonts w:ascii="仿宋" w:hAnsi="仿宋" w:eastAsia="仿宋"/>
                      <w:bCs/>
                      <w:color w:val="000000" w:themeColor="text1"/>
                      <w14:textFill>
                        <w14:solidFill>
                          <w14:schemeClr w14:val="tx1"/>
                        </w14:solidFill>
                      </w14:textFill>
                    </w:rPr>
                    <w:t>类标准</w:t>
                  </w:r>
                </w:p>
              </w:tc>
            </w:tr>
            <w:tr w14:paraId="7859C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tcBorders>
                    <w:top w:val="single" w:color="auto" w:sz="4" w:space="0"/>
                    <w:left w:val="single" w:color="auto" w:sz="4" w:space="0"/>
                    <w:bottom w:val="single" w:color="auto" w:sz="4" w:space="0"/>
                    <w:right w:val="single" w:color="auto" w:sz="4" w:space="0"/>
                  </w:tcBorders>
                  <w:vAlign w:val="center"/>
                </w:tcPr>
                <w:p w14:paraId="3571ADC6">
                  <w:pPr>
                    <w:widowControl/>
                    <w:jc w:val="center"/>
                    <w:rPr>
                      <w:rFonts w:eastAsia="仿宋"/>
                      <w:bCs/>
                      <w:color w:val="000000" w:themeColor="text1"/>
                      <w14:textFill>
                        <w14:solidFill>
                          <w14:schemeClr w14:val="tx1"/>
                        </w14:solidFill>
                      </w14:textFill>
                    </w:rPr>
                  </w:pPr>
                  <w:r>
                    <w:rPr>
                      <w:rFonts w:ascii="仿宋" w:hAnsi="仿宋" w:eastAsia="仿宋"/>
                      <w:bCs/>
                      <w:color w:val="000000" w:themeColor="text1"/>
                      <w14:textFill>
                        <w14:solidFill>
                          <w14:schemeClr w14:val="tx1"/>
                        </w14:solidFill>
                      </w14:textFill>
                    </w:rPr>
                    <w:t>声环境</w:t>
                  </w:r>
                </w:p>
              </w:tc>
              <w:tc>
                <w:tcPr>
                  <w:tcW w:w="6586" w:type="dxa"/>
                  <w:gridSpan w:val="7"/>
                  <w:tcBorders>
                    <w:top w:val="single" w:color="auto" w:sz="4" w:space="0"/>
                    <w:left w:val="single" w:color="auto" w:sz="4" w:space="0"/>
                    <w:bottom w:val="single" w:color="auto" w:sz="4" w:space="0"/>
                    <w:right w:val="single" w:color="auto" w:sz="4" w:space="0"/>
                  </w:tcBorders>
                  <w:vAlign w:val="center"/>
                </w:tcPr>
                <w:p w14:paraId="6524539A">
                  <w:pPr>
                    <w:widowControl/>
                    <w:jc w:val="center"/>
                    <w:rPr>
                      <w:rFonts w:eastAsia="仿宋"/>
                      <w:bCs/>
                      <w:color w:val="000000" w:themeColor="text1"/>
                      <w14:textFill>
                        <w14:solidFill>
                          <w14:schemeClr w14:val="tx1"/>
                        </w14:solidFill>
                      </w14:textFill>
                    </w:rPr>
                  </w:pPr>
                  <w:r>
                    <w:rPr>
                      <w:rFonts w:ascii="仿宋" w:hAnsi="仿宋" w:eastAsia="仿宋"/>
                      <w:bCs/>
                      <w:color w:val="000000" w:themeColor="text1"/>
                      <w14:textFill>
                        <w14:solidFill>
                          <w14:schemeClr w14:val="tx1"/>
                        </w14:solidFill>
                      </w14:textFill>
                    </w:rPr>
                    <w:t>厂界外</w:t>
                  </w:r>
                  <w:r>
                    <w:rPr>
                      <w:rFonts w:eastAsia="仿宋"/>
                      <w:bCs/>
                      <w:color w:val="000000" w:themeColor="text1"/>
                      <w14:textFill>
                        <w14:solidFill>
                          <w14:schemeClr w14:val="tx1"/>
                        </w14:solidFill>
                      </w14:textFill>
                    </w:rPr>
                    <w:t>50</w:t>
                  </w:r>
                  <w:r>
                    <w:rPr>
                      <w:rFonts w:ascii="仿宋" w:hAnsi="仿宋" w:eastAsia="仿宋"/>
                      <w:bCs/>
                      <w:color w:val="000000" w:themeColor="text1"/>
                      <w14:textFill>
                        <w14:solidFill>
                          <w14:schemeClr w14:val="tx1"/>
                        </w14:solidFill>
                      </w14:textFill>
                    </w:rPr>
                    <w:t>米范围无敏感保护目标</w:t>
                  </w:r>
                </w:p>
              </w:tc>
              <w:tc>
                <w:tcPr>
                  <w:tcW w:w="1526" w:type="dxa"/>
                  <w:tcBorders>
                    <w:top w:val="single" w:color="auto" w:sz="4" w:space="0"/>
                    <w:left w:val="single" w:color="auto" w:sz="4" w:space="0"/>
                    <w:bottom w:val="single" w:color="auto" w:sz="4" w:space="0"/>
                    <w:right w:val="single" w:color="auto" w:sz="4" w:space="0"/>
                  </w:tcBorders>
                  <w:vAlign w:val="center"/>
                </w:tcPr>
                <w:p w14:paraId="3DA83082">
                  <w:pPr>
                    <w:widowControl/>
                    <w:jc w:val="center"/>
                    <w:rPr>
                      <w:rFonts w:eastAsia="仿宋"/>
                      <w:bCs/>
                      <w:color w:val="000000" w:themeColor="text1"/>
                      <w14:textFill>
                        <w14:solidFill>
                          <w14:schemeClr w14:val="tx1"/>
                        </w14:solidFill>
                      </w14:textFill>
                    </w:rPr>
                  </w:pPr>
                  <w:r>
                    <w:rPr>
                      <w:rFonts w:ascii="仿宋" w:hAnsi="仿宋" w:eastAsia="仿宋"/>
                      <w:bCs/>
                      <w:color w:val="000000" w:themeColor="text1"/>
                      <w14:textFill>
                        <w14:solidFill>
                          <w14:schemeClr w14:val="tx1"/>
                        </w14:solidFill>
                      </w14:textFill>
                    </w:rPr>
                    <w:t>《声环境质量标准》（</w:t>
                  </w:r>
                  <w:r>
                    <w:rPr>
                      <w:rFonts w:eastAsia="仿宋"/>
                      <w:bCs/>
                      <w:color w:val="000000" w:themeColor="text1"/>
                      <w14:textFill>
                        <w14:solidFill>
                          <w14:schemeClr w14:val="tx1"/>
                        </w14:solidFill>
                      </w14:textFill>
                    </w:rPr>
                    <w:t>GB3096-2008</w:t>
                  </w:r>
                  <w:r>
                    <w:rPr>
                      <w:rFonts w:ascii="仿宋" w:hAnsi="仿宋" w:eastAsia="仿宋"/>
                      <w:bCs/>
                      <w:color w:val="000000" w:themeColor="text1"/>
                      <w14:textFill>
                        <w14:solidFill>
                          <w14:schemeClr w14:val="tx1"/>
                        </w14:solidFill>
                      </w14:textFill>
                    </w:rPr>
                    <w:t>）</w:t>
                  </w:r>
                  <w:r>
                    <w:rPr>
                      <w:rFonts w:eastAsia="仿宋"/>
                      <w:bCs/>
                      <w:color w:val="000000" w:themeColor="text1"/>
                      <w14:textFill>
                        <w14:solidFill>
                          <w14:schemeClr w14:val="tx1"/>
                        </w14:solidFill>
                      </w14:textFill>
                    </w:rPr>
                    <w:t>3</w:t>
                  </w:r>
                  <w:r>
                    <w:rPr>
                      <w:rFonts w:ascii="仿宋" w:hAnsi="仿宋" w:eastAsia="仿宋"/>
                      <w:bCs/>
                      <w:color w:val="000000" w:themeColor="text1"/>
                      <w14:textFill>
                        <w14:solidFill>
                          <w14:schemeClr w14:val="tx1"/>
                        </w14:solidFill>
                      </w14:textFill>
                    </w:rPr>
                    <w:t>类标准</w:t>
                  </w:r>
                </w:p>
              </w:tc>
            </w:tr>
            <w:tr w14:paraId="1CEBE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tcBorders>
                    <w:top w:val="single" w:color="auto" w:sz="4" w:space="0"/>
                    <w:left w:val="single" w:color="auto" w:sz="4" w:space="0"/>
                    <w:bottom w:val="single" w:color="auto" w:sz="4" w:space="0"/>
                    <w:right w:val="single" w:color="auto" w:sz="4" w:space="0"/>
                  </w:tcBorders>
                  <w:vAlign w:val="center"/>
                </w:tcPr>
                <w:p w14:paraId="26E14F3D">
                  <w:pPr>
                    <w:widowControl/>
                    <w:jc w:val="center"/>
                    <w:rPr>
                      <w:rFonts w:eastAsia="仿宋"/>
                      <w:bCs/>
                      <w:color w:val="000000" w:themeColor="text1"/>
                      <w14:textFill>
                        <w14:solidFill>
                          <w14:schemeClr w14:val="tx1"/>
                        </w14:solidFill>
                      </w14:textFill>
                    </w:rPr>
                  </w:pPr>
                  <w:r>
                    <w:rPr>
                      <w:rFonts w:ascii="仿宋" w:hAnsi="仿宋" w:eastAsia="仿宋"/>
                      <w:bCs/>
                      <w:color w:val="000000" w:themeColor="text1"/>
                      <w14:textFill>
                        <w14:solidFill>
                          <w14:schemeClr w14:val="tx1"/>
                        </w14:solidFill>
                      </w14:textFill>
                    </w:rPr>
                    <w:t>地下水环境</w:t>
                  </w:r>
                </w:p>
              </w:tc>
              <w:tc>
                <w:tcPr>
                  <w:tcW w:w="6586" w:type="dxa"/>
                  <w:gridSpan w:val="7"/>
                  <w:tcBorders>
                    <w:top w:val="single" w:color="auto" w:sz="4" w:space="0"/>
                    <w:left w:val="single" w:color="auto" w:sz="4" w:space="0"/>
                    <w:bottom w:val="single" w:color="auto" w:sz="4" w:space="0"/>
                    <w:right w:val="single" w:color="auto" w:sz="4" w:space="0"/>
                  </w:tcBorders>
                  <w:vAlign w:val="center"/>
                </w:tcPr>
                <w:p w14:paraId="2CA996A0">
                  <w:pPr>
                    <w:widowControl/>
                    <w:jc w:val="center"/>
                    <w:rPr>
                      <w:rFonts w:eastAsia="仿宋"/>
                      <w:bCs/>
                      <w:color w:val="000000" w:themeColor="text1"/>
                      <w14:textFill>
                        <w14:solidFill>
                          <w14:schemeClr w14:val="tx1"/>
                        </w14:solidFill>
                      </w14:textFill>
                    </w:rPr>
                  </w:pPr>
                  <w:r>
                    <w:rPr>
                      <w:rFonts w:ascii="仿宋" w:hAnsi="仿宋" w:eastAsia="仿宋"/>
                      <w:bCs/>
                      <w:color w:val="000000" w:themeColor="text1"/>
                      <w14:textFill>
                        <w14:solidFill>
                          <w14:schemeClr w14:val="tx1"/>
                        </w14:solidFill>
                      </w14:textFill>
                    </w:rPr>
                    <w:t>厂界外</w:t>
                  </w:r>
                  <w:r>
                    <w:rPr>
                      <w:rFonts w:eastAsia="仿宋"/>
                      <w:bCs/>
                      <w:color w:val="000000" w:themeColor="text1"/>
                      <w14:textFill>
                        <w14:solidFill>
                          <w14:schemeClr w14:val="tx1"/>
                        </w14:solidFill>
                      </w14:textFill>
                    </w:rPr>
                    <w:t>500</w:t>
                  </w:r>
                  <w:r>
                    <w:rPr>
                      <w:rFonts w:ascii="仿宋" w:hAnsi="仿宋" w:eastAsia="仿宋"/>
                      <w:bCs/>
                      <w:color w:val="000000" w:themeColor="text1"/>
                      <w14:textFill>
                        <w14:solidFill>
                          <w14:schemeClr w14:val="tx1"/>
                        </w14:solidFill>
                      </w14:textFill>
                    </w:rPr>
                    <w:t>米范围无地下水集中式饮用水水源和热水、矿泉水、温泉等特殊地下水资源</w:t>
                  </w:r>
                </w:p>
              </w:tc>
              <w:tc>
                <w:tcPr>
                  <w:tcW w:w="1526" w:type="dxa"/>
                  <w:tcBorders>
                    <w:top w:val="single" w:color="auto" w:sz="4" w:space="0"/>
                    <w:left w:val="single" w:color="auto" w:sz="4" w:space="0"/>
                    <w:bottom w:val="single" w:color="auto" w:sz="4" w:space="0"/>
                    <w:right w:val="single" w:color="auto" w:sz="4" w:space="0"/>
                  </w:tcBorders>
                  <w:vAlign w:val="center"/>
                </w:tcPr>
                <w:p w14:paraId="01044C33">
                  <w:pPr>
                    <w:widowControl/>
                    <w:jc w:val="center"/>
                    <w:rPr>
                      <w:rFonts w:eastAsia="仿宋"/>
                      <w:bCs/>
                      <w:color w:val="000000" w:themeColor="text1"/>
                      <w14:textFill>
                        <w14:solidFill>
                          <w14:schemeClr w14:val="tx1"/>
                        </w14:solidFill>
                      </w14:textFill>
                    </w:rPr>
                  </w:pPr>
                  <w:bookmarkStart w:id="27" w:name="_Hlk131000124"/>
                  <w:r>
                    <w:rPr>
                      <w:rFonts w:ascii="仿宋" w:hAnsi="仿宋" w:eastAsia="仿宋"/>
                      <w:bCs/>
                      <w:color w:val="000000" w:themeColor="text1"/>
                      <w14:textFill>
                        <w14:solidFill>
                          <w14:schemeClr w14:val="tx1"/>
                        </w14:solidFill>
                      </w14:textFill>
                    </w:rPr>
                    <w:t>《地下水质量标准》（</w:t>
                  </w:r>
                  <w:r>
                    <w:rPr>
                      <w:rFonts w:eastAsia="仿宋"/>
                      <w:bCs/>
                      <w:color w:val="000000" w:themeColor="text1"/>
                      <w14:textFill>
                        <w14:solidFill>
                          <w14:schemeClr w14:val="tx1"/>
                        </w14:solidFill>
                      </w14:textFill>
                    </w:rPr>
                    <w:t>GB/T14848-2017</w:t>
                  </w:r>
                  <w:r>
                    <w:rPr>
                      <w:rFonts w:ascii="仿宋" w:hAnsi="仿宋" w:eastAsia="仿宋"/>
                      <w:bCs/>
                      <w:color w:val="000000" w:themeColor="text1"/>
                      <w14:textFill>
                        <w14:solidFill>
                          <w14:schemeClr w14:val="tx1"/>
                        </w14:solidFill>
                      </w14:textFill>
                    </w:rPr>
                    <w:t>）</w:t>
                  </w:r>
                  <w:bookmarkEnd w:id="27"/>
                </w:p>
              </w:tc>
            </w:tr>
            <w:tr w14:paraId="3FE59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tcBorders>
                    <w:top w:val="single" w:color="auto" w:sz="4" w:space="0"/>
                    <w:left w:val="single" w:color="auto" w:sz="4" w:space="0"/>
                    <w:bottom w:val="single" w:color="auto" w:sz="4" w:space="0"/>
                    <w:right w:val="single" w:color="auto" w:sz="4" w:space="0"/>
                  </w:tcBorders>
                  <w:vAlign w:val="center"/>
                </w:tcPr>
                <w:p w14:paraId="21D7693B">
                  <w:pPr>
                    <w:widowControl/>
                    <w:jc w:val="center"/>
                    <w:rPr>
                      <w:rFonts w:eastAsia="仿宋"/>
                      <w:bCs/>
                      <w:color w:val="000000" w:themeColor="text1"/>
                      <w14:textFill>
                        <w14:solidFill>
                          <w14:schemeClr w14:val="tx1"/>
                        </w14:solidFill>
                      </w14:textFill>
                    </w:rPr>
                  </w:pPr>
                  <w:r>
                    <w:rPr>
                      <w:rFonts w:ascii="仿宋" w:hAnsi="仿宋" w:eastAsia="仿宋"/>
                      <w:bCs/>
                      <w:color w:val="000000" w:themeColor="text1"/>
                      <w14:textFill>
                        <w14:solidFill>
                          <w14:schemeClr w14:val="tx1"/>
                        </w14:solidFill>
                      </w14:textFill>
                    </w:rPr>
                    <w:t>生态环境</w:t>
                  </w:r>
                </w:p>
              </w:tc>
              <w:tc>
                <w:tcPr>
                  <w:tcW w:w="6586" w:type="dxa"/>
                  <w:gridSpan w:val="7"/>
                  <w:tcBorders>
                    <w:top w:val="single" w:color="auto" w:sz="4" w:space="0"/>
                    <w:left w:val="single" w:color="auto" w:sz="4" w:space="0"/>
                    <w:bottom w:val="single" w:color="auto" w:sz="4" w:space="0"/>
                    <w:right w:val="single" w:color="auto" w:sz="4" w:space="0"/>
                  </w:tcBorders>
                  <w:vAlign w:val="center"/>
                </w:tcPr>
                <w:p w14:paraId="5FECB950">
                  <w:pPr>
                    <w:widowControl/>
                    <w:jc w:val="center"/>
                    <w:rPr>
                      <w:rFonts w:eastAsia="仿宋"/>
                      <w:bCs/>
                      <w:color w:val="000000" w:themeColor="text1"/>
                      <w14:textFill>
                        <w14:solidFill>
                          <w14:schemeClr w14:val="tx1"/>
                        </w14:solidFill>
                      </w14:textFill>
                    </w:rPr>
                  </w:pPr>
                  <w:r>
                    <w:rPr>
                      <w:rFonts w:ascii="仿宋" w:hAnsi="仿宋" w:eastAsia="仿宋"/>
                      <w:bCs/>
                      <w:color w:val="000000" w:themeColor="text1"/>
                      <w14:textFill>
                        <w14:solidFill>
                          <w14:schemeClr w14:val="tx1"/>
                        </w14:solidFill>
                      </w14:textFill>
                    </w:rPr>
                    <w:t>本项目位于江苏省常州市</w:t>
                  </w:r>
                  <w:r>
                    <w:rPr>
                      <w:rFonts w:hint="eastAsia" w:ascii="仿宋" w:hAnsi="仿宋" w:eastAsia="仿宋"/>
                      <w:bCs/>
                      <w:color w:val="000000" w:themeColor="text1"/>
                      <w14:textFill>
                        <w14:solidFill>
                          <w14:schemeClr w14:val="tx1"/>
                        </w14:solidFill>
                      </w14:textFill>
                    </w:rPr>
                    <w:t>金坛区江苏</w:t>
                  </w:r>
                  <w:r>
                    <w:rPr>
                      <w:rFonts w:ascii="仿宋" w:hAnsi="仿宋" w:eastAsia="仿宋"/>
                      <w:bCs/>
                      <w:color w:val="000000" w:themeColor="text1"/>
                      <w14:textFill>
                        <w14:solidFill>
                          <w14:schemeClr w14:val="tx1"/>
                        </w14:solidFill>
                      </w14:textFill>
                    </w:rPr>
                    <w:t>金坛经济开发区</w:t>
                  </w:r>
                  <w:r>
                    <w:rPr>
                      <w:rFonts w:hint="eastAsia" w:ascii="仿宋" w:hAnsi="仿宋" w:eastAsia="仿宋"/>
                      <w:bCs/>
                      <w:color w:val="000000" w:themeColor="text1"/>
                      <w14:textFill>
                        <w14:solidFill>
                          <w14:schemeClr w14:val="tx1"/>
                        </w14:solidFill>
                      </w14:textFill>
                    </w:rPr>
                    <w:t>汇福路东侧、珠山路南侧</w:t>
                  </w:r>
                  <w:r>
                    <w:rPr>
                      <w:rFonts w:ascii="仿宋" w:hAnsi="仿宋" w:eastAsia="仿宋"/>
                      <w:bCs/>
                      <w:color w:val="000000" w:themeColor="text1"/>
                      <w14:textFill>
                        <w14:solidFill>
                          <w14:schemeClr w14:val="tx1"/>
                        </w14:solidFill>
                      </w14:textFill>
                    </w:rPr>
                    <w:t>，占地范围内无生态敏感目标。</w:t>
                  </w:r>
                </w:p>
              </w:tc>
              <w:tc>
                <w:tcPr>
                  <w:tcW w:w="1526" w:type="dxa"/>
                  <w:tcBorders>
                    <w:top w:val="single" w:color="auto" w:sz="4" w:space="0"/>
                    <w:left w:val="single" w:color="auto" w:sz="4" w:space="0"/>
                    <w:bottom w:val="single" w:color="auto" w:sz="4" w:space="0"/>
                    <w:right w:val="single" w:color="auto" w:sz="4" w:space="0"/>
                  </w:tcBorders>
                  <w:vAlign w:val="center"/>
                </w:tcPr>
                <w:p w14:paraId="178E0F17">
                  <w:pPr>
                    <w:widowControl/>
                    <w:jc w:val="center"/>
                    <w:rPr>
                      <w:rFonts w:eastAsia="仿宋"/>
                      <w:bCs/>
                      <w:color w:val="000000" w:themeColor="text1"/>
                      <w14:textFill>
                        <w14:solidFill>
                          <w14:schemeClr w14:val="tx1"/>
                        </w14:solidFill>
                      </w14:textFill>
                    </w:rPr>
                  </w:pPr>
                  <w:r>
                    <w:rPr>
                      <w:rFonts w:eastAsia="仿宋"/>
                      <w:bCs/>
                      <w:color w:val="000000" w:themeColor="text1"/>
                      <w14:textFill>
                        <w14:solidFill>
                          <w14:schemeClr w14:val="tx1"/>
                        </w14:solidFill>
                      </w14:textFill>
                    </w:rPr>
                    <w:t>/</w:t>
                  </w:r>
                </w:p>
              </w:tc>
            </w:tr>
          </w:tbl>
          <w:p w14:paraId="662D94A9">
            <w:pPr>
              <w:spacing w:line="500" w:lineRule="exact"/>
              <w:jc w:val="center"/>
              <w:rPr>
                <w:rFonts w:eastAsia="仿宋"/>
                <w:b/>
                <w:color w:val="000000" w:themeColor="text1"/>
                <w:szCs w:val="21"/>
                <w14:textFill>
                  <w14:solidFill>
                    <w14:schemeClr w14:val="tx1"/>
                  </w14:solidFill>
                </w14:textFill>
              </w:rPr>
            </w:pPr>
          </w:p>
          <w:p w14:paraId="7DAD0AC8">
            <w:pPr>
              <w:spacing w:line="500" w:lineRule="exact"/>
              <w:jc w:val="center"/>
              <w:rPr>
                <w:rFonts w:eastAsia="仿宋"/>
                <w:b/>
                <w:color w:val="000000" w:themeColor="text1"/>
                <w:szCs w:val="21"/>
                <w14:textFill>
                  <w14:solidFill>
                    <w14:schemeClr w14:val="tx1"/>
                  </w14:solidFill>
                </w14:textFill>
              </w:rPr>
            </w:pPr>
          </w:p>
          <w:p w14:paraId="7283905E">
            <w:pPr>
              <w:spacing w:line="500" w:lineRule="exact"/>
              <w:jc w:val="center"/>
              <w:rPr>
                <w:rFonts w:eastAsia="仿宋"/>
                <w:b/>
                <w:color w:val="000000" w:themeColor="text1"/>
                <w:szCs w:val="21"/>
                <w14:textFill>
                  <w14:solidFill>
                    <w14:schemeClr w14:val="tx1"/>
                  </w14:solidFill>
                </w14:textFill>
              </w:rPr>
            </w:pPr>
          </w:p>
          <w:p w14:paraId="3C464DC6">
            <w:pPr>
              <w:spacing w:line="500" w:lineRule="exact"/>
              <w:rPr>
                <w:rFonts w:eastAsia="仿宋"/>
                <w:color w:val="000000" w:themeColor="text1"/>
                <w:sz w:val="18"/>
                <w:szCs w:val="18"/>
                <w14:textFill>
                  <w14:solidFill>
                    <w14:schemeClr w14:val="tx1"/>
                  </w14:solidFill>
                </w14:textFill>
              </w:rPr>
            </w:pPr>
          </w:p>
          <w:p w14:paraId="702286DC">
            <w:pPr>
              <w:spacing w:line="500" w:lineRule="exact"/>
              <w:rPr>
                <w:rFonts w:eastAsia="仿宋"/>
                <w:color w:val="000000" w:themeColor="text1"/>
                <w:sz w:val="18"/>
                <w:szCs w:val="18"/>
                <w14:textFill>
                  <w14:solidFill>
                    <w14:schemeClr w14:val="tx1"/>
                  </w14:solidFill>
                </w14:textFill>
              </w:rPr>
            </w:pPr>
          </w:p>
          <w:p w14:paraId="779C8F45">
            <w:pPr>
              <w:spacing w:line="500" w:lineRule="exact"/>
              <w:rPr>
                <w:rFonts w:eastAsia="仿宋"/>
                <w:color w:val="000000" w:themeColor="text1"/>
                <w:sz w:val="18"/>
                <w:szCs w:val="18"/>
                <w14:textFill>
                  <w14:solidFill>
                    <w14:schemeClr w14:val="tx1"/>
                  </w14:solidFill>
                </w14:textFill>
              </w:rPr>
            </w:pPr>
          </w:p>
          <w:p w14:paraId="4C3132E4">
            <w:pPr>
              <w:spacing w:line="500" w:lineRule="exact"/>
              <w:rPr>
                <w:rFonts w:eastAsia="仿宋"/>
                <w:color w:val="000000" w:themeColor="text1"/>
                <w:sz w:val="18"/>
                <w:szCs w:val="18"/>
                <w14:textFill>
                  <w14:solidFill>
                    <w14:schemeClr w14:val="tx1"/>
                  </w14:solidFill>
                </w14:textFill>
              </w:rPr>
            </w:pPr>
          </w:p>
          <w:p w14:paraId="167A332A">
            <w:pPr>
              <w:spacing w:line="500" w:lineRule="exact"/>
              <w:rPr>
                <w:rFonts w:eastAsia="仿宋"/>
                <w:color w:val="000000" w:themeColor="text1"/>
                <w:sz w:val="18"/>
                <w:szCs w:val="18"/>
                <w14:textFill>
                  <w14:solidFill>
                    <w14:schemeClr w14:val="tx1"/>
                  </w14:solidFill>
                </w14:textFill>
              </w:rPr>
            </w:pPr>
          </w:p>
          <w:p w14:paraId="6909A008">
            <w:pPr>
              <w:spacing w:line="500" w:lineRule="exact"/>
              <w:rPr>
                <w:rFonts w:eastAsia="仿宋"/>
                <w:color w:val="000000" w:themeColor="text1"/>
                <w:sz w:val="18"/>
                <w:szCs w:val="18"/>
                <w14:textFill>
                  <w14:solidFill>
                    <w14:schemeClr w14:val="tx1"/>
                  </w14:solidFill>
                </w14:textFill>
              </w:rPr>
            </w:pPr>
          </w:p>
          <w:p w14:paraId="314D4194">
            <w:pPr>
              <w:spacing w:line="500" w:lineRule="exact"/>
              <w:rPr>
                <w:rFonts w:eastAsia="仿宋"/>
                <w:color w:val="000000" w:themeColor="text1"/>
                <w:sz w:val="18"/>
                <w:szCs w:val="18"/>
                <w14:textFill>
                  <w14:solidFill>
                    <w14:schemeClr w14:val="tx1"/>
                  </w14:solidFill>
                </w14:textFill>
              </w:rPr>
            </w:pPr>
          </w:p>
          <w:p w14:paraId="7BD9891A">
            <w:pPr>
              <w:spacing w:line="500" w:lineRule="exact"/>
              <w:rPr>
                <w:rFonts w:eastAsia="仿宋"/>
                <w:color w:val="000000" w:themeColor="text1"/>
                <w:sz w:val="18"/>
                <w:szCs w:val="18"/>
                <w14:textFill>
                  <w14:solidFill>
                    <w14:schemeClr w14:val="tx1"/>
                  </w14:solidFill>
                </w14:textFill>
              </w:rPr>
            </w:pPr>
          </w:p>
        </w:tc>
      </w:tr>
      <w:tr w14:paraId="56A93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846" w:type="dxa"/>
            <w:vAlign w:val="center"/>
          </w:tcPr>
          <w:p w14:paraId="01F06BC7">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污染物排放控制标准</w:t>
            </w:r>
          </w:p>
        </w:tc>
        <w:tc>
          <w:tcPr>
            <w:tcW w:w="9072" w:type="dxa"/>
            <w:vAlign w:val="center"/>
          </w:tcPr>
          <w:p w14:paraId="7F637014">
            <w:pPr>
              <w:spacing w:line="48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（一）废气</w:t>
            </w:r>
          </w:p>
          <w:p w14:paraId="24CFB7B7">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w:t>
            </w:r>
            <w:r>
              <w:rPr>
                <w:rFonts w:hint="eastAsia" w:eastAsia="仿宋"/>
                <w:color w:val="000000" w:themeColor="text1"/>
                <w:sz w:val="24"/>
                <w14:textFill>
                  <w14:solidFill>
                    <w14:schemeClr w14:val="tx1"/>
                  </w14:solidFill>
                </w14:textFill>
              </w:rPr>
              <w:t>入厂原料检测过程中产生的非甲烷总烃、甲醇等污染物</w:t>
            </w:r>
            <w:r>
              <w:rPr>
                <w:rFonts w:eastAsia="仿宋"/>
                <w:bCs/>
                <w:color w:val="000000" w:themeColor="text1"/>
                <w:sz w:val="24"/>
                <w14:textFill>
                  <w14:solidFill>
                    <w14:schemeClr w14:val="tx1"/>
                  </w14:solidFill>
                </w14:textFill>
              </w:rPr>
              <w:t>执行《大气污染物综合排放标准》（DB32/4041-2021）表1限值</w:t>
            </w:r>
            <w:r>
              <w:rPr>
                <w:rFonts w:hint="eastAsia" w:eastAsia="仿宋"/>
                <w:bCs/>
                <w:color w:val="000000" w:themeColor="text1"/>
                <w:sz w:val="24"/>
                <w14:textFill>
                  <w14:solidFill>
                    <w14:schemeClr w14:val="tx1"/>
                  </w14:solidFill>
                </w14:textFill>
              </w:rPr>
              <w:t>；本项目燃气锅炉和蒸汽发生器天然气燃烧的产生的氮氧化物、二氧化硫、颗粒物、林格曼黑度执行</w:t>
            </w:r>
            <w:bookmarkStart w:id="28" w:name="OLE_LINK34"/>
            <w:bookmarkStart w:id="29" w:name="OLE_LINK33"/>
            <w:r>
              <w:rPr>
                <w:rFonts w:hint="eastAsia" w:eastAsia="仿宋"/>
                <w:bCs/>
                <w:color w:val="000000" w:themeColor="text1"/>
                <w:sz w:val="24"/>
                <w14:textFill>
                  <w14:solidFill>
                    <w14:schemeClr w14:val="tx1"/>
                  </w14:solidFill>
                </w14:textFill>
              </w:rPr>
              <w:t>《锅炉大气污染物排放标准》（D</w:t>
            </w:r>
            <w:r>
              <w:rPr>
                <w:rFonts w:eastAsia="仿宋"/>
                <w:bCs/>
                <w:color w:val="000000" w:themeColor="text1"/>
                <w:sz w:val="24"/>
                <w14:textFill>
                  <w14:solidFill>
                    <w14:schemeClr w14:val="tx1"/>
                  </w14:solidFill>
                </w14:textFill>
              </w:rPr>
              <w:t>B32/4385-2022</w:t>
            </w:r>
            <w:r>
              <w:rPr>
                <w:rFonts w:hint="eastAsia" w:eastAsia="仿宋"/>
                <w:bCs/>
                <w:color w:val="000000" w:themeColor="text1"/>
                <w:sz w:val="24"/>
                <w14:textFill>
                  <w14:solidFill>
                    <w14:schemeClr w14:val="tx1"/>
                  </w14:solidFill>
                </w14:textFill>
              </w:rPr>
              <w:t>）</w:t>
            </w:r>
            <w:bookmarkEnd w:id="28"/>
            <w:bookmarkEnd w:id="29"/>
            <w:r>
              <w:rPr>
                <w:rFonts w:hint="eastAsia" w:eastAsia="仿宋"/>
                <w:bCs/>
                <w:color w:val="000000" w:themeColor="text1"/>
                <w:sz w:val="24"/>
                <w14:textFill>
                  <w14:solidFill>
                    <w14:schemeClr w14:val="tx1"/>
                  </w14:solidFill>
                </w14:textFill>
              </w:rPr>
              <w:t>中表1中标准限值。</w:t>
            </w:r>
          </w:p>
          <w:p w14:paraId="4FC7A90B">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厂界非甲烷总烃</w:t>
            </w:r>
            <w:r>
              <w:rPr>
                <w:rFonts w:hint="eastAsia" w:eastAsia="仿宋"/>
                <w:bCs/>
                <w:color w:val="000000" w:themeColor="text1"/>
                <w:sz w:val="24"/>
                <w14:textFill>
                  <w14:solidFill>
                    <w14:schemeClr w14:val="tx1"/>
                  </w14:solidFill>
                </w14:textFill>
              </w:rPr>
              <w:t>、甲醇</w:t>
            </w:r>
            <w:r>
              <w:rPr>
                <w:rFonts w:eastAsia="仿宋"/>
                <w:bCs/>
                <w:color w:val="000000" w:themeColor="text1"/>
                <w:sz w:val="24"/>
                <w14:textFill>
                  <w14:solidFill>
                    <w14:schemeClr w14:val="tx1"/>
                  </w14:solidFill>
                </w14:textFill>
              </w:rPr>
              <w:t>无组织排放浓度执行《大气污染物综合排放标准》(DB32/4041-2021)表3中排放监控浓度限值</w:t>
            </w:r>
            <w:r>
              <w:rPr>
                <w:rFonts w:hint="eastAsia" w:eastAsia="仿宋"/>
                <w:bCs/>
                <w:color w:val="000000" w:themeColor="text1"/>
                <w:sz w:val="24"/>
                <w14:textFill>
                  <w14:solidFill>
                    <w14:schemeClr w14:val="tx1"/>
                  </w14:solidFill>
                </w14:textFill>
              </w:rPr>
              <w:t>。</w:t>
            </w:r>
          </w:p>
          <w:p w14:paraId="39ACE25D">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厂区内非甲烷总烃无组织排放浓度执行</w:t>
            </w:r>
            <w:r>
              <w:rPr>
                <w:rFonts w:hint="eastAsia" w:eastAsia="仿宋"/>
                <w:bCs/>
                <w:color w:val="000000" w:themeColor="text1"/>
                <w:sz w:val="24"/>
                <w14:textFill>
                  <w14:solidFill>
                    <w14:schemeClr w14:val="tx1"/>
                  </w14:solidFill>
                </w14:textFill>
              </w:rPr>
              <w:t>《大气污染物综合排放标准》（DB32/4041-2021）表</w:t>
            </w:r>
            <w:r>
              <w:rPr>
                <w:rFonts w:eastAsia="仿宋"/>
                <w:bCs/>
                <w:color w:val="000000" w:themeColor="text1"/>
                <w:sz w:val="24"/>
                <w14:textFill>
                  <w14:solidFill>
                    <w14:schemeClr w14:val="tx1"/>
                  </w14:solidFill>
                </w14:textFill>
              </w:rPr>
              <w:t>2</w:t>
            </w:r>
            <w:r>
              <w:rPr>
                <w:rFonts w:hint="eastAsia" w:eastAsia="仿宋"/>
                <w:bCs/>
                <w:color w:val="000000" w:themeColor="text1"/>
                <w:sz w:val="24"/>
                <w14:textFill>
                  <w14:solidFill>
                    <w14:schemeClr w14:val="tx1"/>
                  </w14:solidFill>
                </w14:textFill>
              </w:rPr>
              <w:t>中厂区内V</w:t>
            </w:r>
            <w:r>
              <w:rPr>
                <w:rFonts w:eastAsia="仿宋"/>
                <w:bCs/>
                <w:color w:val="000000" w:themeColor="text1"/>
                <w:sz w:val="24"/>
                <w14:textFill>
                  <w14:solidFill>
                    <w14:schemeClr w14:val="tx1"/>
                  </w14:solidFill>
                </w14:textFill>
              </w:rPr>
              <w:t>OCs</w:t>
            </w:r>
            <w:r>
              <w:rPr>
                <w:rFonts w:hint="eastAsia" w:eastAsia="仿宋"/>
                <w:bCs/>
                <w:color w:val="000000" w:themeColor="text1"/>
                <w:sz w:val="24"/>
                <w14:textFill>
                  <w14:solidFill>
                    <w14:schemeClr w14:val="tx1"/>
                  </w14:solidFill>
                </w14:textFill>
              </w:rPr>
              <w:t>无组织排放限值。</w:t>
            </w:r>
          </w:p>
          <w:p w14:paraId="3874DBAF">
            <w:pPr>
              <w:pStyle w:val="7"/>
              <w:rPr>
                <w:color w:val="000000" w:themeColor="text1"/>
                <w14:textFill>
                  <w14:solidFill>
                    <w14:schemeClr w14:val="tx1"/>
                  </w14:solidFill>
                </w14:textFill>
              </w:rPr>
            </w:pPr>
            <w:r>
              <w:rPr>
                <w:rFonts w:hint="eastAsia"/>
                <w:color w:val="000000" w:themeColor="text1"/>
                <w14:textFill>
                  <w14:solidFill>
                    <w14:schemeClr w14:val="tx1"/>
                  </w14:solidFill>
                </w14:textFill>
              </w:rPr>
              <w:t>表3</w:t>
            </w:r>
            <w:r>
              <w:rPr>
                <w:color w:val="000000" w:themeColor="text1"/>
                <w14:textFill>
                  <w14:solidFill>
                    <w14:schemeClr w14:val="tx1"/>
                  </w14:solidFill>
                </w14:textFill>
              </w:rPr>
              <w:t xml:space="preserve">-5 </w:t>
            </w:r>
            <w:r>
              <w:rPr>
                <w:rFonts w:hint="eastAsia"/>
                <w:color w:val="000000" w:themeColor="text1"/>
                <w14:textFill>
                  <w14:solidFill>
                    <w14:schemeClr w14:val="tx1"/>
                  </w14:solidFill>
                </w14:textFill>
              </w:rPr>
              <w:t>有组织废气</w:t>
            </w:r>
            <w:r>
              <w:rPr>
                <w:color w:val="000000" w:themeColor="text1"/>
                <w14:textFill>
                  <w14:solidFill>
                    <w14:schemeClr w14:val="tx1"/>
                  </w14:solidFill>
                </w14:textFill>
              </w:rPr>
              <w:t>污染物排放标准</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831"/>
              <w:gridCol w:w="2081"/>
              <w:gridCol w:w="2001"/>
              <w:gridCol w:w="2933"/>
            </w:tblGrid>
            <w:tr w14:paraId="436AE5F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35" w:type="pct"/>
                  <w:vMerge w:val="restart"/>
                  <w:vAlign w:val="center"/>
                </w:tcPr>
                <w:p w14:paraId="761C9081">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污染物</w:t>
                  </w:r>
                </w:p>
              </w:tc>
              <w:tc>
                <w:tcPr>
                  <w:tcW w:w="1176" w:type="pct"/>
                  <w:vMerge w:val="restart"/>
                  <w:vAlign w:val="center"/>
                </w:tcPr>
                <w:p w14:paraId="40E08D17">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最高允许排放浓度（mg/m</w:t>
                  </w:r>
                  <w:r>
                    <w:rPr>
                      <w:rFonts w:eastAsia="仿宋"/>
                      <w:b/>
                      <w:bCs/>
                      <w:color w:val="000000" w:themeColor="text1"/>
                      <w:szCs w:val="21"/>
                      <w:vertAlign w:val="superscript"/>
                      <w14:textFill>
                        <w14:solidFill>
                          <w14:schemeClr w14:val="tx1"/>
                        </w14:solidFill>
                      </w14:textFill>
                    </w:rPr>
                    <w:t>3</w:t>
                  </w:r>
                  <w:r>
                    <w:rPr>
                      <w:rFonts w:eastAsia="仿宋"/>
                      <w:b/>
                      <w:bCs/>
                      <w:color w:val="000000" w:themeColor="text1"/>
                      <w:szCs w:val="21"/>
                      <w14:textFill>
                        <w14:solidFill>
                          <w14:schemeClr w14:val="tx1"/>
                        </w14:solidFill>
                      </w14:textFill>
                    </w:rPr>
                    <w:t>）</w:t>
                  </w:r>
                </w:p>
              </w:tc>
              <w:tc>
                <w:tcPr>
                  <w:tcW w:w="1131" w:type="pct"/>
                  <w:vMerge w:val="restart"/>
                  <w:vAlign w:val="center"/>
                </w:tcPr>
                <w:p w14:paraId="01917850">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最高允许排放速率（kg/h）</w:t>
                  </w:r>
                </w:p>
              </w:tc>
              <w:tc>
                <w:tcPr>
                  <w:tcW w:w="1658" w:type="pct"/>
                  <w:vMerge w:val="restart"/>
                  <w:vAlign w:val="center"/>
                </w:tcPr>
                <w:p w14:paraId="44C13714">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执行标准</w:t>
                  </w:r>
                </w:p>
              </w:tc>
            </w:tr>
            <w:tr w14:paraId="0595F1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1" w:hRule="atLeast"/>
                <w:jc w:val="center"/>
              </w:trPr>
              <w:tc>
                <w:tcPr>
                  <w:tcW w:w="1035" w:type="pct"/>
                  <w:vMerge w:val="continue"/>
                  <w:vAlign w:val="center"/>
                </w:tcPr>
                <w:p w14:paraId="77040E29">
                  <w:pPr>
                    <w:jc w:val="center"/>
                    <w:rPr>
                      <w:rFonts w:eastAsia="仿宋"/>
                      <w:color w:val="000000" w:themeColor="text1"/>
                      <w:szCs w:val="21"/>
                      <w14:textFill>
                        <w14:solidFill>
                          <w14:schemeClr w14:val="tx1"/>
                        </w14:solidFill>
                      </w14:textFill>
                    </w:rPr>
                  </w:pPr>
                </w:p>
              </w:tc>
              <w:tc>
                <w:tcPr>
                  <w:tcW w:w="1176" w:type="pct"/>
                  <w:vMerge w:val="continue"/>
                  <w:vAlign w:val="center"/>
                </w:tcPr>
                <w:p w14:paraId="71A04343">
                  <w:pPr>
                    <w:jc w:val="center"/>
                    <w:rPr>
                      <w:rFonts w:eastAsia="仿宋"/>
                      <w:color w:val="000000" w:themeColor="text1"/>
                      <w:szCs w:val="21"/>
                      <w14:textFill>
                        <w14:solidFill>
                          <w14:schemeClr w14:val="tx1"/>
                        </w14:solidFill>
                      </w14:textFill>
                    </w:rPr>
                  </w:pPr>
                </w:p>
              </w:tc>
              <w:tc>
                <w:tcPr>
                  <w:tcW w:w="1131" w:type="pct"/>
                  <w:vMerge w:val="continue"/>
                  <w:vAlign w:val="center"/>
                </w:tcPr>
                <w:p w14:paraId="2C4151A9">
                  <w:pPr>
                    <w:jc w:val="center"/>
                    <w:rPr>
                      <w:rFonts w:eastAsia="仿宋"/>
                      <w:color w:val="000000" w:themeColor="text1"/>
                      <w:szCs w:val="21"/>
                      <w14:textFill>
                        <w14:solidFill>
                          <w14:schemeClr w14:val="tx1"/>
                        </w14:solidFill>
                      </w14:textFill>
                    </w:rPr>
                  </w:pPr>
                </w:p>
              </w:tc>
              <w:tc>
                <w:tcPr>
                  <w:tcW w:w="1658" w:type="pct"/>
                  <w:vMerge w:val="continue"/>
                  <w:vAlign w:val="center"/>
                </w:tcPr>
                <w:p w14:paraId="60E67EA9">
                  <w:pPr>
                    <w:jc w:val="center"/>
                    <w:rPr>
                      <w:rFonts w:eastAsia="仿宋"/>
                      <w:color w:val="000000" w:themeColor="text1"/>
                      <w:szCs w:val="21"/>
                      <w14:textFill>
                        <w14:solidFill>
                          <w14:schemeClr w14:val="tx1"/>
                        </w14:solidFill>
                      </w14:textFill>
                    </w:rPr>
                  </w:pPr>
                </w:p>
              </w:tc>
            </w:tr>
            <w:tr w14:paraId="03009F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5" w:hRule="atLeast"/>
                <w:jc w:val="center"/>
              </w:trPr>
              <w:tc>
                <w:tcPr>
                  <w:tcW w:w="1035" w:type="pct"/>
                  <w:vAlign w:val="center"/>
                </w:tcPr>
                <w:p w14:paraId="644DBA38">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非甲烷总烃</w:t>
                  </w:r>
                </w:p>
              </w:tc>
              <w:tc>
                <w:tcPr>
                  <w:tcW w:w="1176" w:type="pct"/>
                  <w:vAlign w:val="center"/>
                </w:tcPr>
                <w:p w14:paraId="14EDD42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60</w:t>
                  </w:r>
                </w:p>
              </w:tc>
              <w:tc>
                <w:tcPr>
                  <w:tcW w:w="1131" w:type="pct"/>
                  <w:vAlign w:val="center"/>
                </w:tcPr>
                <w:p w14:paraId="02F0C5E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1658" w:type="pct"/>
                  <w:vMerge w:val="restart"/>
                  <w:vAlign w:val="center"/>
                </w:tcPr>
                <w:p w14:paraId="69E4A0FB">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《大气污染物综合排放标准》（DB32/4041-2021）</w:t>
                  </w:r>
                </w:p>
              </w:tc>
            </w:tr>
            <w:tr w14:paraId="793EC25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9" w:hRule="atLeast"/>
                <w:jc w:val="center"/>
              </w:trPr>
              <w:tc>
                <w:tcPr>
                  <w:tcW w:w="1035" w:type="pct"/>
                  <w:vAlign w:val="center"/>
                </w:tcPr>
                <w:p w14:paraId="59C5A359">
                  <w:pPr>
                    <w:pStyle w:val="82"/>
                    <w:jc w:val="center"/>
                    <w:rPr>
                      <w:rFonts w:ascii="Times New Roman" w:hAnsi="Times New Roman" w:eastAsia="仿宋" w:cs="Times New Roman"/>
                      <w:color w:val="000000" w:themeColor="text1"/>
                      <w:sz w:val="21"/>
                      <w:szCs w:val="21"/>
                      <w:lang w:val="en-US"/>
                      <w14:textFill>
                        <w14:solidFill>
                          <w14:schemeClr w14:val="tx1"/>
                        </w14:solidFill>
                      </w14:textFill>
                    </w:rPr>
                  </w:pPr>
                  <w:r>
                    <w:rPr>
                      <w:rFonts w:hint="eastAsia" w:ascii="Times New Roman" w:hAnsi="Times New Roman" w:eastAsia="仿宋" w:cs="Times New Roman"/>
                      <w:color w:val="000000" w:themeColor="text1"/>
                      <w:sz w:val="21"/>
                      <w:szCs w:val="21"/>
                      <w:lang w:val="en-US"/>
                      <w14:textFill>
                        <w14:solidFill>
                          <w14:schemeClr w14:val="tx1"/>
                        </w14:solidFill>
                      </w14:textFill>
                    </w:rPr>
                    <w:t>甲醇</w:t>
                  </w:r>
                </w:p>
              </w:tc>
              <w:tc>
                <w:tcPr>
                  <w:tcW w:w="1176" w:type="pct"/>
                  <w:vAlign w:val="center"/>
                </w:tcPr>
                <w:p w14:paraId="0E186E25">
                  <w:pPr>
                    <w:pStyle w:val="82"/>
                    <w:jc w:val="center"/>
                    <w:rPr>
                      <w:rFonts w:ascii="Times New Roman" w:hAnsi="Times New Roman" w:eastAsia="仿宋" w:cs="Times New Roman"/>
                      <w:color w:val="000000" w:themeColor="text1"/>
                      <w:sz w:val="21"/>
                      <w:szCs w:val="21"/>
                      <w:lang w:val="en-US"/>
                      <w14:textFill>
                        <w14:solidFill>
                          <w14:schemeClr w14:val="tx1"/>
                        </w14:solidFill>
                      </w14:textFill>
                    </w:rPr>
                  </w:pPr>
                  <w:r>
                    <w:rPr>
                      <w:rFonts w:ascii="Times New Roman" w:hAnsi="Times New Roman" w:eastAsia="仿宋" w:cs="Times New Roman"/>
                      <w:color w:val="000000" w:themeColor="text1"/>
                      <w:sz w:val="21"/>
                      <w:szCs w:val="21"/>
                      <w:lang w:val="en-US"/>
                      <w14:textFill>
                        <w14:solidFill>
                          <w14:schemeClr w14:val="tx1"/>
                        </w14:solidFill>
                      </w14:textFill>
                    </w:rPr>
                    <w:t>50</w:t>
                  </w:r>
                </w:p>
              </w:tc>
              <w:tc>
                <w:tcPr>
                  <w:tcW w:w="1131" w:type="pct"/>
                  <w:vAlign w:val="center"/>
                </w:tcPr>
                <w:p w14:paraId="5A4628A1">
                  <w:pPr>
                    <w:pStyle w:val="82"/>
                    <w:jc w:val="center"/>
                    <w:rPr>
                      <w:rFonts w:ascii="Times New Roman" w:hAnsi="Times New Roman" w:eastAsia="仿宋" w:cs="Times New Roman"/>
                      <w:color w:val="000000" w:themeColor="text1"/>
                      <w:sz w:val="21"/>
                      <w:szCs w:val="21"/>
                      <w:lang w:val="en-US"/>
                      <w14:textFill>
                        <w14:solidFill>
                          <w14:schemeClr w14:val="tx1"/>
                        </w14:solidFill>
                      </w14:textFill>
                    </w:rPr>
                  </w:pPr>
                  <w:r>
                    <w:rPr>
                      <w:rFonts w:ascii="Times New Roman" w:hAnsi="Times New Roman" w:eastAsia="仿宋" w:cs="Times New Roman"/>
                      <w:color w:val="000000" w:themeColor="text1"/>
                      <w:sz w:val="21"/>
                      <w:szCs w:val="21"/>
                      <w:lang w:val="en-US"/>
                      <w14:textFill>
                        <w14:solidFill>
                          <w14:schemeClr w14:val="tx1"/>
                        </w14:solidFill>
                      </w14:textFill>
                    </w:rPr>
                    <w:t>1.8</w:t>
                  </w:r>
                </w:p>
              </w:tc>
              <w:tc>
                <w:tcPr>
                  <w:tcW w:w="1658" w:type="pct"/>
                  <w:vMerge w:val="continue"/>
                  <w:vAlign w:val="center"/>
                </w:tcPr>
                <w:p w14:paraId="50918240">
                  <w:pPr>
                    <w:jc w:val="center"/>
                    <w:rPr>
                      <w:rFonts w:eastAsia="仿宋"/>
                      <w:color w:val="000000" w:themeColor="text1"/>
                      <w:szCs w:val="21"/>
                      <w14:textFill>
                        <w14:solidFill>
                          <w14:schemeClr w14:val="tx1"/>
                        </w14:solidFill>
                      </w14:textFill>
                    </w:rPr>
                  </w:pPr>
                </w:p>
              </w:tc>
            </w:tr>
            <w:tr w14:paraId="5CC58C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9" w:hRule="atLeast"/>
                <w:jc w:val="center"/>
              </w:trPr>
              <w:tc>
                <w:tcPr>
                  <w:tcW w:w="1035" w:type="pct"/>
                  <w:vAlign w:val="center"/>
                </w:tcPr>
                <w:p w14:paraId="77B17AEF">
                  <w:pPr>
                    <w:pStyle w:val="82"/>
                    <w:jc w:val="center"/>
                    <w:rPr>
                      <w:rFonts w:ascii="Times New Roman" w:hAnsi="Times New Roman" w:eastAsia="仿宋" w:cs="Times New Roman"/>
                      <w:color w:val="000000" w:themeColor="text1"/>
                      <w:sz w:val="21"/>
                      <w:szCs w:val="21"/>
                      <w:lang w:val="en-US"/>
                      <w14:textFill>
                        <w14:solidFill>
                          <w14:schemeClr w14:val="tx1"/>
                        </w14:solidFill>
                      </w14:textFill>
                    </w:rPr>
                  </w:pPr>
                  <w:r>
                    <w:rPr>
                      <w:rFonts w:hint="eastAsia" w:ascii="Times New Roman" w:hAnsi="Times New Roman" w:eastAsia="仿宋" w:cs="Times New Roman"/>
                      <w:color w:val="000000" w:themeColor="text1"/>
                      <w:sz w:val="21"/>
                      <w:szCs w:val="21"/>
                      <w:lang w:val="en-US"/>
                      <w14:textFill>
                        <w14:solidFill>
                          <w14:schemeClr w14:val="tx1"/>
                        </w14:solidFill>
                      </w14:textFill>
                    </w:rPr>
                    <w:t>氮氧化物</w:t>
                  </w:r>
                </w:p>
              </w:tc>
              <w:tc>
                <w:tcPr>
                  <w:tcW w:w="1176" w:type="pct"/>
                  <w:vAlign w:val="center"/>
                </w:tcPr>
                <w:p w14:paraId="6EC61709">
                  <w:pPr>
                    <w:pStyle w:val="82"/>
                    <w:jc w:val="center"/>
                    <w:rPr>
                      <w:rFonts w:ascii="Times New Roman" w:hAnsi="Times New Roman" w:eastAsia="仿宋" w:cs="Times New Roman"/>
                      <w:color w:val="000000" w:themeColor="text1"/>
                      <w:sz w:val="21"/>
                      <w:szCs w:val="21"/>
                      <w:lang w:val="en-US"/>
                      <w14:textFill>
                        <w14:solidFill>
                          <w14:schemeClr w14:val="tx1"/>
                        </w14:solidFill>
                      </w14:textFill>
                    </w:rPr>
                  </w:pPr>
                  <w:r>
                    <w:rPr>
                      <w:rFonts w:hint="eastAsia" w:ascii="Times New Roman" w:hAnsi="Times New Roman" w:eastAsia="仿宋" w:cs="Times New Roman"/>
                      <w:color w:val="000000" w:themeColor="text1"/>
                      <w:sz w:val="21"/>
                      <w:szCs w:val="21"/>
                      <w:lang w:val="en-US"/>
                      <w14:textFill>
                        <w14:solidFill>
                          <w14:schemeClr w14:val="tx1"/>
                        </w14:solidFill>
                      </w14:textFill>
                    </w:rPr>
                    <w:t>5</w:t>
                  </w:r>
                  <w:r>
                    <w:rPr>
                      <w:rFonts w:ascii="Times New Roman" w:hAnsi="Times New Roman" w:eastAsia="仿宋" w:cs="Times New Roman"/>
                      <w:color w:val="000000" w:themeColor="text1"/>
                      <w:sz w:val="21"/>
                      <w:szCs w:val="21"/>
                      <w:lang w:val="en-US"/>
                      <w14:textFill>
                        <w14:solidFill>
                          <w14:schemeClr w14:val="tx1"/>
                        </w14:solidFill>
                      </w14:textFill>
                    </w:rPr>
                    <w:t>0</w:t>
                  </w:r>
                </w:p>
              </w:tc>
              <w:tc>
                <w:tcPr>
                  <w:tcW w:w="1131" w:type="pct"/>
                  <w:vAlign w:val="center"/>
                </w:tcPr>
                <w:p w14:paraId="406EA9FB">
                  <w:pPr>
                    <w:pStyle w:val="82"/>
                    <w:jc w:val="center"/>
                    <w:rPr>
                      <w:rFonts w:ascii="Times New Roman" w:hAnsi="Times New Roman" w:eastAsia="仿宋" w:cs="Times New Roman"/>
                      <w:color w:val="000000" w:themeColor="text1"/>
                      <w:sz w:val="21"/>
                      <w:szCs w:val="21"/>
                      <w:lang w:val="en-US"/>
                      <w14:textFill>
                        <w14:solidFill>
                          <w14:schemeClr w14:val="tx1"/>
                        </w14:solidFill>
                      </w14:textFill>
                    </w:rPr>
                  </w:pPr>
                  <w:r>
                    <w:rPr>
                      <w:rFonts w:hint="eastAsia" w:ascii="Times New Roman" w:hAnsi="Times New Roman" w:eastAsia="仿宋" w:cs="Times New Roman"/>
                      <w:color w:val="000000" w:themeColor="text1"/>
                      <w:sz w:val="21"/>
                      <w:szCs w:val="21"/>
                      <w:lang w:val="en-US"/>
                      <w14:textFill>
                        <w14:solidFill>
                          <w14:schemeClr w14:val="tx1"/>
                        </w14:solidFill>
                      </w14:textFill>
                    </w:rPr>
                    <w:t>/</w:t>
                  </w:r>
                </w:p>
              </w:tc>
              <w:tc>
                <w:tcPr>
                  <w:tcW w:w="1658" w:type="pct"/>
                  <w:vMerge w:val="restart"/>
                  <w:vAlign w:val="center"/>
                </w:tcPr>
                <w:p w14:paraId="707BE9CF">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《锅炉大气污染物排放标准》（DB32/4385-2022）</w:t>
                  </w:r>
                </w:p>
              </w:tc>
            </w:tr>
            <w:tr w14:paraId="65FA2F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1035" w:type="pct"/>
                  <w:vAlign w:val="center"/>
                </w:tcPr>
                <w:p w14:paraId="219AD79E">
                  <w:pPr>
                    <w:pStyle w:val="82"/>
                    <w:jc w:val="center"/>
                    <w:rPr>
                      <w:rFonts w:ascii="Times New Roman" w:hAnsi="Times New Roman" w:eastAsia="仿宋" w:cs="Times New Roman"/>
                      <w:color w:val="000000" w:themeColor="text1"/>
                      <w:sz w:val="21"/>
                      <w:szCs w:val="21"/>
                      <w:lang w:val="en-US"/>
                      <w14:textFill>
                        <w14:solidFill>
                          <w14:schemeClr w14:val="tx1"/>
                        </w14:solidFill>
                      </w14:textFill>
                    </w:rPr>
                  </w:pPr>
                  <w:r>
                    <w:rPr>
                      <w:rFonts w:hint="eastAsia" w:ascii="Times New Roman" w:hAnsi="Times New Roman" w:eastAsia="仿宋" w:cs="Times New Roman"/>
                      <w:color w:val="000000" w:themeColor="text1"/>
                      <w:sz w:val="21"/>
                      <w:szCs w:val="21"/>
                      <w:lang w:val="en-US"/>
                      <w14:textFill>
                        <w14:solidFill>
                          <w14:schemeClr w14:val="tx1"/>
                        </w14:solidFill>
                      </w14:textFill>
                    </w:rPr>
                    <w:t>二氧化硫</w:t>
                  </w:r>
                </w:p>
              </w:tc>
              <w:tc>
                <w:tcPr>
                  <w:tcW w:w="1176" w:type="pct"/>
                  <w:vAlign w:val="center"/>
                </w:tcPr>
                <w:p w14:paraId="4C4E9CC4">
                  <w:pPr>
                    <w:pStyle w:val="82"/>
                    <w:jc w:val="center"/>
                    <w:rPr>
                      <w:rFonts w:ascii="Times New Roman" w:hAnsi="Times New Roman" w:eastAsia="仿宋" w:cs="Times New Roman"/>
                      <w:color w:val="000000" w:themeColor="text1"/>
                      <w:sz w:val="21"/>
                      <w:szCs w:val="21"/>
                      <w:lang w:val="en-US"/>
                      <w14:textFill>
                        <w14:solidFill>
                          <w14:schemeClr w14:val="tx1"/>
                        </w14:solidFill>
                      </w14:textFill>
                    </w:rPr>
                  </w:pPr>
                  <w:r>
                    <w:rPr>
                      <w:rFonts w:hint="eastAsia" w:ascii="Times New Roman" w:hAnsi="Times New Roman" w:eastAsia="仿宋" w:cs="Times New Roman"/>
                      <w:color w:val="000000" w:themeColor="text1"/>
                      <w:sz w:val="21"/>
                      <w:szCs w:val="21"/>
                      <w:lang w:val="en-US"/>
                      <w14:textFill>
                        <w14:solidFill>
                          <w14:schemeClr w14:val="tx1"/>
                        </w14:solidFill>
                      </w14:textFill>
                    </w:rPr>
                    <w:t>3</w:t>
                  </w:r>
                  <w:r>
                    <w:rPr>
                      <w:rFonts w:ascii="Times New Roman" w:hAnsi="Times New Roman" w:eastAsia="仿宋" w:cs="Times New Roman"/>
                      <w:color w:val="000000" w:themeColor="text1"/>
                      <w:sz w:val="21"/>
                      <w:szCs w:val="21"/>
                      <w:lang w:val="en-US"/>
                      <w14:textFill>
                        <w14:solidFill>
                          <w14:schemeClr w14:val="tx1"/>
                        </w14:solidFill>
                      </w14:textFill>
                    </w:rPr>
                    <w:t>5</w:t>
                  </w:r>
                </w:p>
              </w:tc>
              <w:tc>
                <w:tcPr>
                  <w:tcW w:w="1131" w:type="pct"/>
                  <w:vAlign w:val="center"/>
                </w:tcPr>
                <w:p w14:paraId="7EE0F945">
                  <w:pPr>
                    <w:pStyle w:val="82"/>
                    <w:jc w:val="center"/>
                    <w:rPr>
                      <w:rFonts w:ascii="Times New Roman" w:hAnsi="Times New Roman" w:eastAsia="仿宋" w:cs="Times New Roman"/>
                      <w:color w:val="000000" w:themeColor="text1"/>
                      <w:sz w:val="21"/>
                      <w:szCs w:val="21"/>
                      <w:lang w:val="en-US"/>
                      <w14:textFill>
                        <w14:solidFill>
                          <w14:schemeClr w14:val="tx1"/>
                        </w14:solidFill>
                      </w14:textFill>
                    </w:rPr>
                  </w:pPr>
                  <w:r>
                    <w:rPr>
                      <w:rFonts w:hint="eastAsia" w:ascii="Times New Roman" w:hAnsi="Times New Roman" w:eastAsia="仿宋" w:cs="Times New Roman"/>
                      <w:color w:val="000000" w:themeColor="text1"/>
                      <w:sz w:val="21"/>
                      <w:szCs w:val="21"/>
                      <w:lang w:val="en-US"/>
                      <w14:textFill>
                        <w14:solidFill>
                          <w14:schemeClr w14:val="tx1"/>
                        </w14:solidFill>
                      </w14:textFill>
                    </w:rPr>
                    <w:t>/</w:t>
                  </w:r>
                </w:p>
              </w:tc>
              <w:tc>
                <w:tcPr>
                  <w:tcW w:w="1658" w:type="pct"/>
                  <w:vMerge w:val="continue"/>
                  <w:vAlign w:val="center"/>
                </w:tcPr>
                <w:p w14:paraId="17C7C5C1">
                  <w:pPr>
                    <w:jc w:val="center"/>
                    <w:rPr>
                      <w:rFonts w:eastAsia="仿宋"/>
                      <w:color w:val="000000" w:themeColor="text1"/>
                      <w:szCs w:val="21"/>
                      <w14:textFill>
                        <w14:solidFill>
                          <w14:schemeClr w14:val="tx1"/>
                        </w14:solidFill>
                      </w14:textFill>
                    </w:rPr>
                  </w:pPr>
                </w:p>
              </w:tc>
            </w:tr>
            <w:tr w14:paraId="1C19BD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 w:hRule="atLeast"/>
                <w:jc w:val="center"/>
              </w:trPr>
              <w:tc>
                <w:tcPr>
                  <w:tcW w:w="1035" w:type="pct"/>
                  <w:vAlign w:val="center"/>
                </w:tcPr>
                <w:p w14:paraId="4A0FE390">
                  <w:pPr>
                    <w:pStyle w:val="82"/>
                    <w:jc w:val="center"/>
                    <w:rPr>
                      <w:rFonts w:ascii="Times New Roman" w:hAnsi="Times New Roman" w:eastAsia="仿宋" w:cs="Times New Roman"/>
                      <w:color w:val="000000" w:themeColor="text1"/>
                      <w:sz w:val="21"/>
                      <w:szCs w:val="21"/>
                      <w:lang w:val="en-US"/>
                      <w14:textFill>
                        <w14:solidFill>
                          <w14:schemeClr w14:val="tx1"/>
                        </w14:solidFill>
                      </w14:textFill>
                    </w:rPr>
                  </w:pPr>
                  <w:r>
                    <w:rPr>
                      <w:rFonts w:hint="eastAsia" w:ascii="Times New Roman" w:hAnsi="Times New Roman" w:eastAsia="仿宋" w:cs="Times New Roman"/>
                      <w:color w:val="000000" w:themeColor="text1"/>
                      <w:sz w:val="21"/>
                      <w:szCs w:val="21"/>
                      <w:lang w:val="en-US"/>
                      <w14:textFill>
                        <w14:solidFill>
                          <w14:schemeClr w14:val="tx1"/>
                        </w14:solidFill>
                      </w14:textFill>
                    </w:rPr>
                    <w:t>颗粒物</w:t>
                  </w:r>
                </w:p>
              </w:tc>
              <w:tc>
                <w:tcPr>
                  <w:tcW w:w="1176" w:type="pct"/>
                  <w:vAlign w:val="center"/>
                </w:tcPr>
                <w:p w14:paraId="5E99DF4E">
                  <w:pPr>
                    <w:pStyle w:val="82"/>
                    <w:jc w:val="center"/>
                    <w:rPr>
                      <w:rFonts w:ascii="Times New Roman" w:hAnsi="Times New Roman" w:eastAsia="仿宋" w:cs="Times New Roman"/>
                      <w:color w:val="000000" w:themeColor="text1"/>
                      <w:sz w:val="21"/>
                      <w:szCs w:val="21"/>
                      <w:lang w:val="en-US"/>
                      <w14:textFill>
                        <w14:solidFill>
                          <w14:schemeClr w14:val="tx1"/>
                        </w14:solidFill>
                      </w14:textFill>
                    </w:rPr>
                  </w:pPr>
                  <w:r>
                    <w:rPr>
                      <w:rFonts w:hint="eastAsia" w:ascii="Times New Roman" w:hAnsi="Times New Roman" w:eastAsia="仿宋" w:cs="Times New Roman"/>
                      <w:color w:val="000000" w:themeColor="text1"/>
                      <w:sz w:val="21"/>
                      <w:szCs w:val="21"/>
                      <w:lang w:val="en-US"/>
                      <w14:textFill>
                        <w14:solidFill>
                          <w14:schemeClr w14:val="tx1"/>
                        </w14:solidFill>
                      </w14:textFill>
                    </w:rPr>
                    <w:t>1</w:t>
                  </w:r>
                  <w:r>
                    <w:rPr>
                      <w:rFonts w:ascii="Times New Roman" w:hAnsi="Times New Roman" w:eastAsia="仿宋" w:cs="Times New Roman"/>
                      <w:color w:val="000000" w:themeColor="text1"/>
                      <w:sz w:val="21"/>
                      <w:szCs w:val="21"/>
                      <w:lang w:val="en-US"/>
                      <w14:textFill>
                        <w14:solidFill>
                          <w14:schemeClr w14:val="tx1"/>
                        </w14:solidFill>
                      </w14:textFill>
                    </w:rPr>
                    <w:t>0</w:t>
                  </w:r>
                </w:p>
              </w:tc>
              <w:tc>
                <w:tcPr>
                  <w:tcW w:w="1131" w:type="pct"/>
                  <w:vAlign w:val="center"/>
                </w:tcPr>
                <w:p w14:paraId="5018A4ED">
                  <w:pPr>
                    <w:pStyle w:val="82"/>
                    <w:jc w:val="center"/>
                    <w:rPr>
                      <w:rFonts w:ascii="Times New Roman" w:hAnsi="Times New Roman" w:eastAsia="仿宋" w:cs="Times New Roman"/>
                      <w:color w:val="000000" w:themeColor="text1"/>
                      <w:sz w:val="21"/>
                      <w:szCs w:val="21"/>
                      <w:lang w:val="en-US"/>
                      <w14:textFill>
                        <w14:solidFill>
                          <w14:schemeClr w14:val="tx1"/>
                        </w14:solidFill>
                      </w14:textFill>
                    </w:rPr>
                  </w:pPr>
                  <w:r>
                    <w:rPr>
                      <w:rFonts w:hint="eastAsia" w:ascii="Times New Roman" w:hAnsi="Times New Roman" w:eastAsia="仿宋" w:cs="Times New Roman"/>
                      <w:color w:val="000000" w:themeColor="text1"/>
                      <w:sz w:val="21"/>
                      <w:szCs w:val="21"/>
                      <w:lang w:val="en-US"/>
                      <w14:textFill>
                        <w14:solidFill>
                          <w14:schemeClr w14:val="tx1"/>
                        </w14:solidFill>
                      </w14:textFill>
                    </w:rPr>
                    <w:t>/</w:t>
                  </w:r>
                </w:p>
              </w:tc>
              <w:tc>
                <w:tcPr>
                  <w:tcW w:w="1658" w:type="pct"/>
                  <w:vMerge w:val="continue"/>
                  <w:vAlign w:val="center"/>
                </w:tcPr>
                <w:p w14:paraId="5C7C0006">
                  <w:pPr>
                    <w:jc w:val="center"/>
                    <w:rPr>
                      <w:rFonts w:eastAsia="仿宋"/>
                      <w:color w:val="000000" w:themeColor="text1"/>
                      <w:szCs w:val="21"/>
                      <w14:textFill>
                        <w14:solidFill>
                          <w14:schemeClr w14:val="tx1"/>
                        </w14:solidFill>
                      </w14:textFill>
                    </w:rPr>
                  </w:pPr>
                </w:p>
              </w:tc>
            </w:tr>
            <w:tr w14:paraId="0E00529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3" w:hRule="atLeast"/>
                <w:jc w:val="center"/>
              </w:trPr>
              <w:tc>
                <w:tcPr>
                  <w:tcW w:w="1035" w:type="pct"/>
                  <w:vAlign w:val="center"/>
                </w:tcPr>
                <w:p w14:paraId="228975C2">
                  <w:pPr>
                    <w:pStyle w:val="82"/>
                    <w:jc w:val="center"/>
                    <w:rPr>
                      <w:rFonts w:ascii="Times New Roman" w:hAnsi="Times New Roman" w:eastAsia="仿宋" w:cs="Times New Roman"/>
                      <w:color w:val="000000" w:themeColor="text1"/>
                      <w:sz w:val="21"/>
                      <w:szCs w:val="21"/>
                      <w:lang w:val="en-US"/>
                      <w14:textFill>
                        <w14:solidFill>
                          <w14:schemeClr w14:val="tx1"/>
                        </w14:solidFill>
                      </w14:textFill>
                    </w:rPr>
                  </w:pPr>
                  <w:r>
                    <w:rPr>
                      <w:rFonts w:hint="eastAsia" w:ascii="Times New Roman" w:hAnsi="Times New Roman" w:eastAsia="仿宋" w:cs="Times New Roman"/>
                      <w:color w:val="000000" w:themeColor="text1"/>
                      <w:sz w:val="21"/>
                      <w:szCs w:val="21"/>
                      <w:lang w:val="en-US"/>
                      <w14:textFill>
                        <w14:solidFill>
                          <w14:schemeClr w14:val="tx1"/>
                        </w14:solidFill>
                      </w14:textFill>
                    </w:rPr>
                    <w:t>林格曼黑度</w:t>
                  </w:r>
                </w:p>
              </w:tc>
              <w:tc>
                <w:tcPr>
                  <w:tcW w:w="2307" w:type="pct"/>
                  <w:gridSpan w:val="2"/>
                  <w:vAlign w:val="center"/>
                </w:tcPr>
                <w:p w14:paraId="0E775B69">
                  <w:pPr>
                    <w:pStyle w:val="82"/>
                    <w:jc w:val="center"/>
                    <w:rPr>
                      <w:rFonts w:ascii="Times New Roman" w:hAnsi="Times New Roman" w:eastAsia="仿宋" w:cs="Times New Roman"/>
                      <w:color w:val="000000" w:themeColor="text1"/>
                      <w:sz w:val="21"/>
                      <w:szCs w:val="21"/>
                      <w:lang w:val="en-US"/>
                      <w14:textFill>
                        <w14:solidFill>
                          <w14:schemeClr w14:val="tx1"/>
                        </w14:solidFill>
                      </w14:textFill>
                    </w:rPr>
                  </w:pPr>
                  <w:r>
                    <w:rPr>
                      <w:rFonts w:hint="eastAsia" w:ascii="Times New Roman" w:hAnsi="Times New Roman" w:eastAsia="仿宋" w:cs="Times New Roman"/>
                      <w:color w:val="000000" w:themeColor="text1"/>
                      <w:sz w:val="21"/>
                      <w:szCs w:val="21"/>
                      <w:lang w:val="en-US"/>
                      <w14:textFill>
                        <w14:solidFill>
                          <w14:schemeClr w14:val="tx1"/>
                        </w14:solidFill>
                      </w14:textFill>
                    </w:rPr>
                    <w:t>1级</w:t>
                  </w:r>
                </w:p>
              </w:tc>
              <w:tc>
                <w:tcPr>
                  <w:tcW w:w="1658" w:type="pct"/>
                  <w:vMerge w:val="continue"/>
                  <w:vAlign w:val="center"/>
                </w:tcPr>
                <w:p w14:paraId="13FA8D02">
                  <w:pPr>
                    <w:jc w:val="center"/>
                    <w:rPr>
                      <w:rFonts w:eastAsia="仿宋"/>
                      <w:color w:val="000000" w:themeColor="text1"/>
                      <w:szCs w:val="21"/>
                      <w14:textFill>
                        <w14:solidFill>
                          <w14:schemeClr w14:val="tx1"/>
                        </w14:solidFill>
                      </w14:textFill>
                    </w:rPr>
                  </w:pPr>
                </w:p>
              </w:tc>
            </w:tr>
          </w:tbl>
          <w:p w14:paraId="3D6DC5B9">
            <w:pPr>
              <w:pStyle w:val="7"/>
              <w:rPr>
                <w:color w:val="000000" w:themeColor="text1"/>
                <w14:textFill>
                  <w14:solidFill>
                    <w14:schemeClr w14:val="tx1"/>
                  </w14:solidFill>
                </w14:textFill>
              </w:rPr>
            </w:pPr>
            <w:r>
              <w:rPr>
                <w:rFonts w:hint="eastAsia"/>
                <w:color w:val="000000" w:themeColor="text1"/>
                <w14:textFill>
                  <w14:solidFill>
                    <w14:schemeClr w14:val="tx1"/>
                  </w14:solidFill>
                </w14:textFill>
              </w:rPr>
              <w:t>表3</w:t>
            </w:r>
            <w:r>
              <w:rPr>
                <w:color w:val="000000" w:themeColor="text1"/>
                <w14:textFill>
                  <w14:solidFill>
                    <w14:schemeClr w14:val="tx1"/>
                  </w14:solidFill>
                </w14:textFill>
              </w:rPr>
              <w:t xml:space="preserve">-6 </w:t>
            </w:r>
            <w:r>
              <w:rPr>
                <w:rFonts w:hint="eastAsia"/>
                <w:color w:val="000000" w:themeColor="text1"/>
                <w14:textFill>
                  <w14:solidFill>
                    <w14:schemeClr w14:val="tx1"/>
                  </w14:solidFill>
                </w14:textFill>
              </w:rPr>
              <w:t>厂界无组织废气污染物排放标准</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830"/>
              <w:gridCol w:w="2080"/>
              <w:gridCol w:w="2000"/>
              <w:gridCol w:w="2932"/>
            </w:tblGrid>
            <w:tr w14:paraId="5CD152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35" w:type="pct"/>
                  <w:vMerge w:val="restart"/>
                  <w:vAlign w:val="center"/>
                </w:tcPr>
                <w:p w14:paraId="374713A3">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污染物</w:t>
                  </w:r>
                </w:p>
              </w:tc>
              <w:tc>
                <w:tcPr>
                  <w:tcW w:w="1176" w:type="pct"/>
                  <w:vMerge w:val="restart"/>
                  <w:vAlign w:val="center"/>
                </w:tcPr>
                <w:p w14:paraId="3CC92E5B">
                  <w:pPr>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监测</w:t>
                  </w:r>
                  <w:r>
                    <w:rPr>
                      <w:rFonts w:eastAsia="仿宋"/>
                      <w:b/>
                      <w:bCs/>
                      <w:color w:val="000000" w:themeColor="text1"/>
                      <w:szCs w:val="21"/>
                      <w14:textFill>
                        <w14:solidFill>
                          <w14:schemeClr w14:val="tx1"/>
                        </w14:solidFill>
                      </w14:textFill>
                    </w:rPr>
                    <w:t>浓度</w:t>
                  </w:r>
                  <w:r>
                    <w:rPr>
                      <w:rFonts w:hint="eastAsia" w:eastAsia="仿宋"/>
                      <w:b/>
                      <w:bCs/>
                      <w:color w:val="000000" w:themeColor="text1"/>
                      <w:szCs w:val="21"/>
                      <w14:textFill>
                        <w14:solidFill>
                          <w14:schemeClr w14:val="tx1"/>
                        </w14:solidFill>
                      </w14:textFill>
                    </w:rPr>
                    <w:t>限值</w:t>
                  </w:r>
                  <w:r>
                    <w:rPr>
                      <w:rFonts w:eastAsia="仿宋"/>
                      <w:b/>
                      <w:bCs/>
                      <w:color w:val="000000" w:themeColor="text1"/>
                      <w:szCs w:val="21"/>
                      <w14:textFill>
                        <w14:solidFill>
                          <w14:schemeClr w14:val="tx1"/>
                        </w14:solidFill>
                      </w14:textFill>
                    </w:rPr>
                    <w:t>（mg/m</w:t>
                  </w:r>
                  <w:r>
                    <w:rPr>
                      <w:rFonts w:eastAsia="仿宋"/>
                      <w:b/>
                      <w:bCs/>
                      <w:color w:val="000000" w:themeColor="text1"/>
                      <w:szCs w:val="21"/>
                      <w:vertAlign w:val="superscript"/>
                      <w14:textFill>
                        <w14:solidFill>
                          <w14:schemeClr w14:val="tx1"/>
                        </w14:solidFill>
                      </w14:textFill>
                    </w:rPr>
                    <w:t>3</w:t>
                  </w:r>
                  <w:r>
                    <w:rPr>
                      <w:rFonts w:eastAsia="仿宋"/>
                      <w:b/>
                      <w:bCs/>
                      <w:color w:val="000000" w:themeColor="text1"/>
                      <w:szCs w:val="21"/>
                      <w14:textFill>
                        <w14:solidFill>
                          <w14:schemeClr w14:val="tx1"/>
                        </w14:solidFill>
                      </w14:textFill>
                    </w:rPr>
                    <w:t>）</w:t>
                  </w:r>
                </w:p>
              </w:tc>
              <w:tc>
                <w:tcPr>
                  <w:tcW w:w="1131" w:type="pct"/>
                  <w:vMerge w:val="restart"/>
                  <w:vAlign w:val="center"/>
                </w:tcPr>
                <w:p w14:paraId="0D04203E">
                  <w:pPr>
                    <w:jc w:val="center"/>
                    <w:rPr>
                      <w:rFonts w:eastAsia="仿宋"/>
                      <w:b/>
                      <w:bCs/>
                      <w:color w:val="000000" w:themeColor="text1"/>
                      <w:szCs w:val="21"/>
                      <w14:textFill>
                        <w14:solidFill>
                          <w14:schemeClr w14:val="tx1"/>
                        </w14:solidFill>
                      </w14:textFill>
                    </w:rPr>
                  </w:pPr>
                  <w:r>
                    <w:rPr>
                      <w:rFonts w:eastAsia="仿宋"/>
                      <w:b/>
                      <w:bCs/>
                      <w:color w:val="000000" w:themeColor="text1"/>
                      <w14:textFill>
                        <w14:solidFill>
                          <w14:schemeClr w14:val="tx1"/>
                        </w14:solidFill>
                      </w14:textFill>
                    </w:rPr>
                    <w:t>监控位置</w:t>
                  </w:r>
                </w:p>
              </w:tc>
              <w:tc>
                <w:tcPr>
                  <w:tcW w:w="1658" w:type="pct"/>
                  <w:vMerge w:val="restart"/>
                  <w:vAlign w:val="center"/>
                </w:tcPr>
                <w:p w14:paraId="7255B36D">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执行标准</w:t>
                  </w:r>
                </w:p>
              </w:tc>
            </w:tr>
            <w:tr w14:paraId="7DBE226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1" w:hRule="atLeast"/>
                <w:jc w:val="center"/>
              </w:trPr>
              <w:tc>
                <w:tcPr>
                  <w:tcW w:w="1035" w:type="pct"/>
                  <w:vMerge w:val="continue"/>
                  <w:vAlign w:val="center"/>
                </w:tcPr>
                <w:p w14:paraId="655DE79A">
                  <w:pPr>
                    <w:jc w:val="center"/>
                    <w:rPr>
                      <w:rFonts w:eastAsia="仿宋"/>
                      <w:color w:val="000000" w:themeColor="text1"/>
                      <w:szCs w:val="21"/>
                      <w14:textFill>
                        <w14:solidFill>
                          <w14:schemeClr w14:val="tx1"/>
                        </w14:solidFill>
                      </w14:textFill>
                    </w:rPr>
                  </w:pPr>
                </w:p>
              </w:tc>
              <w:tc>
                <w:tcPr>
                  <w:tcW w:w="1176" w:type="pct"/>
                  <w:vMerge w:val="continue"/>
                  <w:vAlign w:val="center"/>
                </w:tcPr>
                <w:p w14:paraId="5E8AEB97">
                  <w:pPr>
                    <w:jc w:val="center"/>
                    <w:rPr>
                      <w:rFonts w:eastAsia="仿宋"/>
                      <w:color w:val="000000" w:themeColor="text1"/>
                      <w:szCs w:val="21"/>
                      <w14:textFill>
                        <w14:solidFill>
                          <w14:schemeClr w14:val="tx1"/>
                        </w14:solidFill>
                      </w14:textFill>
                    </w:rPr>
                  </w:pPr>
                </w:p>
              </w:tc>
              <w:tc>
                <w:tcPr>
                  <w:tcW w:w="1131" w:type="pct"/>
                  <w:vMerge w:val="continue"/>
                  <w:vAlign w:val="center"/>
                </w:tcPr>
                <w:p w14:paraId="127CE83C">
                  <w:pPr>
                    <w:jc w:val="center"/>
                    <w:rPr>
                      <w:rFonts w:eastAsia="仿宋"/>
                      <w:color w:val="000000" w:themeColor="text1"/>
                      <w:szCs w:val="21"/>
                      <w14:textFill>
                        <w14:solidFill>
                          <w14:schemeClr w14:val="tx1"/>
                        </w14:solidFill>
                      </w14:textFill>
                    </w:rPr>
                  </w:pPr>
                </w:p>
              </w:tc>
              <w:tc>
                <w:tcPr>
                  <w:tcW w:w="1658" w:type="pct"/>
                  <w:vMerge w:val="continue"/>
                  <w:vAlign w:val="center"/>
                </w:tcPr>
                <w:p w14:paraId="5CE5FA3F">
                  <w:pPr>
                    <w:jc w:val="center"/>
                    <w:rPr>
                      <w:rFonts w:eastAsia="仿宋"/>
                      <w:color w:val="000000" w:themeColor="text1"/>
                      <w:szCs w:val="21"/>
                      <w14:textFill>
                        <w14:solidFill>
                          <w14:schemeClr w14:val="tx1"/>
                        </w14:solidFill>
                      </w14:textFill>
                    </w:rPr>
                  </w:pPr>
                </w:p>
              </w:tc>
            </w:tr>
            <w:tr w14:paraId="2C481A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1" w:hRule="atLeast"/>
                <w:jc w:val="center"/>
              </w:trPr>
              <w:tc>
                <w:tcPr>
                  <w:tcW w:w="1035" w:type="pct"/>
                  <w:vAlign w:val="center"/>
                </w:tcPr>
                <w:p w14:paraId="023B536B">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非甲烷总烃</w:t>
                  </w:r>
                </w:p>
              </w:tc>
              <w:tc>
                <w:tcPr>
                  <w:tcW w:w="1176" w:type="pct"/>
                  <w:vAlign w:val="center"/>
                </w:tcPr>
                <w:p w14:paraId="38FBDCC1">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4</w:t>
                  </w:r>
                </w:p>
              </w:tc>
              <w:tc>
                <w:tcPr>
                  <w:tcW w:w="1131" w:type="pct"/>
                  <w:vMerge w:val="restart"/>
                  <w:vAlign w:val="center"/>
                </w:tcPr>
                <w:p w14:paraId="3150AA63">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边界外浓度最高点</w:t>
                  </w:r>
                </w:p>
              </w:tc>
              <w:tc>
                <w:tcPr>
                  <w:tcW w:w="1658" w:type="pct"/>
                  <w:vMerge w:val="restart"/>
                  <w:vAlign w:val="center"/>
                </w:tcPr>
                <w:p w14:paraId="7EA57360">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《大气污染物综合排放标准》（DB32/4041-2021）</w:t>
                  </w:r>
                </w:p>
              </w:tc>
            </w:tr>
            <w:tr w14:paraId="2D9FEF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1" w:hRule="atLeast"/>
                <w:jc w:val="center"/>
              </w:trPr>
              <w:tc>
                <w:tcPr>
                  <w:tcW w:w="1035" w:type="pct"/>
                  <w:vAlign w:val="center"/>
                </w:tcPr>
                <w:p w14:paraId="215095FC">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甲醇</w:t>
                  </w:r>
                </w:p>
              </w:tc>
              <w:tc>
                <w:tcPr>
                  <w:tcW w:w="1176" w:type="pct"/>
                  <w:vAlign w:val="center"/>
                </w:tcPr>
                <w:p w14:paraId="2B96A80F">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1</w:t>
                  </w:r>
                </w:p>
              </w:tc>
              <w:tc>
                <w:tcPr>
                  <w:tcW w:w="1131" w:type="pct"/>
                  <w:vMerge w:val="continue"/>
                  <w:vAlign w:val="center"/>
                </w:tcPr>
                <w:p w14:paraId="4DBA142D">
                  <w:pPr>
                    <w:jc w:val="center"/>
                    <w:rPr>
                      <w:rFonts w:eastAsia="仿宋"/>
                      <w:color w:val="000000" w:themeColor="text1"/>
                      <w:szCs w:val="21"/>
                      <w14:textFill>
                        <w14:solidFill>
                          <w14:schemeClr w14:val="tx1"/>
                        </w14:solidFill>
                      </w14:textFill>
                    </w:rPr>
                  </w:pPr>
                </w:p>
              </w:tc>
              <w:tc>
                <w:tcPr>
                  <w:tcW w:w="1658" w:type="pct"/>
                  <w:vMerge w:val="continue"/>
                  <w:vAlign w:val="center"/>
                </w:tcPr>
                <w:p w14:paraId="76A4DC2F">
                  <w:pPr>
                    <w:jc w:val="center"/>
                    <w:rPr>
                      <w:rFonts w:eastAsia="仿宋"/>
                      <w:color w:val="000000" w:themeColor="text1"/>
                      <w:szCs w:val="21"/>
                      <w14:textFill>
                        <w14:solidFill>
                          <w14:schemeClr w14:val="tx1"/>
                        </w14:solidFill>
                      </w14:textFill>
                    </w:rPr>
                  </w:pPr>
                </w:p>
              </w:tc>
            </w:tr>
          </w:tbl>
          <w:p w14:paraId="6BA4DEB5">
            <w:pPr>
              <w:pStyle w:val="7"/>
              <w:rPr>
                <w:color w:val="000000" w:themeColor="text1"/>
                <w14:textFill>
                  <w14:solidFill>
                    <w14:schemeClr w14:val="tx1"/>
                  </w14:solidFill>
                </w14:textFill>
              </w:rPr>
            </w:pPr>
            <w:r>
              <w:rPr>
                <w:rFonts w:hint="eastAsia"/>
                <w:color w:val="000000" w:themeColor="text1"/>
                <w14:textFill>
                  <w14:solidFill>
                    <w14:schemeClr w14:val="tx1"/>
                  </w14:solidFill>
                </w14:textFill>
              </w:rPr>
              <w:t>表3</w:t>
            </w:r>
            <w:r>
              <w:rPr>
                <w:color w:val="000000" w:themeColor="text1"/>
                <w14:textFill>
                  <w14:solidFill>
                    <w14:schemeClr w14:val="tx1"/>
                  </w14:solidFill>
                </w14:textFill>
              </w:rPr>
              <w:t xml:space="preserve">-7 </w:t>
            </w:r>
            <w:r>
              <w:rPr>
                <w:rFonts w:hint="eastAsia"/>
                <w:color w:val="000000" w:themeColor="text1"/>
                <w14:textFill>
                  <w14:solidFill>
                    <w14:schemeClr w14:val="tx1"/>
                  </w14:solidFill>
                </w14:textFill>
              </w:rPr>
              <w:t>厂区内非甲烷总烃无组织排放限值 单</w:t>
            </w:r>
            <w:r>
              <w:rPr>
                <w:color w:val="000000" w:themeColor="text1"/>
                <w14:textFill>
                  <w14:solidFill>
                    <w14:schemeClr w14:val="tx1"/>
                  </w14:solidFill>
                </w14:textFill>
              </w:rPr>
              <w:t>位：mg/m</w:t>
            </w:r>
            <w:r>
              <w:rPr>
                <w:color w:val="000000" w:themeColor="text1"/>
                <w:vertAlign w:val="superscript"/>
                <w14:textFill>
                  <w14:solidFill>
                    <w14:schemeClr w14:val="tx1"/>
                  </w14:solidFill>
                </w14:textFill>
              </w:rPr>
              <w:t>3</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3"/>
              <w:gridCol w:w="1079"/>
              <w:gridCol w:w="2725"/>
              <w:gridCol w:w="1481"/>
              <w:gridCol w:w="2624"/>
            </w:tblGrid>
            <w:tr w14:paraId="059CE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8" w:type="pct"/>
                  <w:vAlign w:val="center"/>
                </w:tcPr>
                <w:p w14:paraId="2F00C848">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污染物名称</w:t>
                  </w:r>
                </w:p>
              </w:tc>
              <w:tc>
                <w:tcPr>
                  <w:tcW w:w="610" w:type="pct"/>
                  <w:vAlign w:val="center"/>
                </w:tcPr>
                <w:p w14:paraId="4C1035D1">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排放限值</w:t>
                  </w:r>
                </w:p>
              </w:tc>
              <w:tc>
                <w:tcPr>
                  <w:tcW w:w="1540" w:type="pct"/>
                  <w:vAlign w:val="center"/>
                </w:tcPr>
                <w:p w14:paraId="24ED6D97">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限值含义</w:t>
                  </w:r>
                </w:p>
              </w:tc>
              <w:tc>
                <w:tcPr>
                  <w:tcW w:w="837" w:type="pct"/>
                  <w:vAlign w:val="center"/>
                </w:tcPr>
                <w:p w14:paraId="43920B74">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无组织排放监控位置</w:t>
                  </w:r>
                </w:p>
              </w:tc>
              <w:tc>
                <w:tcPr>
                  <w:tcW w:w="1483" w:type="pct"/>
                  <w:vAlign w:val="center"/>
                </w:tcPr>
                <w:p w14:paraId="54CE3390">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标准来源</w:t>
                  </w:r>
                </w:p>
              </w:tc>
            </w:tr>
            <w:tr w14:paraId="46789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528" w:type="pct"/>
                  <w:vMerge w:val="restart"/>
                  <w:vAlign w:val="center"/>
                </w:tcPr>
                <w:p w14:paraId="705637C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非甲烷总烃</w:t>
                  </w:r>
                </w:p>
              </w:tc>
              <w:tc>
                <w:tcPr>
                  <w:tcW w:w="610" w:type="pct"/>
                  <w:vAlign w:val="center"/>
                </w:tcPr>
                <w:p w14:paraId="36A6766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w:t>
                  </w:r>
                </w:p>
              </w:tc>
              <w:tc>
                <w:tcPr>
                  <w:tcW w:w="1540" w:type="pct"/>
                  <w:vAlign w:val="center"/>
                </w:tcPr>
                <w:p w14:paraId="2B1A292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监控点处1h平均浓度值</w:t>
                  </w:r>
                </w:p>
              </w:tc>
              <w:tc>
                <w:tcPr>
                  <w:tcW w:w="837" w:type="pct"/>
                  <w:vMerge w:val="restart"/>
                  <w:vAlign w:val="center"/>
                </w:tcPr>
                <w:p w14:paraId="25A9E38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在厂房外设置监控点</w:t>
                  </w:r>
                </w:p>
              </w:tc>
              <w:tc>
                <w:tcPr>
                  <w:tcW w:w="1483" w:type="pct"/>
                  <w:vMerge w:val="restart"/>
                  <w:vAlign w:val="center"/>
                </w:tcPr>
                <w:p w14:paraId="0189D55C">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《大气污染物综合排放标准》（DB32/4041-2021）</w:t>
                  </w:r>
                </w:p>
              </w:tc>
            </w:tr>
            <w:tr w14:paraId="5DCB7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528" w:type="pct"/>
                  <w:vMerge w:val="continue"/>
                  <w:vAlign w:val="center"/>
                </w:tcPr>
                <w:p w14:paraId="1C456494">
                  <w:pPr>
                    <w:jc w:val="center"/>
                    <w:rPr>
                      <w:rFonts w:eastAsia="仿宋"/>
                      <w:color w:val="000000" w:themeColor="text1"/>
                      <w:szCs w:val="21"/>
                      <w14:textFill>
                        <w14:solidFill>
                          <w14:schemeClr w14:val="tx1"/>
                        </w14:solidFill>
                      </w14:textFill>
                    </w:rPr>
                  </w:pPr>
                </w:p>
              </w:tc>
              <w:tc>
                <w:tcPr>
                  <w:tcW w:w="610" w:type="pct"/>
                  <w:vAlign w:val="center"/>
                </w:tcPr>
                <w:p w14:paraId="2D304D72">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2</w:t>
                  </w:r>
                  <w:r>
                    <w:rPr>
                      <w:rFonts w:eastAsia="仿宋"/>
                      <w:color w:val="000000" w:themeColor="text1"/>
                      <w:szCs w:val="21"/>
                      <w14:textFill>
                        <w14:solidFill>
                          <w14:schemeClr w14:val="tx1"/>
                        </w14:solidFill>
                      </w14:textFill>
                    </w:rPr>
                    <w:t>0</w:t>
                  </w:r>
                </w:p>
              </w:tc>
              <w:tc>
                <w:tcPr>
                  <w:tcW w:w="1540" w:type="pct"/>
                  <w:vAlign w:val="center"/>
                </w:tcPr>
                <w:p w14:paraId="3117D36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监控点处任意一次浓度值</w:t>
                  </w:r>
                </w:p>
              </w:tc>
              <w:tc>
                <w:tcPr>
                  <w:tcW w:w="837" w:type="pct"/>
                  <w:vMerge w:val="continue"/>
                  <w:vAlign w:val="center"/>
                </w:tcPr>
                <w:p w14:paraId="7A16BB3C">
                  <w:pPr>
                    <w:pStyle w:val="54"/>
                    <w:spacing w:line="320" w:lineRule="exact"/>
                    <w:ind w:firstLine="420"/>
                    <w:rPr>
                      <w:rFonts w:ascii="Times New Roman" w:eastAsia="仿宋"/>
                      <w:color w:val="000000" w:themeColor="text1"/>
                      <w:szCs w:val="21"/>
                      <w14:textFill>
                        <w14:solidFill>
                          <w14:schemeClr w14:val="tx1"/>
                        </w14:solidFill>
                      </w14:textFill>
                    </w:rPr>
                  </w:pPr>
                </w:p>
              </w:tc>
              <w:tc>
                <w:tcPr>
                  <w:tcW w:w="1483" w:type="pct"/>
                  <w:vMerge w:val="continue"/>
                  <w:vAlign w:val="center"/>
                </w:tcPr>
                <w:p w14:paraId="5519E74E">
                  <w:pPr>
                    <w:pStyle w:val="54"/>
                    <w:spacing w:line="320" w:lineRule="exact"/>
                    <w:ind w:firstLine="420"/>
                    <w:rPr>
                      <w:rFonts w:ascii="Times New Roman" w:eastAsia="仿宋"/>
                      <w:color w:val="000000" w:themeColor="text1"/>
                      <w:szCs w:val="21"/>
                      <w14:textFill>
                        <w14:solidFill>
                          <w14:schemeClr w14:val="tx1"/>
                        </w14:solidFill>
                      </w14:textFill>
                    </w:rPr>
                  </w:pPr>
                </w:p>
              </w:tc>
            </w:tr>
          </w:tbl>
          <w:p w14:paraId="73E9A09E">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根据《锅炉大气污染物排放标准》（DB32/4385-2022）中的“6.达标判定要求”，实测的大气污染物排放浓度，应按照式（1）换算为表5规定的基准氧含量条件下的排放浓度，并以此作为达标判定的依据。</w:t>
            </w:r>
            <w:r>
              <w:rPr>
                <w:rFonts w:hint="eastAsia" w:eastAsia="仿宋"/>
                <w:color w:val="000000" w:themeColor="text1"/>
                <w:sz w:val="24"/>
                <w14:textFill>
                  <w14:solidFill>
                    <w14:schemeClr w14:val="tx1"/>
                  </w14:solidFill>
                </w14:textFill>
              </w:rPr>
              <w:t>基准氧含量换算公式如下所示：</w:t>
            </w:r>
          </w:p>
          <w:p w14:paraId="1B1A5E22">
            <w:pPr>
              <w:jc w:val="center"/>
              <w:rPr>
                <w:rFonts w:eastAsia="仿宋"/>
                <w:color w:val="000000" w:themeColor="text1"/>
                <w:sz w:val="24"/>
                <w14:textFill>
                  <w14:solidFill>
                    <w14:schemeClr w14:val="tx1"/>
                  </w14:solidFill>
                </w14:textFill>
              </w:rPr>
            </w:pPr>
            <m:oMath>
              <m:r>
                <m:rPr/>
                <w:rPr>
                  <w:rFonts w:ascii="Cambria Math" w:hAnsi="Cambria Math" w:eastAsia="仿宋"/>
                  <w:color w:val="000000" w:themeColor="text1"/>
                  <w:sz w:val="24"/>
                  <w14:textFill>
                    <w14:solidFill>
                      <w14:schemeClr w14:val="tx1"/>
                    </w14:solidFill>
                  </w14:textFill>
                </w:rPr>
                <m:t>ρ=ρ'×</m:t>
              </m:r>
              <m:f>
                <m:fPr>
                  <m:ctrlPr>
                    <w:rPr>
                      <w:rFonts w:ascii="Cambria Math" w:hAnsi="Cambria Math" w:eastAsia="仿宋"/>
                      <w:i/>
                      <w:color w:val="000000" w:themeColor="text1"/>
                      <w:sz w:val="24"/>
                      <w14:textFill>
                        <w14:solidFill>
                          <w14:schemeClr w14:val="tx1"/>
                        </w14:solidFill>
                      </w14:textFill>
                    </w:rPr>
                  </m:ctrlPr>
                </m:fPr>
                <m:num>
                  <m:r>
                    <m:rPr/>
                    <w:rPr>
                      <w:rFonts w:ascii="Cambria Math" w:hAnsi="Cambria Math" w:eastAsia="仿宋"/>
                      <w:color w:val="000000" w:themeColor="text1"/>
                      <w:sz w:val="24"/>
                      <w14:textFill>
                        <w14:solidFill>
                          <w14:schemeClr w14:val="tx1"/>
                        </w14:solidFill>
                      </w14:textFill>
                    </w:rPr>
                    <m:t>21−φ(</m:t>
                  </m:r>
                  <m:sSub>
                    <m:sSubPr>
                      <m:ctrlPr>
                        <w:rPr>
                          <w:rFonts w:ascii="Cambria Math" w:hAnsi="Cambria Math" w:eastAsia="仿宋"/>
                          <w:i/>
                          <w:color w:val="000000" w:themeColor="text1"/>
                          <w:sz w:val="24"/>
                          <w14:textFill>
                            <w14:solidFill>
                              <w14:schemeClr w14:val="tx1"/>
                            </w14:solidFill>
                          </w14:textFill>
                        </w:rPr>
                      </m:ctrlPr>
                    </m:sSubPr>
                    <m:e>
                      <m:r>
                        <m:rPr/>
                        <w:rPr>
                          <w:rFonts w:ascii="Cambria Math" w:hAnsi="Cambria Math" w:eastAsia="仿宋"/>
                          <w:color w:val="000000" w:themeColor="text1"/>
                          <w:sz w:val="24"/>
                          <w14:textFill>
                            <w14:solidFill>
                              <w14:schemeClr w14:val="tx1"/>
                            </w14:solidFill>
                          </w14:textFill>
                        </w:rPr>
                        <m:t>O</m:t>
                      </m:r>
                      <m:ctrlPr>
                        <w:rPr>
                          <w:rFonts w:ascii="Cambria Math" w:hAnsi="Cambria Math" w:eastAsia="仿宋"/>
                          <w:i/>
                          <w:color w:val="000000" w:themeColor="text1"/>
                          <w:sz w:val="24"/>
                          <w14:textFill>
                            <w14:solidFill>
                              <w14:schemeClr w14:val="tx1"/>
                            </w14:solidFill>
                          </w14:textFill>
                        </w:rPr>
                      </m:ctrlPr>
                    </m:e>
                    <m:sub>
                      <m:r>
                        <m:rPr/>
                        <w:rPr>
                          <w:rFonts w:ascii="Cambria Math" w:hAnsi="Cambria Math" w:eastAsia="仿宋"/>
                          <w:color w:val="000000" w:themeColor="text1"/>
                          <w:sz w:val="24"/>
                          <w14:textFill>
                            <w14:solidFill>
                              <w14:schemeClr w14:val="tx1"/>
                            </w14:solidFill>
                          </w14:textFill>
                        </w:rPr>
                        <m:t>2</m:t>
                      </m:r>
                      <m:ctrlPr>
                        <w:rPr>
                          <w:rFonts w:ascii="Cambria Math" w:hAnsi="Cambria Math" w:eastAsia="仿宋"/>
                          <w:i/>
                          <w:color w:val="000000" w:themeColor="text1"/>
                          <w:sz w:val="24"/>
                          <w14:textFill>
                            <w14:solidFill>
                              <w14:schemeClr w14:val="tx1"/>
                            </w14:solidFill>
                          </w14:textFill>
                        </w:rPr>
                      </m:ctrlPr>
                    </m:sub>
                  </m:sSub>
                  <m:r>
                    <m:rPr/>
                    <w:rPr>
                      <w:rFonts w:ascii="Cambria Math" w:hAnsi="Cambria Math" w:eastAsia="仿宋"/>
                      <w:color w:val="000000" w:themeColor="text1"/>
                      <w:sz w:val="24"/>
                      <w14:textFill>
                        <w14:solidFill>
                          <w14:schemeClr w14:val="tx1"/>
                        </w14:solidFill>
                      </w14:textFill>
                    </w:rPr>
                    <m:t>)</m:t>
                  </m:r>
                  <m:ctrlPr>
                    <w:rPr>
                      <w:rFonts w:ascii="Cambria Math" w:hAnsi="Cambria Math" w:eastAsia="仿宋"/>
                      <w:i/>
                      <w:color w:val="000000" w:themeColor="text1"/>
                      <w:sz w:val="24"/>
                      <w14:textFill>
                        <w14:solidFill>
                          <w14:schemeClr w14:val="tx1"/>
                        </w14:solidFill>
                      </w14:textFill>
                    </w:rPr>
                  </m:ctrlPr>
                </m:num>
                <m:den>
                  <m:r>
                    <m:rPr/>
                    <w:rPr>
                      <w:rFonts w:ascii="Cambria Math" w:hAnsi="Cambria Math" w:eastAsia="仿宋"/>
                      <w:color w:val="000000" w:themeColor="text1"/>
                      <w:sz w:val="24"/>
                      <w14:textFill>
                        <w14:solidFill>
                          <w14:schemeClr w14:val="tx1"/>
                        </w14:solidFill>
                      </w14:textFill>
                    </w:rPr>
                    <m:t>21−φ'(</m:t>
                  </m:r>
                  <m:sSub>
                    <m:sSubPr>
                      <m:ctrlPr>
                        <w:rPr>
                          <w:rFonts w:ascii="Cambria Math" w:hAnsi="Cambria Math" w:eastAsia="仿宋"/>
                          <w:i/>
                          <w:color w:val="000000" w:themeColor="text1"/>
                          <w:sz w:val="24"/>
                          <w14:textFill>
                            <w14:solidFill>
                              <w14:schemeClr w14:val="tx1"/>
                            </w14:solidFill>
                          </w14:textFill>
                        </w:rPr>
                      </m:ctrlPr>
                    </m:sSubPr>
                    <m:e>
                      <m:r>
                        <m:rPr/>
                        <w:rPr>
                          <w:rFonts w:ascii="Cambria Math" w:hAnsi="Cambria Math" w:eastAsia="仿宋"/>
                          <w:color w:val="000000" w:themeColor="text1"/>
                          <w:sz w:val="24"/>
                          <w14:textFill>
                            <w14:solidFill>
                              <w14:schemeClr w14:val="tx1"/>
                            </w14:solidFill>
                          </w14:textFill>
                        </w:rPr>
                        <m:t>O</m:t>
                      </m:r>
                      <m:ctrlPr>
                        <w:rPr>
                          <w:rFonts w:ascii="Cambria Math" w:hAnsi="Cambria Math" w:eastAsia="仿宋"/>
                          <w:i/>
                          <w:color w:val="000000" w:themeColor="text1"/>
                          <w:sz w:val="24"/>
                          <w14:textFill>
                            <w14:solidFill>
                              <w14:schemeClr w14:val="tx1"/>
                            </w14:solidFill>
                          </w14:textFill>
                        </w:rPr>
                      </m:ctrlPr>
                    </m:e>
                    <m:sub>
                      <m:r>
                        <m:rPr/>
                        <w:rPr>
                          <w:rFonts w:ascii="Cambria Math" w:hAnsi="Cambria Math" w:eastAsia="仿宋"/>
                          <w:color w:val="000000" w:themeColor="text1"/>
                          <w:sz w:val="24"/>
                          <w14:textFill>
                            <w14:solidFill>
                              <w14:schemeClr w14:val="tx1"/>
                            </w14:solidFill>
                          </w14:textFill>
                        </w:rPr>
                        <m:t>2</m:t>
                      </m:r>
                      <m:ctrlPr>
                        <w:rPr>
                          <w:rFonts w:ascii="Cambria Math" w:hAnsi="Cambria Math" w:eastAsia="仿宋"/>
                          <w:i/>
                          <w:color w:val="000000" w:themeColor="text1"/>
                          <w:sz w:val="24"/>
                          <w14:textFill>
                            <w14:solidFill>
                              <w14:schemeClr w14:val="tx1"/>
                            </w14:solidFill>
                          </w14:textFill>
                        </w:rPr>
                      </m:ctrlPr>
                    </m:sub>
                  </m:sSub>
                  <m:r>
                    <m:rPr/>
                    <w:rPr>
                      <w:rFonts w:ascii="Cambria Math" w:hAnsi="Cambria Math" w:eastAsia="仿宋"/>
                      <w:color w:val="000000" w:themeColor="text1"/>
                      <w:sz w:val="24"/>
                      <w14:textFill>
                        <w14:solidFill>
                          <w14:schemeClr w14:val="tx1"/>
                        </w14:solidFill>
                      </w14:textFill>
                    </w:rPr>
                    <m:t>)</m:t>
                  </m:r>
                  <m:ctrlPr>
                    <w:rPr>
                      <w:rFonts w:ascii="Cambria Math" w:hAnsi="Cambria Math" w:eastAsia="仿宋"/>
                      <w:i/>
                      <w:color w:val="000000" w:themeColor="text1"/>
                      <w:sz w:val="24"/>
                      <w14:textFill>
                        <w14:solidFill>
                          <w14:schemeClr w14:val="tx1"/>
                        </w14:solidFill>
                      </w14:textFill>
                    </w:rPr>
                  </m:ctrlPr>
                </m:den>
              </m:f>
            </m:oMath>
            <w:r>
              <w:rPr>
                <w:rFonts w:eastAsia="仿宋"/>
                <w:color w:val="000000" w:themeColor="text1"/>
                <w:sz w:val="24"/>
                <w14:textFill>
                  <w14:solidFill>
                    <w14:schemeClr w14:val="tx1"/>
                  </w14:solidFill>
                </w14:textFill>
              </w:rPr>
              <w:t xml:space="preserve">            (1)</w:t>
            </w:r>
          </w:p>
          <w:p w14:paraId="75102CFF">
            <w:pPr>
              <w:spacing w:line="480" w:lineRule="exact"/>
              <w:ind w:left="420" w:leftChars="200"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式中：</w:t>
            </w:r>
          </w:p>
          <w:p w14:paraId="73FC3C21">
            <w:pPr>
              <w:spacing w:line="480" w:lineRule="exact"/>
              <w:ind w:left="420" w:leftChars="200"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ρ---大气污染物基准氧含量排放浓度，mg/m</w:t>
            </w:r>
            <w:r>
              <w:rPr>
                <w:rFonts w:eastAsia="仿宋"/>
                <w:color w:val="000000" w:themeColor="text1"/>
                <w:sz w:val="24"/>
                <w:vertAlign w:val="superscript"/>
                <w14:textFill>
                  <w14:solidFill>
                    <w14:schemeClr w14:val="tx1"/>
                  </w14:solidFill>
                </w14:textFill>
              </w:rPr>
              <w:t>3</w:t>
            </w:r>
            <w:r>
              <w:rPr>
                <w:rFonts w:eastAsia="仿宋"/>
                <w:color w:val="000000" w:themeColor="text1"/>
                <w:sz w:val="24"/>
                <w14:textFill>
                  <w14:solidFill>
                    <w14:schemeClr w14:val="tx1"/>
                  </w14:solidFill>
                </w14:textFill>
              </w:rPr>
              <w:t>；</w:t>
            </w:r>
          </w:p>
          <w:p w14:paraId="6136A96A">
            <w:pPr>
              <w:spacing w:line="480" w:lineRule="exact"/>
              <w:ind w:left="420" w:leftChars="200"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ρ'---实测的大气污染物排放浓度，mg/m</w:t>
            </w:r>
            <w:r>
              <w:rPr>
                <w:rFonts w:eastAsia="仿宋"/>
                <w:color w:val="000000" w:themeColor="text1"/>
                <w:sz w:val="24"/>
                <w:vertAlign w:val="superscript"/>
                <w14:textFill>
                  <w14:solidFill>
                    <w14:schemeClr w14:val="tx1"/>
                  </w14:solidFill>
                </w14:textFill>
              </w:rPr>
              <w:t>3</w:t>
            </w:r>
            <w:r>
              <w:rPr>
                <w:rFonts w:eastAsia="仿宋"/>
                <w:color w:val="000000" w:themeColor="text1"/>
                <w:sz w:val="24"/>
                <w14:textFill>
                  <w14:solidFill>
                    <w14:schemeClr w14:val="tx1"/>
                  </w14:solidFill>
                </w14:textFill>
              </w:rPr>
              <w:t>；</w:t>
            </w:r>
          </w:p>
          <w:p w14:paraId="264B6AEF">
            <w:pPr>
              <w:spacing w:line="480" w:lineRule="exact"/>
              <w:ind w:left="420" w:leftChars="200"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φ(O</w:t>
            </w:r>
            <w:r>
              <w:rPr>
                <w:rFonts w:eastAsia="仿宋"/>
                <w:color w:val="000000" w:themeColor="text1"/>
                <w:sz w:val="24"/>
                <w:vertAlign w:val="subscript"/>
                <w14:textFill>
                  <w14:solidFill>
                    <w14:schemeClr w14:val="tx1"/>
                  </w14:solidFill>
                </w14:textFill>
              </w:rPr>
              <w:t>2</w:t>
            </w:r>
            <w:r>
              <w:rPr>
                <w:rFonts w:eastAsia="仿宋"/>
                <w:color w:val="000000" w:themeColor="text1"/>
                <w:sz w:val="24"/>
                <w14:textFill>
                  <w14:solidFill>
                    <w14:schemeClr w14:val="tx1"/>
                  </w14:solidFill>
                </w14:textFill>
              </w:rPr>
              <w:t>)---基准氧含量，%；</w:t>
            </w:r>
          </w:p>
          <w:p w14:paraId="7FBF40FC">
            <w:pPr>
              <w:spacing w:line="480" w:lineRule="exact"/>
              <w:ind w:left="420" w:leftChars="200"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φ'(O</w:t>
            </w:r>
            <w:r>
              <w:rPr>
                <w:rFonts w:eastAsia="仿宋"/>
                <w:color w:val="000000" w:themeColor="text1"/>
                <w:sz w:val="24"/>
                <w:vertAlign w:val="subscript"/>
                <w14:textFill>
                  <w14:solidFill>
                    <w14:schemeClr w14:val="tx1"/>
                  </w14:solidFill>
                </w14:textFill>
              </w:rPr>
              <w:t>2</w:t>
            </w:r>
            <w:r>
              <w:rPr>
                <w:rFonts w:eastAsia="仿宋"/>
                <w:color w:val="000000" w:themeColor="text1"/>
                <w:sz w:val="24"/>
                <w14:textFill>
                  <w14:solidFill>
                    <w14:schemeClr w14:val="tx1"/>
                  </w14:solidFill>
                </w14:textFill>
              </w:rPr>
              <w:t>)----实测的氧含量，%。</w:t>
            </w:r>
          </w:p>
          <w:p w14:paraId="4352EBA0">
            <w:pPr>
              <w:spacing w:line="480" w:lineRule="exact"/>
              <w:jc w:val="center"/>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表5</w:t>
            </w:r>
            <w:r>
              <w:rPr>
                <w:rFonts w:eastAsia="仿宋"/>
                <w:color w:val="000000" w:themeColor="text1"/>
                <w:sz w:val="24"/>
                <w14:textFill>
                  <w14:solidFill>
                    <w14:schemeClr w14:val="tx1"/>
                  </w14:solidFill>
                </w14:textFill>
              </w:rPr>
              <w:t xml:space="preserve"> </w:t>
            </w:r>
            <w:r>
              <w:rPr>
                <w:rFonts w:hint="eastAsia" w:eastAsia="仿宋"/>
                <w:color w:val="000000" w:themeColor="text1"/>
                <w:sz w:val="24"/>
                <w14:textFill>
                  <w14:solidFill>
                    <w14:schemeClr w14:val="tx1"/>
                  </w14:solidFill>
                </w14:textFill>
              </w:rPr>
              <w:t>基准氧含量%</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8"/>
              <w:gridCol w:w="2925"/>
              <w:gridCol w:w="2999"/>
            </w:tblGrid>
            <w:tr w14:paraId="3A2D4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3304" w:type="pct"/>
                  <w:gridSpan w:val="2"/>
                  <w:vAlign w:val="center"/>
                </w:tcPr>
                <w:p w14:paraId="7FF6FAC9">
                  <w:pPr>
                    <w:adjustRightInd w:val="0"/>
                    <w:snapToGrid w:val="0"/>
                    <w:jc w:val="center"/>
                    <w:rPr>
                      <w:rFonts w:eastAsia="仿宋"/>
                      <w:b/>
                      <w:bCs/>
                      <w:color w:val="000000" w:themeColor="text1"/>
                      <w:szCs w:val="22"/>
                      <w14:textFill>
                        <w14:solidFill>
                          <w14:schemeClr w14:val="tx1"/>
                        </w14:solidFill>
                      </w14:textFill>
                    </w:rPr>
                  </w:pPr>
                  <w:r>
                    <w:rPr>
                      <w:rFonts w:hint="eastAsia" w:eastAsia="仿宋"/>
                      <w:b/>
                      <w:bCs/>
                      <w:color w:val="000000" w:themeColor="text1"/>
                      <w:szCs w:val="22"/>
                      <w14:textFill>
                        <w14:solidFill>
                          <w14:schemeClr w14:val="tx1"/>
                        </w14:solidFill>
                      </w14:textFill>
                    </w:rPr>
                    <w:t>锅炉类型</w:t>
                  </w:r>
                </w:p>
              </w:tc>
              <w:tc>
                <w:tcPr>
                  <w:tcW w:w="1696" w:type="pct"/>
                  <w:vAlign w:val="center"/>
                </w:tcPr>
                <w:p w14:paraId="6C740694">
                  <w:pPr>
                    <w:adjustRightInd w:val="0"/>
                    <w:snapToGrid w:val="0"/>
                    <w:jc w:val="center"/>
                    <w:rPr>
                      <w:rFonts w:eastAsia="仿宋"/>
                      <w:b/>
                      <w:bCs/>
                      <w:color w:val="000000" w:themeColor="text1"/>
                      <w:szCs w:val="22"/>
                      <w14:textFill>
                        <w14:solidFill>
                          <w14:schemeClr w14:val="tx1"/>
                        </w14:solidFill>
                      </w14:textFill>
                    </w:rPr>
                  </w:pPr>
                  <w:r>
                    <w:rPr>
                      <w:rFonts w:hint="eastAsia" w:eastAsia="仿宋"/>
                      <w:b/>
                      <w:bCs/>
                      <w:color w:val="000000" w:themeColor="text1"/>
                      <w:szCs w:val="22"/>
                      <w14:textFill>
                        <w14:solidFill>
                          <w14:schemeClr w14:val="tx1"/>
                        </w14:solidFill>
                      </w14:textFill>
                    </w:rPr>
                    <w:t>基准氧含量</w:t>
                  </w:r>
                </w:p>
              </w:tc>
            </w:tr>
            <w:tr w14:paraId="57F68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650" w:type="pct"/>
                  <w:vMerge w:val="restart"/>
                  <w:vAlign w:val="center"/>
                </w:tcPr>
                <w:p w14:paraId="75991405">
                  <w:pPr>
                    <w:adjustRightInd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燃煤、燃生物质锅炉</w:t>
                  </w:r>
                </w:p>
              </w:tc>
              <w:tc>
                <w:tcPr>
                  <w:tcW w:w="1654" w:type="pct"/>
                  <w:vAlign w:val="center"/>
                </w:tcPr>
                <w:p w14:paraId="0CA1E779">
                  <w:pPr>
                    <w:adjustRightInd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单台出力6</w:t>
                  </w:r>
                  <w:r>
                    <w:rPr>
                      <w:rFonts w:eastAsia="仿宋"/>
                      <w:color w:val="000000" w:themeColor="text1"/>
                      <w:szCs w:val="22"/>
                      <w14:textFill>
                        <w14:solidFill>
                          <w14:schemeClr w14:val="tx1"/>
                        </w14:solidFill>
                      </w14:textFill>
                    </w:rPr>
                    <w:t>5t/h</w:t>
                  </w:r>
                  <w:r>
                    <w:rPr>
                      <w:rFonts w:hint="eastAsia" w:eastAsia="仿宋"/>
                      <w:color w:val="000000" w:themeColor="text1"/>
                      <w:szCs w:val="22"/>
                      <w14:textFill>
                        <w14:solidFill>
                          <w14:schemeClr w14:val="tx1"/>
                        </w14:solidFill>
                      </w14:textFill>
                    </w:rPr>
                    <w:t>以上</w:t>
                  </w:r>
                </w:p>
              </w:tc>
              <w:tc>
                <w:tcPr>
                  <w:tcW w:w="1696" w:type="pct"/>
                  <w:vAlign w:val="center"/>
                </w:tcPr>
                <w:p w14:paraId="3A39D6E9">
                  <w:pPr>
                    <w:adjustRightInd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6</w:t>
                  </w:r>
                </w:p>
              </w:tc>
            </w:tr>
            <w:tr w14:paraId="006D0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1650" w:type="pct"/>
                  <w:vMerge w:val="continue"/>
                  <w:vAlign w:val="center"/>
                </w:tcPr>
                <w:p w14:paraId="2893AE3A">
                  <w:pPr>
                    <w:adjustRightInd w:val="0"/>
                    <w:snapToGrid w:val="0"/>
                    <w:jc w:val="center"/>
                    <w:rPr>
                      <w:rFonts w:eastAsia="仿宋"/>
                      <w:color w:val="000000" w:themeColor="text1"/>
                      <w:szCs w:val="22"/>
                      <w14:textFill>
                        <w14:solidFill>
                          <w14:schemeClr w14:val="tx1"/>
                        </w14:solidFill>
                      </w14:textFill>
                    </w:rPr>
                  </w:pPr>
                </w:p>
              </w:tc>
              <w:tc>
                <w:tcPr>
                  <w:tcW w:w="1654" w:type="pct"/>
                  <w:vAlign w:val="center"/>
                </w:tcPr>
                <w:p w14:paraId="448FB299">
                  <w:pPr>
                    <w:adjustRightInd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单台出力65t/h及以下</w:t>
                  </w:r>
                </w:p>
              </w:tc>
              <w:tc>
                <w:tcPr>
                  <w:tcW w:w="1696" w:type="pct"/>
                  <w:vAlign w:val="center"/>
                </w:tcPr>
                <w:p w14:paraId="57C3750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r>
            <w:tr w14:paraId="3CE6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1650" w:type="pct"/>
                  <w:vMerge w:val="restart"/>
                  <w:vAlign w:val="center"/>
                </w:tcPr>
                <w:p w14:paraId="71CD316B">
                  <w:pPr>
                    <w:adjustRightInd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燃油、燃气锅炉</w:t>
                  </w:r>
                </w:p>
              </w:tc>
              <w:tc>
                <w:tcPr>
                  <w:tcW w:w="1654" w:type="pct"/>
                  <w:vAlign w:val="center"/>
                </w:tcPr>
                <w:p w14:paraId="67EDDC71">
                  <w:pPr>
                    <w:adjustRightInd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单台出力6</w:t>
                  </w:r>
                  <w:r>
                    <w:rPr>
                      <w:rFonts w:eastAsia="仿宋"/>
                      <w:color w:val="000000" w:themeColor="text1"/>
                      <w:szCs w:val="22"/>
                      <w14:textFill>
                        <w14:solidFill>
                          <w14:schemeClr w14:val="tx1"/>
                        </w14:solidFill>
                      </w14:textFill>
                    </w:rPr>
                    <w:t>5t/h</w:t>
                  </w:r>
                  <w:r>
                    <w:rPr>
                      <w:rFonts w:hint="eastAsia" w:eastAsia="仿宋"/>
                      <w:color w:val="000000" w:themeColor="text1"/>
                      <w:szCs w:val="22"/>
                      <w14:textFill>
                        <w14:solidFill>
                          <w14:schemeClr w14:val="tx1"/>
                        </w14:solidFill>
                      </w14:textFill>
                    </w:rPr>
                    <w:t>以上</w:t>
                  </w:r>
                </w:p>
              </w:tc>
              <w:tc>
                <w:tcPr>
                  <w:tcW w:w="1696" w:type="pct"/>
                  <w:vAlign w:val="center"/>
                </w:tcPr>
                <w:p w14:paraId="2B2EC91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r>
            <w:tr w14:paraId="57492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1650" w:type="pct"/>
                  <w:vMerge w:val="continue"/>
                  <w:vAlign w:val="center"/>
                </w:tcPr>
                <w:p w14:paraId="716C965E">
                  <w:pPr>
                    <w:adjustRightInd w:val="0"/>
                    <w:snapToGrid w:val="0"/>
                    <w:jc w:val="center"/>
                    <w:rPr>
                      <w:rFonts w:eastAsia="仿宋"/>
                      <w:color w:val="000000" w:themeColor="text1"/>
                      <w:szCs w:val="22"/>
                      <w14:textFill>
                        <w14:solidFill>
                          <w14:schemeClr w14:val="tx1"/>
                        </w14:solidFill>
                      </w14:textFill>
                    </w:rPr>
                  </w:pPr>
                </w:p>
              </w:tc>
              <w:tc>
                <w:tcPr>
                  <w:tcW w:w="1654" w:type="pct"/>
                  <w:shd w:val="clear" w:color="auto" w:fill="BEBEBE" w:themeFill="background1" w:themeFillShade="BF"/>
                  <w:vAlign w:val="center"/>
                </w:tcPr>
                <w:p w14:paraId="6DD17ACC">
                  <w:pPr>
                    <w:adjustRightInd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单台出力65t/h及以下</w:t>
                  </w:r>
                </w:p>
              </w:tc>
              <w:tc>
                <w:tcPr>
                  <w:tcW w:w="1696" w:type="pct"/>
                  <w:shd w:val="clear" w:color="auto" w:fill="BEBEBE" w:themeFill="background1" w:themeFillShade="BF"/>
                  <w:vAlign w:val="center"/>
                </w:tcPr>
                <w:p w14:paraId="1860DE9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.5</w:t>
                  </w:r>
                </w:p>
              </w:tc>
            </w:tr>
          </w:tbl>
          <w:p w14:paraId="7822DA1A">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本项目锅炉燃烧烟气基准氧含量应控制在3.5%。</w:t>
            </w:r>
          </w:p>
          <w:p w14:paraId="6144120D">
            <w:pPr>
              <w:spacing w:line="480" w:lineRule="exact"/>
              <w:ind w:firstLine="482" w:firstLineChars="200"/>
              <w:rPr>
                <w:rFonts w:eastAsia="仿宋"/>
                <w:b/>
                <w:bCs/>
                <w:color w:val="000000" w:themeColor="text1"/>
                <w:sz w:val="24"/>
                <w14:textFill>
                  <w14:solidFill>
                    <w14:schemeClr w14:val="tx1"/>
                  </w14:solidFill>
                </w14:textFill>
              </w:rPr>
            </w:pPr>
            <w:r>
              <w:rPr>
                <w:rFonts w:hint="eastAsia" w:eastAsia="仿宋"/>
                <w:b/>
                <w:bCs/>
                <w:color w:val="000000" w:themeColor="text1"/>
                <w:sz w:val="24"/>
                <w14:textFill>
                  <w14:solidFill>
                    <w14:schemeClr w14:val="tx1"/>
                  </w14:solidFill>
                </w14:textFill>
              </w:rPr>
              <w:t>（二）废水</w:t>
            </w:r>
          </w:p>
          <w:p w14:paraId="0B757716">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本项目纯水制备设备产生的浓水回用于员工生活用水，</w:t>
            </w:r>
            <w:r>
              <w:rPr>
                <w:rFonts w:eastAsia="仿宋"/>
                <w:bCs/>
                <w:color w:val="000000" w:themeColor="text1"/>
                <w:sz w:val="24"/>
                <w14:textFill>
                  <w14:solidFill>
                    <w14:schemeClr w14:val="tx1"/>
                  </w14:solidFill>
                </w14:textFill>
              </w:rPr>
              <w:t>本项目</w:t>
            </w:r>
            <w:r>
              <w:rPr>
                <w:rFonts w:hint="eastAsia" w:eastAsia="仿宋"/>
                <w:bCs/>
                <w:color w:val="000000" w:themeColor="text1"/>
                <w:sz w:val="24"/>
                <w14:textFill>
                  <w14:solidFill>
                    <w14:schemeClr w14:val="tx1"/>
                  </w14:solidFill>
                </w14:textFill>
              </w:rPr>
              <w:t>生活污水</w:t>
            </w:r>
            <w:r>
              <w:rPr>
                <w:rFonts w:eastAsia="仿宋"/>
                <w:bCs/>
                <w:color w:val="000000" w:themeColor="text1"/>
                <w:sz w:val="24"/>
                <w14:textFill>
                  <w14:solidFill>
                    <w14:schemeClr w14:val="tx1"/>
                  </w14:solidFill>
                </w14:textFill>
              </w:rPr>
              <w:t>接管进入</w:t>
            </w:r>
            <w:r>
              <w:rPr>
                <w:rFonts w:hint="eastAsia" w:eastAsia="仿宋"/>
                <w:bCs/>
                <w:color w:val="000000" w:themeColor="text1"/>
                <w:sz w:val="24"/>
                <w14:textFill>
                  <w14:solidFill>
                    <w14:schemeClr w14:val="tx1"/>
                  </w14:solidFill>
                </w14:textFill>
              </w:rPr>
              <w:t>金坛区第二污水</w:t>
            </w:r>
            <w:r>
              <w:rPr>
                <w:rFonts w:eastAsia="仿宋"/>
                <w:bCs/>
                <w:color w:val="000000" w:themeColor="text1"/>
                <w:sz w:val="24"/>
                <w14:textFill>
                  <w14:solidFill>
                    <w14:schemeClr w14:val="tx1"/>
                  </w14:solidFill>
                </w14:textFill>
              </w:rPr>
              <w:t>处理厂集中处理，尾水最终排入</w:t>
            </w:r>
            <w:r>
              <w:rPr>
                <w:rFonts w:hint="eastAsia" w:eastAsia="仿宋"/>
                <w:bCs/>
                <w:color w:val="000000" w:themeColor="text1"/>
                <w:sz w:val="24"/>
                <w14:textFill>
                  <w14:solidFill>
                    <w14:schemeClr w14:val="tx1"/>
                  </w14:solidFill>
                </w14:textFill>
              </w:rPr>
              <w:t>尧塘河</w:t>
            </w:r>
            <w:r>
              <w:rPr>
                <w:rFonts w:eastAsia="仿宋"/>
                <w:bCs/>
                <w:color w:val="000000" w:themeColor="text1"/>
                <w:sz w:val="24"/>
                <w14:textFill>
                  <w14:solidFill>
                    <w14:schemeClr w14:val="tx1"/>
                  </w14:solidFill>
                </w14:textFill>
              </w:rPr>
              <w:t>。</w:t>
            </w:r>
            <w:r>
              <w:rPr>
                <w:rFonts w:hint="eastAsia" w:eastAsia="仿宋"/>
                <w:bCs/>
                <w:color w:val="000000" w:themeColor="text1"/>
                <w:sz w:val="24"/>
                <w14:textFill>
                  <w14:solidFill>
                    <w14:schemeClr w14:val="tx1"/>
                  </w14:solidFill>
                </w14:textFill>
              </w:rPr>
              <w:t>污水接管标准执行金坛第二污水处理厂接管标准。接管浓度限值要求见下表</w:t>
            </w:r>
            <w:r>
              <w:rPr>
                <w:rFonts w:eastAsia="仿宋"/>
                <w:bCs/>
                <w:color w:val="000000" w:themeColor="text1"/>
                <w:sz w:val="24"/>
                <w14:textFill>
                  <w14:solidFill>
                    <w14:schemeClr w14:val="tx1"/>
                  </w14:solidFill>
                </w14:textFill>
              </w:rPr>
              <w:t>。</w:t>
            </w:r>
          </w:p>
          <w:p w14:paraId="34662BDC">
            <w:pPr>
              <w:pStyle w:val="7"/>
              <w:rPr>
                <w:color w:val="000000" w:themeColor="text1"/>
                <w14:textFill>
                  <w14:solidFill>
                    <w14:schemeClr w14:val="tx1"/>
                  </w14:solidFill>
                </w14:textFill>
              </w:rPr>
            </w:pPr>
            <w:r>
              <w:rPr>
                <w:rFonts w:hint="eastAsia"/>
                <w:color w:val="000000" w:themeColor="text1"/>
                <w14:textFill>
                  <w14:solidFill>
                    <w14:schemeClr w14:val="tx1"/>
                  </w14:solidFill>
                </w14:textFill>
              </w:rPr>
              <w:t>表3</w:t>
            </w:r>
            <w:r>
              <w:rPr>
                <w:color w:val="000000" w:themeColor="text1"/>
                <w14:textFill>
                  <w14:solidFill>
                    <w14:schemeClr w14:val="tx1"/>
                  </w14:solidFill>
                </w14:textFill>
              </w:rPr>
              <w:t xml:space="preserve">-8 </w:t>
            </w:r>
            <w:r>
              <w:rPr>
                <w:rFonts w:hint="eastAsia"/>
                <w:color w:val="000000" w:themeColor="text1"/>
                <w14:textFill>
                  <w14:solidFill>
                    <w14:schemeClr w14:val="tx1"/>
                  </w14:solidFill>
                </w14:textFill>
              </w:rPr>
              <w:t>本项目污水接管标准 单位：mg/L</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8"/>
              <w:gridCol w:w="2925"/>
              <w:gridCol w:w="2999"/>
            </w:tblGrid>
            <w:tr w14:paraId="47CC4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1650" w:type="pct"/>
                  <w:vAlign w:val="center"/>
                </w:tcPr>
                <w:p w14:paraId="4EAD587C">
                  <w:pPr>
                    <w:adjustRightInd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污染物</w:t>
                  </w:r>
                </w:p>
              </w:tc>
              <w:tc>
                <w:tcPr>
                  <w:tcW w:w="1654" w:type="pct"/>
                  <w:vAlign w:val="center"/>
                </w:tcPr>
                <w:p w14:paraId="6B286469">
                  <w:pPr>
                    <w:adjustRightInd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接管标准限值</w:t>
                  </w:r>
                </w:p>
              </w:tc>
              <w:tc>
                <w:tcPr>
                  <w:tcW w:w="1696" w:type="pct"/>
                  <w:vAlign w:val="center"/>
                </w:tcPr>
                <w:p w14:paraId="07A10869">
                  <w:pPr>
                    <w:adjustRightInd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标准来源</w:t>
                  </w:r>
                </w:p>
              </w:tc>
            </w:tr>
            <w:tr w14:paraId="7740A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650" w:type="pct"/>
                  <w:vAlign w:val="center"/>
                </w:tcPr>
                <w:p w14:paraId="029E1F38">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pH（无纲量）</w:t>
                  </w:r>
                </w:p>
              </w:tc>
              <w:tc>
                <w:tcPr>
                  <w:tcW w:w="1654" w:type="pct"/>
                  <w:vAlign w:val="center"/>
                </w:tcPr>
                <w:p w14:paraId="072049BD">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6.5～9.5</w:t>
                  </w:r>
                </w:p>
              </w:tc>
              <w:tc>
                <w:tcPr>
                  <w:tcW w:w="1696" w:type="pct"/>
                  <w:vMerge w:val="restart"/>
                  <w:vAlign w:val="center"/>
                </w:tcPr>
                <w:p w14:paraId="7CB99972">
                  <w:pPr>
                    <w:adjustRightInd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金坛区第二污水处理厂接管标准</w:t>
                  </w:r>
                </w:p>
              </w:tc>
            </w:tr>
            <w:tr w14:paraId="2615F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1650" w:type="pct"/>
                  <w:vAlign w:val="center"/>
                </w:tcPr>
                <w:p w14:paraId="0753BFE9">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化学需氧量</w:t>
                  </w:r>
                </w:p>
              </w:tc>
              <w:tc>
                <w:tcPr>
                  <w:tcW w:w="1654" w:type="pct"/>
                  <w:vAlign w:val="center"/>
                </w:tcPr>
                <w:p w14:paraId="32F5FD13">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500</w:t>
                  </w:r>
                </w:p>
              </w:tc>
              <w:tc>
                <w:tcPr>
                  <w:tcW w:w="1696" w:type="pct"/>
                  <w:vMerge w:val="continue"/>
                  <w:vAlign w:val="center"/>
                </w:tcPr>
                <w:p w14:paraId="21FA9AEB">
                  <w:pPr>
                    <w:ind w:firstLine="420"/>
                    <w:rPr>
                      <w:color w:val="000000" w:themeColor="text1"/>
                      <w:szCs w:val="21"/>
                      <w14:textFill>
                        <w14:solidFill>
                          <w14:schemeClr w14:val="tx1"/>
                        </w14:solidFill>
                      </w14:textFill>
                    </w:rPr>
                  </w:pPr>
                </w:p>
              </w:tc>
            </w:tr>
            <w:tr w14:paraId="597CC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1650" w:type="pct"/>
                  <w:vAlign w:val="center"/>
                </w:tcPr>
                <w:p w14:paraId="344F8E42">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SS</w:t>
                  </w:r>
                </w:p>
              </w:tc>
              <w:tc>
                <w:tcPr>
                  <w:tcW w:w="1654" w:type="pct"/>
                  <w:vAlign w:val="center"/>
                </w:tcPr>
                <w:p w14:paraId="6B114414">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250</w:t>
                  </w:r>
                </w:p>
              </w:tc>
              <w:tc>
                <w:tcPr>
                  <w:tcW w:w="1696" w:type="pct"/>
                  <w:vMerge w:val="continue"/>
                  <w:vAlign w:val="center"/>
                </w:tcPr>
                <w:p w14:paraId="106DA5C2">
                  <w:pPr>
                    <w:ind w:firstLine="420"/>
                    <w:rPr>
                      <w:color w:val="000000" w:themeColor="text1"/>
                      <w:szCs w:val="21"/>
                      <w14:textFill>
                        <w14:solidFill>
                          <w14:schemeClr w14:val="tx1"/>
                        </w14:solidFill>
                      </w14:textFill>
                    </w:rPr>
                  </w:pPr>
                </w:p>
              </w:tc>
            </w:tr>
            <w:tr w14:paraId="552D6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50" w:type="pct"/>
                  <w:vAlign w:val="center"/>
                </w:tcPr>
                <w:p w14:paraId="23A85C1A">
                  <w:pPr>
                    <w:adjustRightInd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N</w:t>
                  </w:r>
                  <w:r>
                    <w:rPr>
                      <w:rFonts w:eastAsia="仿宋"/>
                      <w:color w:val="000000" w:themeColor="text1"/>
                      <w:szCs w:val="22"/>
                      <w14:textFill>
                        <w14:solidFill>
                          <w14:schemeClr w14:val="tx1"/>
                        </w14:solidFill>
                      </w14:textFill>
                    </w:rPr>
                    <w:t>H</w:t>
                  </w:r>
                  <w:r>
                    <w:rPr>
                      <w:rFonts w:eastAsia="仿宋"/>
                      <w:color w:val="000000" w:themeColor="text1"/>
                      <w:szCs w:val="22"/>
                      <w:vertAlign w:val="subscript"/>
                      <w14:textFill>
                        <w14:solidFill>
                          <w14:schemeClr w14:val="tx1"/>
                        </w14:solidFill>
                      </w14:textFill>
                    </w:rPr>
                    <w:t>3</w:t>
                  </w:r>
                  <w:r>
                    <w:rPr>
                      <w:rFonts w:eastAsia="仿宋"/>
                      <w:color w:val="000000" w:themeColor="text1"/>
                      <w:szCs w:val="22"/>
                      <w14:textFill>
                        <w14:solidFill>
                          <w14:schemeClr w14:val="tx1"/>
                        </w14:solidFill>
                      </w14:textFill>
                    </w:rPr>
                    <w:t>-N</w:t>
                  </w:r>
                </w:p>
              </w:tc>
              <w:tc>
                <w:tcPr>
                  <w:tcW w:w="1654" w:type="pct"/>
                  <w:vAlign w:val="center"/>
                </w:tcPr>
                <w:p w14:paraId="0CE227D7">
                  <w:pPr>
                    <w:adjustRightInd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3</w:t>
                  </w:r>
                  <w:r>
                    <w:rPr>
                      <w:rFonts w:eastAsia="仿宋"/>
                      <w:color w:val="000000" w:themeColor="text1"/>
                      <w:szCs w:val="22"/>
                      <w14:textFill>
                        <w14:solidFill>
                          <w14:schemeClr w14:val="tx1"/>
                        </w14:solidFill>
                      </w14:textFill>
                    </w:rPr>
                    <w:t>5</w:t>
                  </w:r>
                </w:p>
              </w:tc>
              <w:tc>
                <w:tcPr>
                  <w:tcW w:w="1696" w:type="pct"/>
                  <w:vMerge w:val="continue"/>
                  <w:vAlign w:val="center"/>
                </w:tcPr>
                <w:p w14:paraId="5B1F2724">
                  <w:pPr>
                    <w:ind w:firstLine="420"/>
                    <w:rPr>
                      <w:color w:val="000000" w:themeColor="text1"/>
                      <w:szCs w:val="21"/>
                      <w14:textFill>
                        <w14:solidFill>
                          <w14:schemeClr w14:val="tx1"/>
                        </w14:solidFill>
                      </w14:textFill>
                    </w:rPr>
                  </w:pPr>
                </w:p>
              </w:tc>
            </w:tr>
            <w:tr w14:paraId="3C470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1650" w:type="pct"/>
                  <w:vAlign w:val="center"/>
                </w:tcPr>
                <w:p w14:paraId="49DDB2B3">
                  <w:pPr>
                    <w:adjustRightInd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T</w:t>
                  </w:r>
                  <w:r>
                    <w:rPr>
                      <w:rFonts w:eastAsia="仿宋"/>
                      <w:color w:val="000000" w:themeColor="text1"/>
                      <w:szCs w:val="22"/>
                      <w14:textFill>
                        <w14:solidFill>
                          <w14:schemeClr w14:val="tx1"/>
                        </w14:solidFill>
                      </w14:textFill>
                    </w:rPr>
                    <w:t>P</w:t>
                  </w:r>
                </w:p>
              </w:tc>
              <w:tc>
                <w:tcPr>
                  <w:tcW w:w="1654" w:type="pct"/>
                  <w:vAlign w:val="center"/>
                </w:tcPr>
                <w:p w14:paraId="591D5152">
                  <w:pPr>
                    <w:adjustRightInd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3</w:t>
                  </w:r>
                </w:p>
              </w:tc>
              <w:tc>
                <w:tcPr>
                  <w:tcW w:w="1696" w:type="pct"/>
                  <w:vMerge w:val="continue"/>
                  <w:vAlign w:val="center"/>
                </w:tcPr>
                <w:p w14:paraId="54C59DE4">
                  <w:pPr>
                    <w:ind w:firstLine="420"/>
                    <w:rPr>
                      <w:color w:val="000000" w:themeColor="text1"/>
                      <w:szCs w:val="21"/>
                      <w14:textFill>
                        <w14:solidFill>
                          <w14:schemeClr w14:val="tx1"/>
                        </w14:solidFill>
                      </w14:textFill>
                    </w:rPr>
                  </w:pPr>
                </w:p>
              </w:tc>
            </w:tr>
            <w:tr w14:paraId="2B9B5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1650" w:type="pct"/>
                  <w:vAlign w:val="center"/>
                </w:tcPr>
                <w:p w14:paraId="0C882EEF">
                  <w:pPr>
                    <w:adjustRightInd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T</w:t>
                  </w:r>
                  <w:r>
                    <w:rPr>
                      <w:rFonts w:eastAsia="仿宋"/>
                      <w:color w:val="000000" w:themeColor="text1"/>
                      <w:szCs w:val="22"/>
                      <w14:textFill>
                        <w14:solidFill>
                          <w14:schemeClr w14:val="tx1"/>
                        </w14:solidFill>
                      </w14:textFill>
                    </w:rPr>
                    <w:t>N</w:t>
                  </w:r>
                </w:p>
              </w:tc>
              <w:tc>
                <w:tcPr>
                  <w:tcW w:w="1654" w:type="pct"/>
                  <w:vAlign w:val="center"/>
                </w:tcPr>
                <w:p w14:paraId="5F7D4AA2">
                  <w:pPr>
                    <w:adjustRightInd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5</w:t>
                  </w:r>
                  <w:r>
                    <w:rPr>
                      <w:rFonts w:eastAsia="仿宋"/>
                      <w:color w:val="000000" w:themeColor="text1"/>
                      <w:szCs w:val="22"/>
                      <w14:textFill>
                        <w14:solidFill>
                          <w14:schemeClr w14:val="tx1"/>
                        </w14:solidFill>
                      </w14:textFill>
                    </w:rPr>
                    <w:t>0</w:t>
                  </w:r>
                </w:p>
              </w:tc>
              <w:tc>
                <w:tcPr>
                  <w:tcW w:w="1696" w:type="pct"/>
                  <w:vMerge w:val="continue"/>
                  <w:vAlign w:val="center"/>
                </w:tcPr>
                <w:p w14:paraId="64A51173">
                  <w:pPr>
                    <w:ind w:firstLine="420"/>
                    <w:rPr>
                      <w:color w:val="000000" w:themeColor="text1"/>
                      <w:szCs w:val="21"/>
                      <w14:textFill>
                        <w14:solidFill>
                          <w14:schemeClr w14:val="tx1"/>
                        </w14:solidFill>
                      </w14:textFill>
                    </w:rPr>
                  </w:pPr>
                </w:p>
              </w:tc>
            </w:tr>
          </w:tbl>
          <w:p w14:paraId="019ED350">
            <w:pPr>
              <w:spacing w:line="480" w:lineRule="exact"/>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金坛区第二污水处理厂</w:t>
            </w:r>
            <w:r>
              <w:rPr>
                <w:rFonts w:ascii="仿宋" w:hAnsi="仿宋" w:eastAsia="仿宋"/>
                <w:bCs/>
                <w:color w:val="000000" w:themeColor="text1"/>
                <w:sz w:val="24"/>
                <w14:textFill>
                  <w14:solidFill>
                    <w14:schemeClr w14:val="tx1"/>
                  </w14:solidFill>
                </w14:textFill>
              </w:rPr>
              <w:t>尾水排放标准执行《太湖地区城镇污水处理厂及重点工业行业主要水污染物排放限值》（</w:t>
            </w:r>
            <w:r>
              <w:rPr>
                <w:rFonts w:eastAsia="仿宋"/>
                <w:bCs/>
                <w:color w:val="000000" w:themeColor="text1"/>
                <w:sz w:val="24"/>
                <w14:textFill>
                  <w14:solidFill>
                    <w14:schemeClr w14:val="tx1"/>
                  </w14:solidFill>
                </w14:textFill>
              </w:rPr>
              <w:t>DB32/1072-2018</w:t>
            </w:r>
            <w:r>
              <w:rPr>
                <w:rFonts w:ascii="仿宋" w:hAnsi="仿宋" w:eastAsia="仿宋"/>
                <w:bCs/>
                <w:color w:val="000000" w:themeColor="text1"/>
                <w:sz w:val="24"/>
                <w14:textFill>
                  <w14:solidFill>
                    <w14:schemeClr w14:val="tx1"/>
                  </w14:solidFill>
                </w14:textFill>
              </w:rPr>
              <w:t>）中表</w:t>
            </w:r>
            <w:r>
              <w:rPr>
                <w:rFonts w:eastAsia="仿宋"/>
                <w:bCs/>
                <w:color w:val="000000" w:themeColor="text1"/>
                <w:sz w:val="24"/>
                <w14:textFill>
                  <w14:solidFill>
                    <w14:schemeClr w14:val="tx1"/>
                  </w14:solidFill>
                </w14:textFill>
              </w:rPr>
              <w:t>2</w:t>
            </w:r>
            <w:r>
              <w:rPr>
                <w:rFonts w:ascii="仿宋" w:hAnsi="仿宋" w:eastAsia="仿宋"/>
                <w:bCs/>
                <w:color w:val="000000" w:themeColor="text1"/>
                <w:sz w:val="24"/>
                <w14:textFill>
                  <w14:solidFill>
                    <w14:schemeClr w14:val="tx1"/>
                  </w14:solidFill>
                </w14:textFill>
              </w:rPr>
              <w:t>标准及《城镇污水处理厂污染物排放标准》（</w:t>
            </w:r>
            <w:r>
              <w:rPr>
                <w:rFonts w:eastAsia="仿宋"/>
                <w:bCs/>
                <w:color w:val="000000" w:themeColor="text1"/>
                <w:sz w:val="24"/>
                <w14:textFill>
                  <w14:solidFill>
                    <w14:schemeClr w14:val="tx1"/>
                  </w14:solidFill>
                </w14:textFill>
              </w:rPr>
              <w:t>GB18918-2002</w:t>
            </w:r>
            <w:r>
              <w:rPr>
                <w:rFonts w:ascii="仿宋" w:hAnsi="仿宋" w:eastAsia="仿宋"/>
                <w:bCs/>
                <w:color w:val="000000" w:themeColor="text1"/>
                <w:sz w:val="24"/>
                <w14:textFill>
                  <w14:solidFill>
                    <w14:schemeClr w14:val="tx1"/>
                  </w14:solidFill>
                </w14:textFill>
              </w:rPr>
              <w:t>）中表</w:t>
            </w:r>
            <w:r>
              <w:rPr>
                <w:rFonts w:eastAsia="仿宋"/>
                <w:bCs/>
                <w:color w:val="000000" w:themeColor="text1"/>
                <w:sz w:val="24"/>
                <w14:textFill>
                  <w14:solidFill>
                    <w14:schemeClr w14:val="tx1"/>
                  </w14:solidFill>
                </w14:textFill>
              </w:rPr>
              <w:t>1</w:t>
            </w:r>
            <w:r>
              <w:rPr>
                <w:rFonts w:ascii="仿宋" w:hAnsi="仿宋" w:eastAsia="仿宋"/>
                <w:bCs/>
                <w:color w:val="000000" w:themeColor="text1"/>
                <w:sz w:val="24"/>
                <w14:textFill>
                  <w14:solidFill>
                    <w14:schemeClr w14:val="tx1"/>
                  </w14:solidFill>
                </w14:textFill>
              </w:rPr>
              <w:t>一级</w:t>
            </w:r>
            <w:r>
              <w:rPr>
                <w:rFonts w:eastAsia="仿宋"/>
                <w:bCs/>
                <w:color w:val="000000" w:themeColor="text1"/>
                <w:sz w:val="24"/>
                <w14:textFill>
                  <w14:solidFill>
                    <w14:schemeClr w14:val="tx1"/>
                  </w14:solidFill>
                </w14:textFill>
              </w:rPr>
              <w:t>A</w:t>
            </w:r>
            <w:r>
              <w:rPr>
                <w:rFonts w:ascii="仿宋" w:hAnsi="仿宋" w:eastAsia="仿宋"/>
                <w:bCs/>
                <w:color w:val="000000" w:themeColor="text1"/>
                <w:sz w:val="24"/>
                <w14:textFill>
                  <w14:solidFill>
                    <w14:schemeClr w14:val="tx1"/>
                  </w14:solidFill>
                </w14:textFill>
              </w:rPr>
              <w:t>标准。</w:t>
            </w:r>
          </w:p>
          <w:p w14:paraId="451D4901">
            <w:pPr>
              <w:keepNext/>
              <w:spacing w:line="48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表3-9 金坛区第二污水处理厂尾水排放标准 单位：mg/L</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0"/>
              <w:gridCol w:w="5199"/>
              <w:gridCol w:w="1727"/>
            </w:tblGrid>
            <w:tr w14:paraId="63F36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0" w:type="dxa"/>
                  <w:tcBorders>
                    <w:top w:val="single" w:color="auto" w:sz="4" w:space="0"/>
                    <w:left w:val="single" w:color="auto" w:sz="4" w:space="0"/>
                    <w:bottom w:val="single" w:color="auto" w:sz="4" w:space="0"/>
                    <w:right w:val="single" w:color="auto" w:sz="4" w:space="0"/>
                  </w:tcBorders>
                  <w:vAlign w:val="center"/>
                </w:tcPr>
                <w:p w14:paraId="0F8673E6">
                  <w:pPr>
                    <w:adjustRightInd w:val="0"/>
                    <w:snapToGrid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污染物</w:t>
                  </w:r>
                </w:p>
              </w:tc>
              <w:tc>
                <w:tcPr>
                  <w:tcW w:w="5199" w:type="dxa"/>
                  <w:tcBorders>
                    <w:top w:val="single" w:color="auto" w:sz="4" w:space="0"/>
                    <w:left w:val="single" w:color="auto" w:sz="4" w:space="0"/>
                    <w:bottom w:val="single" w:color="auto" w:sz="4" w:space="0"/>
                    <w:right w:val="single" w:color="auto" w:sz="4" w:space="0"/>
                  </w:tcBorders>
                  <w:vAlign w:val="center"/>
                </w:tcPr>
                <w:p w14:paraId="3418F6E7">
                  <w:pPr>
                    <w:adjustRightInd w:val="0"/>
                    <w:snapToGrid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标准</w:t>
                  </w:r>
                </w:p>
              </w:tc>
              <w:tc>
                <w:tcPr>
                  <w:tcW w:w="1727" w:type="dxa"/>
                  <w:tcBorders>
                    <w:top w:val="single" w:color="auto" w:sz="4" w:space="0"/>
                    <w:left w:val="single" w:color="auto" w:sz="4" w:space="0"/>
                    <w:bottom w:val="single" w:color="auto" w:sz="4" w:space="0"/>
                    <w:right w:val="single" w:color="auto" w:sz="4" w:space="0"/>
                  </w:tcBorders>
                  <w:vAlign w:val="center"/>
                </w:tcPr>
                <w:p w14:paraId="3CC4C62C">
                  <w:pPr>
                    <w:adjustRightInd w:val="0"/>
                    <w:snapToGrid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污染物排放标准</w:t>
                  </w:r>
                </w:p>
              </w:tc>
            </w:tr>
            <w:tr w14:paraId="6555F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920" w:type="dxa"/>
                  <w:tcBorders>
                    <w:top w:val="single" w:color="auto" w:sz="4" w:space="0"/>
                    <w:left w:val="single" w:color="auto" w:sz="4" w:space="0"/>
                    <w:bottom w:val="single" w:color="auto" w:sz="4" w:space="0"/>
                    <w:right w:val="single" w:color="auto" w:sz="4" w:space="0"/>
                  </w:tcBorders>
                  <w:vAlign w:val="center"/>
                </w:tcPr>
                <w:p w14:paraId="0AB892F1">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pH</w:t>
                  </w:r>
                  <w:r>
                    <w:rPr>
                      <w:rFonts w:ascii="仿宋" w:hAnsi="仿宋" w:eastAsia="仿宋"/>
                      <w:color w:val="000000" w:themeColor="text1"/>
                      <w:szCs w:val="21"/>
                      <w14:textFill>
                        <w14:solidFill>
                          <w14:schemeClr w14:val="tx1"/>
                        </w14:solidFill>
                      </w14:textFill>
                    </w:rPr>
                    <w:t>值（无量纲）</w:t>
                  </w:r>
                </w:p>
              </w:tc>
              <w:tc>
                <w:tcPr>
                  <w:tcW w:w="5199" w:type="dxa"/>
                  <w:vMerge w:val="restart"/>
                  <w:tcBorders>
                    <w:top w:val="nil"/>
                    <w:left w:val="single" w:color="auto" w:sz="4" w:space="0"/>
                    <w:bottom w:val="single" w:color="auto" w:sz="4" w:space="0"/>
                    <w:right w:val="single" w:color="auto" w:sz="4" w:space="0"/>
                  </w:tcBorders>
                  <w:vAlign w:val="center"/>
                </w:tcPr>
                <w:p w14:paraId="65E9CE36">
                  <w:pPr>
                    <w:adjustRightInd w:val="0"/>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《太湖地区城镇污水处理厂及重点工业行业主要水污染物排放限值》（</w:t>
                  </w:r>
                  <w:r>
                    <w:rPr>
                      <w:rFonts w:eastAsia="仿宋"/>
                      <w:color w:val="000000" w:themeColor="text1"/>
                      <w:szCs w:val="21"/>
                      <w14:textFill>
                        <w14:solidFill>
                          <w14:schemeClr w14:val="tx1"/>
                        </w14:solidFill>
                      </w14:textFill>
                    </w:rPr>
                    <w:t>DB32/1072-2018</w:t>
                  </w:r>
                  <w:r>
                    <w:rPr>
                      <w:rFonts w:ascii="仿宋" w:hAnsi="仿宋" w:eastAsia="仿宋"/>
                      <w:color w:val="000000" w:themeColor="text1"/>
                      <w:szCs w:val="21"/>
                      <w14:textFill>
                        <w14:solidFill>
                          <w14:schemeClr w14:val="tx1"/>
                        </w14:solidFill>
                      </w14:textFill>
                    </w:rPr>
                    <w:t>）</w:t>
                  </w:r>
                </w:p>
              </w:tc>
              <w:tc>
                <w:tcPr>
                  <w:tcW w:w="1727" w:type="dxa"/>
                  <w:tcBorders>
                    <w:top w:val="single" w:color="auto" w:sz="4" w:space="0"/>
                    <w:left w:val="single" w:color="auto" w:sz="4" w:space="0"/>
                    <w:bottom w:val="single" w:color="auto" w:sz="4" w:space="0"/>
                    <w:right w:val="single" w:color="auto" w:sz="4" w:space="0"/>
                  </w:tcBorders>
                  <w:vAlign w:val="center"/>
                </w:tcPr>
                <w:p w14:paraId="5598E354">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6-9</w:t>
                  </w:r>
                </w:p>
              </w:tc>
            </w:tr>
            <w:tr w14:paraId="4965C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0" w:type="dxa"/>
                  <w:tcBorders>
                    <w:top w:val="single" w:color="auto" w:sz="4" w:space="0"/>
                    <w:left w:val="single" w:color="auto" w:sz="4" w:space="0"/>
                    <w:bottom w:val="single" w:color="auto" w:sz="4" w:space="0"/>
                    <w:right w:val="single" w:color="auto" w:sz="4" w:space="0"/>
                  </w:tcBorders>
                  <w:vAlign w:val="center"/>
                </w:tcPr>
                <w:p w14:paraId="2DA76811">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COD</w:t>
                  </w:r>
                </w:p>
              </w:tc>
              <w:tc>
                <w:tcPr>
                  <w:tcW w:w="5199" w:type="dxa"/>
                  <w:vMerge w:val="continue"/>
                  <w:tcBorders>
                    <w:top w:val="nil"/>
                    <w:left w:val="single" w:color="auto" w:sz="4" w:space="0"/>
                    <w:bottom w:val="single" w:color="auto" w:sz="4" w:space="0"/>
                    <w:right w:val="single" w:color="auto" w:sz="4" w:space="0"/>
                  </w:tcBorders>
                  <w:vAlign w:val="center"/>
                </w:tcPr>
                <w:p w14:paraId="0A501451">
                  <w:pPr>
                    <w:widowControl/>
                    <w:jc w:val="left"/>
                    <w:rPr>
                      <w:rFonts w:eastAsia="仿宋"/>
                      <w:color w:val="000000" w:themeColor="text1"/>
                      <w:szCs w:val="21"/>
                      <w14:textFill>
                        <w14:solidFill>
                          <w14:schemeClr w14:val="tx1"/>
                        </w14:solidFill>
                      </w14:textFill>
                    </w:rPr>
                  </w:pPr>
                </w:p>
              </w:tc>
              <w:tc>
                <w:tcPr>
                  <w:tcW w:w="1727" w:type="dxa"/>
                  <w:tcBorders>
                    <w:top w:val="single" w:color="auto" w:sz="4" w:space="0"/>
                    <w:left w:val="single" w:color="auto" w:sz="4" w:space="0"/>
                    <w:bottom w:val="single" w:color="auto" w:sz="4" w:space="0"/>
                    <w:right w:val="single" w:color="auto" w:sz="4" w:space="0"/>
                  </w:tcBorders>
                  <w:vAlign w:val="center"/>
                </w:tcPr>
                <w:p w14:paraId="3D282D7C">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w:t>
                  </w:r>
                </w:p>
              </w:tc>
            </w:tr>
            <w:tr w14:paraId="02515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1920" w:type="dxa"/>
                  <w:tcBorders>
                    <w:top w:val="single" w:color="auto" w:sz="4" w:space="0"/>
                    <w:left w:val="single" w:color="auto" w:sz="4" w:space="0"/>
                    <w:bottom w:val="single" w:color="auto" w:sz="4" w:space="0"/>
                    <w:right w:val="single" w:color="auto" w:sz="4" w:space="0"/>
                  </w:tcBorders>
                  <w:vAlign w:val="center"/>
                </w:tcPr>
                <w:p w14:paraId="5FBDCC21">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NH</w:t>
                  </w:r>
                  <w:r>
                    <w:rPr>
                      <w:rFonts w:eastAsia="仿宋"/>
                      <w:color w:val="000000" w:themeColor="text1"/>
                      <w:szCs w:val="21"/>
                      <w:vertAlign w:val="subscript"/>
                      <w14:textFill>
                        <w14:solidFill>
                          <w14:schemeClr w14:val="tx1"/>
                        </w14:solidFill>
                      </w14:textFill>
                    </w:rPr>
                    <w:t>3</w:t>
                  </w:r>
                  <w:r>
                    <w:rPr>
                      <w:rFonts w:eastAsia="仿宋"/>
                      <w:color w:val="000000" w:themeColor="text1"/>
                      <w:szCs w:val="21"/>
                      <w14:textFill>
                        <w14:solidFill>
                          <w14:schemeClr w14:val="tx1"/>
                        </w14:solidFill>
                      </w14:textFill>
                    </w:rPr>
                    <w:t>-N</w:t>
                  </w:r>
                </w:p>
              </w:tc>
              <w:tc>
                <w:tcPr>
                  <w:tcW w:w="5199" w:type="dxa"/>
                  <w:vMerge w:val="continue"/>
                  <w:tcBorders>
                    <w:top w:val="nil"/>
                    <w:left w:val="single" w:color="auto" w:sz="4" w:space="0"/>
                    <w:bottom w:val="single" w:color="auto" w:sz="4" w:space="0"/>
                    <w:right w:val="single" w:color="auto" w:sz="4" w:space="0"/>
                  </w:tcBorders>
                  <w:vAlign w:val="center"/>
                </w:tcPr>
                <w:p w14:paraId="0F4CEC67">
                  <w:pPr>
                    <w:widowControl/>
                    <w:jc w:val="left"/>
                    <w:rPr>
                      <w:rFonts w:eastAsia="仿宋"/>
                      <w:color w:val="000000" w:themeColor="text1"/>
                      <w:szCs w:val="21"/>
                      <w14:textFill>
                        <w14:solidFill>
                          <w14:schemeClr w14:val="tx1"/>
                        </w14:solidFill>
                      </w14:textFill>
                    </w:rPr>
                  </w:pPr>
                </w:p>
              </w:tc>
              <w:tc>
                <w:tcPr>
                  <w:tcW w:w="1727" w:type="dxa"/>
                  <w:tcBorders>
                    <w:top w:val="single" w:color="auto" w:sz="4" w:space="0"/>
                    <w:left w:val="single" w:color="auto" w:sz="4" w:space="0"/>
                    <w:bottom w:val="single" w:color="auto" w:sz="4" w:space="0"/>
                    <w:right w:val="single" w:color="auto" w:sz="4" w:space="0"/>
                  </w:tcBorders>
                  <w:vAlign w:val="center"/>
                </w:tcPr>
                <w:p w14:paraId="1515D9CD">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w:t>
                  </w: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6</w:t>
                  </w: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w:t>
                  </w:r>
                </w:p>
              </w:tc>
            </w:tr>
            <w:tr w14:paraId="5F39D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1920" w:type="dxa"/>
                  <w:tcBorders>
                    <w:top w:val="single" w:color="auto" w:sz="4" w:space="0"/>
                    <w:left w:val="single" w:color="auto" w:sz="4" w:space="0"/>
                    <w:bottom w:val="single" w:color="auto" w:sz="4" w:space="0"/>
                    <w:right w:val="single" w:color="auto" w:sz="4" w:space="0"/>
                  </w:tcBorders>
                  <w:vAlign w:val="center"/>
                </w:tcPr>
                <w:p w14:paraId="04B67F1D">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TP</w:t>
                  </w:r>
                </w:p>
              </w:tc>
              <w:tc>
                <w:tcPr>
                  <w:tcW w:w="5199" w:type="dxa"/>
                  <w:vMerge w:val="continue"/>
                  <w:tcBorders>
                    <w:top w:val="nil"/>
                    <w:left w:val="single" w:color="auto" w:sz="4" w:space="0"/>
                    <w:bottom w:val="single" w:color="auto" w:sz="4" w:space="0"/>
                    <w:right w:val="single" w:color="auto" w:sz="4" w:space="0"/>
                  </w:tcBorders>
                  <w:vAlign w:val="center"/>
                </w:tcPr>
                <w:p w14:paraId="68373049">
                  <w:pPr>
                    <w:widowControl/>
                    <w:jc w:val="left"/>
                    <w:rPr>
                      <w:rFonts w:eastAsia="仿宋"/>
                      <w:color w:val="000000" w:themeColor="text1"/>
                      <w:szCs w:val="21"/>
                      <w14:textFill>
                        <w14:solidFill>
                          <w14:schemeClr w14:val="tx1"/>
                        </w14:solidFill>
                      </w14:textFill>
                    </w:rPr>
                  </w:pPr>
                </w:p>
              </w:tc>
              <w:tc>
                <w:tcPr>
                  <w:tcW w:w="1727" w:type="dxa"/>
                  <w:tcBorders>
                    <w:top w:val="single" w:color="auto" w:sz="4" w:space="0"/>
                    <w:left w:val="single" w:color="auto" w:sz="4" w:space="0"/>
                    <w:bottom w:val="single" w:color="auto" w:sz="4" w:space="0"/>
                    <w:right w:val="single" w:color="auto" w:sz="4" w:space="0"/>
                  </w:tcBorders>
                  <w:vAlign w:val="center"/>
                </w:tcPr>
                <w:p w14:paraId="28444C8F">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0.5</w:t>
                  </w:r>
                </w:p>
              </w:tc>
            </w:tr>
            <w:tr w14:paraId="35E2A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1920" w:type="dxa"/>
                  <w:tcBorders>
                    <w:top w:val="single" w:color="auto" w:sz="4" w:space="0"/>
                    <w:left w:val="single" w:color="auto" w:sz="4" w:space="0"/>
                    <w:bottom w:val="single" w:color="auto" w:sz="4" w:space="0"/>
                    <w:right w:val="single" w:color="auto" w:sz="4" w:space="0"/>
                  </w:tcBorders>
                  <w:vAlign w:val="center"/>
                </w:tcPr>
                <w:p w14:paraId="482CED5A">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TN</w:t>
                  </w:r>
                </w:p>
              </w:tc>
              <w:tc>
                <w:tcPr>
                  <w:tcW w:w="5199" w:type="dxa"/>
                  <w:vMerge w:val="continue"/>
                  <w:tcBorders>
                    <w:top w:val="nil"/>
                    <w:left w:val="single" w:color="auto" w:sz="4" w:space="0"/>
                    <w:bottom w:val="single" w:color="auto" w:sz="4" w:space="0"/>
                    <w:right w:val="single" w:color="auto" w:sz="4" w:space="0"/>
                  </w:tcBorders>
                  <w:vAlign w:val="center"/>
                </w:tcPr>
                <w:p w14:paraId="7E9A6EEE">
                  <w:pPr>
                    <w:widowControl/>
                    <w:jc w:val="left"/>
                    <w:rPr>
                      <w:rFonts w:eastAsia="仿宋"/>
                      <w:color w:val="000000" w:themeColor="text1"/>
                      <w:szCs w:val="21"/>
                      <w14:textFill>
                        <w14:solidFill>
                          <w14:schemeClr w14:val="tx1"/>
                        </w14:solidFill>
                      </w14:textFill>
                    </w:rPr>
                  </w:pPr>
                </w:p>
              </w:tc>
              <w:tc>
                <w:tcPr>
                  <w:tcW w:w="1727" w:type="dxa"/>
                  <w:tcBorders>
                    <w:top w:val="single" w:color="auto" w:sz="4" w:space="0"/>
                    <w:left w:val="single" w:color="auto" w:sz="4" w:space="0"/>
                    <w:bottom w:val="single" w:color="auto" w:sz="4" w:space="0"/>
                    <w:right w:val="single" w:color="auto" w:sz="4" w:space="0"/>
                  </w:tcBorders>
                  <w:vAlign w:val="center"/>
                </w:tcPr>
                <w:p w14:paraId="059EAD7B">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w:t>
                  </w: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15</w:t>
                  </w: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w:t>
                  </w:r>
                </w:p>
              </w:tc>
            </w:tr>
            <w:tr w14:paraId="52D5B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0" w:type="dxa"/>
                  <w:tcBorders>
                    <w:top w:val="single" w:color="auto" w:sz="4" w:space="0"/>
                    <w:left w:val="single" w:color="auto" w:sz="4" w:space="0"/>
                    <w:bottom w:val="single" w:color="auto" w:sz="4" w:space="0"/>
                    <w:right w:val="single" w:color="auto" w:sz="4" w:space="0"/>
                  </w:tcBorders>
                  <w:vAlign w:val="center"/>
                </w:tcPr>
                <w:p w14:paraId="546F9560">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SS</w:t>
                  </w:r>
                </w:p>
              </w:tc>
              <w:tc>
                <w:tcPr>
                  <w:tcW w:w="5199" w:type="dxa"/>
                  <w:tcBorders>
                    <w:top w:val="single" w:color="auto" w:sz="4" w:space="0"/>
                    <w:left w:val="single" w:color="auto" w:sz="4" w:space="0"/>
                    <w:bottom w:val="single" w:color="auto" w:sz="4" w:space="0"/>
                    <w:right w:val="single" w:color="auto" w:sz="4" w:space="0"/>
                  </w:tcBorders>
                  <w:vAlign w:val="center"/>
                </w:tcPr>
                <w:p w14:paraId="57C25BFD">
                  <w:pPr>
                    <w:adjustRightInd w:val="0"/>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《城镇污水处理厂污染物排放标准》（</w:t>
                  </w:r>
                  <w:r>
                    <w:rPr>
                      <w:rFonts w:eastAsia="仿宋"/>
                      <w:color w:val="000000" w:themeColor="text1"/>
                      <w:szCs w:val="21"/>
                      <w14:textFill>
                        <w14:solidFill>
                          <w14:schemeClr w14:val="tx1"/>
                        </w14:solidFill>
                      </w14:textFill>
                    </w:rPr>
                    <w:t>GB18918</w:t>
                  </w: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2002</w:t>
                  </w:r>
                  <w:r>
                    <w:rPr>
                      <w:rFonts w:ascii="仿宋" w:hAnsi="仿宋" w:eastAsia="仿宋"/>
                      <w:color w:val="000000" w:themeColor="text1"/>
                      <w:szCs w:val="21"/>
                      <w14:textFill>
                        <w14:solidFill>
                          <w14:schemeClr w14:val="tx1"/>
                        </w14:solidFill>
                      </w14:textFill>
                    </w:rPr>
                    <w:t>）一级</w:t>
                  </w:r>
                  <w:r>
                    <w:rPr>
                      <w:rFonts w:eastAsia="仿宋"/>
                      <w:color w:val="000000" w:themeColor="text1"/>
                      <w:szCs w:val="21"/>
                      <w14:textFill>
                        <w14:solidFill>
                          <w14:schemeClr w14:val="tx1"/>
                        </w14:solidFill>
                      </w14:textFill>
                    </w:rPr>
                    <w:t>A</w:t>
                  </w:r>
                  <w:r>
                    <w:rPr>
                      <w:rFonts w:ascii="仿宋" w:hAnsi="仿宋" w:eastAsia="仿宋"/>
                      <w:color w:val="000000" w:themeColor="text1"/>
                      <w:szCs w:val="21"/>
                      <w14:textFill>
                        <w14:solidFill>
                          <w14:schemeClr w14:val="tx1"/>
                        </w14:solidFill>
                      </w14:textFill>
                    </w:rPr>
                    <w:t>标准</w:t>
                  </w:r>
                </w:p>
              </w:tc>
              <w:tc>
                <w:tcPr>
                  <w:tcW w:w="1727" w:type="dxa"/>
                  <w:tcBorders>
                    <w:top w:val="single" w:color="auto" w:sz="4" w:space="0"/>
                    <w:left w:val="single" w:color="auto" w:sz="4" w:space="0"/>
                    <w:bottom w:val="single" w:color="auto" w:sz="4" w:space="0"/>
                    <w:right w:val="single" w:color="auto" w:sz="4" w:space="0"/>
                  </w:tcBorders>
                  <w:vAlign w:val="center"/>
                </w:tcPr>
                <w:p w14:paraId="564FEA20">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r>
          </w:tbl>
          <w:p w14:paraId="6C29D382">
            <w:pP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注*：括号外数值为水温＞12</w:t>
            </w:r>
            <w:r>
              <w:rPr>
                <w:rFonts w:hint="eastAsia" w:ascii="宋体" w:hAnsi="宋体" w:cs="宋体"/>
                <w:b/>
                <w:color w:val="000000" w:themeColor="text1"/>
                <w:szCs w:val="21"/>
                <w14:textFill>
                  <w14:solidFill>
                    <w14:schemeClr w14:val="tx1"/>
                  </w14:solidFill>
                </w14:textFill>
              </w:rPr>
              <w:t>℃</w:t>
            </w:r>
            <w:r>
              <w:rPr>
                <w:rFonts w:eastAsia="仿宋"/>
                <w:b/>
                <w:color w:val="000000" w:themeColor="text1"/>
                <w:szCs w:val="21"/>
                <w14:textFill>
                  <w14:solidFill>
                    <w14:schemeClr w14:val="tx1"/>
                  </w14:solidFill>
                </w14:textFill>
              </w:rPr>
              <w:t>时的控制指标，括号内数值为水温≤12</w:t>
            </w:r>
            <w:r>
              <w:rPr>
                <w:rFonts w:hint="eastAsia" w:ascii="宋体" w:hAnsi="宋体" w:cs="宋体"/>
                <w:b/>
                <w:color w:val="000000" w:themeColor="text1"/>
                <w:szCs w:val="21"/>
                <w14:textFill>
                  <w14:solidFill>
                    <w14:schemeClr w14:val="tx1"/>
                  </w14:solidFill>
                </w14:textFill>
              </w:rPr>
              <w:t>℃</w:t>
            </w:r>
            <w:r>
              <w:rPr>
                <w:rFonts w:eastAsia="仿宋"/>
                <w:b/>
                <w:color w:val="000000" w:themeColor="text1"/>
                <w:szCs w:val="21"/>
                <w14:textFill>
                  <w14:solidFill>
                    <w14:schemeClr w14:val="tx1"/>
                  </w14:solidFill>
                </w14:textFill>
              </w:rPr>
              <w:t>时的控制指标。</w:t>
            </w:r>
          </w:p>
          <w:p w14:paraId="1BA4189E">
            <w:pPr>
              <w:spacing w:line="48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w:t>
            </w:r>
            <w:r>
              <w:rPr>
                <w:rFonts w:hint="eastAsia" w:eastAsia="仿宋"/>
                <w:b/>
                <w:bCs/>
                <w:color w:val="000000" w:themeColor="text1"/>
                <w:sz w:val="24"/>
                <w14:textFill>
                  <w14:solidFill>
                    <w14:schemeClr w14:val="tx1"/>
                  </w14:solidFill>
                </w14:textFill>
              </w:rPr>
              <w:t>三</w:t>
            </w:r>
            <w:r>
              <w:rPr>
                <w:rFonts w:eastAsia="仿宋"/>
                <w:b/>
                <w:bCs/>
                <w:color w:val="000000" w:themeColor="text1"/>
                <w:sz w:val="24"/>
                <w14:textFill>
                  <w14:solidFill>
                    <w14:schemeClr w14:val="tx1"/>
                  </w14:solidFill>
                </w14:textFill>
              </w:rPr>
              <w:t>）噪声</w:t>
            </w:r>
          </w:p>
          <w:p w14:paraId="01511894">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本项目所在地</w:t>
            </w:r>
            <w:r>
              <w:rPr>
                <w:rFonts w:hint="eastAsia" w:eastAsia="仿宋"/>
                <w:bCs/>
                <w:color w:val="000000" w:themeColor="text1"/>
                <w:sz w:val="24"/>
                <w14:textFill>
                  <w14:solidFill>
                    <w14:schemeClr w14:val="tx1"/>
                  </w14:solidFill>
                </w14:textFill>
              </w:rPr>
              <w:t>东、南、西、北</w:t>
            </w:r>
            <w:r>
              <w:rPr>
                <w:rFonts w:eastAsia="仿宋"/>
                <w:bCs/>
                <w:color w:val="000000" w:themeColor="text1"/>
                <w:sz w:val="24"/>
                <w14:textFill>
                  <w14:solidFill>
                    <w14:schemeClr w14:val="tx1"/>
                  </w14:solidFill>
                </w14:textFill>
              </w:rPr>
              <w:t>各厂界噪声执行《工业企业厂界环境噪声排放标准》（GB12348-2008）中的3类</w:t>
            </w:r>
            <w:r>
              <w:rPr>
                <w:rFonts w:hint="eastAsia" w:eastAsia="仿宋"/>
                <w:bCs/>
                <w:color w:val="000000" w:themeColor="text1"/>
                <w:sz w:val="24"/>
                <w14:textFill>
                  <w14:solidFill>
                    <w14:schemeClr w14:val="tx1"/>
                  </w14:solidFill>
                </w14:textFill>
              </w:rPr>
              <w:t>标准，</w:t>
            </w:r>
            <w:r>
              <w:rPr>
                <w:rFonts w:eastAsia="仿宋"/>
                <w:bCs/>
                <w:color w:val="000000" w:themeColor="text1"/>
                <w:sz w:val="24"/>
                <w14:textFill>
                  <w14:solidFill>
                    <w14:schemeClr w14:val="tx1"/>
                  </w14:solidFill>
                </w14:textFill>
              </w:rPr>
              <w:t>具体标准限值见下表。</w:t>
            </w:r>
          </w:p>
          <w:p w14:paraId="1F289B91">
            <w:pPr>
              <w:pStyle w:val="7"/>
              <w:rPr>
                <w:color w:val="000000" w:themeColor="text1"/>
                <w14:textFill>
                  <w14:solidFill>
                    <w14:schemeClr w14:val="tx1"/>
                  </w14:solidFill>
                </w14:textFill>
              </w:rPr>
            </w:pPr>
            <w:r>
              <w:rPr>
                <w:rFonts w:hint="eastAsia"/>
                <w:color w:val="000000" w:themeColor="text1"/>
                <w14:textFill>
                  <w14:solidFill>
                    <w14:schemeClr w14:val="tx1"/>
                  </w14:solidFill>
                </w14:textFill>
              </w:rPr>
              <w:t>表3</w:t>
            </w:r>
            <w:r>
              <w:rPr>
                <w:color w:val="000000" w:themeColor="text1"/>
                <w14:textFill>
                  <w14:solidFill>
                    <w14:schemeClr w14:val="tx1"/>
                  </w14:solidFill>
                </w14:textFill>
              </w:rPr>
              <w:t>-10 《工业企业厂界环境噪声排放标准》 单位：dB(A)</w:t>
            </w:r>
          </w:p>
          <w:tbl>
            <w:tblPr>
              <w:tblStyle w:val="24"/>
              <w:tblW w:w="8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1"/>
              <w:gridCol w:w="1417"/>
              <w:gridCol w:w="1276"/>
              <w:gridCol w:w="3002"/>
            </w:tblGrid>
            <w:tr w14:paraId="2266C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1" w:type="dxa"/>
                  <w:vAlign w:val="center"/>
                </w:tcPr>
                <w:p w14:paraId="73E4CD2F">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噪声功能区</w:t>
                  </w:r>
                </w:p>
              </w:tc>
              <w:tc>
                <w:tcPr>
                  <w:tcW w:w="1417" w:type="dxa"/>
                  <w:vAlign w:val="center"/>
                </w:tcPr>
                <w:p w14:paraId="2BA082AB">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昼间</w:t>
                  </w:r>
                </w:p>
              </w:tc>
              <w:tc>
                <w:tcPr>
                  <w:tcW w:w="1276" w:type="dxa"/>
                  <w:vAlign w:val="center"/>
                </w:tcPr>
                <w:p w14:paraId="47C19C48">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夜间</w:t>
                  </w:r>
                </w:p>
              </w:tc>
              <w:tc>
                <w:tcPr>
                  <w:tcW w:w="3002" w:type="dxa"/>
                  <w:vAlign w:val="center"/>
                </w:tcPr>
                <w:p w14:paraId="69955EE7">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执行区域</w:t>
                  </w:r>
                </w:p>
              </w:tc>
            </w:tr>
            <w:tr w14:paraId="3D037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3001" w:type="dxa"/>
                  <w:vAlign w:val="center"/>
                </w:tcPr>
                <w:p w14:paraId="5B1CEF54">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3类标准值</w:t>
                  </w:r>
                </w:p>
              </w:tc>
              <w:tc>
                <w:tcPr>
                  <w:tcW w:w="1417" w:type="dxa"/>
                  <w:vAlign w:val="center"/>
                </w:tcPr>
                <w:p w14:paraId="00165BE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65</w:t>
                  </w:r>
                </w:p>
              </w:tc>
              <w:tc>
                <w:tcPr>
                  <w:tcW w:w="1276" w:type="dxa"/>
                  <w:vAlign w:val="center"/>
                </w:tcPr>
                <w:p w14:paraId="74D1A14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55</w:t>
                  </w:r>
                </w:p>
              </w:tc>
              <w:tc>
                <w:tcPr>
                  <w:tcW w:w="3002" w:type="dxa"/>
                  <w:vAlign w:val="center"/>
                </w:tcPr>
                <w:p w14:paraId="29264A77">
                  <w:pPr>
                    <w:autoSpaceDE w:val="0"/>
                    <w:autoSpaceDN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东、南、西、北厂界</w:t>
                  </w:r>
                </w:p>
              </w:tc>
            </w:tr>
          </w:tbl>
          <w:p w14:paraId="489CE25B">
            <w:pPr>
              <w:spacing w:line="48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w:t>
            </w:r>
            <w:r>
              <w:rPr>
                <w:rFonts w:hint="eastAsia" w:eastAsia="仿宋"/>
                <w:b/>
                <w:bCs/>
                <w:color w:val="000000" w:themeColor="text1"/>
                <w:sz w:val="24"/>
                <w14:textFill>
                  <w14:solidFill>
                    <w14:schemeClr w14:val="tx1"/>
                  </w14:solidFill>
                </w14:textFill>
              </w:rPr>
              <w:t>四</w:t>
            </w:r>
            <w:r>
              <w:rPr>
                <w:rFonts w:eastAsia="仿宋"/>
                <w:b/>
                <w:bCs/>
                <w:color w:val="000000" w:themeColor="text1"/>
                <w:sz w:val="24"/>
                <w14:textFill>
                  <w14:solidFill>
                    <w14:schemeClr w14:val="tx1"/>
                  </w14:solidFill>
                </w14:textFill>
              </w:rPr>
              <w:t>）固废</w:t>
            </w:r>
          </w:p>
          <w:p w14:paraId="45A48F8E">
            <w:pPr>
              <w:spacing w:line="480" w:lineRule="exact"/>
              <w:ind w:firstLine="480" w:firstLineChars="200"/>
              <w:rPr>
                <w:rFonts w:eastAsia="仿宋"/>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一般工业固体废物贮存及处置场所参照执行《一般工业固体废物贮存和填埋污染控制标准》（GB18599-2020）。</w:t>
            </w:r>
          </w:p>
          <w:p w14:paraId="552413E6">
            <w:pPr>
              <w:spacing w:line="480" w:lineRule="exact"/>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危险废物收集、贮存、管理及转运等环节应执行</w:t>
            </w:r>
            <w:bookmarkStart w:id="30" w:name="_Hlk131002316"/>
            <w:r>
              <w:rPr>
                <w:rFonts w:eastAsia="仿宋"/>
                <w:bCs/>
                <w:color w:val="000000" w:themeColor="text1"/>
                <w:sz w:val="24"/>
                <w14:textFill>
                  <w14:solidFill>
                    <w14:schemeClr w14:val="tx1"/>
                  </w14:solidFill>
                </w14:textFill>
              </w:rPr>
              <w:t>《危险废物贮存污染控制标准》（GB18597-2023）</w:t>
            </w:r>
            <w:bookmarkEnd w:id="30"/>
            <w:r>
              <w:rPr>
                <w:rFonts w:eastAsia="仿宋"/>
                <w:bCs/>
                <w:color w:val="000000" w:themeColor="text1"/>
                <w:sz w:val="24"/>
                <w14:textFill>
                  <w14:solidFill>
                    <w14:schemeClr w14:val="tx1"/>
                  </w14:solidFill>
                </w14:textFill>
              </w:rPr>
              <w:t>、《江苏省固体废物全过程环境监管工作意见》（苏环办〔2024〕16号）和《省生态环境厅关于进一步加强危险废物环境管理工作的通知》（苏环办〔2021〕207号）。</w:t>
            </w:r>
          </w:p>
          <w:p w14:paraId="641C4C2C">
            <w:pPr>
              <w:spacing w:line="480" w:lineRule="exact"/>
              <w:rPr>
                <w:rFonts w:eastAsia="仿宋"/>
                <w:bCs/>
                <w:color w:val="000000" w:themeColor="text1"/>
                <w14:textFill>
                  <w14:solidFill>
                    <w14:schemeClr w14:val="tx1"/>
                  </w14:solidFill>
                </w14:textFill>
              </w:rPr>
            </w:pPr>
          </w:p>
          <w:p w14:paraId="2CA32A39">
            <w:pPr>
              <w:spacing w:line="500" w:lineRule="exact"/>
              <w:rPr>
                <w:rFonts w:eastAsia="仿宋"/>
                <w:bCs/>
                <w:color w:val="000000" w:themeColor="text1"/>
                <w14:textFill>
                  <w14:solidFill>
                    <w14:schemeClr w14:val="tx1"/>
                  </w14:solidFill>
                </w14:textFill>
              </w:rPr>
            </w:pPr>
          </w:p>
          <w:p w14:paraId="0A979850">
            <w:pPr>
              <w:spacing w:line="500" w:lineRule="exact"/>
              <w:rPr>
                <w:rFonts w:eastAsia="仿宋"/>
                <w:bCs/>
                <w:color w:val="000000" w:themeColor="text1"/>
                <w14:textFill>
                  <w14:solidFill>
                    <w14:schemeClr w14:val="tx1"/>
                  </w14:solidFill>
                </w14:textFill>
              </w:rPr>
            </w:pPr>
          </w:p>
          <w:p w14:paraId="74BAF31A">
            <w:pPr>
              <w:spacing w:line="500" w:lineRule="exact"/>
              <w:rPr>
                <w:rFonts w:eastAsia="仿宋"/>
                <w:bCs/>
                <w:color w:val="000000" w:themeColor="text1"/>
                <w14:textFill>
                  <w14:solidFill>
                    <w14:schemeClr w14:val="tx1"/>
                  </w14:solidFill>
                </w14:textFill>
              </w:rPr>
            </w:pPr>
          </w:p>
          <w:p w14:paraId="430D1592">
            <w:pPr>
              <w:spacing w:line="500" w:lineRule="exact"/>
              <w:rPr>
                <w:rFonts w:eastAsia="仿宋"/>
                <w:bCs/>
                <w:color w:val="000000" w:themeColor="text1"/>
                <w14:textFill>
                  <w14:solidFill>
                    <w14:schemeClr w14:val="tx1"/>
                  </w14:solidFill>
                </w14:textFill>
              </w:rPr>
            </w:pPr>
          </w:p>
          <w:p w14:paraId="680155E2">
            <w:pPr>
              <w:spacing w:line="500" w:lineRule="exact"/>
              <w:rPr>
                <w:rFonts w:eastAsia="仿宋"/>
                <w:bCs/>
                <w:color w:val="000000" w:themeColor="text1"/>
                <w14:textFill>
                  <w14:solidFill>
                    <w14:schemeClr w14:val="tx1"/>
                  </w14:solidFill>
                </w14:textFill>
              </w:rPr>
            </w:pPr>
          </w:p>
          <w:p w14:paraId="1648A2C2">
            <w:pPr>
              <w:spacing w:line="500" w:lineRule="exact"/>
              <w:rPr>
                <w:rFonts w:eastAsia="仿宋"/>
                <w:bCs/>
                <w:color w:val="000000" w:themeColor="text1"/>
                <w14:textFill>
                  <w14:solidFill>
                    <w14:schemeClr w14:val="tx1"/>
                  </w14:solidFill>
                </w14:textFill>
              </w:rPr>
            </w:pPr>
          </w:p>
          <w:p w14:paraId="7A3B794B">
            <w:pPr>
              <w:spacing w:line="500" w:lineRule="exact"/>
              <w:rPr>
                <w:rFonts w:eastAsia="仿宋"/>
                <w:bCs/>
                <w:color w:val="000000" w:themeColor="text1"/>
                <w14:textFill>
                  <w14:solidFill>
                    <w14:schemeClr w14:val="tx1"/>
                  </w14:solidFill>
                </w14:textFill>
              </w:rPr>
            </w:pPr>
          </w:p>
        </w:tc>
      </w:tr>
    </w:tbl>
    <w:p w14:paraId="3468B2DF">
      <w:pPr>
        <w:adjustRightInd w:val="0"/>
        <w:snapToGrid w:val="0"/>
        <w:jc w:val="center"/>
        <w:rPr>
          <w:rFonts w:eastAsia="仿宋"/>
          <w:color w:val="000000" w:themeColor="text1"/>
          <w:kern w:val="0"/>
          <w:sz w:val="24"/>
          <w14:textFill>
            <w14:solidFill>
              <w14:schemeClr w14:val="tx1"/>
            </w14:solidFill>
          </w14:textFill>
        </w:rPr>
        <w:sectPr>
          <w:pgSz w:w="11907" w:h="16840"/>
          <w:pgMar w:top="1701" w:right="1531" w:bottom="1701" w:left="1531" w:header="851" w:footer="851" w:gutter="0"/>
          <w:cols w:space="720" w:num="1"/>
          <w:docGrid w:linePitch="312" w:charSpace="0"/>
        </w:sectPr>
      </w:pPr>
    </w:p>
    <w:tbl>
      <w:tblPr>
        <w:tblStyle w:val="25"/>
        <w:tblW w:w="54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13661"/>
      </w:tblGrid>
      <w:tr w14:paraId="47A20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9" w:hRule="atLeast"/>
          <w:jc w:val="center"/>
        </w:trPr>
        <w:tc>
          <w:tcPr>
            <w:tcW w:w="398" w:type="pct"/>
            <w:vAlign w:val="center"/>
          </w:tcPr>
          <w:p w14:paraId="2FA2D41A">
            <w:pPr>
              <w:adjustRightInd w:val="0"/>
              <w:snapToGrid w:val="0"/>
              <w:jc w:val="center"/>
              <w:rPr>
                <w:rFonts w:eastAsia="仿宋"/>
                <w:color w:val="000000" w:themeColor="text1"/>
                <w:kern w:val="0"/>
                <w:sz w:val="24"/>
                <w14:textFill>
                  <w14:solidFill>
                    <w14:schemeClr w14:val="tx1"/>
                  </w14:solidFill>
                </w14:textFill>
              </w:rPr>
            </w:pPr>
            <w:r>
              <w:rPr>
                <w:rFonts w:hint="eastAsia" w:eastAsia="仿宋"/>
                <w:color w:val="000000" w:themeColor="text1"/>
                <w:kern w:val="0"/>
                <w:sz w:val="24"/>
                <w14:textFill>
                  <w14:solidFill>
                    <w14:schemeClr w14:val="tx1"/>
                  </w14:solidFill>
                </w14:textFill>
              </w:rPr>
              <w:t>总量控制指标</w:t>
            </w:r>
          </w:p>
        </w:tc>
        <w:tc>
          <w:tcPr>
            <w:tcW w:w="4602" w:type="pct"/>
          </w:tcPr>
          <w:p w14:paraId="14AFC10A">
            <w:pPr>
              <w:pStyle w:val="60"/>
              <w:rPr>
                <w:color w:val="000000" w:themeColor="text1"/>
                <w14:textFill>
                  <w14:solidFill>
                    <w14:schemeClr w14:val="tx1"/>
                  </w14:solidFill>
                </w14:textFill>
              </w:rPr>
            </w:pPr>
            <w:r>
              <w:rPr>
                <w:color w:val="000000" w:themeColor="text1"/>
                <w14:textFill>
                  <w14:solidFill>
                    <w14:schemeClr w14:val="tx1"/>
                  </w14:solidFill>
                </w14:textFill>
              </w:rPr>
              <w:t>表3-11 污染物排放总量控制指标单位：t/a</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849"/>
              <w:gridCol w:w="1290"/>
              <w:gridCol w:w="1139"/>
              <w:gridCol w:w="1284"/>
              <w:gridCol w:w="1244"/>
              <w:gridCol w:w="1129"/>
              <w:gridCol w:w="1448"/>
              <w:gridCol w:w="1448"/>
              <w:gridCol w:w="1448"/>
              <w:gridCol w:w="1452"/>
            </w:tblGrid>
            <w:tr w14:paraId="601F8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 w:type="pct"/>
                  <w:vMerge w:val="restart"/>
                  <w:tcBorders>
                    <w:top w:val="single" w:color="auto" w:sz="4" w:space="0"/>
                    <w:left w:val="single" w:color="auto" w:sz="4" w:space="0"/>
                    <w:bottom w:val="single" w:color="auto" w:sz="4" w:space="0"/>
                    <w:right w:val="single" w:color="auto" w:sz="4" w:space="0"/>
                  </w:tcBorders>
                  <w:vAlign w:val="center"/>
                </w:tcPr>
                <w:p w14:paraId="358D5D12">
                  <w:pPr>
                    <w:widowControl/>
                    <w:spacing w:line="240" w:lineRule="atLeast"/>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14:textFill>
                        <w14:solidFill>
                          <w14:schemeClr w14:val="tx1"/>
                        </w14:solidFill>
                      </w14:textFill>
                    </w:rPr>
                    <w:t>污染类型</w:t>
                  </w:r>
                </w:p>
              </w:tc>
              <w:tc>
                <w:tcPr>
                  <w:tcW w:w="796" w:type="pct"/>
                  <w:gridSpan w:val="2"/>
                  <w:vMerge w:val="restart"/>
                  <w:tcBorders>
                    <w:top w:val="single" w:color="auto" w:sz="4" w:space="0"/>
                    <w:left w:val="single" w:color="auto" w:sz="4" w:space="0"/>
                    <w:bottom w:val="single" w:color="auto" w:sz="4" w:space="0"/>
                    <w:right w:val="single" w:color="auto" w:sz="4" w:space="0"/>
                  </w:tcBorders>
                  <w:vAlign w:val="center"/>
                </w:tcPr>
                <w:p w14:paraId="0B385D79">
                  <w:pPr>
                    <w:widowControl/>
                    <w:spacing w:line="240" w:lineRule="atLeast"/>
                    <w:jc w:val="center"/>
                    <w:rPr>
                      <w:rFonts w:eastAsia="仿宋"/>
                      <w:b/>
                      <w:bCs/>
                      <w:color w:val="000000" w:themeColor="text1"/>
                      <w14:textFill>
                        <w14:solidFill>
                          <w14:schemeClr w14:val="tx1"/>
                        </w14:solidFill>
                      </w14:textFill>
                    </w:rPr>
                  </w:pPr>
                  <w:r>
                    <w:rPr>
                      <w:rFonts w:ascii="仿宋" w:hAnsi="仿宋" w:eastAsia="仿宋"/>
                      <w:b/>
                      <w:bCs/>
                      <w:color w:val="000000" w:themeColor="text1"/>
                      <w14:textFill>
                        <w14:solidFill>
                          <w14:schemeClr w14:val="tx1"/>
                        </w14:solidFill>
                      </w14:textFill>
                    </w:rPr>
                    <w:t>污染物名称</w:t>
                  </w:r>
                </w:p>
              </w:tc>
              <w:tc>
                <w:tcPr>
                  <w:tcW w:w="424" w:type="pct"/>
                  <w:vMerge w:val="restart"/>
                  <w:tcBorders>
                    <w:top w:val="single" w:color="auto" w:sz="4" w:space="0"/>
                    <w:left w:val="single" w:color="auto" w:sz="4" w:space="0"/>
                    <w:right w:val="single" w:color="auto" w:sz="4" w:space="0"/>
                  </w:tcBorders>
                  <w:vAlign w:val="center"/>
                </w:tcPr>
                <w:p w14:paraId="5640B284">
                  <w:pPr>
                    <w:spacing w:line="240" w:lineRule="atLeast"/>
                    <w:jc w:val="center"/>
                    <w:rPr>
                      <w:rFonts w:eastAsia="仿宋"/>
                      <w:b/>
                      <w:bCs/>
                      <w:color w:val="000000" w:themeColor="text1"/>
                      <w:kern w:val="0"/>
                      <w14:textFill>
                        <w14:solidFill>
                          <w14:schemeClr w14:val="tx1"/>
                        </w14:solidFill>
                      </w14:textFill>
                    </w:rPr>
                  </w:pPr>
                  <w:r>
                    <w:rPr>
                      <w:rFonts w:hint="eastAsia" w:eastAsia="仿宋"/>
                      <w:b/>
                      <w:bCs/>
                      <w:color w:val="000000" w:themeColor="text1"/>
                      <w:kern w:val="0"/>
                      <w14:textFill>
                        <w14:solidFill>
                          <w14:schemeClr w14:val="tx1"/>
                        </w14:solidFill>
                      </w14:textFill>
                    </w:rPr>
                    <w:t>扩建前环评批复量</w:t>
                  </w:r>
                </w:p>
              </w:tc>
              <w:tc>
                <w:tcPr>
                  <w:tcW w:w="1361" w:type="pct"/>
                  <w:gridSpan w:val="3"/>
                  <w:tcBorders>
                    <w:top w:val="single" w:color="auto" w:sz="4" w:space="0"/>
                    <w:left w:val="single" w:color="auto" w:sz="4" w:space="0"/>
                    <w:bottom w:val="single" w:color="auto" w:sz="4" w:space="0"/>
                    <w:right w:val="single" w:color="auto" w:sz="4" w:space="0"/>
                  </w:tcBorders>
                  <w:vAlign w:val="center"/>
                </w:tcPr>
                <w:p w14:paraId="0C66ADF2">
                  <w:pPr>
                    <w:spacing w:line="240" w:lineRule="atLeast"/>
                    <w:jc w:val="center"/>
                    <w:rPr>
                      <w:rFonts w:eastAsia="仿宋"/>
                      <w:b/>
                      <w:bCs/>
                      <w:color w:val="000000" w:themeColor="text1"/>
                      <w:kern w:val="0"/>
                      <w14:textFill>
                        <w14:solidFill>
                          <w14:schemeClr w14:val="tx1"/>
                        </w14:solidFill>
                      </w14:textFill>
                    </w:rPr>
                  </w:pPr>
                  <w:r>
                    <w:rPr>
                      <w:rFonts w:hint="eastAsia" w:eastAsia="仿宋"/>
                      <w:b/>
                      <w:bCs/>
                      <w:color w:val="000000" w:themeColor="text1"/>
                      <w:kern w:val="0"/>
                      <w14:textFill>
                        <w14:solidFill>
                          <w14:schemeClr w14:val="tx1"/>
                        </w14:solidFill>
                      </w14:textFill>
                    </w:rPr>
                    <w:t>本项目</w:t>
                  </w:r>
                </w:p>
              </w:tc>
              <w:tc>
                <w:tcPr>
                  <w:tcW w:w="1078" w:type="pct"/>
                  <w:gridSpan w:val="2"/>
                  <w:tcBorders>
                    <w:top w:val="single" w:color="auto" w:sz="4" w:space="0"/>
                    <w:left w:val="single" w:color="auto" w:sz="4" w:space="0"/>
                    <w:bottom w:val="single" w:color="auto" w:sz="4" w:space="0"/>
                    <w:right w:val="single" w:color="auto" w:sz="4" w:space="0"/>
                  </w:tcBorders>
                  <w:vAlign w:val="center"/>
                </w:tcPr>
                <w:p w14:paraId="5C29BA47">
                  <w:pPr>
                    <w:widowControl/>
                    <w:spacing w:line="240" w:lineRule="atLeast"/>
                    <w:ind w:left="-92" w:leftChars="-44"/>
                    <w:jc w:val="center"/>
                    <w:rPr>
                      <w:rFonts w:eastAsia="仿宋"/>
                      <w:b/>
                      <w:bCs/>
                      <w:color w:val="000000" w:themeColor="text1"/>
                      <w14:textFill>
                        <w14:solidFill>
                          <w14:schemeClr w14:val="tx1"/>
                        </w14:solidFill>
                      </w14:textFill>
                    </w:rPr>
                  </w:pPr>
                  <w:r>
                    <w:rPr>
                      <w:rFonts w:hint="eastAsia" w:eastAsia="仿宋"/>
                      <w:b/>
                      <w:bCs/>
                      <w:color w:val="000000" w:themeColor="text1"/>
                      <w14:textFill>
                        <w14:solidFill>
                          <w14:schemeClr w14:val="tx1"/>
                        </w14:solidFill>
                      </w14:textFill>
                    </w:rPr>
                    <w:t>扩建后全厂</w:t>
                  </w:r>
                </w:p>
              </w:tc>
              <w:tc>
                <w:tcPr>
                  <w:tcW w:w="539" w:type="pct"/>
                  <w:vMerge w:val="restart"/>
                  <w:tcBorders>
                    <w:top w:val="single" w:color="auto" w:sz="4" w:space="0"/>
                    <w:left w:val="single" w:color="auto" w:sz="4" w:space="0"/>
                    <w:bottom w:val="single" w:color="auto" w:sz="4" w:space="0"/>
                    <w:right w:val="single" w:color="auto" w:sz="4" w:space="0"/>
                  </w:tcBorders>
                  <w:vAlign w:val="center"/>
                </w:tcPr>
                <w:p w14:paraId="47DC21D7">
                  <w:pPr>
                    <w:spacing w:line="240" w:lineRule="atLeast"/>
                    <w:jc w:val="center"/>
                    <w:rPr>
                      <w:rFonts w:ascii="仿宋" w:hAnsi="仿宋" w:eastAsia="仿宋"/>
                      <w:b/>
                      <w:bCs/>
                      <w:color w:val="000000" w:themeColor="text1"/>
                      <w:kern w:val="0"/>
                      <w14:textFill>
                        <w14:solidFill>
                          <w14:schemeClr w14:val="tx1"/>
                        </w14:solidFill>
                      </w14:textFill>
                    </w:rPr>
                  </w:pPr>
                  <w:r>
                    <w:rPr>
                      <w:rFonts w:ascii="仿宋" w:hAnsi="仿宋" w:eastAsia="仿宋"/>
                      <w:b/>
                      <w:bCs/>
                      <w:color w:val="000000" w:themeColor="text1"/>
                      <w:kern w:val="0"/>
                      <w14:textFill>
                        <w14:solidFill>
                          <w14:schemeClr w14:val="tx1"/>
                        </w14:solidFill>
                      </w14:textFill>
                    </w:rPr>
                    <w:t>扩建前后增减量</w:t>
                  </w:r>
                </w:p>
              </w:tc>
              <w:tc>
                <w:tcPr>
                  <w:tcW w:w="540" w:type="pct"/>
                  <w:vMerge w:val="restart"/>
                  <w:tcBorders>
                    <w:top w:val="single" w:color="auto" w:sz="4" w:space="0"/>
                    <w:left w:val="single" w:color="auto" w:sz="4" w:space="0"/>
                    <w:bottom w:val="single" w:color="auto" w:sz="4" w:space="0"/>
                    <w:right w:val="single" w:color="auto" w:sz="4" w:space="0"/>
                  </w:tcBorders>
                  <w:vAlign w:val="center"/>
                </w:tcPr>
                <w:p w14:paraId="5A2BDF39">
                  <w:pPr>
                    <w:spacing w:line="240" w:lineRule="atLeast"/>
                    <w:jc w:val="center"/>
                    <w:rPr>
                      <w:rFonts w:ascii="仿宋" w:hAnsi="仿宋" w:eastAsia="仿宋"/>
                      <w:b/>
                      <w:bCs/>
                      <w:color w:val="000000" w:themeColor="text1"/>
                      <w:kern w:val="0"/>
                      <w14:textFill>
                        <w14:solidFill>
                          <w14:schemeClr w14:val="tx1"/>
                        </w14:solidFill>
                      </w14:textFill>
                    </w:rPr>
                  </w:pPr>
                  <w:r>
                    <w:rPr>
                      <w:rFonts w:ascii="仿宋" w:hAnsi="仿宋" w:eastAsia="仿宋"/>
                      <w:b/>
                      <w:bCs/>
                      <w:color w:val="000000" w:themeColor="text1"/>
                      <w:kern w:val="0"/>
                      <w14:textFill>
                        <w14:solidFill>
                          <w14:schemeClr w14:val="tx1"/>
                        </w14:solidFill>
                      </w14:textFill>
                    </w:rPr>
                    <w:t>排入外环境增减量</w:t>
                  </w:r>
                </w:p>
              </w:tc>
            </w:tr>
            <w:tr w14:paraId="020AE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 w:type="pct"/>
                  <w:vMerge w:val="continue"/>
                  <w:tcBorders>
                    <w:top w:val="single" w:color="auto" w:sz="4" w:space="0"/>
                    <w:left w:val="single" w:color="auto" w:sz="4" w:space="0"/>
                    <w:bottom w:val="single" w:color="auto" w:sz="4" w:space="0"/>
                    <w:right w:val="single" w:color="auto" w:sz="4" w:space="0"/>
                  </w:tcBorders>
                  <w:vAlign w:val="center"/>
                </w:tcPr>
                <w:p w14:paraId="3426E5BE">
                  <w:pPr>
                    <w:widowControl/>
                    <w:jc w:val="left"/>
                    <w:rPr>
                      <w:rFonts w:eastAsia="仿宋"/>
                      <w:b/>
                      <w:bCs/>
                      <w:color w:val="000000" w:themeColor="text1"/>
                      <w:szCs w:val="21"/>
                      <w14:textFill>
                        <w14:solidFill>
                          <w14:schemeClr w14:val="tx1"/>
                        </w14:solidFill>
                      </w14:textFill>
                    </w:rPr>
                  </w:pPr>
                </w:p>
              </w:tc>
              <w:tc>
                <w:tcPr>
                  <w:tcW w:w="796" w:type="pct"/>
                  <w:gridSpan w:val="2"/>
                  <w:vMerge w:val="continue"/>
                  <w:tcBorders>
                    <w:top w:val="single" w:color="auto" w:sz="4" w:space="0"/>
                    <w:left w:val="single" w:color="auto" w:sz="4" w:space="0"/>
                    <w:bottom w:val="single" w:color="auto" w:sz="4" w:space="0"/>
                    <w:right w:val="single" w:color="auto" w:sz="4" w:space="0"/>
                  </w:tcBorders>
                  <w:vAlign w:val="center"/>
                </w:tcPr>
                <w:p w14:paraId="534875B3">
                  <w:pPr>
                    <w:widowControl/>
                    <w:jc w:val="left"/>
                    <w:rPr>
                      <w:rFonts w:eastAsia="仿宋"/>
                      <w:b/>
                      <w:bCs/>
                      <w:color w:val="000000" w:themeColor="text1"/>
                      <w:szCs w:val="21"/>
                      <w14:textFill>
                        <w14:solidFill>
                          <w14:schemeClr w14:val="tx1"/>
                        </w14:solidFill>
                      </w14:textFill>
                    </w:rPr>
                  </w:pPr>
                </w:p>
              </w:tc>
              <w:tc>
                <w:tcPr>
                  <w:tcW w:w="424" w:type="pct"/>
                  <w:vMerge w:val="continue"/>
                  <w:tcBorders>
                    <w:left w:val="single" w:color="auto" w:sz="4" w:space="0"/>
                    <w:bottom w:val="single" w:color="auto" w:sz="4" w:space="0"/>
                    <w:right w:val="single" w:color="auto" w:sz="4" w:space="0"/>
                  </w:tcBorders>
                  <w:vAlign w:val="center"/>
                </w:tcPr>
                <w:p w14:paraId="70633BBF">
                  <w:pPr>
                    <w:spacing w:line="240" w:lineRule="atLeast"/>
                    <w:jc w:val="center"/>
                    <w:rPr>
                      <w:rFonts w:eastAsia="仿宋"/>
                      <w:b/>
                      <w:bCs/>
                      <w:color w:val="000000" w:themeColor="text1"/>
                      <w14:textFill>
                        <w14:solidFill>
                          <w14:schemeClr w14:val="tx1"/>
                        </w14:solidFill>
                      </w14:textFill>
                    </w:rPr>
                  </w:pPr>
                </w:p>
              </w:tc>
              <w:tc>
                <w:tcPr>
                  <w:tcW w:w="478" w:type="pct"/>
                  <w:tcBorders>
                    <w:top w:val="single" w:color="auto" w:sz="4" w:space="0"/>
                    <w:left w:val="single" w:color="auto" w:sz="4" w:space="0"/>
                    <w:bottom w:val="single" w:color="auto" w:sz="4" w:space="0"/>
                    <w:right w:val="single" w:color="auto" w:sz="4" w:space="0"/>
                  </w:tcBorders>
                  <w:vAlign w:val="center"/>
                </w:tcPr>
                <w:p w14:paraId="1DD83F67">
                  <w:pPr>
                    <w:spacing w:line="240" w:lineRule="atLeast"/>
                    <w:jc w:val="center"/>
                    <w:rPr>
                      <w:rFonts w:eastAsia="仿宋"/>
                      <w:b/>
                      <w:bCs/>
                      <w:color w:val="000000" w:themeColor="text1"/>
                      <w14:textFill>
                        <w14:solidFill>
                          <w14:schemeClr w14:val="tx1"/>
                        </w14:solidFill>
                      </w14:textFill>
                    </w:rPr>
                  </w:pPr>
                  <w:r>
                    <w:rPr>
                      <w:rFonts w:hint="eastAsia" w:eastAsia="仿宋"/>
                      <w:b/>
                      <w:bCs/>
                      <w:color w:val="000000" w:themeColor="text1"/>
                      <w14:textFill>
                        <w14:solidFill>
                          <w14:schemeClr w14:val="tx1"/>
                        </w14:solidFill>
                      </w14:textFill>
                    </w:rPr>
                    <w:t>产生量</w:t>
                  </w:r>
                </w:p>
              </w:tc>
              <w:tc>
                <w:tcPr>
                  <w:tcW w:w="463" w:type="pct"/>
                  <w:tcBorders>
                    <w:top w:val="single" w:color="auto" w:sz="4" w:space="0"/>
                    <w:left w:val="single" w:color="auto" w:sz="4" w:space="0"/>
                    <w:bottom w:val="single" w:color="auto" w:sz="4" w:space="0"/>
                    <w:right w:val="single" w:color="auto" w:sz="4" w:space="0"/>
                  </w:tcBorders>
                  <w:vAlign w:val="center"/>
                </w:tcPr>
                <w:p w14:paraId="0C051110">
                  <w:pPr>
                    <w:spacing w:line="240" w:lineRule="atLeast"/>
                    <w:jc w:val="center"/>
                    <w:rPr>
                      <w:rFonts w:eastAsia="仿宋"/>
                      <w:b/>
                      <w:bCs/>
                      <w:color w:val="000000" w:themeColor="text1"/>
                      <w14:textFill>
                        <w14:solidFill>
                          <w14:schemeClr w14:val="tx1"/>
                        </w14:solidFill>
                      </w14:textFill>
                    </w:rPr>
                  </w:pPr>
                  <w:r>
                    <w:rPr>
                      <w:rFonts w:ascii="仿宋" w:hAnsi="仿宋" w:eastAsia="仿宋"/>
                      <w:b/>
                      <w:bCs/>
                      <w:color w:val="000000" w:themeColor="text1"/>
                      <w14:textFill>
                        <w14:solidFill>
                          <w14:schemeClr w14:val="tx1"/>
                        </w14:solidFill>
                      </w14:textFill>
                    </w:rPr>
                    <w:t>削减量</w:t>
                  </w:r>
                </w:p>
              </w:tc>
              <w:tc>
                <w:tcPr>
                  <w:tcW w:w="420" w:type="pct"/>
                  <w:tcBorders>
                    <w:top w:val="single" w:color="auto" w:sz="4" w:space="0"/>
                    <w:left w:val="single" w:color="auto" w:sz="4" w:space="0"/>
                    <w:bottom w:val="single" w:color="auto" w:sz="4" w:space="0"/>
                    <w:right w:val="single" w:color="auto" w:sz="4" w:space="0"/>
                  </w:tcBorders>
                  <w:vAlign w:val="center"/>
                </w:tcPr>
                <w:p w14:paraId="396C4098">
                  <w:pPr>
                    <w:spacing w:line="240" w:lineRule="atLeast"/>
                    <w:jc w:val="center"/>
                    <w:rPr>
                      <w:rFonts w:eastAsia="仿宋"/>
                      <w:b/>
                      <w:bCs/>
                      <w:color w:val="000000" w:themeColor="text1"/>
                      <w:kern w:val="0"/>
                      <w14:textFill>
                        <w14:solidFill>
                          <w14:schemeClr w14:val="tx1"/>
                        </w14:solidFill>
                      </w14:textFill>
                    </w:rPr>
                  </w:pPr>
                  <w:r>
                    <w:rPr>
                      <w:rFonts w:ascii="仿宋" w:hAnsi="仿宋" w:eastAsia="仿宋"/>
                      <w:b/>
                      <w:bCs/>
                      <w:color w:val="000000" w:themeColor="text1"/>
                      <w:kern w:val="0"/>
                      <w14:textFill>
                        <w14:solidFill>
                          <w14:schemeClr w14:val="tx1"/>
                        </w14:solidFill>
                      </w14:textFill>
                    </w:rPr>
                    <w:t>排放量</w:t>
                  </w:r>
                </w:p>
              </w:tc>
              <w:tc>
                <w:tcPr>
                  <w:tcW w:w="539" w:type="pct"/>
                  <w:tcBorders>
                    <w:top w:val="single" w:color="auto" w:sz="4" w:space="0"/>
                    <w:left w:val="single" w:color="auto" w:sz="4" w:space="0"/>
                    <w:bottom w:val="single" w:color="auto" w:sz="4" w:space="0"/>
                    <w:right w:val="single" w:color="auto" w:sz="4" w:space="0"/>
                  </w:tcBorders>
                  <w:vAlign w:val="center"/>
                </w:tcPr>
                <w:p w14:paraId="4239B2B8">
                  <w:pPr>
                    <w:spacing w:line="240" w:lineRule="atLeast"/>
                    <w:jc w:val="center"/>
                    <w:rPr>
                      <w:color w:val="000000" w:themeColor="text1"/>
                      <w:szCs w:val="21"/>
                      <w14:textFill>
                        <w14:solidFill>
                          <w14:schemeClr w14:val="tx1"/>
                        </w14:solidFill>
                      </w14:textFill>
                    </w:rPr>
                  </w:pPr>
                  <w:r>
                    <w:rPr>
                      <w:rFonts w:ascii="仿宋" w:hAnsi="仿宋" w:eastAsia="仿宋"/>
                      <w:b/>
                      <w:bCs/>
                      <w:color w:val="000000" w:themeColor="text1"/>
                      <w:kern w:val="0"/>
                      <w14:textFill>
                        <w14:solidFill>
                          <w14:schemeClr w14:val="tx1"/>
                        </w14:solidFill>
                      </w14:textFill>
                    </w:rPr>
                    <w:t>“以新带老”削减量</w:t>
                  </w:r>
                </w:p>
              </w:tc>
              <w:tc>
                <w:tcPr>
                  <w:tcW w:w="539" w:type="pct"/>
                  <w:tcBorders>
                    <w:top w:val="single" w:color="auto" w:sz="4" w:space="0"/>
                    <w:left w:val="single" w:color="auto" w:sz="4" w:space="0"/>
                    <w:bottom w:val="single" w:color="auto" w:sz="4" w:space="0"/>
                    <w:right w:val="single" w:color="auto" w:sz="4" w:space="0"/>
                  </w:tcBorders>
                  <w:vAlign w:val="center"/>
                </w:tcPr>
                <w:p w14:paraId="3A8A1051">
                  <w:pPr>
                    <w:spacing w:line="240" w:lineRule="atLeast"/>
                    <w:jc w:val="center"/>
                    <w:rPr>
                      <w:rFonts w:eastAsia="仿宋"/>
                      <w:color w:val="000000" w:themeColor="text1"/>
                      <w:szCs w:val="21"/>
                      <w14:textFill>
                        <w14:solidFill>
                          <w14:schemeClr w14:val="tx1"/>
                        </w14:solidFill>
                      </w14:textFill>
                    </w:rPr>
                  </w:pPr>
                  <w:r>
                    <w:rPr>
                      <w:rFonts w:hint="eastAsia" w:ascii="仿宋" w:hAnsi="仿宋" w:eastAsia="仿宋"/>
                      <w:b/>
                      <w:bCs/>
                      <w:color w:val="000000" w:themeColor="text1"/>
                      <w:kern w:val="0"/>
                      <w14:textFill>
                        <w14:solidFill>
                          <w14:schemeClr w14:val="tx1"/>
                        </w14:solidFill>
                      </w14:textFill>
                    </w:rPr>
                    <w:t>预测排放总量</w:t>
                  </w:r>
                </w:p>
              </w:tc>
              <w:tc>
                <w:tcPr>
                  <w:tcW w:w="539" w:type="pct"/>
                  <w:vMerge w:val="continue"/>
                  <w:tcBorders>
                    <w:top w:val="single" w:color="auto" w:sz="4" w:space="0"/>
                    <w:left w:val="single" w:color="auto" w:sz="4" w:space="0"/>
                    <w:bottom w:val="single" w:color="auto" w:sz="4" w:space="0"/>
                    <w:right w:val="single" w:color="auto" w:sz="4" w:space="0"/>
                  </w:tcBorders>
                  <w:vAlign w:val="center"/>
                </w:tcPr>
                <w:p w14:paraId="5DA0B43D">
                  <w:pPr>
                    <w:widowControl/>
                    <w:jc w:val="left"/>
                    <w:rPr>
                      <w:rFonts w:eastAsia="仿宋"/>
                      <w:color w:val="000000" w:themeColor="text1"/>
                      <w:szCs w:val="21"/>
                      <w14:textFill>
                        <w14:solidFill>
                          <w14:schemeClr w14:val="tx1"/>
                        </w14:solidFill>
                      </w14:textFill>
                    </w:rPr>
                  </w:pPr>
                </w:p>
              </w:tc>
              <w:tc>
                <w:tcPr>
                  <w:tcW w:w="540" w:type="pct"/>
                  <w:vMerge w:val="continue"/>
                  <w:tcBorders>
                    <w:top w:val="single" w:color="auto" w:sz="4" w:space="0"/>
                    <w:left w:val="single" w:color="auto" w:sz="4" w:space="0"/>
                    <w:bottom w:val="single" w:color="auto" w:sz="4" w:space="0"/>
                    <w:right w:val="single" w:color="auto" w:sz="4" w:space="0"/>
                  </w:tcBorders>
                  <w:vAlign w:val="center"/>
                </w:tcPr>
                <w:p w14:paraId="08F6E063">
                  <w:pPr>
                    <w:widowControl/>
                    <w:jc w:val="left"/>
                    <w:rPr>
                      <w:rFonts w:eastAsia="仿宋"/>
                      <w:color w:val="000000" w:themeColor="text1"/>
                      <w:szCs w:val="21"/>
                      <w14:textFill>
                        <w14:solidFill>
                          <w14:schemeClr w14:val="tx1"/>
                        </w14:solidFill>
                      </w14:textFill>
                    </w:rPr>
                  </w:pPr>
                </w:p>
              </w:tc>
            </w:tr>
            <w:tr w14:paraId="08BBE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262" w:type="pct"/>
                  <w:vMerge w:val="restart"/>
                  <w:tcBorders>
                    <w:top w:val="nil"/>
                    <w:left w:val="single" w:color="auto" w:sz="4" w:space="0"/>
                    <w:bottom w:val="single" w:color="auto" w:sz="4" w:space="0"/>
                    <w:right w:val="single" w:color="auto" w:sz="4" w:space="0"/>
                  </w:tcBorders>
                  <w:vAlign w:val="center"/>
                </w:tcPr>
                <w:p w14:paraId="788A9BA2">
                  <w:pPr>
                    <w:widowControl/>
                    <w:spacing w:line="240" w:lineRule="atLeast"/>
                    <w:jc w:val="center"/>
                    <w:rPr>
                      <w:rFonts w:eastAsia="仿宋"/>
                      <w:color w:val="000000" w:themeColor="text1"/>
                      <w:kern w:val="0"/>
                      <w14:textFill>
                        <w14:solidFill>
                          <w14:schemeClr w14:val="tx1"/>
                        </w14:solidFill>
                      </w14:textFill>
                    </w:rPr>
                  </w:pPr>
                  <w:r>
                    <w:rPr>
                      <w:rFonts w:ascii="仿宋" w:hAnsi="仿宋" w:eastAsia="仿宋"/>
                      <w:color w:val="000000" w:themeColor="text1"/>
                      <w14:textFill>
                        <w14:solidFill>
                          <w14:schemeClr w14:val="tx1"/>
                        </w14:solidFill>
                      </w14:textFill>
                    </w:rPr>
                    <w:t>水污染物</w:t>
                  </w:r>
                </w:p>
              </w:tc>
              <w:tc>
                <w:tcPr>
                  <w:tcW w:w="316" w:type="pct"/>
                  <w:vMerge w:val="restart"/>
                  <w:tcBorders>
                    <w:top w:val="nil"/>
                    <w:left w:val="single" w:color="auto" w:sz="4" w:space="0"/>
                    <w:bottom w:val="single" w:color="auto" w:sz="4" w:space="0"/>
                    <w:right w:val="single" w:color="auto" w:sz="4" w:space="0"/>
                  </w:tcBorders>
                  <w:vAlign w:val="center"/>
                </w:tcPr>
                <w:p w14:paraId="78818711">
                  <w:pPr>
                    <w:widowControl/>
                    <w:jc w:val="center"/>
                    <w:rPr>
                      <w:rFonts w:eastAsia="仿宋"/>
                      <w:color w:val="000000" w:themeColor="text1"/>
                      <w:kern w:val="0"/>
                      <w14:textFill>
                        <w14:solidFill>
                          <w14:schemeClr w14:val="tx1"/>
                        </w14:solidFill>
                      </w14:textFill>
                    </w:rPr>
                  </w:pPr>
                  <w:r>
                    <w:rPr>
                      <w:rFonts w:hint="eastAsia" w:ascii="仿宋" w:hAnsi="仿宋" w:eastAsia="仿宋"/>
                      <w:color w:val="000000" w:themeColor="text1"/>
                      <w:kern w:val="0"/>
                      <w14:textFill>
                        <w14:solidFill>
                          <w14:schemeClr w14:val="tx1"/>
                        </w14:solidFill>
                      </w14:textFill>
                    </w:rPr>
                    <w:t>生活污水</w:t>
                  </w:r>
                </w:p>
              </w:tc>
              <w:tc>
                <w:tcPr>
                  <w:tcW w:w="480" w:type="pct"/>
                  <w:tcBorders>
                    <w:top w:val="single" w:color="auto" w:sz="4" w:space="0"/>
                    <w:left w:val="single" w:color="auto" w:sz="4" w:space="0"/>
                    <w:bottom w:val="single" w:color="auto" w:sz="4" w:space="0"/>
                    <w:right w:val="single" w:color="auto" w:sz="4" w:space="0"/>
                  </w:tcBorders>
                  <w:vAlign w:val="center"/>
                </w:tcPr>
                <w:p w14:paraId="1C2799A1">
                  <w:pPr>
                    <w:widowControl/>
                    <w:jc w:val="center"/>
                    <w:rPr>
                      <w:rFonts w:eastAsia="仿宋"/>
                      <w:color w:val="000000" w:themeColor="text1"/>
                      <w:kern w:val="0"/>
                      <w14:textFill>
                        <w14:solidFill>
                          <w14:schemeClr w14:val="tx1"/>
                        </w14:solidFill>
                      </w14:textFill>
                    </w:rPr>
                  </w:pPr>
                  <w:r>
                    <w:rPr>
                      <w:rFonts w:ascii="仿宋" w:hAnsi="仿宋" w:eastAsia="仿宋"/>
                      <w:color w:val="000000" w:themeColor="text1"/>
                      <w:kern w:val="0"/>
                      <w14:textFill>
                        <w14:solidFill>
                          <w14:schemeClr w14:val="tx1"/>
                        </w14:solidFill>
                      </w14:textFill>
                    </w:rPr>
                    <w:t>水量</w:t>
                  </w:r>
                </w:p>
              </w:tc>
              <w:tc>
                <w:tcPr>
                  <w:tcW w:w="424" w:type="pct"/>
                  <w:tcBorders>
                    <w:top w:val="single" w:color="auto" w:sz="4" w:space="0"/>
                    <w:left w:val="single" w:color="auto" w:sz="4" w:space="0"/>
                    <w:bottom w:val="single" w:color="auto" w:sz="4" w:space="0"/>
                    <w:right w:val="single" w:color="auto" w:sz="4" w:space="0"/>
                  </w:tcBorders>
                  <w:vAlign w:val="center"/>
                </w:tcPr>
                <w:p w14:paraId="55C63CAB">
                  <w:pPr>
                    <w:autoSpaceDE w:val="0"/>
                    <w:autoSpaceDN w:val="0"/>
                    <w:snapToGrid w:val="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480</w:t>
                  </w:r>
                </w:p>
              </w:tc>
              <w:tc>
                <w:tcPr>
                  <w:tcW w:w="478" w:type="pct"/>
                  <w:tcBorders>
                    <w:top w:val="single" w:color="auto" w:sz="4" w:space="0"/>
                    <w:left w:val="single" w:color="auto" w:sz="4" w:space="0"/>
                    <w:bottom w:val="single" w:color="auto" w:sz="4" w:space="0"/>
                    <w:right w:val="single" w:color="auto" w:sz="4" w:space="0"/>
                  </w:tcBorders>
                  <w:vAlign w:val="center"/>
                </w:tcPr>
                <w:p w14:paraId="363D721B">
                  <w:pPr>
                    <w:autoSpaceDE w:val="0"/>
                    <w:autoSpaceDN w:val="0"/>
                    <w:snapToGrid w:val="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1296</w:t>
                  </w:r>
                </w:p>
              </w:tc>
              <w:tc>
                <w:tcPr>
                  <w:tcW w:w="463" w:type="pct"/>
                  <w:tcBorders>
                    <w:top w:val="single" w:color="auto" w:sz="4" w:space="0"/>
                    <w:left w:val="single" w:color="auto" w:sz="4" w:space="0"/>
                    <w:bottom w:val="single" w:color="auto" w:sz="4" w:space="0"/>
                    <w:right w:val="single" w:color="auto" w:sz="4" w:space="0"/>
                  </w:tcBorders>
                  <w:vAlign w:val="center"/>
                </w:tcPr>
                <w:p w14:paraId="6E4F4D9F">
                  <w:pPr>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0</w:t>
                  </w:r>
                </w:p>
              </w:tc>
              <w:tc>
                <w:tcPr>
                  <w:tcW w:w="420" w:type="pct"/>
                  <w:tcBorders>
                    <w:top w:val="single" w:color="auto" w:sz="4" w:space="0"/>
                    <w:left w:val="single" w:color="auto" w:sz="4" w:space="0"/>
                    <w:bottom w:val="single" w:color="auto" w:sz="4" w:space="0"/>
                    <w:right w:val="single" w:color="auto" w:sz="4" w:space="0"/>
                  </w:tcBorders>
                  <w:vAlign w:val="center"/>
                </w:tcPr>
                <w:p w14:paraId="7361C877">
                  <w:pPr>
                    <w:autoSpaceDE w:val="0"/>
                    <w:autoSpaceDN w:val="0"/>
                    <w:snapToGrid w:val="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1296</w:t>
                  </w:r>
                </w:p>
              </w:tc>
              <w:tc>
                <w:tcPr>
                  <w:tcW w:w="539" w:type="pct"/>
                  <w:tcBorders>
                    <w:top w:val="single" w:color="auto" w:sz="4" w:space="0"/>
                    <w:left w:val="single" w:color="auto" w:sz="4" w:space="0"/>
                    <w:bottom w:val="single" w:color="auto" w:sz="4" w:space="0"/>
                    <w:right w:val="single" w:color="auto" w:sz="4" w:space="0"/>
                  </w:tcBorders>
                  <w:vAlign w:val="center"/>
                </w:tcPr>
                <w:p w14:paraId="08E0949A">
                  <w:pPr>
                    <w:autoSpaceDE w:val="0"/>
                    <w:autoSpaceDN w:val="0"/>
                    <w:snapToGrid w:val="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0</w:t>
                  </w:r>
                </w:p>
              </w:tc>
              <w:tc>
                <w:tcPr>
                  <w:tcW w:w="539" w:type="pct"/>
                  <w:tcBorders>
                    <w:top w:val="single" w:color="auto" w:sz="4" w:space="0"/>
                    <w:left w:val="single" w:color="auto" w:sz="4" w:space="0"/>
                    <w:bottom w:val="single" w:color="auto" w:sz="4" w:space="0"/>
                    <w:right w:val="single" w:color="auto" w:sz="4" w:space="0"/>
                  </w:tcBorders>
                  <w:vAlign w:val="center"/>
                </w:tcPr>
                <w:p w14:paraId="2AB19803">
                  <w:pPr>
                    <w:autoSpaceDE w:val="0"/>
                    <w:autoSpaceDN w:val="0"/>
                    <w:snapToGrid w:val="0"/>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1</w:t>
                  </w:r>
                  <w:r>
                    <w:rPr>
                      <w:rFonts w:eastAsia="仿宋"/>
                      <w:color w:val="000000" w:themeColor="text1"/>
                      <w14:textFill>
                        <w14:solidFill>
                          <w14:schemeClr w14:val="tx1"/>
                        </w14:solidFill>
                      </w14:textFill>
                    </w:rPr>
                    <w:t>776</w:t>
                  </w:r>
                </w:p>
              </w:tc>
              <w:tc>
                <w:tcPr>
                  <w:tcW w:w="539" w:type="pct"/>
                  <w:tcBorders>
                    <w:top w:val="single" w:color="auto" w:sz="4" w:space="0"/>
                    <w:left w:val="single" w:color="auto" w:sz="4" w:space="0"/>
                    <w:bottom w:val="single" w:color="auto" w:sz="4" w:space="0"/>
                    <w:right w:val="single" w:color="auto" w:sz="4" w:space="0"/>
                  </w:tcBorders>
                  <w:vAlign w:val="center"/>
                </w:tcPr>
                <w:p w14:paraId="7A216A2D">
                  <w:pPr>
                    <w:autoSpaceDE w:val="0"/>
                    <w:autoSpaceDN w:val="0"/>
                    <w:snapToGrid w:val="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+1296</w:t>
                  </w:r>
                </w:p>
              </w:tc>
              <w:tc>
                <w:tcPr>
                  <w:tcW w:w="540" w:type="pct"/>
                  <w:tcBorders>
                    <w:top w:val="single" w:color="auto" w:sz="4" w:space="0"/>
                    <w:left w:val="single" w:color="auto" w:sz="4" w:space="0"/>
                    <w:bottom w:val="single" w:color="auto" w:sz="4" w:space="0"/>
                    <w:right w:val="single" w:color="auto" w:sz="4" w:space="0"/>
                  </w:tcBorders>
                  <w:vAlign w:val="center"/>
                </w:tcPr>
                <w:p w14:paraId="0954793E">
                  <w:pPr>
                    <w:autoSpaceDE w:val="0"/>
                    <w:autoSpaceDN w:val="0"/>
                    <w:snapToGrid w:val="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+1296</w:t>
                  </w:r>
                </w:p>
              </w:tc>
            </w:tr>
            <w:tr w14:paraId="5526A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62" w:type="pct"/>
                  <w:vMerge w:val="continue"/>
                  <w:tcBorders>
                    <w:top w:val="nil"/>
                    <w:left w:val="single" w:color="auto" w:sz="4" w:space="0"/>
                    <w:bottom w:val="single" w:color="auto" w:sz="4" w:space="0"/>
                    <w:right w:val="single" w:color="auto" w:sz="4" w:space="0"/>
                  </w:tcBorders>
                  <w:vAlign w:val="center"/>
                </w:tcPr>
                <w:p w14:paraId="2B32B205">
                  <w:pPr>
                    <w:widowControl/>
                    <w:jc w:val="left"/>
                    <w:rPr>
                      <w:rFonts w:eastAsia="仿宋"/>
                      <w:color w:val="000000" w:themeColor="text1"/>
                      <w:kern w:val="0"/>
                      <w:szCs w:val="21"/>
                      <w14:textFill>
                        <w14:solidFill>
                          <w14:schemeClr w14:val="tx1"/>
                        </w14:solidFill>
                      </w14:textFill>
                    </w:rPr>
                  </w:pPr>
                </w:p>
              </w:tc>
              <w:tc>
                <w:tcPr>
                  <w:tcW w:w="316" w:type="pct"/>
                  <w:vMerge w:val="continue"/>
                  <w:tcBorders>
                    <w:top w:val="nil"/>
                    <w:left w:val="single" w:color="auto" w:sz="4" w:space="0"/>
                    <w:bottom w:val="single" w:color="auto" w:sz="4" w:space="0"/>
                    <w:right w:val="single" w:color="auto" w:sz="4" w:space="0"/>
                  </w:tcBorders>
                  <w:vAlign w:val="center"/>
                </w:tcPr>
                <w:p w14:paraId="52E4454E">
                  <w:pPr>
                    <w:widowControl/>
                    <w:jc w:val="left"/>
                    <w:rPr>
                      <w:rFonts w:eastAsia="仿宋"/>
                      <w:color w:val="000000" w:themeColor="text1"/>
                      <w:kern w:val="0"/>
                      <w:szCs w:val="21"/>
                      <w14:textFill>
                        <w14:solidFill>
                          <w14:schemeClr w14:val="tx1"/>
                        </w14:solidFill>
                      </w14:textFill>
                    </w:rPr>
                  </w:pPr>
                </w:p>
              </w:tc>
              <w:tc>
                <w:tcPr>
                  <w:tcW w:w="480" w:type="pct"/>
                  <w:tcBorders>
                    <w:top w:val="single" w:color="auto" w:sz="4" w:space="0"/>
                    <w:left w:val="single" w:color="auto" w:sz="4" w:space="0"/>
                    <w:bottom w:val="single" w:color="auto" w:sz="4" w:space="0"/>
                    <w:right w:val="single" w:color="auto" w:sz="4" w:space="0"/>
                  </w:tcBorders>
                  <w:vAlign w:val="center"/>
                </w:tcPr>
                <w:p w14:paraId="1A4392DC">
                  <w:pPr>
                    <w:widowControl/>
                    <w:jc w:val="center"/>
                    <w:rPr>
                      <w:rFonts w:eastAsia="仿宋"/>
                      <w:color w:val="000000" w:themeColor="text1"/>
                      <w:kern w:val="0"/>
                      <w14:textFill>
                        <w14:solidFill>
                          <w14:schemeClr w14:val="tx1"/>
                        </w14:solidFill>
                      </w14:textFill>
                    </w:rPr>
                  </w:pPr>
                  <w:r>
                    <w:rPr>
                      <w:rFonts w:eastAsia="仿宋"/>
                      <w:color w:val="000000" w:themeColor="text1"/>
                      <w:kern w:val="0"/>
                      <w14:textFill>
                        <w14:solidFill>
                          <w14:schemeClr w14:val="tx1"/>
                        </w14:solidFill>
                      </w14:textFill>
                    </w:rPr>
                    <w:t>COD</w:t>
                  </w:r>
                </w:p>
              </w:tc>
              <w:tc>
                <w:tcPr>
                  <w:tcW w:w="424" w:type="pct"/>
                  <w:tcBorders>
                    <w:top w:val="single" w:color="auto" w:sz="4" w:space="0"/>
                    <w:left w:val="single" w:color="auto" w:sz="4" w:space="0"/>
                    <w:bottom w:val="single" w:color="auto" w:sz="4" w:space="0"/>
                    <w:right w:val="single" w:color="auto" w:sz="4" w:space="0"/>
                  </w:tcBorders>
                  <w:vAlign w:val="center"/>
                </w:tcPr>
                <w:p w14:paraId="72BA1031">
                  <w:pPr>
                    <w:widowControl/>
                    <w:jc w:val="center"/>
                    <w:rPr>
                      <w:color w:val="000000" w:themeColor="text1"/>
                      <w:kern w:val="0"/>
                      <w:szCs w:val="21"/>
                      <w14:textFill>
                        <w14:solidFill>
                          <w14:schemeClr w14:val="tx1"/>
                        </w14:solidFill>
                      </w14:textFill>
                    </w:rPr>
                  </w:pPr>
                  <w:r>
                    <w:rPr>
                      <w:rFonts w:hint="eastAsia"/>
                      <w:color w:val="000000" w:themeColor="text1"/>
                      <w:sz w:val="22"/>
                      <w:szCs w:val="22"/>
                      <w14:textFill>
                        <w14:solidFill>
                          <w14:schemeClr w14:val="tx1"/>
                        </w14:solidFill>
                      </w14:textFill>
                    </w:rPr>
                    <w:t>0.192</w:t>
                  </w:r>
                </w:p>
              </w:tc>
              <w:tc>
                <w:tcPr>
                  <w:tcW w:w="478" w:type="pct"/>
                  <w:tcBorders>
                    <w:top w:val="single" w:color="auto" w:sz="4" w:space="0"/>
                    <w:left w:val="single" w:color="auto" w:sz="4" w:space="0"/>
                    <w:bottom w:val="single" w:color="auto" w:sz="4" w:space="0"/>
                    <w:right w:val="single" w:color="auto" w:sz="4" w:space="0"/>
                  </w:tcBorders>
                  <w:vAlign w:val="center"/>
                </w:tcPr>
                <w:p w14:paraId="2D65CD60">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0.518</w:t>
                  </w:r>
                </w:p>
              </w:tc>
              <w:tc>
                <w:tcPr>
                  <w:tcW w:w="463" w:type="pct"/>
                  <w:tcBorders>
                    <w:top w:val="single" w:color="auto" w:sz="4" w:space="0"/>
                    <w:left w:val="single" w:color="auto" w:sz="4" w:space="0"/>
                    <w:bottom w:val="single" w:color="auto" w:sz="4" w:space="0"/>
                    <w:right w:val="single" w:color="auto" w:sz="4" w:space="0"/>
                  </w:tcBorders>
                  <w:vAlign w:val="center"/>
                </w:tcPr>
                <w:p w14:paraId="3584B258">
                  <w:pPr>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0</w:t>
                  </w:r>
                </w:p>
              </w:tc>
              <w:tc>
                <w:tcPr>
                  <w:tcW w:w="420" w:type="pct"/>
                  <w:tcBorders>
                    <w:top w:val="single" w:color="auto" w:sz="4" w:space="0"/>
                    <w:left w:val="single" w:color="auto" w:sz="4" w:space="0"/>
                    <w:bottom w:val="single" w:color="auto" w:sz="4" w:space="0"/>
                    <w:right w:val="single" w:color="auto" w:sz="4" w:space="0"/>
                  </w:tcBorders>
                  <w:vAlign w:val="center"/>
                </w:tcPr>
                <w:p w14:paraId="3EBAA4F9">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0.518</w:t>
                  </w:r>
                </w:p>
              </w:tc>
              <w:tc>
                <w:tcPr>
                  <w:tcW w:w="539" w:type="pct"/>
                  <w:tcBorders>
                    <w:top w:val="single" w:color="auto" w:sz="4" w:space="0"/>
                    <w:left w:val="single" w:color="auto" w:sz="4" w:space="0"/>
                    <w:bottom w:val="single" w:color="auto" w:sz="4" w:space="0"/>
                    <w:right w:val="single" w:color="auto" w:sz="4" w:space="0"/>
                  </w:tcBorders>
                  <w:vAlign w:val="center"/>
                </w:tcPr>
                <w:p w14:paraId="72BD93EA">
                  <w:pPr>
                    <w:autoSpaceDE w:val="0"/>
                    <w:autoSpaceDN w:val="0"/>
                    <w:snapToGrid w:val="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0</w:t>
                  </w:r>
                </w:p>
              </w:tc>
              <w:tc>
                <w:tcPr>
                  <w:tcW w:w="539" w:type="pct"/>
                  <w:tcBorders>
                    <w:top w:val="single" w:color="auto" w:sz="4" w:space="0"/>
                    <w:left w:val="nil"/>
                    <w:bottom w:val="single" w:color="auto" w:sz="4" w:space="0"/>
                    <w:right w:val="nil"/>
                  </w:tcBorders>
                  <w:shd w:val="clear" w:color="auto" w:fill="auto"/>
                  <w:vAlign w:val="center"/>
                </w:tcPr>
                <w:p w14:paraId="6DE07BA8">
                  <w:pPr>
                    <w:autoSpaceDE w:val="0"/>
                    <w:autoSpaceDN w:val="0"/>
                    <w:snapToGrid w:val="0"/>
                    <w:jc w:val="center"/>
                    <w:rPr>
                      <w:rFonts w:eastAsia="仿宋"/>
                      <w:color w:val="000000" w:themeColor="text1"/>
                      <w14:textFill>
                        <w14:solidFill>
                          <w14:schemeClr w14:val="tx1"/>
                        </w14:solidFill>
                      </w14:textFill>
                    </w:rPr>
                  </w:pPr>
                  <w:r>
                    <w:rPr>
                      <w:rFonts w:hint="eastAsia"/>
                      <w:color w:val="000000" w:themeColor="text1"/>
                      <w:sz w:val="22"/>
                      <w:szCs w:val="22"/>
                      <w14:textFill>
                        <w14:solidFill>
                          <w14:schemeClr w14:val="tx1"/>
                        </w14:solidFill>
                      </w14:textFill>
                    </w:rPr>
                    <w:t>0.71</w:t>
                  </w:r>
                </w:p>
              </w:tc>
              <w:tc>
                <w:tcPr>
                  <w:tcW w:w="539" w:type="pct"/>
                  <w:tcBorders>
                    <w:top w:val="single" w:color="auto" w:sz="4" w:space="0"/>
                    <w:left w:val="single" w:color="auto" w:sz="4" w:space="0"/>
                    <w:bottom w:val="single" w:color="auto" w:sz="4" w:space="0"/>
                    <w:right w:val="single" w:color="auto" w:sz="4" w:space="0"/>
                  </w:tcBorders>
                  <w:vAlign w:val="center"/>
                </w:tcPr>
                <w:p w14:paraId="57F4BB6A">
                  <w:pPr>
                    <w:autoSpaceDE w:val="0"/>
                    <w:autoSpaceDN w:val="0"/>
                    <w:snapToGrid w:val="0"/>
                    <w:jc w:val="center"/>
                    <w:rPr>
                      <w:rFonts w:eastAsia="仿宋"/>
                      <w:color w:val="000000" w:themeColor="text1"/>
                      <w14:textFill>
                        <w14:solidFill>
                          <w14:schemeClr w14:val="tx1"/>
                        </w14:solidFill>
                      </w14:textFill>
                    </w:rPr>
                  </w:pPr>
                  <w:r>
                    <w:rPr>
                      <w:color w:val="000000" w:themeColor="text1"/>
                      <w:sz w:val="22"/>
                      <w:szCs w:val="22"/>
                      <w14:textFill>
                        <w14:solidFill>
                          <w14:schemeClr w14:val="tx1"/>
                        </w14:solidFill>
                      </w14:textFill>
                    </w:rPr>
                    <w:t>+</w:t>
                  </w:r>
                  <w:r>
                    <w:rPr>
                      <w:rFonts w:hint="eastAsia"/>
                      <w:color w:val="000000" w:themeColor="text1"/>
                      <w:sz w:val="22"/>
                      <w:szCs w:val="22"/>
                      <w14:textFill>
                        <w14:solidFill>
                          <w14:schemeClr w14:val="tx1"/>
                        </w14:solidFill>
                      </w14:textFill>
                    </w:rPr>
                    <w:t>0.71</w:t>
                  </w:r>
                </w:p>
              </w:tc>
              <w:tc>
                <w:tcPr>
                  <w:tcW w:w="540" w:type="pct"/>
                  <w:tcBorders>
                    <w:top w:val="single" w:color="auto" w:sz="4" w:space="0"/>
                    <w:left w:val="single" w:color="auto" w:sz="4" w:space="0"/>
                    <w:bottom w:val="single" w:color="auto" w:sz="4" w:space="0"/>
                    <w:right w:val="single" w:color="auto" w:sz="4" w:space="0"/>
                  </w:tcBorders>
                  <w:vAlign w:val="center"/>
                </w:tcPr>
                <w:p w14:paraId="1957B77B">
                  <w:pPr>
                    <w:autoSpaceDE w:val="0"/>
                    <w:autoSpaceDN w:val="0"/>
                    <w:snapToGrid w:val="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w:t>
                  </w:r>
                  <w:r>
                    <w:rPr>
                      <w:rFonts w:hint="eastAsia" w:eastAsia="仿宋"/>
                      <w:color w:val="000000" w:themeColor="text1"/>
                      <w14:textFill>
                        <w14:solidFill>
                          <w14:schemeClr w14:val="tx1"/>
                        </w14:solidFill>
                      </w14:textFill>
                    </w:rPr>
                    <w:t>0.065</w:t>
                  </w:r>
                </w:p>
              </w:tc>
            </w:tr>
            <w:tr w14:paraId="3A15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262" w:type="pct"/>
                  <w:vMerge w:val="continue"/>
                  <w:tcBorders>
                    <w:top w:val="nil"/>
                    <w:left w:val="single" w:color="auto" w:sz="4" w:space="0"/>
                    <w:bottom w:val="single" w:color="auto" w:sz="4" w:space="0"/>
                    <w:right w:val="single" w:color="auto" w:sz="4" w:space="0"/>
                  </w:tcBorders>
                  <w:vAlign w:val="center"/>
                </w:tcPr>
                <w:p w14:paraId="46E36E7F">
                  <w:pPr>
                    <w:widowControl/>
                    <w:jc w:val="left"/>
                    <w:rPr>
                      <w:rFonts w:eastAsia="仿宋"/>
                      <w:color w:val="000000" w:themeColor="text1"/>
                      <w:kern w:val="0"/>
                      <w:szCs w:val="21"/>
                      <w14:textFill>
                        <w14:solidFill>
                          <w14:schemeClr w14:val="tx1"/>
                        </w14:solidFill>
                      </w14:textFill>
                    </w:rPr>
                  </w:pPr>
                </w:p>
              </w:tc>
              <w:tc>
                <w:tcPr>
                  <w:tcW w:w="316" w:type="pct"/>
                  <w:vMerge w:val="continue"/>
                  <w:tcBorders>
                    <w:top w:val="nil"/>
                    <w:left w:val="single" w:color="auto" w:sz="4" w:space="0"/>
                    <w:bottom w:val="single" w:color="auto" w:sz="4" w:space="0"/>
                    <w:right w:val="single" w:color="auto" w:sz="4" w:space="0"/>
                  </w:tcBorders>
                  <w:vAlign w:val="center"/>
                </w:tcPr>
                <w:p w14:paraId="1E12D0A3">
                  <w:pPr>
                    <w:widowControl/>
                    <w:jc w:val="left"/>
                    <w:rPr>
                      <w:rFonts w:eastAsia="仿宋"/>
                      <w:color w:val="000000" w:themeColor="text1"/>
                      <w:kern w:val="0"/>
                      <w:szCs w:val="21"/>
                      <w14:textFill>
                        <w14:solidFill>
                          <w14:schemeClr w14:val="tx1"/>
                        </w14:solidFill>
                      </w14:textFill>
                    </w:rPr>
                  </w:pPr>
                </w:p>
              </w:tc>
              <w:tc>
                <w:tcPr>
                  <w:tcW w:w="480" w:type="pct"/>
                  <w:tcBorders>
                    <w:top w:val="single" w:color="auto" w:sz="4" w:space="0"/>
                    <w:left w:val="single" w:color="auto" w:sz="4" w:space="0"/>
                    <w:bottom w:val="single" w:color="auto" w:sz="4" w:space="0"/>
                    <w:right w:val="single" w:color="auto" w:sz="4" w:space="0"/>
                  </w:tcBorders>
                  <w:vAlign w:val="center"/>
                </w:tcPr>
                <w:p w14:paraId="52DAB02A">
                  <w:pPr>
                    <w:widowControl/>
                    <w:jc w:val="center"/>
                    <w:rPr>
                      <w:rFonts w:eastAsia="仿宋"/>
                      <w:color w:val="000000" w:themeColor="text1"/>
                      <w:kern w:val="0"/>
                      <w14:textFill>
                        <w14:solidFill>
                          <w14:schemeClr w14:val="tx1"/>
                        </w14:solidFill>
                      </w14:textFill>
                    </w:rPr>
                  </w:pPr>
                  <w:r>
                    <w:rPr>
                      <w:rFonts w:eastAsia="仿宋"/>
                      <w:color w:val="000000" w:themeColor="text1"/>
                      <w:kern w:val="0"/>
                      <w14:textFill>
                        <w14:solidFill>
                          <w14:schemeClr w14:val="tx1"/>
                        </w14:solidFill>
                      </w14:textFill>
                    </w:rPr>
                    <w:t>SS</w:t>
                  </w:r>
                </w:p>
              </w:tc>
              <w:tc>
                <w:tcPr>
                  <w:tcW w:w="424" w:type="pct"/>
                  <w:tcBorders>
                    <w:top w:val="single" w:color="auto" w:sz="4" w:space="0"/>
                    <w:left w:val="single" w:color="auto" w:sz="4" w:space="0"/>
                    <w:bottom w:val="single" w:color="auto" w:sz="4" w:space="0"/>
                    <w:right w:val="single" w:color="auto" w:sz="4" w:space="0"/>
                  </w:tcBorders>
                  <w:vAlign w:val="center"/>
                </w:tcPr>
                <w:p w14:paraId="3BE9982A">
                  <w:pPr>
                    <w:jc w:val="center"/>
                    <w:rPr>
                      <w:color w:val="000000" w:themeColor="text1"/>
                      <w:szCs w:val="21"/>
                      <w14:textFill>
                        <w14:solidFill>
                          <w14:schemeClr w14:val="tx1"/>
                        </w14:solidFill>
                      </w14:textFill>
                    </w:rPr>
                  </w:pPr>
                  <w:r>
                    <w:rPr>
                      <w:rFonts w:hint="eastAsia"/>
                      <w:color w:val="000000" w:themeColor="text1"/>
                      <w:sz w:val="22"/>
                      <w:szCs w:val="22"/>
                      <w14:textFill>
                        <w14:solidFill>
                          <w14:schemeClr w14:val="tx1"/>
                        </w14:solidFill>
                      </w14:textFill>
                    </w:rPr>
                    <w:t>0.096</w:t>
                  </w:r>
                </w:p>
              </w:tc>
              <w:tc>
                <w:tcPr>
                  <w:tcW w:w="478" w:type="pct"/>
                  <w:tcBorders>
                    <w:top w:val="single" w:color="auto" w:sz="4" w:space="0"/>
                    <w:left w:val="single" w:color="auto" w:sz="4" w:space="0"/>
                    <w:bottom w:val="single" w:color="auto" w:sz="4" w:space="0"/>
                    <w:right w:val="single" w:color="auto" w:sz="4" w:space="0"/>
                  </w:tcBorders>
                  <w:vAlign w:val="center"/>
                </w:tcPr>
                <w:p w14:paraId="2AA528E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0.259</w:t>
                  </w:r>
                </w:p>
              </w:tc>
              <w:tc>
                <w:tcPr>
                  <w:tcW w:w="463" w:type="pct"/>
                  <w:tcBorders>
                    <w:top w:val="single" w:color="auto" w:sz="4" w:space="0"/>
                    <w:left w:val="single" w:color="auto" w:sz="4" w:space="0"/>
                    <w:bottom w:val="single" w:color="auto" w:sz="4" w:space="0"/>
                    <w:right w:val="single" w:color="auto" w:sz="4" w:space="0"/>
                  </w:tcBorders>
                  <w:vAlign w:val="center"/>
                </w:tcPr>
                <w:p w14:paraId="1D1E0F9D">
                  <w:pPr>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0</w:t>
                  </w:r>
                </w:p>
              </w:tc>
              <w:tc>
                <w:tcPr>
                  <w:tcW w:w="420" w:type="pct"/>
                  <w:tcBorders>
                    <w:top w:val="single" w:color="auto" w:sz="4" w:space="0"/>
                    <w:left w:val="single" w:color="auto" w:sz="4" w:space="0"/>
                    <w:bottom w:val="single" w:color="auto" w:sz="4" w:space="0"/>
                    <w:right w:val="single" w:color="auto" w:sz="4" w:space="0"/>
                  </w:tcBorders>
                  <w:vAlign w:val="center"/>
                </w:tcPr>
                <w:p w14:paraId="2549C5A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0.259</w:t>
                  </w:r>
                </w:p>
              </w:tc>
              <w:tc>
                <w:tcPr>
                  <w:tcW w:w="539" w:type="pct"/>
                  <w:tcBorders>
                    <w:top w:val="single" w:color="auto" w:sz="4" w:space="0"/>
                    <w:left w:val="single" w:color="auto" w:sz="4" w:space="0"/>
                    <w:bottom w:val="single" w:color="auto" w:sz="4" w:space="0"/>
                    <w:right w:val="single" w:color="auto" w:sz="4" w:space="0"/>
                  </w:tcBorders>
                  <w:vAlign w:val="center"/>
                </w:tcPr>
                <w:p w14:paraId="12081320">
                  <w:pPr>
                    <w:autoSpaceDE w:val="0"/>
                    <w:autoSpaceDN w:val="0"/>
                    <w:snapToGrid w:val="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0</w:t>
                  </w:r>
                </w:p>
              </w:tc>
              <w:tc>
                <w:tcPr>
                  <w:tcW w:w="539" w:type="pct"/>
                  <w:tcBorders>
                    <w:top w:val="single" w:color="auto" w:sz="4" w:space="0"/>
                    <w:left w:val="nil"/>
                    <w:bottom w:val="single" w:color="auto" w:sz="4" w:space="0"/>
                    <w:right w:val="nil"/>
                  </w:tcBorders>
                  <w:shd w:val="clear" w:color="auto" w:fill="auto"/>
                  <w:vAlign w:val="center"/>
                </w:tcPr>
                <w:p w14:paraId="5AD26041">
                  <w:pPr>
                    <w:autoSpaceDE w:val="0"/>
                    <w:autoSpaceDN w:val="0"/>
                    <w:snapToGrid w:val="0"/>
                    <w:jc w:val="center"/>
                    <w:rPr>
                      <w:rFonts w:eastAsia="仿宋"/>
                      <w:color w:val="000000" w:themeColor="text1"/>
                      <w14:textFill>
                        <w14:solidFill>
                          <w14:schemeClr w14:val="tx1"/>
                        </w14:solidFill>
                      </w14:textFill>
                    </w:rPr>
                  </w:pPr>
                  <w:r>
                    <w:rPr>
                      <w:rFonts w:hint="eastAsia"/>
                      <w:color w:val="000000" w:themeColor="text1"/>
                      <w:sz w:val="22"/>
                      <w:szCs w:val="22"/>
                      <w14:textFill>
                        <w14:solidFill>
                          <w14:schemeClr w14:val="tx1"/>
                        </w14:solidFill>
                      </w14:textFill>
                    </w:rPr>
                    <w:t>0.355</w:t>
                  </w:r>
                </w:p>
              </w:tc>
              <w:tc>
                <w:tcPr>
                  <w:tcW w:w="539" w:type="pct"/>
                  <w:tcBorders>
                    <w:top w:val="single" w:color="auto" w:sz="4" w:space="0"/>
                    <w:left w:val="single" w:color="auto" w:sz="4" w:space="0"/>
                    <w:bottom w:val="single" w:color="auto" w:sz="4" w:space="0"/>
                    <w:right w:val="single" w:color="auto" w:sz="4" w:space="0"/>
                  </w:tcBorders>
                  <w:vAlign w:val="center"/>
                </w:tcPr>
                <w:p w14:paraId="53C38F34">
                  <w:pPr>
                    <w:autoSpaceDE w:val="0"/>
                    <w:autoSpaceDN w:val="0"/>
                    <w:snapToGrid w:val="0"/>
                    <w:jc w:val="center"/>
                    <w:rPr>
                      <w:rFonts w:eastAsia="仿宋"/>
                      <w:color w:val="000000" w:themeColor="text1"/>
                      <w14:textFill>
                        <w14:solidFill>
                          <w14:schemeClr w14:val="tx1"/>
                        </w14:solidFill>
                      </w14:textFill>
                    </w:rPr>
                  </w:pPr>
                  <w:r>
                    <w:rPr>
                      <w:color w:val="000000" w:themeColor="text1"/>
                      <w:sz w:val="22"/>
                      <w:szCs w:val="22"/>
                      <w14:textFill>
                        <w14:solidFill>
                          <w14:schemeClr w14:val="tx1"/>
                        </w14:solidFill>
                      </w14:textFill>
                    </w:rPr>
                    <w:t>+</w:t>
                  </w:r>
                  <w:r>
                    <w:rPr>
                      <w:rFonts w:hint="eastAsia"/>
                      <w:color w:val="000000" w:themeColor="text1"/>
                      <w:sz w:val="22"/>
                      <w:szCs w:val="22"/>
                      <w14:textFill>
                        <w14:solidFill>
                          <w14:schemeClr w14:val="tx1"/>
                        </w14:solidFill>
                      </w14:textFill>
                    </w:rPr>
                    <w:t>0.355</w:t>
                  </w:r>
                </w:p>
              </w:tc>
              <w:tc>
                <w:tcPr>
                  <w:tcW w:w="540" w:type="pct"/>
                  <w:tcBorders>
                    <w:top w:val="single" w:color="auto" w:sz="4" w:space="0"/>
                    <w:left w:val="single" w:color="auto" w:sz="4" w:space="0"/>
                    <w:bottom w:val="single" w:color="auto" w:sz="4" w:space="0"/>
                    <w:right w:val="single" w:color="auto" w:sz="4" w:space="0"/>
                  </w:tcBorders>
                  <w:vAlign w:val="center"/>
                </w:tcPr>
                <w:p w14:paraId="1A2FE29F">
                  <w:pPr>
                    <w:autoSpaceDE w:val="0"/>
                    <w:autoSpaceDN w:val="0"/>
                    <w:snapToGrid w:val="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w:t>
                  </w:r>
                  <w:r>
                    <w:rPr>
                      <w:rFonts w:hint="eastAsia" w:eastAsia="仿宋"/>
                      <w:color w:val="000000" w:themeColor="text1"/>
                      <w14:textFill>
                        <w14:solidFill>
                          <w14:schemeClr w14:val="tx1"/>
                        </w14:solidFill>
                      </w14:textFill>
                    </w:rPr>
                    <w:t>0.013</w:t>
                  </w:r>
                </w:p>
              </w:tc>
            </w:tr>
            <w:tr w14:paraId="5953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262" w:type="pct"/>
                  <w:vMerge w:val="continue"/>
                  <w:tcBorders>
                    <w:top w:val="nil"/>
                    <w:left w:val="single" w:color="auto" w:sz="4" w:space="0"/>
                    <w:bottom w:val="single" w:color="auto" w:sz="4" w:space="0"/>
                    <w:right w:val="single" w:color="auto" w:sz="4" w:space="0"/>
                  </w:tcBorders>
                  <w:vAlign w:val="center"/>
                </w:tcPr>
                <w:p w14:paraId="6D21D872">
                  <w:pPr>
                    <w:widowControl/>
                    <w:jc w:val="left"/>
                    <w:rPr>
                      <w:rFonts w:eastAsia="仿宋"/>
                      <w:color w:val="000000" w:themeColor="text1"/>
                      <w:kern w:val="0"/>
                      <w:szCs w:val="21"/>
                      <w14:textFill>
                        <w14:solidFill>
                          <w14:schemeClr w14:val="tx1"/>
                        </w14:solidFill>
                      </w14:textFill>
                    </w:rPr>
                  </w:pPr>
                </w:p>
              </w:tc>
              <w:tc>
                <w:tcPr>
                  <w:tcW w:w="316" w:type="pct"/>
                  <w:vMerge w:val="continue"/>
                  <w:tcBorders>
                    <w:top w:val="nil"/>
                    <w:left w:val="single" w:color="auto" w:sz="4" w:space="0"/>
                    <w:bottom w:val="single" w:color="auto" w:sz="4" w:space="0"/>
                    <w:right w:val="single" w:color="auto" w:sz="4" w:space="0"/>
                  </w:tcBorders>
                  <w:vAlign w:val="center"/>
                </w:tcPr>
                <w:p w14:paraId="46799077">
                  <w:pPr>
                    <w:widowControl/>
                    <w:jc w:val="left"/>
                    <w:rPr>
                      <w:rFonts w:eastAsia="仿宋"/>
                      <w:color w:val="000000" w:themeColor="text1"/>
                      <w:kern w:val="0"/>
                      <w:szCs w:val="21"/>
                      <w14:textFill>
                        <w14:solidFill>
                          <w14:schemeClr w14:val="tx1"/>
                        </w14:solidFill>
                      </w14:textFill>
                    </w:rPr>
                  </w:pPr>
                </w:p>
              </w:tc>
              <w:tc>
                <w:tcPr>
                  <w:tcW w:w="480" w:type="pct"/>
                  <w:tcBorders>
                    <w:top w:val="single" w:color="auto" w:sz="4" w:space="0"/>
                    <w:left w:val="single" w:color="auto" w:sz="4" w:space="0"/>
                    <w:bottom w:val="single" w:color="auto" w:sz="4" w:space="0"/>
                    <w:right w:val="single" w:color="auto" w:sz="4" w:space="0"/>
                  </w:tcBorders>
                  <w:vAlign w:val="center"/>
                </w:tcPr>
                <w:p w14:paraId="40A7F33B">
                  <w:pPr>
                    <w:widowControl/>
                    <w:jc w:val="center"/>
                    <w:rPr>
                      <w:rFonts w:eastAsia="仿宋"/>
                      <w:color w:val="000000" w:themeColor="text1"/>
                      <w:kern w:val="0"/>
                      <w14:textFill>
                        <w14:solidFill>
                          <w14:schemeClr w14:val="tx1"/>
                        </w14:solidFill>
                      </w14:textFill>
                    </w:rPr>
                  </w:pPr>
                  <w:r>
                    <w:rPr>
                      <w:rFonts w:eastAsia="仿宋"/>
                      <w:color w:val="000000" w:themeColor="text1"/>
                      <w:kern w:val="0"/>
                      <w14:textFill>
                        <w14:solidFill>
                          <w14:schemeClr w14:val="tx1"/>
                        </w14:solidFill>
                      </w14:textFill>
                    </w:rPr>
                    <w:t>NH</w:t>
                  </w:r>
                  <w:r>
                    <w:rPr>
                      <w:rFonts w:eastAsia="仿宋"/>
                      <w:color w:val="000000" w:themeColor="text1"/>
                      <w:kern w:val="0"/>
                      <w:vertAlign w:val="subscript"/>
                      <w14:textFill>
                        <w14:solidFill>
                          <w14:schemeClr w14:val="tx1"/>
                        </w14:solidFill>
                      </w14:textFill>
                    </w:rPr>
                    <w:t>3</w:t>
                  </w:r>
                  <w:r>
                    <w:rPr>
                      <w:rFonts w:eastAsia="仿宋"/>
                      <w:color w:val="000000" w:themeColor="text1"/>
                      <w:kern w:val="0"/>
                      <w14:textFill>
                        <w14:solidFill>
                          <w14:schemeClr w14:val="tx1"/>
                        </w14:solidFill>
                      </w14:textFill>
                    </w:rPr>
                    <w:t>-N</w:t>
                  </w:r>
                </w:p>
              </w:tc>
              <w:tc>
                <w:tcPr>
                  <w:tcW w:w="424" w:type="pct"/>
                  <w:tcBorders>
                    <w:top w:val="single" w:color="auto" w:sz="4" w:space="0"/>
                    <w:left w:val="single" w:color="auto" w:sz="4" w:space="0"/>
                    <w:bottom w:val="single" w:color="auto" w:sz="4" w:space="0"/>
                    <w:right w:val="single" w:color="auto" w:sz="4" w:space="0"/>
                  </w:tcBorders>
                  <w:vAlign w:val="center"/>
                </w:tcPr>
                <w:p w14:paraId="7998507F">
                  <w:pPr>
                    <w:jc w:val="center"/>
                    <w:rPr>
                      <w:color w:val="000000" w:themeColor="text1"/>
                      <w:szCs w:val="21"/>
                      <w14:textFill>
                        <w14:solidFill>
                          <w14:schemeClr w14:val="tx1"/>
                        </w14:solidFill>
                      </w14:textFill>
                    </w:rPr>
                  </w:pPr>
                  <w:r>
                    <w:rPr>
                      <w:rFonts w:hint="eastAsia"/>
                      <w:color w:val="000000" w:themeColor="text1"/>
                      <w:sz w:val="22"/>
                      <w:szCs w:val="22"/>
                      <w14:textFill>
                        <w14:solidFill>
                          <w14:schemeClr w14:val="tx1"/>
                        </w14:solidFill>
                      </w14:textFill>
                    </w:rPr>
                    <w:t>0.014</w:t>
                  </w:r>
                </w:p>
              </w:tc>
              <w:tc>
                <w:tcPr>
                  <w:tcW w:w="478" w:type="pct"/>
                  <w:tcBorders>
                    <w:top w:val="single" w:color="auto" w:sz="4" w:space="0"/>
                    <w:left w:val="single" w:color="auto" w:sz="4" w:space="0"/>
                    <w:bottom w:val="single" w:color="auto" w:sz="4" w:space="0"/>
                    <w:right w:val="single" w:color="auto" w:sz="4" w:space="0"/>
                  </w:tcBorders>
                  <w:vAlign w:val="center"/>
                </w:tcPr>
                <w:p w14:paraId="062AFBA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0.039</w:t>
                  </w:r>
                </w:p>
              </w:tc>
              <w:tc>
                <w:tcPr>
                  <w:tcW w:w="463" w:type="pct"/>
                  <w:tcBorders>
                    <w:top w:val="single" w:color="auto" w:sz="4" w:space="0"/>
                    <w:left w:val="single" w:color="auto" w:sz="4" w:space="0"/>
                    <w:bottom w:val="single" w:color="auto" w:sz="4" w:space="0"/>
                    <w:right w:val="single" w:color="auto" w:sz="4" w:space="0"/>
                  </w:tcBorders>
                  <w:vAlign w:val="center"/>
                </w:tcPr>
                <w:p w14:paraId="3A04C148">
                  <w:pPr>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0</w:t>
                  </w:r>
                </w:p>
              </w:tc>
              <w:tc>
                <w:tcPr>
                  <w:tcW w:w="420" w:type="pct"/>
                  <w:tcBorders>
                    <w:top w:val="single" w:color="auto" w:sz="4" w:space="0"/>
                    <w:left w:val="single" w:color="auto" w:sz="4" w:space="0"/>
                    <w:bottom w:val="single" w:color="auto" w:sz="4" w:space="0"/>
                    <w:right w:val="single" w:color="auto" w:sz="4" w:space="0"/>
                  </w:tcBorders>
                  <w:vAlign w:val="center"/>
                </w:tcPr>
                <w:p w14:paraId="6377C6E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0.039</w:t>
                  </w:r>
                </w:p>
              </w:tc>
              <w:tc>
                <w:tcPr>
                  <w:tcW w:w="539" w:type="pct"/>
                  <w:tcBorders>
                    <w:top w:val="single" w:color="auto" w:sz="4" w:space="0"/>
                    <w:left w:val="single" w:color="auto" w:sz="4" w:space="0"/>
                    <w:bottom w:val="single" w:color="auto" w:sz="4" w:space="0"/>
                    <w:right w:val="single" w:color="auto" w:sz="4" w:space="0"/>
                  </w:tcBorders>
                  <w:vAlign w:val="center"/>
                </w:tcPr>
                <w:p w14:paraId="12EDE38A">
                  <w:pPr>
                    <w:autoSpaceDE w:val="0"/>
                    <w:autoSpaceDN w:val="0"/>
                    <w:snapToGrid w:val="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0</w:t>
                  </w:r>
                </w:p>
              </w:tc>
              <w:tc>
                <w:tcPr>
                  <w:tcW w:w="539" w:type="pct"/>
                  <w:tcBorders>
                    <w:top w:val="single" w:color="auto" w:sz="4" w:space="0"/>
                    <w:left w:val="nil"/>
                    <w:bottom w:val="single" w:color="auto" w:sz="4" w:space="0"/>
                    <w:right w:val="nil"/>
                  </w:tcBorders>
                  <w:shd w:val="clear" w:color="auto" w:fill="auto"/>
                  <w:vAlign w:val="center"/>
                </w:tcPr>
                <w:p w14:paraId="4B3EE68B">
                  <w:pPr>
                    <w:autoSpaceDE w:val="0"/>
                    <w:autoSpaceDN w:val="0"/>
                    <w:snapToGrid w:val="0"/>
                    <w:jc w:val="center"/>
                    <w:rPr>
                      <w:rFonts w:eastAsia="仿宋"/>
                      <w:color w:val="000000" w:themeColor="text1"/>
                      <w14:textFill>
                        <w14:solidFill>
                          <w14:schemeClr w14:val="tx1"/>
                        </w14:solidFill>
                      </w14:textFill>
                    </w:rPr>
                  </w:pPr>
                  <w:r>
                    <w:rPr>
                      <w:rFonts w:hint="eastAsia"/>
                      <w:color w:val="000000" w:themeColor="text1"/>
                      <w:sz w:val="22"/>
                      <w:szCs w:val="22"/>
                      <w14:textFill>
                        <w14:solidFill>
                          <w14:schemeClr w14:val="tx1"/>
                        </w14:solidFill>
                      </w14:textFill>
                    </w:rPr>
                    <w:t>0.053</w:t>
                  </w:r>
                </w:p>
              </w:tc>
              <w:tc>
                <w:tcPr>
                  <w:tcW w:w="539" w:type="pct"/>
                  <w:tcBorders>
                    <w:top w:val="single" w:color="auto" w:sz="4" w:space="0"/>
                    <w:left w:val="single" w:color="auto" w:sz="4" w:space="0"/>
                    <w:bottom w:val="single" w:color="auto" w:sz="4" w:space="0"/>
                    <w:right w:val="single" w:color="auto" w:sz="4" w:space="0"/>
                  </w:tcBorders>
                  <w:vAlign w:val="center"/>
                </w:tcPr>
                <w:p w14:paraId="471F524A">
                  <w:pPr>
                    <w:autoSpaceDE w:val="0"/>
                    <w:autoSpaceDN w:val="0"/>
                    <w:snapToGrid w:val="0"/>
                    <w:jc w:val="center"/>
                    <w:rPr>
                      <w:rFonts w:eastAsia="仿宋"/>
                      <w:color w:val="000000" w:themeColor="text1"/>
                      <w14:textFill>
                        <w14:solidFill>
                          <w14:schemeClr w14:val="tx1"/>
                        </w14:solidFill>
                      </w14:textFill>
                    </w:rPr>
                  </w:pPr>
                  <w:r>
                    <w:rPr>
                      <w:color w:val="000000" w:themeColor="text1"/>
                      <w:sz w:val="22"/>
                      <w:szCs w:val="22"/>
                      <w14:textFill>
                        <w14:solidFill>
                          <w14:schemeClr w14:val="tx1"/>
                        </w14:solidFill>
                      </w14:textFill>
                    </w:rPr>
                    <w:t>+</w:t>
                  </w:r>
                  <w:r>
                    <w:rPr>
                      <w:rFonts w:hint="eastAsia"/>
                      <w:color w:val="000000" w:themeColor="text1"/>
                      <w:sz w:val="22"/>
                      <w:szCs w:val="22"/>
                      <w14:textFill>
                        <w14:solidFill>
                          <w14:schemeClr w14:val="tx1"/>
                        </w14:solidFill>
                      </w14:textFill>
                    </w:rPr>
                    <w:t>0.053</w:t>
                  </w:r>
                </w:p>
              </w:tc>
              <w:tc>
                <w:tcPr>
                  <w:tcW w:w="540" w:type="pct"/>
                  <w:tcBorders>
                    <w:top w:val="single" w:color="auto" w:sz="4" w:space="0"/>
                    <w:left w:val="single" w:color="auto" w:sz="4" w:space="0"/>
                    <w:bottom w:val="single" w:color="auto" w:sz="4" w:space="0"/>
                    <w:right w:val="single" w:color="auto" w:sz="4" w:space="0"/>
                  </w:tcBorders>
                  <w:vAlign w:val="center"/>
                </w:tcPr>
                <w:p w14:paraId="0516DE19">
                  <w:pPr>
                    <w:autoSpaceDE w:val="0"/>
                    <w:autoSpaceDN w:val="0"/>
                    <w:snapToGrid w:val="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w:t>
                  </w:r>
                  <w:r>
                    <w:rPr>
                      <w:rFonts w:hint="eastAsia" w:eastAsia="仿宋"/>
                      <w:color w:val="000000" w:themeColor="text1"/>
                      <w14:textFill>
                        <w14:solidFill>
                          <w14:schemeClr w14:val="tx1"/>
                        </w14:solidFill>
                      </w14:textFill>
                    </w:rPr>
                    <w:t>0.005</w:t>
                  </w:r>
                </w:p>
              </w:tc>
            </w:tr>
            <w:tr w14:paraId="4E39B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262" w:type="pct"/>
                  <w:vMerge w:val="continue"/>
                  <w:tcBorders>
                    <w:top w:val="nil"/>
                    <w:left w:val="single" w:color="auto" w:sz="4" w:space="0"/>
                    <w:bottom w:val="single" w:color="auto" w:sz="4" w:space="0"/>
                    <w:right w:val="single" w:color="auto" w:sz="4" w:space="0"/>
                  </w:tcBorders>
                  <w:vAlign w:val="center"/>
                </w:tcPr>
                <w:p w14:paraId="6104F899">
                  <w:pPr>
                    <w:widowControl/>
                    <w:jc w:val="left"/>
                    <w:rPr>
                      <w:rFonts w:eastAsia="仿宋"/>
                      <w:color w:val="000000" w:themeColor="text1"/>
                      <w:kern w:val="0"/>
                      <w:szCs w:val="21"/>
                      <w14:textFill>
                        <w14:solidFill>
                          <w14:schemeClr w14:val="tx1"/>
                        </w14:solidFill>
                      </w14:textFill>
                    </w:rPr>
                  </w:pPr>
                </w:p>
              </w:tc>
              <w:tc>
                <w:tcPr>
                  <w:tcW w:w="316" w:type="pct"/>
                  <w:vMerge w:val="continue"/>
                  <w:tcBorders>
                    <w:top w:val="nil"/>
                    <w:left w:val="single" w:color="auto" w:sz="4" w:space="0"/>
                    <w:bottom w:val="single" w:color="auto" w:sz="4" w:space="0"/>
                    <w:right w:val="single" w:color="auto" w:sz="4" w:space="0"/>
                  </w:tcBorders>
                  <w:vAlign w:val="center"/>
                </w:tcPr>
                <w:p w14:paraId="16C1EE09">
                  <w:pPr>
                    <w:widowControl/>
                    <w:jc w:val="left"/>
                    <w:rPr>
                      <w:rFonts w:eastAsia="仿宋"/>
                      <w:color w:val="000000" w:themeColor="text1"/>
                      <w:kern w:val="0"/>
                      <w:szCs w:val="21"/>
                      <w14:textFill>
                        <w14:solidFill>
                          <w14:schemeClr w14:val="tx1"/>
                        </w14:solidFill>
                      </w14:textFill>
                    </w:rPr>
                  </w:pPr>
                </w:p>
              </w:tc>
              <w:tc>
                <w:tcPr>
                  <w:tcW w:w="480" w:type="pct"/>
                  <w:tcBorders>
                    <w:top w:val="single" w:color="auto" w:sz="4" w:space="0"/>
                    <w:left w:val="single" w:color="auto" w:sz="4" w:space="0"/>
                    <w:bottom w:val="single" w:color="auto" w:sz="4" w:space="0"/>
                    <w:right w:val="single" w:color="auto" w:sz="4" w:space="0"/>
                  </w:tcBorders>
                  <w:vAlign w:val="center"/>
                </w:tcPr>
                <w:p w14:paraId="28D58AB0">
                  <w:pPr>
                    <w:widowControl/>
                    <w:jc w:val="center"/>
                    <w:rPr>
                      <w:rFonts w:eastAsia="仿宋"/>
                      <w:color w:val="000000" w:themeColor="text1"/>
                      <w:kern w:val="0"/>
                      <w14:textFill>
                        <w14:solidFill>
                          <w14:schemeClr w14:val="tx1"/>
                        </w14:solidFill>
                      </w14:textFill>
                    </w:rPr>
                  </w:pPr>
                  <w:r>
                    <w:rPr>
                      <w:rFonts w:eastAsia="仿宋"/>
                      <w:color w:val="000000" w:themeColor="text1"/>
                      <w:kern w:val="0"/>
                      <w14:textFill>
                        <w14:solidFill>
                          <w14:schemeClr w14:val="tx1"/>
                        </w14:solidFill>
                      </w14:textFill>
                    </w:rPr>
                    <w:t>TP</w:t>
                  </w:r>
                </w:p>
              </w:tc>
              <w:tc>
                <w:tcPr>
                  <w:tcW w:w="424" w:type="pct"/>
                  <w:tcBorders>
                    <w:top w:val="single" w:color="auto" w:sz="4" w:space="0"/>
                    <w:left w:val="single" w:color="auto" w:sz="4" w:space="0"/>
                    <w:bottom w:val="single" w:color="auto" w:sz="4" w:space="0"/>
                    <w:right w:val="single" w:color="auto" w:sz="4" w:space="0"/>
                  </w:tcBorders>
                  <w:vAlign w:val="center"/>
                </w:tcPr>
                <w:p w14:paraId="3D24AE1C">
                  <w:pPr>
                    <w:jc w:val="center"/>
                    <w:rPr>
                      <w:color w:val="000000" w:themeColor="text1"/>
                      <w:szCs w:val="21"/>
                      <w14:textFill>
                        <w14:solidFill>
                          <w14:schemeClr w14:val="tx1"/>
                        </w14:solidFill>
                      </w14:textFill>
                    </w:rPr>
                  </w:pPr>
                  <w:r>
                    <w:rPr>
                      <w:rFonts w:hint="eastAsia"/>
                      <w:color w:val="000000" w:themeColor="text1"/>
                      <w:sz w:val="22"/>
                      <w:szCs w:val="22"/>
                      <w14:textFill>
                        <w14:solidFill>
                          <w14:schemeClr w14:val="tx1"/>
                        </w14:solidFill>
                      </w14:textFill>
                    </w:rPr>
                    <w:t>0.001</w:t>
                  </w:r>
                </w:p>
              </w:tc>
              <w:tc>
                <w:tcPr>
                  <w:tcW w:w="478" w:type="pct"/>
                  <w:tcBorders>
                    <w:top w:val="single" w:color="auto" w:sz="4" w:space="0"/>
                    <w:left w:val="single" w:color="auto" w:sz="4" w:space="0"/>
                    <w:bottom w:val="single" w:color="auto" w:sz="4" w:space="0"/>
                    <w:right w:val="single" w:color="auto" w:sz="4" w:space="0"/>
                  </w:tcBorders>
                  <w:vAlign w:val="center"/>
                </w:tcPr>
                <w:p w14:paraId="23365D5A">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0.004</w:t>
                  </w:r>
                </w:p>
              </w:tc>
              <w:tc>
                <w:tcPr>
                  <w:tcW w:w="463" w:type="pct"/>
                  <w:tcBorders>
                    <w:top w:val="single" w:color="auto" w:sz="4" w:space="0"/>
                    <w:left w:val="single" w:color="auto" w:sz="4" w:space="0"/>
                    <w:bottom w:val="single" w:color="auto" w:sz="4" w:space="0"/>
                    <w:right w:val="single" w:color="auto" w:sz="4" w:space="0"/>
                  </w:tcBorders>
                  <w:vAlign w:val="center"/>
                </w:tcPr>
                <w:p w14:paraId="77A8103F">
                  <w:pPr>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0</w:t>
                  </w:r>
                </w:p>
              </w:tc>
              <w:tc>
                <w:tcPr>
                  <w:tcW w:w="420" w:type="pct"/>
                  <w:tcBorders>
                    <w:top w:val="single" w:color="auto" w:sz="4" w:space="0"/>
                    <w:left w:val="single" w:color="auto" w:sz="4" w:space="0"/>
                    <w:bottom w:val="single" w:color="auto" w:sz="4" w:space="0"/>
                    <w:right w:val="single" w:color="auto" w:sz="4" w:space="0"/>
                  </w:tcBorders>
                  <w:vAlign w:val="center"/>
                </w:tcPr>
                <w:p w14:paraId="058436D4">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0.004</w:t>
                  </w:r>
                </w:p>
              </w:tc>
              <w:tc>
                <w:tcPr>
                  <w:tcW w:w="539" w:type="pct"/>
                  <w:tcBorders>
                    <w:top w:val="single" w:color="auto" w:sz="4" w:space="0"/>
                    <w:left w:val="single" w:color="auto" w:sz="4" w:space="0"/>
                    <w:bottom w:val="single" w:color="auto" w:sz="4" w:space="0"/>
                    <w:right w:val="single" w:color="auto" w:sz="4" w:space="0"/>
                  </w:tcBorders>
                  <w:vAlign w:val="center"/>
                </w:tcPr>
                <w:p w14:paraId="3E53B9E6">
                  <w:pPr>
                    <w:autoSpaceDE w:val="0"/>
                    <w:autoSpaceDN w:val="0"/>
                    <w:snapToGrid w:val="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0</w:t>
                  </w:r>
                </w:p>
              </w:tc>
              <w:tc>
                <w:tcPr>
                  <w:tcW w:w="539" w:type="pct"/>
                  <w:tcBorders>
                    <w:top w:val="single" w:color="auto" w:sz="4" w:space="0"/>
                    <w:left w:val="nil"/>
                    <w:bottom w:val="single" w:color="auto" w:sz="4" w:space="0"/>
                    <w:right w:val="nil"/>
                  </w:tcBorders>
                  <w:shd w:val="clear" w:color="auto" w:fill="auto"/>
                  <w:vAlign w:val="center"/>
                </w:tcPr>
                <w:p w14:paraId="2D0F94EE">
                  <w:pPr>
                    <w:autoSpaceDE w:val="0"/>
                    <w:autoSpaceDN w:val="0"/>
                    <w:snapToGrid w:val="0"/>
                    <w:jc w:val="center"/>
                    <w:rPr>
                      <w:rFonts w:eastAsia="仿宋"/>
                      <w:color w:val="000000" w:themeColor="text1"/>
                      <w14:textFill>
                        <w14:solidFill>
                          <w14:schemeClr w14:val="tx1"/>
                        </w14:solidFill>
                      </w14:textFill>
                    </w:rPr>
                  </w:pPr>
                  <w:r>
                    <w:rPr>
                      <w:rFonts w:hint="eastAsia"/>
                      <w:color w:val="000000" w:themeColor="text1"/>
                      <w:sz w:val="22"/>
                      <w:szCs w:val="22"/>
                      <w14:textFill>
                        <w14:solidFill>
                          <w14:schemeClr w14:val="tx1"/>
                        </w14:solidFill>
                      </w14:textFill>
                    </w:rPr>
                    <w:t>0.005</w:t>
                  </w:r>
                </w:p>
              </w:tc>
              <w:tc>
                <w:tcPr>
                  <w:tcW w:w="539" w:type="pct"/>
                  <w:tcBorders>
                    <w:top w:val="single" w:color="auto" w:sz="4" w:space="0"/>
                    <w:left w:val="single" w:color="auto" w:sz="4" w:space="0"/>
                    <w:bottom w:val="single" w:color="auto" w:sz="4" w:space="0"/>
                    <w:right w:val="single" w:color="auto" w:sz="4" w:space="0"/>
                  </w:tcBorders>
                  <w:vAlign w:val="center"/>
                </w:tcPr>
                <w:p w14:paraId="49D14946">
                  <w:pPr>
                    <w:autoSpaceDE w:val="0"/>
                    <w:autoSpaceDN w:val="0"/>
                    <w:snapToGrid w:val="0"/>
                    <w:jc w:val="center"/>
                    <w:rPr>
                      <w:rFonts w:eastAsia="仿宋"/>
                      <w:color w:val="000000" w:themeColor="text1"/>
                      <w14:textFill>
                        <w14:solidFill>
                          <w14:schemeClr w14:val="tx1"/>
                        </w14:solidFill>
                      </w14:textFill>
                    </w:rPr>
                  </w:pPr>
                  <w:r>
                    <w:rPr>
                      <w:color w:val="000000" w:themeColor="text1"/>
                      <w:sz w:val="22"/>
                      <w:szCs w:val="22"/>
                      <w14:textFill>
                        <w14:solidFill>
                          <w14:schemeClr w14:val="tx1"/>
                        </w14:solidFill>
                      </w14:textFill>
                    </w:rPr>
                    <w:t>+</w:t>
                  </w:r>
                  <w:r>
                    <w:rPr>
                      <w:rFonts w:hint="eastAsia"/>
                      <w:color w:val="000000" w:themeColor="text1"/>
                      <w:sz w:val="22"/>
                      <w:szCs w:val="22"/>
                      <w14:textFill>
                        <w14:solidFill>
                          <w14:schemeClr w14:val="tx1"/>
                        </w14:solidFill>
                      </w14:textFill>
                    </w:rPr>
                    <w:t>0.005</w:t>
                  </w:r>
                </w:p>
              </w:tc>
              <w:tc>
                <w:tcPr>
                  <w:tcW w:w="540" w:type="pct"/>
                  <w:tcBorders>
                    <w:top w:val="single" w:color="auto" w:sz="4" w:space="0"/>
                    <w:left w:val="single" w:color="auto" w:sz="4" w:space="0"/>
                    <w:bottom w:val="single" w:color="auto" w:sz="4" w:space="0"/>
                    <w:right w:val="single" w:color="auto" w:sz="4" w:space="0"/>
                  </w:tcBorders>
                  <w:vAlign w:val="center"/>
                </w:tcPr>
                <w:p w14:paraId="3C3812E5">
                  <w:pPr>
                    <w:autoSpaceDE w:val="0"/>
                    <w:autoSpaceDN w:val="0"/>
                    <w:snapToGrid w:val="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w:t>
                  </w:r>
                  <w:r>
                    <w:rPr>
                      <w:rFonts w:hint="eastAsia" w:eastAsia="仿宋"/>
                      <w:color w:val="000000" w:themeColor="text1"/>
                      <w14:textFill>
                        <w14:solidFill>
                          <w14:schemeClr w14:val="tx1"/>
                        </w14:solidFill>
                      </w14:textFill>
                    </w:rPr>
                    <w:t>0.0006</w:t>
                  </w:r>
                </w:p>
              </w:tc>
            </w:tr>
            <w:tr w14:paraId="179AE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262" w:type="pct"/>
                  <w:vMerge w:val="continue"/>
                  <w:tcBorders>
                    <w:top w:val="nil"/>
                    <w:left w:val="single" w:color="auto" w:sz="4" w:space="0"/>
                    <w:bottom w:val="single" w:color="auto" w:sz="4" w:space="0"/>
                    <w:right w:val="single" w:color="auto" w:sz="4" w:space="0"/>
                  </w:tcBorders>
                  <w:vAlign w:val="center"/>
                </w:tcPr>
                <w:p w14:paraId="1747610E">
                  <w:pPr>
                    <w:widowControl/>
                    <w:jc w:val="left"/>
                    <w:rPr>
                      <w:rFonts w:eastAsia="仿宋"/>
                      <w:color w:val="000000" w:themeColor="text1"/>
                      <w:kern w:val="0"/>
                      <w:szCs w:val="21"/>
                      <w14:textFill>
                        <w14:solidFill>
                          <w14:schemeClr w14:val="tx1"/>
                        </w14:solidFill>
                      </w14:textFill>
                    </w:rPr>
                  </w:pPr>
                </w:p>
              </w:tc>
              <w:tc>
                <w:tcPr>
                  <w:tcW w:w="316" w:type="pct"/>
                  <w:vMerge w:val="continue"/>
                  <w:tcBorders>
                    <w:top w:val="nil"/>
                    <w:left w:val="single" w:color="auto" w:sz="4" w:space="0"/>
                    <w:bottom w:val="single" w:color="auto" w:sz="4" w:space="0"/>
                    <w:right w:val="single" w:color="auto" w:sz="4" w:space="0"/>
                  </w:tcBorders>
                  <w:vAlign w:val="center"/>
                </w:tcPr>
                <w:p w14:paraId="28631254">
                  <w:pPr>
                    <w:widowControl/>
                    <w:jc w:val="left"/>
                    <w:rPr>
                      <w:rFonts w:eastAsia="仿宋"/>
                      <w:color w:val="000000" w:themeColor="text1"/>
                      <w:kern w:val="0"/>
                      <w:szCs w:val="21"/>
                      <w14:textFill>
                        <w14:solidFill>
                          <w14:schemeClr w14:val="tx1"/>
                        </w14:solidFill>
                      </w14:textFill>
                    </w:rPr>
                  </w:pPr>
                </w:p>
              </w:tc>
              <w:tc>
                <w:tcPr>
                  <w:tcW w:w="480" w:type="pct"/>
                  <w:tcBorders>
                    <w:top w:val="single" w:color="auto" w:sz="4" w:space="0"/>
                    <w:left w:val="single" w:color="auto" w:sz="4" w:space="0"/>
                    <w:bottom w:val="single" w:color="auto" w:sz="4" w:space="0"/>
                    <w:right w:val="single" w:color="auto" w:sz="4" w:space="0"/>
                  </w:tcBorders>
                  <w:vAlign w:val="center"/>
                </w:tcPr>
                <w:p w14:paraId="7BC2FBDA">
                  <w:pPr>
                    <w:widowControl/>
                    <w:jc w:val="center"/>
                    <w:rPr>
                      <w:rFonts w:eastAsia="仿宋"/>
                      <w:color w:val="000000" w:themeColor="text1"/>
                      <w:kern w:val="0"/>
                      <w14:textFill>
                        <w14:solidFill>
                          <w14:schemeClr w14:val="tx1"/>
                        </w14:solidFill>
                      </w14:textFill>
                    </w:rPr>
                  </w:pPr>
                  <w:r>
                    <w:rPr>
                      <w:rFonts w:eastAsia="仿宋"/>
                      <w:color w:val="000000" w:themeColor="text1"/>
                      <w:kern w:val="0"/>
                      <w14:textFill>
                        <w14:solidFill>
                          <w14:schemeClr w14:val="tx1"/>
                        </w14:solidFill>
                      </w14:textFill>
                    </w:rPr>
                    <w:t>TN</w:t>
                  </w:r>
                </w:p>
              </w:tc>
              <w:tc>
                <w:tcPr>
                  <w:tcW w:w="424" w:type="pct"/>
                  <w:tcBorders>
                    <w:top w:val="single" w:color="auto" w:sz="4" w:space="0"/>
                    <w:left w:val="single" w:color="auto" w:sz="4" w:space="0"/>
                    <w:bottom w:val="single" w:color="auto" w:sz="4" w:space="0"/>
                    <w:right w:val="single" w:color="auto" w:sz="4" w:space="0"/>
                  </w:tcBorders>
                  <w:vAlign w:val="center"/>
                </w:tcPr>
                <w:p w14:paraId="69B89AF1">
                  <w:pPr>
                    <w:jc w:val="center"/>
                    <w:rPr>
                      <w:color w:val="000000" w:themeColor="text1"/>
                      <w:szCs w:val="21"/>
                      <w14:textFill>
                        <w14:solidFill>
                          <w14:schemeClr w14:val="tx1"/>
                        </w14:solidFill>
                      </w14:textFill>
                    </w:rPr>
                  </w:pPr>
                  <w:r>
                    <w:rPr>
                      <w:rFonts w:hint="eastAsia"/>
                      <w:color w:val="000000" w:themeColor="text1"/>
                      <w:sz w:val="22"/>
                      <w:szCs w:val="22"/>
                      <w14:textFill>
                        <w14:solidFill>
                          <w14:schemeClr w14:val="tx1"/>
                        </w14:solidFill>
                      </w14:textFill>
                    </w:rPr>
                    <w:t>0.022</w:t>
                  </w:r>
                </w:p>
              </w:tc>
              <w:tc>
                <w:tcPr>
                  <w:tcW w:w="478" w:type="pct"/>
                  <w:tcBorders>
                    <w:top w:val="single" w:color="auto" w:sz="4" w:space="0"/>
                    <w:left w:val="single" w:color="auto" w:sz="4" w:space="0"/>
                    <w:bottom w:val="single" w:color="auto" w:sz="4" w:space="0"/>
                    <w:right w:val="single" w:color="auto" w:sz="4" w:space="0"/>
                  </w:tcBorders>
                  <w:vAlign w:val="center"/>
                </w:tcPr>
                <w:p w14:paraId="0244C42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0.058</w:t>
                  </w:r>
                </w:p>
              </w:tc>
              <w:tc>
                <w:tcPr>
                  <w:tcW w:w="463" w:type="pct"/>
                  <w:tcBorders>
                    <w:top w:val="single" w:color="auto" w:sz="4" w:space="0"/>
                    <w:left w:val="single" w:color="auto" w:sz="4" w:space="0"/>
                    <w:bottom w:val="single" w:color="auto" w:sz="4" w:space="0"/>
                    <w:right w:val="single" w:color="auto" w:sz="4" w:space="0"/>
                  </w:tcBorders>
                  <w:vAlign w:val="center"/>
                </w:tcPr>
                <w:p w14:paraId="2325934A">
                  <w:pPr>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0</w:t>
                  </w:r>
                </w:p>
              </w:tc>
              <w:tc>
                <w:tcPr>
                  <w:tcW w:w="420" w:type="pct"/>
                  <w:tcBorders>
                    <w:top w:val="single" w:color="auto" w:sz="4" w:space="0"/>
                    <w:left w:val="single" w:color="auto" w:sz="4" w:space="0"/>
                    <w:bottom w:val="single" w:color="auto" w:sz="4" w:space="0"/>
                    <w:right w:val="single" w:color="auto" w:sz="4" w:space="0"/>
                  </w:tcBorders>
                  <w:vAlign w:val="center"/>
                </w:tcPr>
                <w:p w14:paraId="73903B2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0.058</w:t>
                  </w:r>
                </w:p>
              </w:tc>
              <w:tc>
                <w:tcPr>
                  <w:tcW w:w="539" w:type="pct"/>
                  <w:tcBorders>
                    <w:top w:val="single" w:color="auto" w:sz="4" w:space="0"/>
                    <w:left w:val="single" w:color="auto" w:sz="4" w:space="0"/>
                    <w:bottom w:val="single" w:color="auto" w:sz="4" w:space="0"/>
                    <w:right w:val="single" w:color="auto" w:sz="4" w:space="0"/>
                  </w:tcBorders>
                  <w:vAlign w:val="center"/>
                </w:tcPr>
                <w:p w14:paraId="1EA90A2E">
                  <w:pPr>
                    <w:autoSpaceDE w:val="0"/>
                    <w:autoSpaceDN w:val="0"/>
                    <w:snapToGrid w:val="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0</w:t>
                  </w:r>
                </w:p>
              </w:tc>
              <w:tc>
                <w:tcPr>
                  <w:tcW w:w="539" w:type="pct"/>
                  <w:tcBorders>
                    <w:top w:val="single" w:color="auto" w:sz="4" w:space="0"/>
                    <w:left w:val="nil"/>
                    <w:bottom w:val="single" w:color="auto" w:sz="4" w:space="0"/>
                    <w:right w:val="nil"/>
                  </w:tcBorders>
                  <w:shd w:val="clear" w:color="auto" w:fill="auto"/>
                  <w:vAlign w:val="center"/>
                </w:tcPr>
                <w:p w14:paraId="55F85576">
                  <w:pPr>
                    <w:autoSpaceDE w:val="0"/>
                    <w:autoSpaceDN w:val="0"/>
                    <w:snapToGrid w:val="0"/>
                    <w:jc w:val="center"/>
                    <w:rPr>
                      <w:rFonts w:eastAsia="仿宋"/>
                      <w:color w:val="000000" w:themeColor="text1"/>
                      <w14:textFill>
                        <w14:solidFill>
                          <w14:schemeClr w14:val="tx1"/>
                        </w14:solidFill>
                      </w14:textFill>
                    </w:rPr>
                  </w:pPr>
                  <w:r>
                    <w:rPr>
                      <w:rFonts w:hint="eastAsia"/>
                      <w:color w:val="000000" w:themeColor="text1"/>
                      <w:sz w:val="22"/>
                      <w:szCs w:val="22"/>
                      <w14:textFill>
                        <w14:solidFill>
                          <w14:schemeClr w14:val="tx1"/>
                        </w14:solidFill>
                      </w14:textFill>
                    </w:rPr>
                    <w:t>0.126</w:t>
                  </w:r>
                </w:p>
              </w:tc>
              <w:tc>
                <w:tcPr>
                  <w:tcW w:w="539" w:type="pct"/>
                  <w:tcBorders>
                    <w:top w:val="single" w:color="auto" w:sz="4" w:space="0"/>
                    <w:left w:val="single" w:color="auto" w:sz="4" w:space="0"/>
                    <w:bottom w:val="single" w:color="auto" w:sz="4" w:space="0"/>
                    <w:right w:val="single" w:color="auto" w:sz="4" w:space="0"/>
                  </w:tcBorders>
                  <w:vAlign w:val="center"/>
                </w:tcPr>
                <w:p w14:paraId="32F36609">
                  <w:pPr>
                    <w:autoSpaceDE w:val="0"/>
                    <w:autoSpaceDN w:val="0"/>
                    <w:snapToGrid w:val="0"/>
                    <w:jc w:val="center"/>
                    <w:rPr>
                      <w:rFonts w:eastAsia="仿宋"/>
                      <w:color w:val="000000" w:themeColor="text1"/>
                      <w14:textFill>
                        <w14:solidFill>
                          <w14:schemeClr w14:val="tx1"/>
                        </w14:solidFill>
                      </w14:textFill>
                    </w:rPr>
                  </w:pPr>
                  <w:r>
                    <w:rPr>
                      <w:color w:val="000000" w:themeColor="text1"/>
                      <w:sz w:val="22"/>
                      <w:szCs w:val="22"/>
                      <w14:textFill>
                        <w14:solidFill>
                          <w14:schemeClr w14:val="tx1"/>
                        </w14:solidFill>
                      </w14:textFill>
                    </w:rPr>
                    <w:t>+</w:t>
                  </w:r>
                  <w:r>
                    <w:rPr>
                      <w:rFonts w:hint="eastAsia"/>
                      <w:color w:val="000000" w:themeColor="text1"/>
                      <w:sz w:val="22"/>
                      <w:szCs w:val="22"/>
                      <w14:textFill>
                        <w14:solidFill>
                          <w14:schemeClr w14:val="tx1"/>
                        </w14:solidFill>
                      </w14:textFill>
                    </w:rPr>
                    <w:t>0.126</w:t>
                  </w:r>
                </w:p>
              </w:tc>
              <w:tc>
                <w:tcPr>
                  <w:tcW w:w="540" w:type="pct"/>
                  <w:tcBorders>
                    <w:top w:val="single" w:color="auto" w:sz="4" w:space="0"/>
                    <w:left w:val="single" w:color="auto" w:sz="4" w:space="0"/>
                    <w:bottom w:val="single" w:color="auto" w:sz="4" w:space="0"/>
                    <w:right w:val="single" w:color="auto" w:sz="4" w:space="0"/>
                  </w:tcBorders>
                  <w:vAlign w:val="center"/>
                </w:tcPr>
                <w:p w14:paraId="7F3B0E27">
                  <w:pPr>
                    <w:autoSpaceDE w:val="0"/>
                    <w:autoSpaceDN w:val="0"/>
                    <w:snapToGrid w:val="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w:t>
                  </w:r>
                  <w:r>
                    <w:rPr>
                      <w:rFonts w:hint="eastAsia" w:eastAsia="仿宋"/>
                      <w:color w:val="000000" w:themeColor="text1"/>
                      <w14:textFill>
                        <w14:solidFill>
                          <w14:schemeClr w14:val="tx1"/>
                        </w14:solidFill>
                      </w14:textFill>
                    </w:rPr>
                    <w:t>0.016</w:t>
                  </w:r>
                </w:p>
              </w:tc>
            </w:tr>
            <w:tr w14:paraId="7E300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262" w:type="pct"/>
                  <w:vMerge w:val="restart"/>
                  <w:tcBorders>
                    <w:top w:val="nil"/>
                    <w:left w:val="single" w:color="auto" w:sz="4" w:space="0"/>
                    <w:bottom w:val="single" w:color="auto" w:sz="4" w:space="0"/>
                    <w:right w:val="single" w:color="auto" w:sz="4" w:space="0"/>
                  </w:tcBorders>
                  <w:vAlign w:val="center"/>
                </w:tcPr>
                <w:p w14:paraId="2BE01978">
                  <w:pPr>
                    <w:widowControl/>
                    <w:spacing w:line="240" w:lineRule="atLeast"/>
                    <w:jc w:val="center"/>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大气污染物</w:t>
                  </w:r>
                </w:p>
              </w:tc>
              <w:tc>
                <w:tcPr>
                  <w:tcW w:w="316" w:type="pct"/>
                  <w:vMerge w:val="restart"/>
                  <w:tcBorders>
                    <w:top w:val="nil"/>
                    <w:left w:val="single" w:color="auto" w:sz="4" w:space="0"/>
                    <w:right w:val="single" w:color="auto" w:sz="4" w:space="0"/>
                  </w:tcBorders>
                  <w:vAlign w:val="center"/>
                </w:tcPr>
                <w:p w14:paraId="141E2418">
                  <w:pPr>
                    <w:widowControl/>
                    <w:spacing w:line="240" w:lineRule="atLeast"/>
                    <w:jc w:val="center"/>
                    <w:rPr>
                      <w:rFonts w:eastAsia="仿宋"/>
                      <w:color w:val="000000" w:themeColor="text1"/>
                      <w:kern w:val="0"/>
                      <w14:textFill>
                        <w14:solidFill>
                          <w14:schemeClr w14:val="tx1"/>
                        </w14:solidFill>
                      </w14:textFill>
                    </w:rPr>
                  </w:pPr>
                  <w:r>
                    <w:rPr>
                      <w:rFonts w:ascii="仿宋" w:hAnsi="仿宋" w:eastAsia="仿宋"/>
                      <w:color w:val="000000" w:themeColor="text1"/>
                      <w:kern w:val="0"/>
                      <w14:textFill>
                        <w14:solidFill>
                          <w14:schemeClr w14:val="tx1"/>
                        </w14:solidFill>
                      </w14:textFill>
                    </w:rPr>
                    <w:t>有组织废气</w:t>
                  </w:r>
                </w:p>
              </w:tc>
              <w:tc>
                <w:tcPr>
                  <w:tcW w:w="480" w:type="pct"/>
                  <w:tcBorders>
                    <w:top w:val="single" w:color="auto" w:sz="4" w:space="0"/>
                    <w:left w:val="single" w:color="auto" w:sz="4" w:space="0"/>
                    <w:bottom w:val="single" w:color="auto" w:sz="4" w:space="0"/>
                    <w:right w:val="single" w:color="auto" w:sz="4" w:space="0"/>
                  </w:tcBorders>
                  <w:vAlign w:val="center"/>
                </w:tcPr>
                <w:p w14:paraId="635B7AF1">
                  <w:pPr>
                    <w:widowControl/>
                    <w:jc w:val="center"/>
                    <w:rPr>
                      <w:rFonts w:eastAsia="仿宋"/>
                      <w:color w:val="000000" w:themeColor="text1"/>
                      <w:kern w:val="0"/>
                      <w14:textFill>
                        <w14:solidFill>
                          <w14:schemeClr w14:val="tx1"/>
                        </w14:solidFill>
                      </w14:textFill>
                    </w:rPr>
                  </w:pPr>
                  <w:r>
                    <w:rPr>
                      <w:rFonts w:hint="eastAsia" w:ascii="仿宋" w:hAnsi="仿宋" w:eastAsia="仿宋"/>
                      <w:color w:val="000000" w:themeColor="text1"/>
                      <w:kern w:val="0"/>
                      <w14:textFill>
                        <w14:solidFill>
                          <w14:schemeClr w14:val="tx1"/>
                        </w14:solidFill>
                      </w14:textFill>
                    </w:rPr>
                    <w:t>甲醇</w:t>
                  </w:r>
                </w:p>
              </w:tc>
              <w:tc>
                <w:tcPr>
                  <w:tcW w:w="424" w:type="pct"/>
                  <w:tcBorders>
                    <w:top w:val="single" w:color="auto" w:sz="4" w:space="0"/>
                    <w:left w:val="single" w:color="auto" w:sz="4" w:space="0"/>
                    <w:bottom w:val="single" w:color="auto" w:sz="4" w:space="0"/>
                    <w:right w:val="single" w:color="auto" w:sz="4" w:space="0"/>
                  </w:tcBorders>
                  <w:vAlign w:val="center"/>
                </w:tcPr>
                <w:p w14:paraId="23815E12">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78" w:type="pct"/>
                  <w:tcBorders>
                    <w:top w:val="single" w:color="auto" w:sz="4" w:space="0"/>
                    <w:left w:val="single" w:color="auto" w:sz="4" w:space="0"/>
                    <w:bottom w:val="single" w:color="auto" w:sz="4" w:space="0"/>
                    <w:right w:val="single" w:color="auto" w:sz="4" w:space="0"/>
                  </w:tcBorders>
                  <w:vAlign w:val="center"/>
                </w:tcPr>
                <w:p w14:paraId="478861AB">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1"/>
                      <w14:textFill>
                        <w14:solidFill>
                          <w14:schemeClr w14:val="tx1"/>
                        </w14:solidFill>
                      </w14:textFill>
                    </w:rPr>
                    <w:t>0.006</w:t>
                  </w:r>
                </w:p>
              </w:tc>
              <w:tc>
                <w:tcPr>
                  <w:tcW w:w="463" w:type="pct"/>
                  <w:tcBorders>
                    <w:top w:val="single" w:color="auto" w:sz="4" w:space="0"/>
                    <w:left w:val="single" w:color="auto" w:sz="4" w:space="0"/>
                    <w:bottom w:val="single" w:color="auto" w:sz="4" w:space="0"/>
                    <w:right w:val="single" w:color="auto" w:sz="4" w:space="0"/>
                  </w:tcBorders>
                  <w:vAlign w:val="center"/>
                </w:tcPr>
                <w:p w14:paraId="5617A919">
                  <w:pPr>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0</w:t>
                  </w:r>
                  <w:r>
                    <w:rPr>
                      <w:rFonts w:eastAsia="仿宋"/>
                      <w:color w:val="000000" w:themeColor="text1"/>
                      <w14:textFill>
                        <w14:solidFill>
                          <w14:schemeClr w14:val="tx1"/>
                        </w14:solidFill>
                      </w14:textFill>
                    </w:rPr>
                    <w:t>.004</w:t>
                  </w:r>
                </w:p>
              </w:tc>
              <w:tc>
                <w:tcPr>
                  <w:tcW w:w="420" w:type="pct"/>
                  <w:tcBorders>
                    <w:top w:val="single" w:color="auto" w:sz="4" w:space="0"/>
                    <w:left w:val="single" w:color="auto" w:sz="4" w:space="0"/>
                    <w:bottom w:val="single" w:color="auto" w:sz="4" w:space="0"/>
                    <w:right w:val="single" w:color="auto" w:sz="4" w:space="0"/>
                  </w:tcBorders>
                  <w:vAlign w:val="center"/>
                </w:tcPr>
                <w:p w14:paraId="64BF04F6">
                  <w:pPr>
                    <w:widowControl/>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0.002</w:t>
                  </w:r>
                </w:p>
              </w:tc>
              <w:tc>
                <w:tcPr>
                  <w:tcW w:w="539" w:type="pct"/>
                  <w:tcBorders>
                    <w:top w:val="single" w:color="auto" w:sz="4" w:space="0"/>
                    <w:left w:val="single" w:color="auto" w:sz="4" w:space="0"/>
                    <w:bottom w:val="single" w:color="auto" w:sz="4" w:space="0"/>
                    <w:right w:val="single" w:color="auto" w:sz="4" w:space="0"/>
                  </w:tcBorders>
                  <w:vAlign w:val="center"/>
                </w:tcPr>
                <w:p w14:paraId="0391632C">
                  <w:pPr>
                    <w:widowControl/>
                    <w:jc w:val="center"/>
                    <w:rPr>
                      <w:color w:val="000000" w:themeColor="text1"/>
                      <w:kern w:val="0"/>
                      <w:szCs w:val="21"/>
                      <w14:textFill>
                        <w14:solidFill>
                          <w14:schemeClr w14:val="tx1"/>
                        </w14:solidFill>
                      </w14:textFill>
                    </w:rPr>
                  </w:pPr>
                  <w:r>
                    <w:rPr>
                      <w:rFonts w:eastAsia="仿宋"/>
                      <w:color w:val="000000" w:themeColor="text1"/>
                      <w14:textFill>
                        <w14:solidFill>
                          <w14:schemeClr w14:val="tx1"/>
                        </w14:solidFill>
                      </w14:textFill>
                    </w:rPr>
                    <w:t>0</w:t>
                  </w:r>
                </w:p>
              </w:tc>
              <w:tc>
                <w:tcPr>
                  <w:tcW w:w="539" w:type="pct"/>
                  <w:tcBorders>
                    <w:top w:val="single" w:color="auto" w:sz="4" w:space="0"/>
                    <w:left w:val="single" w:color="auto" w:sz="4" w:space="0"/>
                    <w:bottom w:val="single" w:color="auto" w:sz="4" w:space="0"/>
                    <w:right w:val="single" w:color="auto" w:sz="4" w:space="0"/>
                  </w:tcBorders>
                  <w:vAlign w:val="center"/>
                </w:tcPr>
                <w:p w14:paraId="7B964EAC">
                  <w:pPr>
                    <w:widowControl/>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0.002</w:t>
                  </w:r>
                </w:p>
              </w:tc>
              <w:tc>
                <w:tcPr>
                  <w:tcW w:w="539" w:type="pct"/>
                  <w:tcBorders>
                    <w:top w:val="single" w:color="auto" w:sz="4" w:space="0"/>
                    <w:left w:val="single" w:color="auto" w:sz="4" w:space="0"/>
                    <w:bottom w:val="single" w:color="auto" w:sz="4" w:space="0"/>
                    <w:right w:val="single" w:color="auto" w:sz="4" w:space="0"/>
                  </w:tcBorders>
                  <w:vAlign w:val="center"/>
                </w:tcPr>
                <w:p w14:paraId="50550575">
                  <w:pPr>
                    <w:widowControl/>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+0.002</w:t>
                  </w:r>
                </w:p>
              </w:tc>
              <w:tc>
                <w:tcPr>
                  <w:tcW w:w="540" w:type="pct"/>
                  <w:tcBorders>
                    <w:top w:val="single" w:color="auto" w:sz="4" w:space="0"/>
                    <w:left w:val="single" w:color="auto" w:sz="4" w:space="0"/>
                    <w:bottom w:val="single" w:color="auto" w:sz="4" w:space="0"/>
                    <w:right w:val="single" w:color="auto" w:sz="4" w:space="0"/>
                  </w:tcBorders>
                  <w:vAlign w:val="center"/>
                </w:tcPr>
                <w:p w14:paraId="0F2E4C41">
                  <w:pPr>
                    <w:widowControl/>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+0.002</w:t>
                  </w:r>
                </w:p>
              </w:tc>
            </w:tr>
            <w:tr w14:paraId="5DB2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262" w:type="pct"/>
                  <w:vMerge w:val="continue"/>
                  <w:tcBorders>
                    <w:top w:val="nil"/>
                    <w:left w:val="single" w:color="auto" w:sz="4" w:space="0"/>
                    <w:bottom w:val="single" w:color="auto" w:sz="4" w:space="0"/>
                    <w:right w:val="single" w:color="auto" w:sz="4" w:space="0"/>
                  </w:tcBorders>
                  <w:vAlign w:val="center"/>
                </w:tcPr>
                <w:p w14:paraId="13D20446">
                  <w:pPr>
                    <w:widowControl/>
                    <w:spacing w:line="240" w:lineRule="atLeast"/>
                    <w:jc w:val="center"/>
                    <w:rPr>
                      <w:rFonts w:ascii="仿宋" w:hAnsi="仿宋" w:eastAsia="仿宋"/>
                      <w:color w:val="000000" w:themeColor="text1"/>
                      <w14:textFill>
                        <w14:solidFill>
                          <w14:schemeClr w14:val="tx1"/>
                        </w14:solidFill>
                      </w14:textFill>
                    </w:rPr>
                  </w:pPr>
                </w:p>
              </w:tc>
              <w:tc>
                <w:tcPr>
                  <w:tcW w:w="316" w:type="pct"/>
                  <w:vMerge w:val="continue"/>
                  <w:tcBorders>
                    <w:left w:val="single" w:color="auto" w:sz="4" w:space="0"/>
                    <w:right w:val="single" w:color="auto" w:sz="4" w:space="0"/>
                  </w:tcBorders>
                  <w:vAlign w:val="center"/>
                </w:tcPr>
                <w:p w14:paraId="7AFAA534">
                  <w:pPr>
                    <w:widowControl/>
                    <w:spacing w:line="240" w:lineRule="atLeast"/>
                    <w:jc w:val="center"/>
                    <w:rPr>
                      <w:rFonts w:ascii="仿宋" w:hAnsi="仿宋" w:eastAsia="仿宋"/>
                      <w:color w:val="000000" w:themeColor="text1"/>
                      <w:kern w:val="0"/>
                      <w14:textFill>
                        <w14:solidFill>
                          <w14:schemeClr w14:val="tx1"/>
                        </w14:solidFill>
                      </w14:textFill>
                    </w:rPr>
                  </w:pPr>
                </w:p>
              </w:tc>
              <w:tc>
                <w:tcPr>
                  <w:tcW w:w="480" w:type="pct"/>
                  <w:tcBorders>
                    <w:top w:val="single" w:color="auto" w:sz="4" w:space="0"/>
                    <w:left w:val="single" w:color="auto" w:sz="4" w:space="0"/>
                    <w:bottom w:val="single" w:color="auto" w:sz="4" w:space="0"/>
                    <w:right w:val="single" w:color="auto" w:sz="4" w:space="0"/>
                  </w:tcBorders>
                  <w:vAlign w:val="center"/>
                </w:tcPr>
                <w:p w14:paraId="7CA0A96F">
                  <w:pPr>
                    <w:widowControl/>
                    <w:jc w:val="center"/>
                    <w:rPr>
                      <w:rFonts w:ascii="仿宋" w:hAnsi="仿宋" w:eastAsia="仿宋"/>
                      <w:color w:val="000000" w:themeColor="text1"/>
                      <w:kern w:val="0"/>
                      <w14:textFill>
                        <w14:solidFill>
                          <w14:schemeClr w14:val="tx1"/>
                        </w14:solidFill>
                      </w14:textFill>
                    </w:rPr>
                  </w:pPr>
                  <w:r>
                    <w:rPr>
                      <w:rFonts w:hint="eastAsia" w:ascii="仿宋" w:hAnsi="仿宋" w:eastAsia="仿宋"/>
                      <w:color w:val="000000" w:themeColor="text1"/>
                      <w:kern w:val="0"/>
                      <w14:textFill>
                        <w14:solidFill>
                          <w14:schemeClr w14:val="tx1"/>
                        </w14:solidFill>
                      </w14:textFill>
                    </w:rPr>
                    <w:t>非甲烷总烃</w:t>
                  </w:r>
                </w:p>
              </w:tc>
              <w:tc>
                <w:tcPr>
                  <w:tcW w:w="424" w:type="pct"/>
                  <w:tcBorders>
                    <w:top w:val="single" w:color="auto" w:sz="4" w:space="0"/>
                    <w:left w:val="single" w:color="auto" w:sz="4" w:space="0"/>
                    <w:bottom w:val="single" w:color="auto" w:sz="4" w:space="0"/>
                    <w:right w:val="single" w:color="auto" w:sz="4" w:space="0"/>
                  </w:tcBorders>
                  <w:vAlign w:val="center"/>
                </w:tcPr>
                <w:p w14:paraId="5028DE6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78" w:type="pct"/>
                  <w:tcBorders>
                    <w:top w:val="single" w:color="auto" w:sz="4" w:space="0"/>
                    <w:left w:val="single" w:color="auto" w:sz="4" w:space="0"/>
                    <w:bottom w:val="single" w:color="auto" w:sz="4" w:space="0"/>
                    <w:right w:val="single" w:color="auto" w:sz="4" w:space="0"/>
                  </w:tcBorders>
                  <w:vAlign w:val="center"/>
                </w:tcPr>
                <w:p w14:paraId="3A90F6B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0.015</w:t>
                  </w:r>
                </w:p>
              </w:tc>
              <w:tc>
                <w:tcPr>
                  <w:tcW w:w="463" w:type="pct"/>
                  <w:tcBorders>
                    <w:top w:val="single" w:color="auto" w:sz="4" w:space="0"/>
                    <w:left w:val="single" w:color="auto" w:sz="4" w:space="0"/>
                    <w:bottom w:val="single" w:color="auto" w:sz="4" w:space="0"/>
                    <w:right w:val="single" w:color="auto" w:sz="4" w:space="0"/>
                  </w:tcBorders>
                  <w:vAlign w:val="center"/>
                </w:tcPr>
                <w:p w14:paraId="6656B4C2">
                  <w:pPr>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0</w:t>
                  </w:r>
                  <w:r>
                    <w:rPr>
                      <w:rFonts w:eastAsia="仿宋"/>
                      <w:color w:val="000000" w:themeColor="text1"/>
                      <w14:textFill>
                        <w14:solidFill>
                          <w14:schemeClr w14:val="tx1"/>
                        </w14:solidFill>
                      </w14:textFill>
                    </w:rPr>
                    <w:t>.011</w:t>
                  </w:r>
                </w:p>
              </w:tc>
              <w:tc>
                <w:tcPr>
                  <w:tcW w:w="420" w:type="pct"/>
                  <w:tcBorders>
                    <w:top w:val="single" w:color="auto" w:sz="4" w:space="0"/>
                    <w:left w:val="single" w:color="auto" w:sz="4" w:space="0"/>
                    <w:bottom w:val="single" w:color="auto" w:sz="4" w:space="0"/>
                    <w:right w:val="single" w:color="auto" w:sz="4" w:space="0"/>
                  </w:tcBorders>
                  <w:vAlign w:val="center"/>
                </w:tcPr>
                <w:p w14:paraId="2761593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0.004</w:t>
                  </w:r>
                </w:p>
              </w:tc>
              <w:tc>
                <w:tcPr>
                  <w:tcW w:w="539" w:type="pct"/>
                  <w:tcBorders>
                    <w:top w:val="single" w:color="auto" w:sz="4" w:space="0"/>
                    <w:left w:val="single" w:color="auto" w:sz="4" w:space="0"/>
                    <w:bottom w:val="single" w:color="auto" w:sz="4" w:space="0"/>
                    <w:right w:val="single" w:color="auto" w:sz="4" w:space="0"/>
                  </w:tcBorders>
                  <w:vAlign w:val="center"/>
                </w:tcPr>
                <w:p w14:paraId="10276876">
                  <w:pPr>
                    <w:jc w:val="center"/>
                    <w:rPr>
                      <w:color w:val="000000" w:themeColor="text1"/>
                      <w:szCs w:val="21"/>
                      <w14:textFill>
                        <w14:solidFill>
                          <w14:schemeClr w14:val="tx1"/>
                        </w14:solidFill>
                      </w14:textFill>
                    </w:rPr>
                  </w:pPr>
                  <w:r>
                    <w:rPr>
                      <w:rFonts w:eastAsia="仿宋"/>
                      <w:color w:val="000000" w:themeColor="text1"/>
                      <w14:textFill>
                        <w14:solidFill>
                          <w14:schemeClr w14:val="tx1"/>
                        </w14:solidFill>
                      </w14:textFill>
                    </w:rPr>
                    <w:t>0</w:t>
                  </w:r>
                </w:p>
              </w:tc>
              <w:tc>
                <w:tcPr>
                  <w:tcW w:w="539" w:type="pct"/>
                  <w:tcBorders>
                    <w:top w:val="single" w:color="auto" w:sz="4" w:space="0"/>
                    <w:left w:val="single" w:color="auto" w:sz="4" w:space="0"/>
                    <w:bottom w:val="single" w:color="auto" w:sz="4" w:space="0"/>
                    <w:right w:val="single" w:color="auto" w:sz="4" w:space="0"/>
                  </w:tcBorders>
                  <w:vAlign w:val="center"/>
                </w:tcPr>
                <w:p w14:paraId="52DF31D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0.004</w:t>
                  </w:r>
                </w:p>
              </w:tc>
              <w:tc>
                <w:tcPr>
                  <w:tcW w:w="539" w:type="pct"/>
                  <w:tcBorders>
                    <w:top w:val="single" w:color="auto" w:sz="4" w:space="0"/>
                    <w:left w:val="single" w:color="auto" w:sz="4" w:space="0"/>
                    <w:bottom w:val="single" w:color="auto" w:sz="4" w:space="0"/>
                    <w:right w:val="single" w:color="auto" w:sz="4" w:space="0"/>
                  </w:tcBorders>
                  <w:vAlign w:val="center"/>
                </w:tcPr>
                <w:p w14:paraId="5787B6B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+0.004</w:t>
                  </w:r>
                </w:p>
              </w:tc>
              <w:tc>
                <w:tcPr>
                  <w:tcW w:w="540" w:type="pct"/>
                  <w:tcBorders>
                    <w:top w:val="single" w:color="auto" w:sz="4" w:space="0"/>
                    <w:left w:val="single" w:color="auto" w:sz="4" w:space="0"/>
                    <w:bottom w:val="single" w:color="auto" w:sz="4" w:space="0"/>
                    <w:right w:val="single" w:color="auto" w:sz="4" w:space="0"/>
                  </w:tcBorders>
                  <w:vAlign w:val="center"/>
                </w:tcPr>
                <w:p w14:paraId="5CA915B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+0.004</w:t>
                  </w:r>
                </w:p>
              </w:tc>
            </w:tr>
            <w:tr w14:paraId="4BD20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262" w:type="pct"/>
                  <w:vMerge w:val="continue"/>
                  <w:tcBorders>
                    <w:top w:val="nil"/>
                    <w:left w:val="single" w:color="auto" w:sz="4" w:space="0"/>
                    <w:bottom w:val="single" w:color="auto" w:sz="4" w:space="0"/>
                    <w:right w:val="single" w:color="auto" w:sz="4" w:space="0"/>
                  </w:tcBorders>
                  <w:vAlign w:val="center"/>
                </w:tcPr>
                <w:p w14:paraId="1DCCEED1">
                  <w:pPr>
                    <w:widowControl/>
                    <w:jc w:val="left"/>
                    <w:rPr>
                      <w:rFonts w:eastAsia="仿宋"/>
                      <w:color w:val="000000" w:themeColor="text1"/>
                      <w:szCs w:val="21"/>
                      <w14:textFill>
                        <w14:solidFill>
                          <w14:schemeClr w14:val="tx1"/>
                        </w14:solidFill>
                      </w14:textFill>
                    </w:rPr>
                  </w:pPr>
                </w:p>
              </w:tc>
              <w:tc>
                <w:tcPr>
                  <w:tcW w:w="316" w:type="pct"/>
                  <w:vMerge w:val="continue"/>
                  <w:tcBorders>
                    <w:left w:val="single" w:color="auto" w:sz="4" w:space="0"/>
                    <w:right w:val="single" w:color="auto" w:sz="4" w:space="0"/>
                  </w:tcBorders>
                  <w:vAlign w:val="center"/>
                </w:tcPr>
                <w:p w14:paraId="59F27CD3">
                  <w:pPr>
                    <w:widowControl/>
                    <w:jc w:val="left"/>
                    <w:rPr>
                      <w:rFonts w:eastAsia="仿宋"/>
                      <w:color w:val="000000" w:themeColor="text1"/>
                      <w:kern w:val="0"/>
                      <w:szCs w:val="21"/>
                      <w14:textFill>
                        <w14:solidFill>
                          <w14:schemeClr w14:val="tx1"/>
                        </w14:solidFill>
                      </w14:textFill>
                    </w:rPr>
                  </w:pPr>
                </w:p>
              </w:tc>
              <w:tc>
                <w:tcPr>
                  <w:tcW w:w="480" w:type="pct"/>
                  <w:tcBorders>
                    <w:top w:val="single" w:color="auto" w:sz="4" w:space="0"/>
                    <w:left w:val="single" w:color="auto" w:sz="4" w:space="0"/>
                    <w:bottom w:val="single" w:color="auto" w:sz="4" w:space="0"/>
                    <w:right w:val="single" w:color="auto" w:sz="4" w:space="0"/>
                  </w:tcBorders>
                  <w:vAlign w:val="center"/>
                </w:tcPr>
                <w:p w14:paraId="46AB8DA2">
                  <w:pPr>
                    <w:widowControl/>
                    <w:jc w:val="center"/>
                    <w:rPr>
                      <w:rFonts w:ascii="仿宋" w:hAnsi="仿宋" w:eastAsia="仿宋"/>
                      <w:color w:val="000000" w:themeColor="text1"/>
                      <w:kern w:val="0"/>
                      <w14:textFill>
                        <w14:solidFill>
                          <w14:schemeClr w14:val="tx1"/>
                        </w14:solidFill>
                      </w14:textFill>
                    </w:rPr>
                  </w:pPr>
                  <w:r>
                    <w:rPr>
                      <w:rFonts w:hint="eastAsia" w:ascii="仿宋" w:hAnsi="仿宋" w:eastAsia="仿宋"/>
                      <w:color w:val="000000" w:themeColor="text1"/>
                      <w:kern w:val="0"/>
                      <w14:textFill>
                        <w14:solidFill>
                          <w14:schemeClr w14:val="tx1"/>
                        </w14:solidFill>
                      </w14:textFill>
                    </w:rPr>
                    <w:t>氮氧化物</w:t>
                  </w:r>
                </w:p>
              </w:tc>
              <w:tc>
                <w:tcPr>
                  <w:tcW w:w="424" w:type="pct"/>
                  <w:tcBorders>
                    <w:top w:val="single" w:color="auto" w:sz="4" w:space="0"/>
                    <w:left w:val="single" w:color="auto" w:sz="4" w:space="0"/>
                    <w:bottom w:val="single" w:color="auto" w:sz="4" w:space="0"/>
                    <w:right w:val="single" w:color="auto" w:sz="4" w:space="0"/>
                  </w:tcBorders>
                  <w:vAlign w:val="center"/>
                </w:tcPr>
                <w:p w14:paraId="3F631FA0">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78" w:type="pct"/>
                  <w:tcBorders>
                    <w:top w:val="single" w:color="auto" w:sz="4" w:space="0"/>
                    <w:left w:val="single" w:color="auto" w:sz="4" w:space="0"/>
                    <w:bottom w:val="single" w:color="auto" w:sz="4" w:space="0"/>
                    <w:right w:val="single" w:color="auto" w:sz="4" w:space="0"/>
                  </w:tcBorders>
                  <w:vAlign w:val="center"/>
                </w:tcPr>
                <w:p w14:paraId="3E6557AB">
                  <w:pPr>
                    <w:widowControl/>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0</w:t>
                  </w:r>
                  <w:r>
                    <w:rPr>
                      <w:rFonts w:eastAsia="仿宋"/>
                      <w:color w:val="000000" w:themeColor="text1"/>
                      <w:szCs w:val="21"/>
                      <w14:textFill>
                        <w14:solidFill>
                          <w14:schemeClr w14:val="tx1"/>
                        </w14:solidFill>
                      </w14:textFill>
                    </w:rPr>
                    <w:t>.283</w:t>
                  </w:r>
                </w:p>
              </w:tc>
              <w:tc>
                <w:tcPr>
                  <w:tcW w:w="463" w:type="pct"/>
                  <w:tcBorders>
                    <w:top w:val="single" w:color="auto" w:sz="4" w:space="0"/>
                    <w:left w:val="single" w:color="auto" w:sz="4" w:space="0"/>
                    <w:bottom w:val="single" w:color="auto" w:sz="4" w:space="0"/>
                    <w:right w:val="single" w:color="auto" w:sz="4" w:space="0"/>
                  </w:tcBorders>
                  <w:vAlign w:val="center"/>
                </w:tcPr>
                <w:p w14:paraId="50E11077">
                  <w:pPr>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0</w:t>
                  </w:r>
                </w:p>
              </w:tc>
              <w:tc>
                <w:tcPr>
                  <w:tcW w:w="420" w:type="pct"/>
                  <w:tcBorders>
                    <w:top w:val="single" w:color="auto" w:sz="4" w:space="0"/>
                    <w:left w:val="single" w:color="auto" w:sz="4" w:space="0"/>
                    <w:bottom w:val="single" w:color="auto" w:sz="4" w:space="0"/>
                    <w:right w:val="single" w:color="auto" w:sz="4" w:space="0"/>
                  </w:tcBorders>
                  <w:vAlign w:val="center"/>
                </w:tcPr>
                <w:p w14:paraId="65417ACC">
                  <w:pPr>
                    <w:widowControl/>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0</w:t>
                  </w:r>
                  <w:r>
                    <w:rPr>
                      <w:rFonts w:eastAsia="仿宋"/>
                      <w:color w:val="000000" w:themeColor="text1"/>
                      <w:szCs w:val="21"/>
                      <w14:textFill>
                        <w14:solidFill>
                          <w14:schemeClr w14:val="tx1"/>
                        </w14:solidFill>
                      </w14:textFill>
                    </w:rPr>
                    <w:t>.283</w:t>
                  </w:r>
                </w:p>
              </w:tc>
              <w:tc>
                <w:tcPr>
                  <w:tcW w:w="539" w:type="pct"/>
                  <w:tcBorders>
                    <w:top w:val="single" w:color="auto" w:sz="4" w:space="0"/>
                    <w:left w:val="single" w:color="auto" w:sz="4" w:space="0"/>
                    <w:bottom w:val="single" w:color="auto" w:sz="4" w:space="0"/>
                    <w:right w:val="single" w:color="auto" w:sz="4" w:space="0"/>
                  </w:tcBorders>
                  <w:vAlign w:val="center"/>
                </w:tcPr>
                <w:p w14:paraId="1A6F5AF0">
                  <w:pPr>
                    <w:widowControl/>
                    <w:jc w:val="center"/>
                    <w:rPr>
                      <w:rFonts w:eastAsia="仿宋"/>
                      <w:color w:val="000000" w:themeColor="text1"/>
                      <w:szCs w:val="21"/>
                      <w14:textFill>
                        <w14:solidFill>
                          <w14:schemeClr w14:val="tx1"/>
                        </w14:solidFill>
                      </w14:textFill>
                    </w:rPr>
                  </w:pPr>
                  <w:r>
                    <w:rPr>
                      <w:rFonts w:eastAsia="仿宋"/>
                      <w:color w:val="000000" w:themeColor="text1"/>
                      <w14:textFill>
                        <w14:solidFill>
                          <w14:schemeClr w14:val="tx1"/>
                        </w14:solidFill>
                      </w14:textFill>
                    </w:rPr>
                    <w:t>0</w:t>
                  </w:r>
                </w:p>
              </w:tc>
              <w:tc>
                <w:tcPr>
                  <w:tcW w:w="539" w:type="pct"/>
                  <w:tcBorders>
                    <w:top w:val="single" w:color="auto" w:sz="4" w:space="0"/>
                    <w:left w:val="single" w:color="auto" w:sz="4" w:space="0"/>
                    <w:bottom w:val="single" w:color="auto" w:sz="4" w:space="0"/>
                    <w:right w:val="single" w:color="auto" w:sz="4" w:space="0"/>
                  </w:tcBorders>
                  <w:vAlign w:val="center"/>
                </w:tcPr>
                <w:p w14:paraId="3D00698D">
                  <w:pPr>
                    <w:widowControl/>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0</w:t>
                  </w:r>
                  <w:r>
                    <w:rPr>
                      <w:rFonts w:eastAsia="仿宋"/>
                      <w:color w:val="000000" w:themeColor="text1"/>
                      <w:szCs w:val="21"/>
                      <w14:textFill>
                        <w14:solidFill>
                          <w14:schemeClr w14:val="tx1"/>
                        </w14:solidFill>
                      </w14:textFill>
                    </w:rPr>
                    <w:t>.283</w:t>
                  </w:r>
                </w:p>
              </w:tc>
              <w:tc>
                <w:tcPr>
                  <w:tcW w:w="539" w:type="pct"/>
                  <w:tcBorders>
                    <w:top w:val="single" w:color="auto" w:sz="4" w:space="0"/>
                    <w:left w:val="single" w:color="auto" w:sz="4" w:space="0"/>
                    <w:bottom w:val="single" w:color="auto" w:sz="4" w:space="0"/>
                    <w:right w:val="single" w:color="auto" w:sz="4" w:space="0"/>
                  </w:tcBorders>
                  <w:vAlign w:val="center"/>
                </w:tcPr>
                <w:p w14:paraId="53DE212F">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r>
                    <w:rPr>
                      <w:rFonts w:hint="eastAsia" w:eastAsia="仿宋"/>
                      <w:color w:val="000000" w:themeColor="text1"/>
                      <w:szCs w:val="21"/>
                      <w14:textFill>
                        <w14:solidFill>
                          <w14:schemeClr w14:val="tx1"/>
                        </w14:solidFill>
                      </w14:textFill>
                    </w:rPr>
                    <w:t>0</w:t>
                  </w:r>
                  <w:r>
                    <w:rPr>
                      <w:rFonts w:eastAsia="仿宋"/>
                      <w:color w:val="000000" w:themeColor="text1"/>
                      <w:szCs w:val="21"/>
                      <w14:textFill>
                        <w14:solidFill>
                          <w14:schemeClr w14:val="tx1"/>
                        </w14:solidFill>
                      </w14:textFill>
                    </w:rPr>
                    <w:t>.283</w:t>
                  </w:r>
                </w:p>
              </w:tc>
              <w:tc>
                <w:tcPr>
                  <w:tcW w:w="540" w:type="pct"/>
                  <w:tcBorders>
                    <w:top w:val="single" w:color="auto" w:sz="4" w:space="0"/>
                    <w:left w:val="single" w:color="auto" w:sz="4" w:space="0"/>
                    <w:bottom w:val="single" w:color="auto" w:sz="4" w:space="0"/>
                    <w:right w:val="single" w:color="auto" w:sz="4" w:space="0"/>
                  </w:tcBorders>
                  <w:vAlign w:val="center"/>
                </w:tcPr>
                <w:p w14:paraId="1C10CE96">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r>
                    <w:rPr>
                      <w:rFonts w:hint="eastAsia" w:eastAsia="仿宋"/>
                      <w:color w:val="000000" w:themeColor="text1"/>
                      <w:szCs w:val="21"/>
                      <w14:textFill>
                        <w14:solidFill>
                          <w14:schemeClr w14:val="tx1"/>
                        </w14:solidFill>
                      </w14:textFill>
                    </w:rPr>
                    <w:t>0</w:t>
                  </w:r>
                  <w:r>
                    <w:rPr>
                      <w:rFonts w:eastAsia="仿宋"/>
                      <w:color w:val="000000" w:themeColor="text1"/>
                      <w:szCs w:val="21"/>
                      <w14:textFill>
                        <w14:solidFill>
                          <w14:schemeClr w14:val="tx1"/>
                        </w14:solidFill>
                      </w14:textFill>
                    </w:rPr>
                    <w:t>.283</w:t>
                  </w:r>
                </w:p>
              </w:tc>
            </w:tr>
            <w:tr w14:paraId="265FA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262" w:type="pct"/>
                  <w:vMerge w:val="continue"/>
                  <w:tcBorders>
                    <w:top w:val="nil"/>
                    <w:left w:val="single" w:color="auto" w:sz="4" w:space="0"/>
                    <w:bottom w:val="single" w:color="auto" w:sz="4" w:space="0"/>
                    <w:right w:val="single" w:color="auto" w:sz="4" w:space="0"/>
                  </w:tcBorders>
                  <w:vAlign w:val="center"/>
                </w:tcPr>
                <w:p w14:paraId="5392EB65">
                  <w:pPr>
                    <w:widowControl/>
                    <w:jc w:val="left"/>
                    <w:rPr>
                      <w:rFonts w:eastAsia="仿宋"/>
                      <w:color w:val="000000" w:themeColor="text1"/>
                      <w:szCs w:val="21"/>
                      <w14:textFill>
                        <w14:solidFill>
                          <w14:schemeClr w14:val="tx1"/>
                        </w14:solidFill>
                      </w14:textFill>
                    </w:rPr>
                  </w:pPr>
                </w:p>
              </w:tc>
              <w:tc>
                <w:tcPr>
                  <w:tcW w:w="316" w:type="pct"/>
                  <w:vMerge w:val="continue"/>
                  <w:tcBorders>
                    <w:left w:val="single" w:color="auto" w:sz="4" w:space="0"/>
                    <w:right w:val="single" w:color="auto" w:sz="4" w:space="0"/>
                  </w:tcBorders>
                  <w:vAlign w:val="center"/>
                </w:tcPr>
                <w:p w14:paraId="465D565C">
                  <w:pPr>
                    <w:widowControl/>
                    <w:jc w:val="left"/>
                    <w:rPr>
                      <w:rFonts w:eastAsia="仿宋"/>
                      <w:color w:val="000000" w:themeColor="text1"/>
                      <w:kern w:val="0"/>
                      <w:szCs w:val="21"/>
                      <w14:textFill>
                        <w14:solidFill>
                          <w14:schemeClr w14:val="tx1"/>
                        </w14:solidFill>
                      </w14:textFill>
                    </w:rPr>
                  </w:pPr>
                </w:p>
              </w:tc>
              <w:tc>
                <w:tcPr>
                  <w:tcW w:w="480" w:type="pct"/>
                  <w:tcBorders>
                    <w:top w:val="single" w:color="auto" w:sz="4" w:space="0"/>
                    <w:left w:val="single" w:color="auto" w:sz="4" w:space="0"/>
                    <w:bottom w:val="single" w:color="auto" w:sz="4" w:space="0"/>
                    <w:right w:val="single" w:color="auto" w:sz="4" w:space="0"/>
                  </w:tcBorders>
                  <w:vAlign w:val="center"/>
                </w:tcPr>
                <w:p w14:paraId="05C6EB01">
                  <w:pPr>
                    <w:widowControl/>
                    <w:jc w:val="center"/>
                    <w:rPr>
                      <w:rFonts w:ascii="仿宋" w:hAnsi="仿宋" w:eastAsia="仿宋"/>
                      <w:color w:val="000000" w:themeColor="text1"/>
                      <w:kern w:val="0"/>
                      <w14:textFill>
                        <w14:solidFill>
                          <w14:schemeClr w14:val="tx1"/>
                        </w14:solidFill>
                      </w14:textFill>
                    </w:rPr>
                  </w:pPr>
                  <w:r>
                    <w:rPr>
                      <w:rFonts w:hint="eastAsia" w:ascii="仿宋" w:hAnsi="仿宋" w:eastAsia="仿宋"/>
                      <w:color w:val="000000" w:themeColor="text1"/>
                      <w:kern w:val="0"/>
                      <w14:textFill>
                        <w14:solidFill>
                          <w14:schemeClr w14:val="tx1"/>
                        </w14:solidFill>
                      </w14:textFill>
                    </w:rPr>
                    <w:t>二氧化硫</w:t>
                  </w:r>
                </w:p>
              </w:tc>
              <w:tc>
                <w:tcPr>
                  <w:tcW w:w="424" w:type="pct"/>
                  <w:tcBorders>
                    <w:top w:val="single" w:color="auto" w:sz="4" w:space="0"/>
                    <w:left w:val="single" w:color="auto" w:sz="4" w:space="0"/>
                    <w:bottom w:val="single" w:color="auto" w:sz="4" w:space="0"/>
                    <w:right w:val="single" w:color="auto" w:sz="4" w:space="0"/>
                  </w:tcBorders>
                  <w:vAlign w:val="center"/>
                </w:tcPr>
                <w:p w14:paraId="40EDBCE3">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78" w:type="pct"/>
                  <w:tcBorders>
                    <w:top w:val="single" w:color="auto" w:sz="4" w:space="0"/>
                    <w:left w:val="single" w:color="auto" w:sz="4" w:space="0"/>
                    <w:bottom w:val="single" w:color="auto" w:sz="4" w:space="0"/>
                    <w:right w:val="single" w:color="auto" w:sz="4" w:space="0"/>
                  </w:tcBorders>
                  <w:vAlign w:val="center"/>
                </w:tcPr>
                <w:p w14:paraId="3B324833">
                  <w:pPr>
                    <w:widowControl/>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0</w:t>
                  </w:r>
                  <w:r>
                    <w:rPr>
                      <w:rFonts w:eastAsia="仿宋"/>
                      <w:color w:val="000000" w:themeColor="text1"/>
                      <w:szCs w:val="21"/>
                      <w14:textFill>
                        <w14:solidFill>
                          <w14:schemeClr w14:val="tx1"/>
                        </w14:solidFill>
                      </w14:textFill>
                    </w:rPr>
                    <w:t>.188</w:t>
                  </w:r>
                </w:p>
              </w:tc>
              <w:tc>
                <w:tcPr>
                  <w:tcW w:w="463" w:type="pct"/>
                  <w:tcBorders>
                    <w:top w:val="single" w:color="auto" w:sz="4" w:space="0"/>
                    <w:left w:val="single" w:color="auto" w:sz="4" w:space="0"/>
                    <w:bottom w:val="single" w:color="auto" w:sz="4" w:space="0"/>
                    <w:right w:val="single" w:color="auto" w:sz="4" w:space="0"/>
                  </w:tcBorders>
                  <w:vAlign w:val="center"/>
                </w:tcPr>
                <w:p w14:paraId="1308A745">
                  <w:pPr>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0</w:t>
                  </w:r>
                </w:p>
              </w:tc>
              <w:tc>
                <w:tcPr>
                  <w:tcW w:w="420" w:type="pct"/>
                  <w:tcBorders>
                    <w:top w:val="single" w:color="auto" w:sz="4" w:space="0"/>
                    <w:left w:val="single" w:color="auto" w:sz="4" w:space="0"/>
                    <w:bottom w:val="single" w:color="auto" w:sz="4" w:space="0"/>
                    <w:right w:val="single" w:color="auto" w:sz="4" w:space="0"/>
                  </w:tcBorders>
                  <w:vAlign w:val="center"/>
                </w:tcPr>
                <w:p w14:paraId="4E05B445">
                  <w:pPr>
                    <w:widowControl/>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0</w:t>
                  </w:r>
                  <w:r>
                    <w:rPr>
                      <w:rFonts w:eastAsia="仿宋"/>
                      <w:color w:val="000000" w:themeColor="text1"/>
                      <w:szCs w:val="21"/>
                      <w14:textFill>
                        <w14:solidFill>
                          <w14:schemeClr w14:val="tx1"/>
                        </w14:solidFill>
                      </w14:textFill>
                    </w:rPr>
                    <w:t>.188</w:t>
                  </w:r>
                </w:p>
              </w:tc>
              <w:tc>
                <w:tcPr>
                  <w:tcW w:w="539" w:type="pct"/>
                  <w:tcBorders>
                    <w:top w:val="single" w:color="auto" w:sz="4" w:space="0"/>
                    <w:left w:val="single" w:color="auto" w:sz="4" w:space="0"/>
                    <w:bottom w:val="single" w:color="auto" w:sz="4" w:space="0"/>
                    <w:right w:val="single" w:color="auto" w:sz="4" w:space="0"/>
                  </w:tcBorders>
                  <w:vAlign w:val="center"/>
                </w:tcPr>
                <w:p w14:paraId="75186C1F">
                  <w:pPr>
                    <w:widowControl/>
                    <w:jc w:val="center"/>
                    <w:rPr>
                      <w:rFonts w:eastAsia="仿宋"/>
                      <w:color w:val="000000" w:themeColor="text1"/>
                      <w:szCs w:val="21"/>
                      <w14:textFill>
                        <w14:solidFill>
                          <w14:schemeClr w14:val="tx1"/>
                        </w14:solidFill>
                      </w14:textFill>
                    </w:rPr>
                  </w:pPr>
                  <w:r>
                    <w:rPr>
                      <w:rFonts w:eastAsia="仿宋"/>
                      <w:color w:val="000000" w:themeColor="text1"/>
                      <w14:textFill>
                        <w14:solidFill>
                          <w14:schemeClr w14:val="tx1"/>
                        </w14:solidFill>
                      </w14:textFill>
                    </w:rPr>
                    <w:t>0</w:t>
                  </w:r>
                </w:p>
              </w:tc>
              <w:tc>
                <w:tcPr>
                  <w:tcW w:w="539" w:type="pct"/>
                  <w:tcBorders>
                    <w:top w:val="single" w:color="auto" w:sz="4" w:space="0"/>
                    <w:left w:val="single" w:color="auto" w:sz="4" w:space="0"/>
                    <w:bottom w:val="single" w:color="auto" w:sz="4" w:space="0"/>
                    <w:right w:val="single" w:color="auto" w:sz="4" w:space="0"/>
                  </w:tcBorders>
                  <w:vAlign w:val="center"/>
                </w:tcPr>
                <w:p w14:paraId="44F8E091">
                  <w:pPr>
                    <w:widowControl/>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0</w:t>
                  </w:r>
                  <w:r>
                    <w:rPr>
                      <w:rFonts w:eastAsia="仿宋"/>
                      <w:color w:val="000000" w:themeColor="text1"/>
                      <w:szCs w:val="21"/>
                      <w14:textFill>
                        <w14:solidFill>
                          <w14:schemeClr w14:val="tx1"/>
                        </w14:solidFill>
                      </w14:textFill>
                    </w:rPr>
                    <w:t>.188</w:t>
                  </w:r>
                </w:p>
              </w:tc>
              <w:tc>
                <w:tcPr>
                  <w:tcW w:w="539" w:type="pct"/>
                  <w:tcBorders>
                    <w:top w:val="single" w:color="auto" w:sz="4" w:space="0"/>
                    <w:left w:val="single" w:color="auto" w:sz="4" w:space="0"/>
                    <w:bottom w:val="single" w:color="auto" w:sz="4" w:space="0"/>
                    <w:right w:val="single" w:color="auto" w:sz="4" w:space="0"/>
                  </w:tcBorders>
                  <w:vAlign w:val="center"/>
                </w:tcPr>
                <w:p w14:paraId="1ACBE588">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r>
                    <w:rPr>
                      <w:rFonts w:hint="eastAsia" w:eastAsia="仿宋"/>
                      <w:color w:val="000000" w:themeColor="text1"/>
                      <w:szCs w:val="21"/>
                      <w14:textFill>
                        <w14:solidFill>
                          <w14:schemeClr w14:val="tx1"/>
                        </w14:solidFill>
                      </w14:textFill>
                    </w:rPr>
                    <w:t>0</w:t>
                  </w:r>
                  <w:r>
                    <w:rPr>
                      <w:rFonts w:eastAsia="仿宋"/>
                      <w:color w:val="000000" w:themeColor="text1"/>
                      <w:szCs w:val="21"/>
                      <w14:textFill>
                        <w14:solidFill>
                          <w14:schemeClr w14:val="tx1"/>
                        </w14:solidFill>
                      </w14:textFill>
                    </w:rPr>
                    <w:t>.188</w:t>
                  </w:r>
                </w:p>
              </w:tc>
              <w:tc>
                <w:tcPr>
                  <w:tcW w:w="540" w:type="pct"/>
                  <w:tcBorders>
                    <w:top w:val="single" w:color="auto" w:sz="4" w:space="0"/>
                    <w:left w:val="single" w:color="auto" w:sz="4" w:space="0"/>
                    <w:bottom w:val="single" w:color="auto" w:sz="4" w:space="0"/>
                    <w:right w:val="single" w:color="auto" w:sz="4" w:space="0"/>
                  </w:tcBorders>
                  <w:vAlign w:val="center"/>
                </w:tcPr>
                <w:p w14:paraId="4BE1895E">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r>
                    <w:rPr>
                      <w:rFonts w:hint="eastAsia" w:eastAsia="仿宋"/>
                      <w:color w:val="000000" w:themeColor="text1"/>
                      <w:szCs w:val="21"/>
                      <w14:textFill>
                        <w14:solidFill>
                          <w14:schemeClr w14:val="tx1"/>
                        </w14:solidFill>
                      </w14:textFill>
                    </w:rPr>
                    <w:t>0</w:t>
                  </w:r>
                  <w:r>
                    <w:rPr>
                      <w:rFonts w:eastAsia="仿宋"/>
                      <w:color w:val="000000" w:themeColor="text1"/>
                      <w:szCs w:val="21"/>
                      <w14:textFill>
                        <w14:solidFill>
                          <w14:schemeClr w14:val="tx1"/>
                        </w14:solidFill>
                      </w14:textFill>
                    </w:rPr>
                    <w:t>.188</w:t>
                  </w:r>
                </w:p>
              </w:tc>
            </w:tr>
            <w:tr w14:paraId="495E0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262" w:type="pct"/>
                  <w:vMerge w:val="continue"/>
                  <w:tcBorders>
                    <w:top w:val="nil"/>
                    <w:left w:val="single" w:color="auto" w:sz="4" w:space="0"/>
                    <w:bottom w:val="single" w:color="auto" w:sz="4" w:space="0"/>
                    <w:right w:val="single" w:color="auto" w:sz="4" w:space="0"/>
                  </w:tcBorders>
                  <w:vAlign w:val="center"/>
                </w:tcPr>
                <w:p w14:paraId="3F9E0BDE">
                  <w:pPr>
                    <w:widowControl/>
                    <w:jc w:val="left"/>
                    <w:rPr>
                      <w:rFonts w:eastAsia="仿宋"/>
                      <w:color w:val="000000" w:themeColor="text1"/>
                      <w:szCs w:val="21"/>
                      <w14:textFill>
                        <w14:solidFill>
                          <w14:schemeClr w14:val="tx1"/>
                        </w14:solidFill>
                      </w14:textFill>
                    </w:rPr>
                  </w:pPr>
                </w:p>
              </w:tc>
              <w:tc>
                <w:tcPr>
                  <w:tcW w:w="316" w:type="pct"/>
                  <w:vMerge w:val="continue"/>
                  <w:tcBorders>
                    <w:left w:val="single" w:color="auto" w:sz="4" w:space="0"/>
                    <w:bottom w:val="single" w:color="auto" w:sz="4" w:space="0"/>
                    <w:right w:val="single" w:color="auto" w:sz="4" w:space="0"/>
                  </w:tcBorders>
                  <w:vAlign w:val="center"/>
                </w:tcPr>
                <w:p w14:paraId="2D3A24E8">
                  <w:pPr>
                    <w:widowControl/>
                    <w:jc w:val="left"/>
                    <w:rPr>
                      <w:rFonts w:eastAsia="仿宋"/>
                      <w:color w:val="000000" w:themeColor="text1"/>
                      <w:kern w:val="0"/>
                      <w:szCs w:val="21"/>
                      <w14:textFill>
                        <w14:solidFill>
                          <w14:schemeClr w14:val="tx1"/>
                        </w14:solidFill>
                      </w14:textFill>
                    </w:rPr>
                  </w:pPr>
                </w:p>
              </w:tc>
              <w:tc>
                <w:tcPr>
                  <w:tcW w:w="480" w:type="pct"/>
                  <w:tcBorders>
                    <w:top w:val="single" w:color="auto" w:sz="4" w:space="0"/>
                    <w:left w:val="single" w:color="auto" w:sz="4" w:space="0"/>
                    <w:bottom w:val="single" w:color="auto" w:sz="4" w:space="0"/>
                    <w:right w:val="single" w:color="auto" w:sz="4" w:space="0"/>
                  </w:tcBorders>
                  <w:vAlign w:val="center"/>
                </w:tcPr>
                <w:p w14:paraId="2AA6A948">
                  <w:pPr>
                    <w:widowControl/>
                    <w:jc w:val="center"/>
                    <w:rPr>
                      <w:rFonts w:ascii="仿宋" w:hAnsi="仿宋" w:eastAsia="仿宋"/>
                      <w:color w:val="000000" w:themeColor="text1"/>
                      <w:kern w:val="0"/>
                      <w14:textFill>
                        <w14:solidFill>
                          <w14:schemeClr w14:val="tx1"/>
                        </w14:solidFill>
                      </w14:textFill>
                    </w:rPr>
                  </w:pPr>
                  <w:r>
                    <w:rPr>
                      <w:rFonts w:hint="eastAsia" w:ascii="仿宋" w:hAnsi="仿宋" w:eastAsia="仿宋"/>
                      <w:color w:val="000000" w:themeColor="text1"/>
                      <w:kern w:val="0"/>
                      <w14:textFill>
                        <w14:solidFill>
                          <w14:schemeClr w14:val="tx1"/>
                        </w14:solidFill>
                      </w14:textFill>
                    </w:rPr>
                    <w:t>颗粒物</w:t>
                  </w:r>
                </w:p>
              </w:tc>
              <w:tc>
                <w:tcPr>
                  <w:tcW w:w="424" w:type="pct"/>
                  <w:tcBorders>
                    <w:top w:val="single" w:color="auto" w:sz="4" w:space="0"/>
                    <w:left w:val="single" w:color="auto" w:sz="4" w:space="0"/>
                    <w:bottom w:val="single" w:color="auto" w:sz="4" w:space="0"/>
                    <w:right w:val="single" w:color="auto" w:sz="4" w:space="0"/>
                  </w:tcBorders>
                  <w:vAlign w:val="center"/>
                </w:tcPr>
                <w:p w14:paraId="530F6518">
                  <w:pPr>
                    <w:widowControl/>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w:t>
                  </w:r>
                </w:p>
              </w:tc>
              <w:tc>
                <w:tcPr>
                  <w:tcW w:w="478" w:type="pct"/>
                  <w:tcBorders>
                    <w:top w:val="single" w:color="auto" w:sz="4" w:space="0"/>
                    <w:left w:val="single" w:color="auto" w:sz="4" w:space="0"/>
                    <w:bottom w:val="single" w:color="auto" w:sz="4" w:space="0"/>
                    <w:right w:val="single" w:color="auto" w:sz="4" w:space="0"/>
                  </w:tcBorders>
                  <w:vAlign w:val="center"/>
                </w:tcPr>
                <w:p w14:paraId="0FE37B1E">
                  <w:pPr>
                    <w:widowControl/>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0</w:t>
                  </w:r>
                  <w:r>
                    <w:rPr>
                      <w:rFonts w:eastAsia="仿宋"/>
                      <w:color w:val="000000" w:themeColor="text1"/>
                      <w:szCs w:val="21"/>
                      <w14:textFill>
                        <w14:solidFill>
                          <w14:schemeClr w14:val="tx1"/>
                        </w14:solidFill>
                      </w14:textFill>
                    </w:rPr>
                    <w:t>.074</w:t>
                  </w:r>
                </w:p>
              </w:tc>
              <w:tc>
                <w:tcPr>
                  <w:tcW w:w="463" w:type="pct"/>
                  <w:tcBorders>
                    <w:top w:val="single" w:color="auto" w:sz="4" w:space="0"/>
                    <w:left w:val="single" w:color="auto" w:sz="4" w:space="0"/>
                    <w:bottom w:val="single" w:color="auto" w:sz="4" w:space="0"/>
                    <w:right w:val="single" w:color="auto" w:sz="4" w:space="0"/>
                  </w:tcBorders>
                  <w:vAlign w:val="center"/>
                </w:tcPr>
                <w:p w14:paraId="24F6F648">
                  <w:pPr>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0</w:t>
                  </w:r>
                </w:p>
              </w:tc>
              <w:tc>
                <w:tcPr>
                  <w:tcW w:w="420" w:type="pct"/>
                  <w:tcBorders>
                    <w:top w:val="single" w:color="auto" w:sz="4" w:space="0"/>
                    <w:left w:val="single" w:color="auto" w:sz="4" w:space="0"/>
                    <w:bottom w:val="single" w:color="auto" w:sz="4" w:space="0"/>
                    <w:right w:val="single" w:color="auto" w:sz="4" w:space="0"/>
                  </w:tcBorders>
                  <w:vAlign w:val="center"/>
                </w:tcPr>
                <w:p w14:paraId="3152ED77">
                  <w:pPr>
                    <w:widowControl/>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0</w:t>
                  </w:r>
                  <w:r>
                    <w:rPr>
                      <w:rFonts w:eastAsia="仿宋"/>
                      <w:color w:val="000000" w:themeColor="text1"/>
                      <w:szCs w:val="21"/>
                      <w14:textFill>
                        <w14:solidFill>
                          <w14:schemeClr w14:val="tx1"/>
                        </w14:solidFill>
                      </w14:textFill>
                    </w:rPr>
                    <w:t>.074</w:t>
                  </w:r>
                </w:p>
              </w:tc>
              <w:tc>
                <w:tcPr>
                  <w:tcW w:w="539" w:type="pct"/>
                  <w:tcBorders>
                    <w:top w:val="single" w:color="auto" w:sz="4" w:space="0"/>
                    <w:left w:val="single" w:color="auto" w:sz="4" w:space="0"/>
                    <w:bottom w:val="single" w:color="auto" w:sz="4" w:space="0"/>
                    <w:right w:val="single" w:color="auto" w:sz="4" w:space="0"/>
                  </w:tcBorders>
                  <w:vAlign w:val="center"/>
                </w:tcPr>
                <w:p w14:paraId="10C70A3F">
                  <w:pPr>
                    <w:widowControl/>
                    <w:jc w:val="center"/>
                    <w:rPr>
                      <w:rFonts w:eastAsia="仿宋"/>
                      <w:color w:val="000000" w:themeColor="text1"/>
                      <w:szCs w:val="21"/>
                      <w14:textFill>
                        <w14:solidFill>
                          <w14:schemeClr w14:val="tx1"/>
                        </w14:solidFill>
                      </w14:textFill>
                    </w:rPr>
                  </w:pPr>
                  <w:r>
                    <w:rPr>
                      <w:rFonts w:eastAsia="仿宋"/>
                      <w:color w:val="000000" w:themeColor="text1"/>
                      <w14:textFill>
                        <w14:solidFill>
                          <w14:schemeClr w14:val="tx1"/>
                        </w14:solidFill>
                      </w14:textFill>
                    </w:rPr>
                    <w:t>0</w:t>
                  </w:r>
                </w:p>
              </w:tc>
              <w:tc>
                <w:tcPr>
                  <w:tcW w:w="539" w:type="pct"/>
                  <w:tcBorders>
                    <w:top w:val="single" w:color="auto" w:sz="4" w:space="0"/>
                    <w:left w:val="single" w:color="auto" w:sz="4" w:space="0"/>
                    <w:bottom w:val="single" w:color="auto" w:sz="4" w:space="0"/>
                    <w:right w:val="single" w:color="auto" w:sz="4" w:space="0"/>
                  </w:tcBorders>
                  <w:vAlign w:val="center"/>
                </w:tcPr>
                <w:p w14:paraId="3EE0DF9D">
                  <w:pPr>
                    <w:widowControl/>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0</w:t>
                  </w:r>
                  <w:r>
                    <w:rPr>
                      <w:rFonts w:eastAsia="仿宋"/>
                      <w:color w:val="000000" w:themeColor="text1"/>
                      <w:szCs w:val="21"/>
                      <w14:textFill>
                        <w14:solidFill>
                          <w14:schemeClr w14:val="tx1"/>
                        </w14:solidFill>
                      </w14:textFill>
                    </w:rPr>
                    <w:t>.074</w:t>
                  </w:r>
                </w:p>
              </w:tc>
              <w:tc>
                <w:tcPr>
                  <w:tcW w:w="539" w:type="pct"/>
                  <w:tcBorders>
                    <w:top w:val="single" w:color="auto" w:sz="4" w:space="0"/>
                    <w:left w:val="single" w:color="auto" w:sz="4" w:space="0"/>
                    <w:bottom w:val="single" w:color="auto" w:sz="4" w:space="0"/>
                    <w:right w:val="single" w:color="auto" w:sz="4" w:space="0"/>
                  </w:tcBorders>
                  <w:vAlign w:val="center"/>
                </w:tcPr>
                <w:p w14:paraId="53EF63E0">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r>
                    <w:rPr>
                      <w:rFonts w:hint="eastAsia" w:eastAsia="仿宋"/>
                      <w:color w:val="000000" w:themeColor="text1"/>
                      <w:szCs w:val="21"/>
                      <w14:textFill>
                        <w14:solidFill>
                          <w14:schemeClr w14:val="tx1"/>
                        </w14:solidFill>
                      </w14:textFill>
                    </w:rPr>
                    <w:t>0</w:t>
                  </w:r>
                  <w:r>
                    <w:rPr>
                      <w:rFonts w:eastAsia="仿宋"/>
                      <w:color w:val="000000" w:themeColor="text1"/>
                      <w:szCs w:val="21"/>
                      <w14:textFill>
                        <w14:solidFill>
                          <w14:schemeClr w14:val="tx1"/>
                        </w14:solidFill>
                      </w14:textFill>
                    </w:rPr>
                    <w:t>.074</w:t>
                  </w:r>
                </w:p>
              </w:tc>
              <w:tc>
                <w:tcPr>
                  <w:tcW w:w="540" w:type="pct"/>
                  <w:tcBorders>
                    <w:top w:val="single" w:color="auto" w:sz="4" w:space="0"/>
                    <w:left w:val="single" w:color="auto" w:sz="4" w:space="0"/>
                    <w:bottom w:val="single" w:color="auto" w:sz="4" w:space="0"/>
                    <w:right w:val="single" w:color="auto" w:sz="4" w:space="0"/>
                  </w:tcBorders>
                  <w:vAlign w:val="center"/>
                </w:tcPr>
                <w:p w14:paraId="556CC8BE">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r>
                    <w:rPr>
                      <w:rFonts w:hint="eastAsia" w:eastAsia="仿宋"/>
                      <w:color w:val="000000" w:themeColor="text1"/>
                      <w:szCs w:val="21"/>
                      <w14:textFill>
                        <w14:solidFill>
                          <w14:schemeClr w14:val="tx1"/>
                        </w14:solidFill>
                      </w14:textFill>
                    </w:rPr>
                    <w:t>0</w:t>
                  </w:r>
                  <w:r>
                    <w:rPr>
                      <w:rFonts w:eastAsia="仿宋"/>
                      <w:color w:val="000000" w:themeColor="text1"/>
                      <w:szCs w:val="21"/>
                      <w14:textFill>
                        <w14:solidFill>
                          <w14:schemeClr w14:val="tx1"/>
                        </w14:solidFill>
                      </w14:textFill>
                    </w:rPr>
                    <w:t>.074</w:t>
                  </w:r>
                </w:p>
              </w:tc>
            </w:tr>
            <w:tr w14:paraId="4293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262" w:type="pct"/>
                  <w:vMerge w:val="continue"/>
                  <w:tcBorders>
                    <w:top w:val="nil"/>
                    <w:left w:val="single" w:color="auto" w:sz="4" w:space="0"/>
                    <w:bottom w:val="single" w:color="auto" w:sz="4" w:space="0"/>
                    <w:right w:val="single" w:color="auto" w:sz="4" w:space="0"/>
                  </w:tcBorders>
                  <w:vAlign w:val="center"/>
                </w:tcPr>
                <w:p w14:paraId="37DAA606">
                  <w:pPr>
                    <w:widowControl/>
                    <w:jc w:val="left"/>
                    <w:rPr>
                      <w:rFonts w:eastAsia="仿宋"/>
                      <w:color w:val="000000" w:themeColor="text1"/>
                      <w:szCs w:val="21"/>
                      <w14:textFill>
                        <w14:solidFill>
                          <w14:schemeClr w14:val="tx1"/>
                        </w14:solidFill>
                      </w14:textFill>
                    </w:rPr>
                  </w:pPr>
                </w:p>
              </w:tc>
              <w:tc>
                <w:tcPr>
                  <w:tcW w:w="316" w:type="pct"/>
                  <w:vMerge w:val="restart"/>
                  <w:tcBorders>
                    <w:top w:val="nil"/>
                    <w:left w:val="single" w:color="auto" w:sz="4" w:space="0"/>
                    <w:bottom w:val="single" w:color="auto" w:sz="4" w:space="0"/>
                    <w:right w:val="single" w:color="auto" w:sz="4" w:space="0"/>
                  </w:tcBorders>
                  <w:vAlign w:val="center"/>
                </w:tcPr>
                <w:p w14:paraId="5A2005C6">
                  <w:pPr>
                    <w:spacing w:line="240" w:lineRule="atLeast"/>
                    <w:jc w:val="center"/>
                    <w:rPr>
                      <w:rFonts w:eastAsia="仿宋"/>
                      <w:color w:val="000000" w:themeColor="text1"/>
                      <w:kern w:val="0"/>
                      <w14:textFill>
                        <w14:solidFill>
                          <w14:schemeClr w14:val="tx1"/>
                        </w14:solidFill>
                      </w14:textFill>
                    </w:rPr>
                  </w:pPr>
                  <w:r>
                    <w:rPr>
                      <w:rFonts w:ascii="仿宋" w:hAnsi="仿宋" w:eastAsia="仿宋"/>
                      <w:color w:val="000000" w:themeColor="text1"/>
                      <w:kern w:val="0"/>
                      <w14:textFill>
                        <w14:solidFill>
                          <w14:schemeClr w14:val="tx1"/>
                        </w14:solidFill>
                      </w14:textFill>
                    </w:rPr>
                    <w:t>无组织废气</w:t>
                  </w:r>
                </w:p>
              </w:tc>
              <w:tc>
                <w:tcPr>
                  <w:tcW w:w="480" w:type="pct"/>
                  <w:tcBorders>
                    <w:top w:val="single" w:color="auto" w:sz="4" w:space="0"/>
                    <w:left w:val="single" w:color="auto" w:sz="4" w:space="0"/>
                    <w:bottom w:val="single" w:color="auto" w:sz="4" w:space="0"/>
                    <w:right w:val="single" w:color="auto" w:sz="4" w:space="0"/>
                  </w:tcBorders>
                  <w:vAlign w:val="center"/>
                </w:tcPr>
                <w:p w14:paraId="198A75B7">
                  <w:pPr>
                    <w:widowControl/>
                    <w:jc w:val="center"/>
                    <w:rPr>
                      <w:rFonts w:eastAsia="仿宋"/>
                      <w:color w:val="000000" w:themeColor="text1"/>
                      <w:kern w:val="0"/>
                      <w14:textFill>
                        <w14:solidFill>
                          <w14:schemeClr w14:val="tx1"/>
                        </w14:solidFill>
                      </w14:textFill>
                    </w:rPr>
                  </w:pPr>
                  <w:r>
                    <w:rPr>
                      <w:rFonts w:hint="eastAsia" w:ascii="仿宋" w:hAnsi="仿宋" w:eastAsia="仿宋"/>
                      <w:color w:val="000000" w:themeColor="text1"/>
                      <w:kern w:val="0"/>
                      <w14:textFill>
                        <w14:solidFill>
                          <w14:schemeClr w14:val="tx1"/>
                        </w14:solidFill>
                      </w14:textFill>
                    </w:rPr>
                    <w:t>甲醇</w:t>
                  </w:r>
                </w:p>
              </w:tc>
              <w:tc>
                <w:tcPr>
                  <w:tcW w:w="424" w:type="pct"/>
                  <w:tcBorders>
                    <w:top w:val="single" w:color="auto" w:sz="4" w:space="0"/>
                    <w:left w:val="single" w:color="auto" w:sz="4" w:space="0"/>
                    <w:bottom w:val="single" w:color="auto" w:sz="4" w:space="0"/>
                    <w:right w:val="single" w:color="auto" w:sz="4" w:space="0"/>
                  </w:tcBorders>
                  <w:vAlign w:val="center"/>
                </w:tcPr>
                <w:p w14:paraId="3D15B5E4">
                  <w:pPr>
                    <w:widowControl/>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w:t>
                  </w:r>
                </w:p>
              </w:tc>
              <w:tc>
                <w:tcPr>
                  <w:tcW w:w="478" w:type="pct"/>
                  <w:tcBorders>
                    <w:top w:val="single" w:color="auto" w:sz="4" w:space="0"/>
                    <w:left w:val="single" w:color="auto" w:sz="4" w:space="0"/>
                    <w:bottom w:val="single" w:color="auto" w:sz="4" w:space="0"/>
                    <w:right w:val="single" w:color="auto" w:sz="4" w:space="0"/>
                  </w:tcBorders>
                  <w:vAlign w:val="center"/>
                </w:tcPr>
                <w:p w14:paraId="6FD2BFD3">
                  <w:pPr>
                    <w:widowControl/>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0.0003</w:t>
                  </w:r>
                </w:p>
              </w:tc>
              <w:tc>
                <w:tcPr>
                  <w:tcW w:w="463" w:type="pct"/>
                  <w:tcBorders>
                    <w:top w:val="single" w:color="auto" w:sz="4" w:space="0"/>
                    <w:left w:val="single" w:color="auto" w:sz="4" w:space="0"/>
                    <w:bottom w:val="single" w:color="auto" w:sz="4" w:space="0"/>
                    <w:right w:val="single" w:color="auto" w:sz="4" w:space="0"/>
                  </w:tcBorders>
                  <w:vAlign w:val="center"/>
                </w:tcPr>
                <w:p w14:paraId="0315F366">
                  <w:pPr>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0</w:t>
                  </w:r>
                </w:p>
              </w:tc>
              <w:tc>
                <w:tcPr>
                  <w:tcW w:w="420" w:type="pct"/>
                  <w:tcBorders>
                    <w:top w:val="single" w:color="auto" w:sz="4" w:space="0"/>
                    <w:left w:val="single" w:color="auto" w:sz="4" w:space="0"/>
                    <w:bottom w:val="single" w:color="auto" w:sz="4" w:space="0"/>
                    <w:right w:val="single" w:color="auto" w:sz="4" w:space="0"/>
                  </w:tcBorders>
                  <w:vAlign w:val="center"/>
                </w:tcPr>
                <w:p w14:paraId="7C273956">
                  <w:pPr>
                    <w:widowControl/>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0.0003</w:t>
                  </w:r>
                </w:p>
              </w:tc>
              <w:tc>
                <w:tcPr>
                  <w:tcW w:w="539" w:type="pct"/>
                  <w:tcBorders>
                    <w:top w:val="single" w:color="auto" w:sz="4" w:space="0"/>
                    <w:left w:val="single" w:color="auto" w:sz="4" w:space="0"/>
                    <w:bottom w:val="single" w:color="auto" w:sz="4" w:space="0"/>
                    <w:right w:val="single" w:color="auto" w:sz="4" w:space="0"/>
                  </w:tcBorders>
                  <w:vAlign w:val="center"/>
                </w:tcPr>
                <w:p w14:paraId="42B9C91F">
                  <w:pPr>
                    <w:widowControl/>
                    <w:jc w:val="center"/>
                    <w:rPr>
                      <w:color w:val="000000" w:themeColor="text1"/>
                      <w:kern w:val="0"/>
                      <w:szCs w:val="21"/>
                      <w14:textFill>
                        <w14:solidFill>
                          <w14:schemeClr w14:val="tx1"/>
                        </w14:solidFill>
                      </w14:textFill>
                    </w:rPr>
                  </w:pPr>
                  <w:r>
                    <w:rPr>
                      <w:rFonts w:eastAsia="仿宋"/>
                      <w:color w:val="000000" w:themeColor="text1"/>
                      <w14:textFill>
                        <w14:solidFill>
                          <w14:schemeClr w14:val="tx1"/>
                        </w14:solidFill>
                      </w14:textFill>
                    </w:rPr>
                    <w:t>0</w:t>
                  </w:r>
                </w:p>
              </w:tc>
              <w:tc>
                <w:tcPr>
                  <w:tcW w:w="539" w:type="pct"/>
                  <w:tcBorders>
                    <w:top w:val="single" w:color="auto" w:sz="4" w:space="0"/>
                    <w:left w:val="single" w:color="auto" w:sz="4" w:space="0"/>
                    <w:bottom w:val="single" w:color="auto" w:sz="4" w:space="0"/>
                    <w:right w:val="single" w:color="auto" w:sz="4" w:space="0"/>
                  </w:tcBorders>
                  <w:vAlign w:val="center"/>
                </w:tcPr>
                <w:p w14:paraId="6C657EC7">
                  <w:pPr>
                    <w:widowControl/>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0.0003</w:t>
                  </w:r>
                </w:p>
              </w:tc>
              <w:tc>
                <w:tcPr>
                  <w:tcW w:w="539" w:type="pct"/>
                  <w:tcBorders>
                    <w:top w:val="single" w:color="auto" w:sz="4" w:space="0"/>
                    <w:left w:val="single" w:color="auto" w:sz="4" w:space="0"/>
                    <w:bottom w:val="single" w:color="auto" w:sz="4" w:space="0"/>
                    <w:right w:val="single" w:color="auto" w:sz="4" w:space="0"/>
                  </w:tcBorders>
                  <w:vAlign w:val="center"/>
                </w:tcPr>
                <w:p w14:paraId="0CBD944E">
                  <w:pPr>
                    <w:widowControl/>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+0.0003</w:t>
                  </w:r>
                </w:p>
              </w:tc>
              <w:tc>
                <w:tcPr>
                  <w:tcW w:w="540" w:type="pct"/>
                  <w:tcBorders>
                    <w:top w:val="single" w:color="auto" w:sz="4" w:space="0"/>
                    <w:left w:val="single" w:color="auto" w:sz="4" w:space="0"/>
                    <w:bottom w:val="single" w:color="auto" w:sz="4" w:space="0"/>
                    <w:right w:val="single" w:color="auto" w:sz="4" w:space="0"/>
                  </w:tcBorders>
                  <w:vAlign w:val="center"/>
                </w:tcPr>
                <w:p w14:paraId="07CF9BAC">
                  <w:pPr>
                    <w:widowControl/>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+0.0003</w:t>
                  </w:r>
                </w:p>
              </w:tc>
            </w:tr>
            <w:tr w14:paraId="5B182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262" w:type="pct"/>
                  <w:vMerge w:val="continue"/>
                  <w:tcBorders>
                    <w:top w:val="nil"/>
                    <w:left w:val="single" w:color="auto" w:sz="4" w:space="0"/>
                    <w:bottom w:val="single" w:color="auto" w:sz="4" w:space="0"/>
                    <w:right w:val="single" w:color="auto" w:sz="4" w:space="0"/>
                  </w:tcBorders>
                  <w:vAlign w:val="center"/>
                </w:tcPr>
                <w:p w14:paraId="3BB689D9">
                  <w:pPr>
                    <w:widowControl/>
                    <w:jc w:val="left"/>
                    <w:rPr>
                      <w:rFonts w:eastAsia="仿宋"/>
                      <w:color w:val="000000" w:themeColor="text1"/>
                      <w:szCs w:val="21"/>
                      <w14:textFill>
                        <w14:solidFill>
                          <w14:schemeClr w14:val="tx1"/>
                        </w14:solidFill>
                      </w14:textFill>
                    </w:rPr>
                  </w:pPr>
                </w:p>
              </w:tc>
              <w:tc>
                <w:tcPr>
                  <w:tcW w:w="316" w:type="pct"/>
                  <w:vMerge w:val="continue"/>
                  <w:tcBorders>
                    <w:top w:val="nil"/>
                    <w:left w:val="single" w:color="auto" w:sz="4" w:space="0"/>
                    <w:bottom w:val="single" w:color="auto" w:sz="4" w:space="0"/>
                    <w:right w:val="single" w:color="auto" w:sz="4" w:space="0"/>
                  </w:tcBorders>
                  <w:vAlign w:val="center"/>
                </w:tcPr>
                <w:p w14:paraId="64D324DE">
                  <w:pPr>
                    <w:spacing w:line="240" w:lineRule="atLeast"/>
                    <w:jc w:val="center"/>
                    <w:rPr>
                      <w:rFonts w:ascii="仿宋" w:hAnsi="仿宋" w:eastAsia="仿宋"/>
                      <w:color w:val="000000" w:themeColor="text1"/>
                      <w:kern w:val="0"/>
                      <w14:textFill>
                        <w14:solidFill>
                          <w14:schemeClr w14:val="tx1"/>
                        </w14:solidFill>
                      </w14:textFill>
                    </w:rPr>
                  </w:pPr>
                </w:p>
              </w:tc>
              <w:tc>
                <w:tcPr>
                  <w:tcW w:w="480" w:type="pct"/>
                  <w:tcBorders>
                    <w:top w:val="single" w:color="auto" w:sz="4" w:space="0"/>
                    <w:left w:val="single" w:color="auto" w:sz="4" w:space="0"/>
                    <w:bottom w:val="single" w:color="auto" w:sz="4" w:space="0"/>
                    <w:right w:val="single" w:color="auto" w:sz="4" w:space="0"/>
                  </w:tcBorders>
                  <w:vAlign w:val="center"/>
                </w:tcPr>
                <w:p w14:paraId="133A4D17">
                  <w:pPr>
                    <w:widowControl/>
                    <w:jc w:val="center"/>
                    <w:rPr>
                      <w:rFonts w:ascii="仿宋" w:hAnsi="仿宋" w:eastAsia="仿宋"/>
                      <w:color w:val="000000" w:themeColor="text1"/>
                      <w:kern w:val="0"/>
                      <w14:textFill>
                        <w14:solidFill>
                          <w14:schemeClr w14:val="tx1"/>
                        </w14:solidFill>
                      </w14:textFill>
                    </w:rPr>
                  </w:pPr>
                  <w:r>
                    <w:rPr>
                      <w:rFonts w:hint="eastAsia" w:ascii="仿宋" w:hAnsi="仿宋" w:eastAsia="仿宋"/>
                      <w:color w:val="000000" w:themeColor="text1"/>
                      <w:kern w:val="0"/>
                      <w14:textFill>
                        <w14:solidFill>
                          <w14:schemeClr w14:val="tx1"/>
                        </w14:solidFill>
                      </w14:textFill>
                    </w:rPr>
                    <w:t>非甲烷总烃</w:t>
                  </w:r>
                </w:p>
              </w:tc>
              <w:tc>
                <w:tcPr>
                  <w:tcW w:w="424" w:type="pct"/>
                  <w:tcBorders>
                    <w:top w:val="single" w:color="auto" w:sz="4" w:space="0"/>
                    <w:left w:val="single" w:color="auto" w:sz="4" w:space="0"/>
                    <w:bottom w:val="single" w:color="auto" w:sz="4" w:space="0"/>
                    <w:right w:val="single" w:color="auto" w:sz="4" w:space="0"/>
                  </w:tcBorders>
                  <w:vAlign w:val="center"/>
                </w:tcPr>
                <w:p w14:paraId="2DC3F8D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478" w:type="pct"/>
                  <w:tcBorders>
                    <w:top w:val="single" w:color="auto" w:sz="4" w:space="0"/>
                    <w:left w:val="single" w:color="auto" w:sz="4" w:space="0"/>
                    <w:bottom w:val="single" w:color="auto" w:sz="4" w:space="0"/>
                    <w:right w:val="single" w:color="auto" w:sz="4" w:space="0"/>
                  </w:tcBorders>
                  <w:vAlign w:val="center"/>
                </w:tcPr>
                <w:p w14:paraId="3EAC292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0.0008</w:t>
                  </w:r>
                </w:p>
              </w:tc>
              <w:tc>
                <w:tcPr>
                  <w:tcW w:w="463" w:type="pct"/>
                  <w:tcBorders>
                    <w:top w:val="single" w:color="auto" w:sz="4" w:space="0"/>
                    <w:left w:val="single" w:color="auto" w:sz="4" w:space="0"/>
                    <w:bottom w:val="single" w:color="auto" w:sz="4" w:space="0"/>
                    <w:right w:val="single" w:color="auto" w:sz="4" w:space="0"/>
                  </w:tcBorders>
                  <w:vAlign w:val="center"/>
                </w:tcPr>
                <w:p w14:paraId="6DB45134">
                  <w:pPr>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0</w:t>
                  </w:r>
                </w:p>
              </w:tc>
              <w:tc>
                <w:tcPr>
                  <w:tcW w:w="420" w:type="pct"/>
                  <w:tcBorders>
                    <w:top w:val="single" w:color="auto" w:sz="4" w:space="0"/>
                    <w:left w:val="single" w:color="auto" w:sz="4" w:space="0"/>
                    <w:bottom w:val="single" w:color="auto" w:sz="4" w:space="0"/>
                    <w:right w:val="single" w:color="auto" w:sz="4" w:space="0"/>
                  </w:tcBorders>
                  <w:vAlign w:val="center"/>
                </w:tcPr>
                <w:p w14:paraId="399C180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0.0008</w:t>
                  </w:r>
                </w:p>
              </w:tc>
              <w:tc>
                <w:tcPr>
                  <w:tcW w:w="539" w:type="pct"/>
                  <w:tcBorders>
                    <w:top w:val="single" w:color="auto" w:sz="4" w:space="0"/>
                    <w:left w:val="single" w:color="auto" w:sz="4" w:space="0"/>
                    <w:bottom w:val="single" w:color="auto" w:sz="4" w:space="0"/>
                    <w:right w:val="single" w:color="auto" w:sz="4" w:space="0"/>
                  </w:tcBorders>
                  <w:vAlign w:val="center"/>
                </w:tcPr>
                <w:p w14:paraId="2E5BC0CC">
                  <w:pPr>
                    <w:jc w:val="center"/>
                    <w:rPr>
                      <w:color w:val="000000" w:themeColor="text1"/>
                      <w:szCs w:val="21"/>
                      <w14:textFill>
                        <w14:solidFill>
                          <w14:schemeClr w14:val="tx1"/>
                        </w14:solidFill>
                      </w14:textFill>
                    </w:rPr>
                  </w:pPr>
                  <w:r>
                    <w:rPr>
                      <w:rFonts w:eastAsia="仿宋"/>
                      <w:color w:val="000000" w:themeColor="text1"/>
                      <w14:textFill>
                        <w14:solidFill>
                          <w14:schemeClr w14:val="tx1"/>
                        </w14:solidFill>
                      </w14:textFill>
                    </w:rPr>
                    <w:t>0</w:t>
                  </w:r>
                </w:p>
              </w:tc>
              <w:tc>
                <w:tcPr>
                  <w:tcW w:w="539" w:type="pct"/>
                  <w:tcBorders>
                    <w:top w:val="single" w:color="auto" w:sz="4" w:space="0"/>
                    <w:left w:val="single" w:color="auto" w:sz="4" w:space="0"/>
                    <w:bottom w:val="single" w:color="auto" w:sz="4" w:space="0"/>
                    <w:right w:val="single" w:color="auto" w:sz="4" w:space="0"/>
                  </w:tcBorders>
                  <w:vAlign w:val="center"/>
                </w:tcPr>
                <w:p w14:paraId="11001D9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0.0008</w:t>
                  </w:r>
                </w:p>
              </w:tc>
              <w:tc>
                <w:tcPr>
                  <w:tcW w:w="539" w:type="pct"/>
                  <w:tcBorders>
                    <w:top w:val="single" w:color="auto" w:sz="4" w:space="0"/>
                    <w:left w:val="single" w:color="auto" w:sz="4" w:space="0"/>
                    <w:bottom w:val="single" w:color="auto" w:sz="4" w:space="0"/>
                    <w:right w:val="single" w:color="auto" w:sz="4" w:space="0"/>
                  </w:tcBorders>
                  <w:vAlign w:val="center"/>
                </w:tcPr>
                <w:p w14:paraId="4C7AF3C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+0.0008</w:t>
                  </w:r>
                </w:p>
              </w:tc>
              <w:tc>
                <w:tcPr>
                  <w:tcW w:w="540" w:type="pct"/>
                  <w:tcBorders>
                    <w:top w:val="single" w:color="auto" w:sz="4" w:space="0"/>
                    <w:left w:val="single" w:color="auto" w:sz="4" w:space="0"/>
                    <w:bottom w:val="single" w:color="auto" w:sz="4" w:space="0"/>
                    <w:right w:val="single" w:color="auto" w:sz="4" w:space="0"/>
                  </w:tcBorders>
                  <w:vAlign w:val="center"/>
                </w:tcPr>
                <w:p w14:paraId="345279D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+0.0008</w:t>
                  </w:r>
                </w:p>
              </w:tc>
            </w:tr>
            <w:tr w14:paraId="785E7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262" w:type="pct"/>
                  <w:vMerge w:val="restart"/>
                  <w:tcBorders>
                    <w:top w:val="nil"/>
                    <w:left w:val="single" w:color="auto" w:sz="4" w:space="0"/>
                    <w:bottom w:val="single" w:color="auto" w:sz="4" w:space="0"/>
                    <w:right w:val="single" w:color="auto" w:sz="4" w:space="0"/>
                  </w:tcBorders>
                  <w:vAlign w:val="center"/>
                </w:tcPr>
                <w:p w14:paraId="2077EC3D">
                  <w:pPr>
                    <w:widowControl/>
                    <w:spacing w:line="240" w:lineRule="atLeast"/>
                    <w:jc w:val="center"/>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固体废物</w:t>
                  </w:r>
                </w:p>
              </w:tc>
              <w:tc>
                <w:tcPr>
                  <w:tcW w:w="796" w:type="pct"/>
                  <w:gridSpan w:val="2"/>
                  <w:tcBorders>
                    <w:top w:val="single" w:color="auto" w:sz="4" w:space="0"/>
                    <w:left w:val="single" w:color="auto" w:sz="4" w:space="0"/>
                    <w:bottom w:val="single" w:color="auto" w:sz="4" w:space="0"/>
                    <w:right w:val="single" w:color="auto" w:sz="4" w:space="0"/>
                  </w:tcBorders>
                  <w:vAlign w:val="center"/>
                </w:tcPr>
                <w:p w14:paraId="33AEB20F">
                  <w:pPr>
                    <w:jc w:val="center"/>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生活垃圾</w:t>
                  </w:r>
                </w:p>
              </w:tc>
              <w:tc>
                <w:tcPr>
                  <w:tcW w:w="424" w:type="pct"/>
                  <w:tcBorders>
                    <w:top w:val="single" w:color="auto" w:sz="4" w:space="0"/>
                    <w:left w:val="single" w:color="auto" w:sz="4" w:space="0"/>
                    <w:bottom w:val="single" w:color="auto" w:sz="4" w:space="0"/>
                    <w:right w:val="single" w:color="auto" w:sz="4" w:space="0"/>
                  </w:tcBorders>
                  <w:vAlign w:val="center"/>
                </w:tcPr>
                <w:p w14:paraId="2FE178A7">
                  <w:pPr>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5</w:t>
                  </w:r>
                </w:p>
              </w:tc>
              <w:tc>
                <w:tcPr>
                  <w:tcW w:w="478" w:type="pct"/>
                  <w:tcBorders>
                    <w:top w:val="single" w:color="auto" w:sz="4" w:space="0"/>
                    <w:left w:val="single" w:color="auto" w:sz="4" w:space="0"/>
                    <w:bottom w:val="single" w:color="auto" w:sz="4" w:space="0"/>
                    <w:right w:val="single" w:color="auto" w:sz="4" w:space="0"/>
                  </w:tcBorders>
                  <w:vAlign w:val="center"/>
                </w:tcPr>
                <w:p w14:paraId="4FF1B161">
                  <w:pPr>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6</w:t>
                  </w:r>
                </w:p>
              </w:tc>
              <w:tc>
                <w:tcPr>
                  <w:tcW w:w="463" w:type="pct"/>
                  <w:tcBorders>
                    <w:top w:val="single" w:color="auto" w:sz="4" w:space="0"/>
                    <w:left w:val="single" w:color="auto" w:sz="4" w:space="0"/>
                    <w:bottom w:val="single" w:color="auto" w:sz="4" w:space="0"/>
                    <w:right w:val="single" w:color="auto" w:sz="4" w:space="0"/>
                  </w:tcBorders>
                  <w:vAlign w:val="center"/>
                </w:tcPr>
                <w:p w14:paraId="062EBE78">
                  <w:pPr>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6</w:t>
                  </w:r>
                </w:p>
              </w:tc>
              <w:tc>
                <w:tcPr>
                  <w:tcW w:w="420" w:type="pct"/>
                  <w:tcBorders>
                    <w:top w:val="single" w:color="auto" w:sz="4" w:space="0"/>
                    <w:left w:val="single" w:color="auto" w:sz="4" w:space="0"/>
                    <w:bottom w:val="single" w:color="auto" w:sz="4" w:space="0"/>
                    <w:right w:val="single" w:color="auto" w:sz="4" w:space="0"/>
                  </w:tcBorders>
                  <w:vAlign w:val="center"/>
                </w:tcPr>
                <w:p w14:paraId="4A4DA81B">
                  <w:pPr>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0</w:t>
                  </w:r>
                </w:p>
              </w:tc>
              <w:tc>
                <w:tcPr>
                  <w:tcW w:w="539" w:type="pct"/>
                  <w:tcBorders>
                    <w:top w:val="single" w:color="auto" w:sz="4" w:space="0"/>
                    <w:left w:val="single" w:color="auto" w:sz="4" w:space="0"/>
                    <w:bottom w:val="single" w:color="auto" w:sz="4" w:space="0"/>
                    <w:right w:val="single" w:color="auto" w:sz="4" w:space="0"/>
                  </w:tcBorders>
                  <w:vAlign w:val="center"/>
                </w:tcPr>
                <w:p w14:paraId="53887DFF">
                  <w:pPr>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0</w:t>
                  </w:r>
                </w:p>
              </w:tc>
              <w:tc>
                <w:tcPr>
                  <w:tcW w:w="539" w:type="pct"/>
                  <w:tcBorders>
                    <w:top w:val="single" w:color="auto" w:sz="4" w:space="0"/>
                    <w:left w:val="single" w:color="auto" w:sz="4" w:space="0"/>
                    <w:bottom w:val="single" w:color="auto" w:sz="4" w:space="0"/>
                    <w:right w:val="single" w:color="auto" w:sz="4" w:space="0"/>
                  </w:tcBorders>
                  <w:vAlign w:val="center"/>
                </w:tcPr>
                <w:p w14:paraId="365675A8">
                  <w:pPr>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0</w:t>
                  </w:r>
                </w:p>
              </w:tc>
              <w:tc>
                <w:tcPr>
                  <w:tcW w:w="539" w:type="pct"/>
                  <w:tcBorders>
                    <w:top w:val="single" w:color="auto" w:sz="4" w:space="0"/>
                    <w:left w:val="single" w:color="auto" w:sz="4" w:space="0"/>
                    <w:bottom w:val="single" w:color="auto" w:sz="4" w:space="0"/>
                    <w:right w:val="single" w:color="auto" w:sz="4" w:space="0"/>
                  </w:tcBorders>
                  <w:vAlign w:val="center"/>
                </w:tcPr>
                <w:p w14:paraId="2DEC7597">
                  <w:pPr>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0</w:t>
                  </w:r>
                </w:p>
              </w:tc>
              <w:tc>
                <w:tcPr>
                  <w:tcW w:w="540" w:type="pct"/>
                  <w:tcBorders>
                    <w:top w:val="single" w:color="auto" w:sz="4" w:space="0"/>
                    <w:left w:val="single" w:color="auto" w:sz="4" w:space="0"/>
                    <w:bottom w:val="single" w:color="auto" w:sz="4" w:space="0"/>
                    <w:right w:val="single" w:color="auto" w:sz="4" w:space="0"/>
                  </w:tcBorders>
                  <w:vAlign w:val="center"/>
                </w:tcPr>
                <w:p w14:paraId="2036FB96">
                  <w:pPr>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0</w:t>
                  </w:r>
                </w:p>
              </w:tc>
            </w:tr>
            <w:tr w14:paraId="32948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262" w:type="pct"/>
                  <w:vMerge w:val="continue"/>
                  <w:tcBorders>
                    <w:top w:val="nil"/>
                    <w:left w:val="single" w:color="auto" w:sz="4" w:space="0"/>
                    <w:bottom w:val="single" w:color="auto" w:sz="4" w:space="0"/>
                    <w:right w:val="single" w:color="auto" w:sz="4" w:space="0"/>
                  </w:tcBorders>
                  <w:vAlign w:val="center"/>
                </w:tcPr>
                <w:p w14:paraId="5A6BA1DF">
                  <w:pPr>
                    <w:widowControl/>
                    <w:jc w:val="left"/>
                    <w:rPr>
                      <w:rFonts w:eastAsia="仿宋"/>
                      <w:color w:val="000000" w:themeColor="text1"/>
                      <w:szCs w:val="21"/>
                      <w14:textFill>
                        <w14:solidFill>
                          <w14:schemeClr w14:val="tx1"/>
                        </w14:solidFill>
                      </w14:textFill>
                    </w:rPr>
                  </w:pPr>
                </w:p>
              </w:tc>
              <w:tc>
                <w:tcPr>
                  <w:tcW w:w="796" w:type="pct"/>
                  <w:gridSpan w:val="2"/>
                  <w:tcBorders>
                    <w:top w:val="single" w:color="auto" w:sz="4" w:space="0"/>
                    <w:left w:val="single" w:color="auto" w:sz="4" w:space="0"/>
                    <w:bottom w:val="single" w:color="auto" w:sz="4" w:space="0"/>
                    <w:right w:val="single" w:color="auto" w:sz="4" w:space="0"/>
                  </w:tcBorders>
                  <w:vAlign w:val="center"/>
                </w:tcPr>
                <w:p w14:paraId="6E2DD5A1">
                  <w:pPr>
                    <w:jc w:val="center"/>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一般固废</w:t>
                  </w:r>
                </w:p>
              </w:tc>
              <w:tc>
                <w:tcPr>
                  <w:tcW w:w="424" w:type="pct"/>
                  <w:tcBorders>
                    <w:top w:val="single" w:color="auto" w:sz="4" w:space="0"/>
                    <w:left w:val="single" w:color="auto" w:sz="4" w:space="0"/>
                    <w:bottom w:val="single" w:color="auto" w:sz="4" w:space="0"/>
                    <w:right w:val="single" w:color="auto" w:sz="4" w:space="0"/>
                  </w:tcBorders>
                  <w:vAlign w:val="center"/>
                </w:tcPr>
                <w:p w14:paraId="27F1FBB4">
                  <w:pPr>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0</w:t>
                  </w:r>
                  <w:r>
                    <w:rPr>
                      <w:rFonts w:eastAsia="仿宋"/>
                      <w:color w:val="000000" w:themeColor="text1"/>
                      <w14:textFill>
                        <w14:solidFill>
                          <w14:schemeClr w14:val="tx1"/>
                        </w14:solidFill>
                      </w14:textFill>
                    </w:rPr>
                    <w:t>.6</w:t>
                  </w:r>
                </w:p>
              </w:tc>
              <w:tc>
                <w:tcPr>
                  <w:tcW w:w="478" w:type="pct"/>
                  <w:tcBorders>
                    <w:top w:val="single" w:color="auto" w:sz="4" w:space="0"/>
                    <w:left w:val="single" w:color="auto" w:sz="4" w:space="0"/>
                    <w:bottom w:val="single" w:color="auto" w:sz="4" w:space="0"/>
                    <w:right w:val="single" w:color="auto" w:sz="4" w:space="0"/>
                  </w:tcBorders>
                  <w:vAlign w:val="center"/>
                </w:tcPr>
                <w:p w14:paraId="6F6977B9">
                  <w:pPr>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0.054t/2~3a</w:t>
                  </w:r>
                </w:p>
              </w:tc>
              <w:tc>
                <w:tcPr>
                  <w:tcW w:w="463" w:type="pct"/>
                  <w:tcBorders>
                    <w:top w:val="single" w:color="auto" w:sz="4" w:space="0"/>
                    <w:left w:val="single" w:color="auto" w:sz="4" w:space="0"/>
                    <w:bottom w:val="single" w:color="auto" w:sz="4" w:space="0"/>
                    <w:right w:val="single" w:color="auto" w:sz="4" w:space="0"/>
                  </w:tcBorders>
                  <w:vAlign w:val="center"/>
                </w:tcPr>
                <w:p w14:paraId="3C22E653">
                  <w:pPr>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0.054t/2~3a</w:t>
                  </w:r>
                </w:p>
              </w:tc>
              <w:tc>
                <w:tcPr>
                  <w:tcW w:w="420" w:type="pct"/>
                  <w:tcBorders>
                    <w:top w:val="single" w:color="auto" w:sz="4" w:space="0"/>
                    <w:left w:val="single" w:color="auto" w:sz="4" w:space="0"/>
                    <w:bottom w:val="single" w:color="auto" w:sz="4" w:space="0"/>
                    <w:right w:val="single" w:color="auto" w:sz="4" w:space="0"/>
                  </w:tcBorders>
                  <w:vAlign w:val="center"/>
                </w:tcPr>
                <w:p w14:paraId="21EACA35">
                  <w:pPr>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0</w:t>
                  </w:r>
                </w:p>
              </w:tc>
              <w:tc>
                <w:tcPr>
                  <w:tcW w:w="539" w:type="pct"/>
                  <w:tcBorders>
                    <w:top w:val="single" w:color="auto" w:sz="4" w:space="0"/>
                    <w:left w:val="single" w:color="auto" w:sz="4" w:space="0"/>
                    <w:bottom w:val="single" w:color="auto" w:sz="4" w:space="0"/>
                    <w:right w:val="single" w:color="auto" w:sz="4" w:space="0"/>
                  </w:tcBorders>
                  <w:vAlign w:val="center"/>
                </w:tcPr>
                <w:p w14:paraId="51655756">
                  <w:pPr>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0</w:t>
                  </w:r>
                </w:p>
              </w:tc>
              <w:tc>
                <w:tcPr>
                  <w:tcW w:w="539" w:type="pct"/>
                  <w:tcBorders>
                    <w:top w:val="single" w:color="auto" w:sz="4" w:space="0"/>
                    <w:left w:val="single" w:color="auto" w:sz="4" w:space="0"/>
                    <w:bottom w:val="single" w:color="auto" w:sz="4" w:space="0"/>
                    <w:right w:val="single" w:color="auto" w:sz="4" w:space="0"/>
                  </w:tcBorders>
                  <w:vAlign w:val="center"/>
                </w:tcPr>
                <w:p w14:paraId="37D45276">
                  <w:pPr>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0</w:t>
                  </w:r>
                </w:p>
              </w:tc>
              <w:tc>
                <w:tcPr>
                  <w:tcW w:w="539" w:type="pct"/>
                  <w:tcBorders>
                    <w:top w:val="single" w:color="auto" w:sz="4" w:space="0"/>
                    <w:left w:val="single" w:color="auto" w:sz="4" w:space="0"/>
                    <w:bottom w:val="single" w:color="auto" w:sz="4" w:space="0"/>
                    <w:right w:val="single" w:color="auto" w:sz="4" w:space="0"/>
                  </w:tcBorders>
                  <w:vAlign w:val="center"/>
                </w:tcPr>
                <w:p w14:paraId="676C5900">
                  <w:pPr>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0</w:t>
                  </w:r>
                </w:p>
              </w:tc>
              <w:tc>
                <w:tcPr>
                  <w:tcW w:w="540" w:type="pct"/>
                  <w:tcBorders>
                    <w:top w:val="single" w:color="auto" w:sz="4" w:space="0"/>
                    <w:left w:val="single" w:color="auto" w:sz="4" w:space="0"/>
                    <w:bottom w:val="single" w:color="auto" w:sz="4" w:space="0"/>
                    <w:right w:val="single" w:color="auto" w:sz="4" w:space="0"/>
                  </w:tcBorders>
                  <w:vAlign w:val="center"/>
                </w:tcPr>
                <w:p w14:paraId="475C14BE">
                  <w:pPr>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0</w:t>
                  </w:r>
                </w:p>
              </w:tc>
            </w:tr>
            <w:tr w14:paraId="2AC0E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262" w:type="pct"/>
                  <w:vMerge w:val="continue"/>
                  <w:tcBorders>
                    <w:top w:val="nil"/>
                    <w:left w:val="single" w:color="auto" w:sz="4" w:space="0"/>
                    <w:bottom w:val="single" w:color="auto" w:sz="4" w:space="0"/>
                    <w:right w:val="single" w:color="auto" w:sz="4" w:space="0"/>
                  </w:tcBorders>
                  <w:vAlign w:val="center"/>
                </w:tcPr>
                <w:p w14:paraId="08023E41">
                  <w:pPr>
                    <w:widowControl/>
                    <w:jc w:val="left"/>
                    <w:rPr>
                      <w:rFonts w:eastAsia="仿宋"/>
                      <w:color w:val="000000" w:themeColor="text1"/>
                      <w:szCs w:val="21"/>
                      <w14:textFill>
                        <w14:solidFill>
                          <w14:schemeClr w14:val="tx1"/>
                        </w14:solidFill>
                      </w14:textFill>
                    </w:rPr>
                  </w:pPr>
                </w:p>
              </w:tc>
              <w:tc>
                <w:tcPr>
                  <w:tcW w:w="796" w:type="pct"/>
                  <w:gridSpan w:val="2"/>
                  <w:tcBorders>
                    <w:top w:val="single" w:color="auto" w:sz="4" w:space="0"/>
                    <w:left w:val="single" w:color="auto" w:sz="4" w:space="0"/>
                    <w:bottom w:val="single" w:color="auto" w:sz="4" w:space="0"/>
                    <w:right w:val="single" w:color="auto" w:sz="4" w:space="0"/>
                  </w:tcBorders>
                  <w:vAlign w:val="center"/>
                </w:tcPr>
                <w:p w14:paraId="591B0B2B">
                  <w:pPr>
                    <w:jc w:val="center"/>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危险固废</w:t>
                  </w:r>
                </w:p>
              </w:tc>
              <w:tc>
                <w:tcPr>
                  <w:tcW w:w="424" w:type="pct"/>
                  <w:tcBorders>
                    <w:top w:val="single" w:color="auto" w:sz="4" w:space="0"/>
                    <w:left w:val="single" w:color="auto" w:sz="4" w:space="0"/>
                    <w:bottom w:val="single" w:color="auto" w:sz="4" w:space="0"/>
                    <w:right w:val="single" w:color="auto" w:sz="4" w:space="0"/>
                  </w:tcBorders>
                  <w:vAlign w:val="center"/>
                </w:tcPr>
                <w:p w14:paraId="63CFB062">
                  <w:pPr>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195.48L</w:t>
                  </w:r>
                </w:p>
              </w:tc>
              <w:tc>
                <w:tcPr>
                  <w:tcW w:w="478" w:type="pct"/>
                  <w:tcBorders>
                    <w:top w:val="single" w:color="auto" w:sz="4" w:space="0"/>
                    <w:left w:val="single" w:color="auto" w:sz="4" w:space="0"/>
                    <w:bottom w:val="single" w:color="auto" w:sz="4" w:space="0"/>
                    <w:right w:val="single" w:color="auto" w:sz="4" w:space="0"/>
                  </w:tcBorders>
                  <w:vAlign w:val="center"/>
                </w:tcPr>
                <w:p w14:paraId="7D885C5D">
                  <w:pPr>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3.81</w:t>
                  </w:r>
                </w:p>
              </w:tc>
              <w:tc>
                <w:tcPr>
                  <w:tcW w:w="463" w:type="pct"/>
                  <w:tcBorders>
                    <w:top w:val="single" w:color="auto" w:sz="4" w:space="0"/>
                    <w:left w:val="single" w:color="auto" w:sz="4" w:space="0"/>
                    <w:bottom w:val="single" w:color="auto" w:sz="4" w:space="0"/>
                    <w:right w:val="single" w:color="auto" w:sz="4" w:space="0"/>
                  </w:tcBorders>
                  <w:vAlign w:val="center"/>
                </w:tcPr>
                <w:p w14:paraId="734C63A1">
                  <w:pPr>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3.81</w:t>
                  </w:r>
                </w:p>
              </w:tc>
              <w:tc>
                <w:tcPr>
                  <w:tcW w:w="420" w:type="pct"/>
                  <w:tcBorders>
                    <w:top w:val="single" w:color="auto" w:sz="4" w:space="0"/>
                    <w:left w:val="single" w:color="auto" w:sz="4" w:space="0"/>
                    <w:bottom w:val="single" w:color="auto" w:sz="4" w:space="0"/>
                    <w:right w:val="single" w:color="auto" w:sz="4" w:space="0"/>
                  </w:tcBorders>
                  <w:vAlign w:val="center"/>
                </w:tcPr>
                <w:p w14:paraId="5496FD77">
                  <w:pPr>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0</w:t>
                  </w:r>
                </w:p>
              </w:tc>
              <w:tc>
                <w:tcPr>
                  <w:tcW w:w="539" w:type="pct"/>
                  <w:tcBorders>
                    <w:top w:val="single" w:color="auto" w:sz="4" w:space="0"/>
                    <w:left w:val="single" w:color="auto" w:sz="4" w:space="0"/>
                    <w:bottom w:val="single" w:color="auto" w:sz="4" w:space="0"/>
                    <w:right w:val="single" w:color="auto" w:sz="4" w:space="0"/>
                  </w:tcBorders>
                  <w:vAlign w:val="center"/>
                </w:tcPr>
                <w:p w14:paraId="5F72390B">
                  <w:pPr>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0</w:t>
                  </w:r>
                </w:p>
              </w:tc>
              <w:tc>
                <w:tcPr>
                  <w:tcW w:w="539" w:type="pct"/>
                  <w:tcBorders>
                    <w:top w:val="single" w:color="auto" w:sz="4" w:space="0"/>
                    <w:left w:val="single" w:color="auto" w:sz="4" w:space="0"/>
                    <w:bottom w:val="single" w:color="auto" w:sz="4" w:space="0"/>
                    <w:right w:val="single" w:color="auto" w:sz="4" w:space="0"/>
                  </w:tcBorders>
                  <w:vAlign w:val="center"/>
                </w:tcPr>
                <w:p w14:paraId="3C034E89">
                  <w:pPr>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0</w:t>
                  </w:r>
                </w:p>
              </w:tc>
              <w:tc>
                <w:tcPr>
                  <w:tcW w:w="539" w:type="pct"/>
                  <w:tcBorders>
                    <w:top w:val="single" w:color="auto" w:sz="4" w:space="0"/>
                    <w:left w:val="single" w:color="auto" w:sz="4" w:space="0"/>
                    <w:bottom w:val="single" w:color="auto" w:sz="4" w:space="0"/>
                    <w:right w:val="single" w:color="auto" w:sz="4" w:space="0"/>
                  </w:tcBorders>
                  <w:vAlign w:val="center"/>
                </w:tcPr>
                <w:p w14:paraId="65E8BB0E">
                  <w:pPr>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0</w:t>
                  </w:r>
                </w:p>
              </w:tc>
              <w:tc>
                <w:tcPr>
                  <w:tcW w:w="540" w:type="pct"/>
                  <w:tcBorders>
                    <w:top w:val="single" w:color="auto" w:sz="4" w:space="0"/>
                    <w:left w:val="single" w:color="auto" w:sz="4" w:space="0"/>
                    <w:bottom w:val="single" w:color="auto" w:sz="4" w:space="0"/>
                    <w:right w:val="single" w:color="auto" w:sz="4" w:space="0"/>
                  </w:tcBorders>
                  <w:vAlign w:val="center"/>
                </w:tcPr>
                <w:p w14:paraId="3F86A050">
                  <w:pPr>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0</w:t>
                  </w:r>
                </w:p>
              </w:tc>
            </w:tr>
          </w:tbl>
          <w:p w14:paraId="4676BCFB">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总量平衡方案：</w:t>
            </w:r>
          </w:p>
          <w:p w14:paraId="543CBA41">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1、废水</w:t>
            </w:r>
          </w:p>
          <w:p w14:paraId="38C23DFC">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水污染物总量平衡途径：本项目新增</w:t>
            </w:r>
            <w:r>
              <w:rPr>
                <w:rFonts w:hint="eastAsia" w:eastAsia="仿宋"/>
                <w:bCs/>
                <w:color w:val="000000" w:themeColor="text1"/>
                <w:sz w:val="24"/>
                <w14:textFill>
                  <w14:solidFill>
                    <w14:schemeClr w14:val="tx1"/>
                  </w14:solidFill>
                </w14:textFill>
              </w:rPr>
              <w:t>生活污水</w:t>
            </w:r>
            <w:r>
              <w:rPr>
                <w:rFonts w:eastAsia="仿宋"/>
                <w:bCs/>
                <w:color w:val="000000" w:themeColor="text1"/>
                <w:sz w:val="24"/>
                <w14:textFill>
                  <w14:solidFill>
                    <w14:schemeClr w14:val="tx1"/>
                  </w14:solidFill>
                </w14:textFill>
              </w:rPr>
              <w:t>1296 t/a</w:t>
            </w:r>
            <w:r>
              <w:rPr>
                <w:rFonts w:hint="eastAsia"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经厂区污水管网接入市政污水管网，进</w:t>
            </w:r>
            <w:r>
              <w:rPr>
                <w:rFonts w:hint="eastAsia" w:eastAsia="仿宋"/>
                <w:bCs/>
                <w:color w:val="000000" w:themeColor="text1"/>
                <w:sz w:val="24"/>
                <w14:textFill>
                  <w14:solidFill>
                    <w14:schemeClr w14:val="tx1"/>
                  </w14:solidFill>
                </w14:textFill>
              </w:rPr>
              <w:t>金坛区第二污水处理厂</w:t>
            </w:r>
            <w:r>
              <w:rPr>
                <w:rFonts w:eastAsia="仿宋"/>
                <w:bCs/>
                <w:color w:val="000000" w:themeColor="text1"/>
                <w:sz w:val="24"/>
                <w14:textFill>
                  <w14:solidFill>
                    <w14:schemeClr w14:val="tx1"/>
                  </w14:solidFill>
                </w14:textFill>
              </w:rPr>
              <w:t>集中处理</w:t>
            </w:r>
            <w:r>
              <w:rPr>
                <w:rFonts w:hint="eastAsia" w:eastAsia="仿宋"/>
                <w:bCs/>
                <w:color w:val="000000" w:themeColor="text1"/>
                <w:sz w:val="24"/>
                <w14:textFill>
                  <w14:solidFill>
                    <w14:schemeClr w14:val="tx1"/>
                  </w14:solidFill>
                </w14:textFill>
              </w:rPr>
              <w:t>废水中各污染物总量在污水厂内实现平衡。</w:t>
            </w:r>
          </w:p>
          <w:p w14:paraId="0ED0B561">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2、废气</w:t>
            </w:r>
          </w:p>
          <w:p w14:paraId="77CB12FE">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本项目建成后新增大气污染物排放总量为：</w:t>
            </w:r>
            <w:r>
              <w:rPr>
                <w:rFonts w:hint="eastAsia" w:eastAsia="仿宋"/>
                <w:bCs/>
                <w:color w:val="000000" w:themeColor="text1"/>
                <w:sz w:val="24"/>
                <w14:textFill>
                  <w14:solidFill>
                    <w14:schemeClr w14:val="tx1"/>
                  </w14:solidFill>
                </w14:textFill>
              </w:rPr>
              <w:t>氮氧化物</w:t>
            </w:r>
            <w:r>
              <w:rPr>
                <w:rFonts w:eastAsia="仿宋"/>
                <w:bCs/>
                <w:color w:val="000000" w:themeColor="text1"/>
                <w:sz w:val="24"/>
                <w14:textFill>
                  <w14:solidFill>
                    <w14:schemeClr w14:val="tx1"/>
                  </w14:solidFill>
                </w14:textFill>
              </w:rPr>
              <w:t>0.283t/a</w:t>
            </w:r>
            <w:r>
              <w:rPr>
                <w:rFonts w:hint="eastAsia" w:eastAsia="仿宋"/>
                <w:bCs/>
                <w:color w:val="000000" w:themeColor="text1"/>
                <w:sz w:val="24"/>
                <w14:textFill>
                  <w14:solidFill>
                    <w14:schemeClr w14:val="tx1"/>
                  </w14:solidFill>
                </w14:textFill>
              </w:rPr>
              <w:t>（有组织）、二氧化硫</w:t>
            </w:r>
            <w:r>
              <w:rPr>
                <w:rFonts w:eastAsia="仿宋"/>
                <w:bCs/>
                <w:color w:val="000000" w:themeColor="text1"/>
                <w:sz w:val="24"/>
                <w14:textFill>
                  <w14:solidFill>
                    <w14:schemeClr w14:val="tx1"/>
                  </w14:solidFill>
                </w14:textFill>
              </w:rPr>
              <w:t>0.188t/a</w:t>
            </w:r>
            <w:r>
              <w:rPr>
                <w:rFonts w:hint="eastAsia" w:eastAsia="仿宋"/>
                <w:bCs/>
                <w:color w:val="000000" w:themeColor="text1"/>
                <w:sz w:val="24"/>
                <w14:textFill>
                  <w14:solidFill>
                    <w14:schemeClr w14:val="tx1"/>
                  </w14:solidFill>
                </w14:textFill>
              </w:rPr>
              <w:t>（有组织）、颗粒物</w:t>
            </w:r>
            <w:r>
              <w:rPr>
                <w:rFonts w:eastAsia="仿宋"/>
                <w:bCs/>
                <w:color w:val="000000" w:themeColor="text1"/>
                <w:sz w:val="24"/>
                <w14:textFill>
                  <w14:solidFill>
                    <w14:schemeClr w14:val="tx1"/>
                  </w14:solidFill>
                </w14:textFill>
              </w:rPr>
              <w:t>0.074</w:t>
            </w:r>
            <w:r>
              <w:rPr>
                <w:rFonts w:hint="eastAsia" w:eastAsia="仿宋"/>
                <w:bCs/>
                <w:color w:val="000000" w:themeColor="text1"/>
                <w:sz w:val="24"/>
                <w14:textFill>
                  <w14:solidFill>
                    <w14:schemeClr w14:val="tx1"/>
                  </w14:solidFill>
                </w14:textFill>
              </w:rPr>
              <w:t>（有组织）、</w:t>
            </w:r>
            <w:r>
              <w:rPr>
                <w:rFonts w:eastAsia="仿宋"/>
                <w:bCs/>
                <w:color w:val="000000" w:themeColor="text1"/>
                <w:sz w:val="24"/>
                <w14:textFill>
                  <w14:solidFill>
                    <w14:schemeClr w14:val="tx1"/>
                  </w14:solidFill>
                </w14:textFill>
              </w:rPr>
              <w:t>VOCs（以非甲烷总烃计）</w:t>
            </w:r>
            <w:r>
              <w:rPr>
                <w:rFonts w:hint="eastAsia" w:eastAsia="仿宋"/>
                <w:bCs/>
                <w:color w:val="000000" w:themeColor="text1"/>
                <w:sz w:val="24"/>
                <w14:textFill>
                  <w14:solidFill>
                    <w14:schemeClr w14:val="tx1"/>
                  </w14:solidFill>
                </w14:textFill>
              </w:rPr>
              <w:t>0.00</w:t>
            </w:r>
            <w:r>
              <w:rPr>
                <w:rFonts w:eastAsia="仿宋"/>
                <w:bCs/>
                <w:color w:val="000000" w:themeColor="text1"/>
                <w:sz w:val="24"/>
                <w14:textFill>
                  <w14:solidFill>
                    <w14:schemeClr w14:val="tx1"/>
                  </w14:solidFill>
                </w14:textFill>
              </w:rPr>
              <w:t>48t/a（其中有组织0.004t/a，无组织0.0008t/a）</w:t>
            </w:r>
            <w:r>
              <w:rPr>
                <w:rFonts w:hint="eastAsia" w:eastAsia="仿宋"/>
                <w:bCs/>
                <w:color w:val="000000" w:themeColor="text1"/>
                <w:sz w:val="24"/>
                <w14:textFill>
                  <w14:solidFill>
                    <w14:schemeClr w14:val="tx1"/>
                  </w14:solidFill>
                </w14:textFill>
              </w:rPr>
              <w:t>，需由企业向常州市金坛生态环境局申请核定总量，在金坛区内平衡。</w:t>
            </w:r>
          </w:p>
          <w:p w14:paraId="44A4826C">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根据《关于加强建设项目烟颗粒物、挥发性有机物准入审核的通知》（苏环办〔2014〕148号）、《建设项目主要污染物排放总量指标审核及管理暂行办法》（环发〔2014〕197号），进行现役源2倍削减量替代或关闭类项目1.5倍削减量替代</w:t>
            </w:r>
            <w:r>
              <w:rPr>
                <w:rFonts w:eastAsia="仿宋"/>
                <w:bCs/>
                <w:color w:val="000000" w:themeColor="text1"/>
                <w:sz w:val="24"/>
                <w14:textFill>
                  <w14:solidFill>
                    <w14:schemeClr w14:val="tx1"/>
                  </w14:solidFill>
                </w14:textFill>
              </w:rPr>
              <w:t>。本项目建成后新增</w:t>
            </w:r>
            <w:r>
              <w:rPr>
                <w:rFonts w:hint="eastAsia" w:eastAsia="仿宋"/>
                <w:bCs/>
                <w:color w:val="000000" w:themeColor="text1"/>
                <w:sz w:val="24"/>
                <w14:textFill>
                  <w14:solidFill>
                    <w14:schemeClr w14:val="tx1"/>
                  </w14:solidFill>
                </w14:textFill>
              </w:rPr>
              <w:t>氮氧化物0.283t/a（有组织）、二氧化硫0.188t/a（有组织）、颗粒物0.074（有组织）、VOCs（以非甲烷总烃计）0.00</w:t>
            </w:r>
            <w:r>
              <w:rPr>
                <w:rFonts w:eastAsia="仿宋"/>
                <w:bCs/>
                <w:color w:val="000000" w:themeColor="text1"/>
                <w:sz w:val="24"/>
                <w14:textFill>
                  <w14:solidFill>
                    <w14:schemeClr w14:val="tx1"/>
                  </w14:solidFill>
                </w14:textFill>
              </w:rPr>
              <w:t>4</w:t>
            </w:r>
            <w:r>
              <w:rPr>
                <w:rFonts w:hint="eastAsia" w:eastAsia="仿宋"/>
                <w:bCs/>
                <w:color w:val="000000" w:themeColor="text1"/>
                <w:sz w:val="24"/>
                <w14:textFill>
                  <w14:solidFill>
                    <w14:schemeClr w14:val="tx1"/>
                  </w14:solidFill>
                </w14:textFill>
              </w:rPr>
              <w:t>8t/a（其中有组织0.00</w:t>
            </w:r>
            <w:r>
              <w:rPr>
                <w:rFonts w:eastAsia="仿宋"/>
                <w:bCs/>
                <w:color w:val="000000" w:themeColor="text1"/>
                <w:sz w:val="24"/>
                <w14:textFill>
                  <w14:solidFill>
                    <w14:schemeClr w14:val="tx1"/>
                  </w14:solidFill>
                </w14:textFill>
              </w:rPr>
              <w:t>4</w:t>
            </w:r>
            <w:r>
              <w:rPr>
                <w:rFonts w:hint="eastAsia" w:eastAsia="仿宋"/>
                <w:bCs/>
                <w:color w:val="000000" w:themeColor="text1"/>
                <w:sz w:val="24"/>
                <w14:textFill>
                  <w14:solidFill>
                    <w14:schemeClr w14:val="tx1"/>
                  </w14:solidFill>
                </w14:textFill>
              </w:rPr>
              <w:t>t/a，无组织0.0008t/a）</w:t>
            </w:r>
            <w:r>
              <w:rPr>
                <w:rFonts w:eastAsia="仿宋"/>
                <w:bCs/>
                <w:color w:val="000000" w:themeColor="text1"/>
                <w:sz w:val="24"/>
                <w14:textFill>
                  <w14:solidFill>
                    <w14:schemeClr w14:val="tx1"/>
                  </w14:solidFill>
                </w14:textFill>
              </w:rPr>
              <w:t>，总量需落实减量替代。</w:t>
            </w:r>
          </w:p>
          <w:p w14:paraId="762C55A7">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3、固废</w:t>
            </w:r>
          </w:p>
          <w:p w14:paraId="1DDEE181">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本项目所有固废均进行合理处理处置，实现固废零排放，不需申请总量。</w:t>
            </w:r>
          </w:p>
          <w:p w14:paraId="0A7DD2D4">
            <w:pPr>
              <w:spacing w:line="500" w:lineRule="exact"/>
              <w:ind w:firstLine="480" w:firstLineChars="200"/>
              <w:rPr>
                <w:rFonts w:eastAsia="仿宋"/>
                <w:bCs/>
                <w:color w:val="000000" w:themeColor="text1"/>
                <w:sz w:val="24"/>
                <w14:textFill>
                  <w14:solidFill>
                    <w14:schemeClr w14:val="tx1"/>
                  </w14:solidFill>
                </w14:textFill>
              </w:rPr>
            </w:pPr>
          </w:p>
          <w:p w14:paraId="180DD500">
            <w:pPr>
              <w:spacing w:line="500" w:lineRule="exact"/>
              <w:ind w:firstLine="480" w:firstLineChars="200"/>
              <w:rPr>
                <w:rFonts w:eastAsia="仿宋"/>
                <w:bCs/>
                <w:color w:val="000000" w:themeColor="text1"/>
                <w:sz w:val="24"/>
                <w14:textFill>
                  <w14:solidFill>
                    <w14:schemeClr w14:val="tx1"/>
                  </w14:solidFill>
                </w14:textFill>
              </w:rPr>
            </w:pPr>
          </w:p>
          <w:p w14:paraId="65B12D80">
            <w:pPr>
              <w:spacing w:line="500" w:lineRule="exact"/>
              <w:ind w:firstLine="480" w:firstLineChars="200"/>
              <w:rPr>
                <w:rFonts w:eastAsia="仿宋"/>
                <w:bCs/>
                <w:color w:val="000000" w:themeColor="text1"/>
                <w:sz w:val="24"/>
                <w14:textFill>
                  <w14:solidFill>
                    <w14:schemeClr w14:val="tx1"/>
                  </w14:solidFill>
                </w14:textFill>
              </w:rPr>
            </w:pPr>
          </w:p>
          <w:p w14:paraId="592B72CC">
            <w:pPr>
              <w:spacing w:line="500" w:lineRule="exact"/>
              <w:ind w:firstLine="480" w:firstLineChars="200"/>
              <w:rPr>
                <w:rFonts w:eastAsia="仿宋"/>
                <w:bCs/>
                <w:color w:val="000000" w:themeColor="text1"/>
                <w:sz w:val="24"/>
                <w14:textFill>
                  <w14:solidFill>
                    <w14:schemeClr w14:val="tx1"/>
                  </w14:solidFill>
                </w14:textFill>
              </w:rPr>
            </w:pPr>
          </w:p>
          <w:p w14:paraId="72DFDA24">
            <w:pPr>
              <w:spacing w:line="500" w:lineRule="exact"/>
              <w:ind w:firstLine="480" w:firstLineChars="200"/>
              <w:rPr>
                <w:rFonts w:eastAsia="仿宋"/>
                <w:bCs/>
                <w:color w:val="000000" w:themeColor="text1"/>
                <w:sz w:val="24"/>
                <w14:textFill>
                  <w14:solidFill>
                    <w14:schemeClr w14:val="tx1"/>
                  </w14:solidFill>
                </w14:textFill>
              </w:rPr>
            </w:pPr>
          </w:p>
          <w:p w14:paraId="10C095B6">
            <w:pPr>
              <w:spacing w:line="500" w:lineRule="exact"/>
              <w:ind w:firstLine="480" w:firstLineChars="200"/>
              <w:rPr>
                <w:rFonts w:eastAsia="仿宋"/>
                <w:bCs/>
                <w:color w:val="000000" w:themeColor="text1"/>
                <w:sz w:val="24"/>
                <w14:textFill>
                  <w14:solidFill>
                    <w14:schemeClr w14:val="tx1"/>
                  </w14:solidFill>
                </w14:textFill>
              </w:rPr>
            </w:pPr>
          </w:p>
          <w:p w14:paraId="2E928FC3">
            <w:pPr>
              <w:spacing w:line="500" w:lineRule="exact"/>
              <w:rPr>
                <w:rFonts w:eastAsia="仿宋"/>
                <w:color w:val="000000" w:themeColor="text1"/>
                <w:sz w:val="24"/>
                <w14:textFill>
                  <w14:solidFill>
                    <w14:schemeClr w14:val="tx1"/>
                  </w14:solidFill>
                </w14:textFill>
              </w:rPr>
            </w:pPr>
          </w:p>
        </w:tc>
      </w:tr>
    </w:tbl>
    <w:p w14:paraId="2D593A8A">
      <w:pPr>
        <w:adjustRightInd w:val="0"/>
        <w:snapToGrid w:val="0"/>
        <w:rPr>
          <w:rFonts w:eastAsia="仿宋"/>
          <w:color w:val="000000" w:themeColor="text1"/>
          <w:kern w:val="0"/>
          <w:sz w:val="24"/>
          <w14:textFill>
            <w14:solidFill>
              <w14:schemeClr w14:val="tx1"/>
            </w14:solidFill>
          </w14:textFill>
        </w:rPr>
        <w:sectPr>
          <w:pgSz w:w="16840" w:h="11907" w:orient="landscape"/>
          <w:pgMar w:top="1531" w:right="1701" w:bottom="1531" w:left="1701" w:header="851" w:footer="851" w:gutter="0"/>
          <w:cols w:space="720" w:num="1"/>
          <w:docGrid w:linePitch="312" w:charSpace="0"/>
        </w:sectPr>
      </w:pPr>
    </w:p>
    <w:p w14:paraId="5327946D">
      <w:pPr>
        <w:pStyle w:val="21"/>
        <w:rPr>
          <w:color w:val="000000" w:themeColor="text1"/>
          <w14:textFill>
            <w14:solidFill>
              <w14:schemeClr w14:val="tx1"/>
            </w14:solidFill>
          </w14:textFill>
        </w:rPr>
      </w:pPr>
      <w:r>
        <w:rPr>
          <w:color w:val="000000" w:themeColor="text1"/>
          <w14:textFill>
            <w14:solidFill>
              <w14:schemeClr w14:val="tx1"/>
            </w14:solidFill>
          </w14:textFill>
        </w:rPr>
        <w:t>四、主要环境影响和保护措施</w:t>
      </w:r>
    </w:p>
    <w:tbl>
      <w:tblPr>
        <w:tblStyle w:val="24"/>
        <w:tblW w:w="554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1"/>
        <w:gridCol w:w="9244"/>
      </w:tblGrid>
      <w:tr w14:paraId="066996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6" w:hRule="atLeast"/>
          <w:jc w:val="center"/>
        </w:trPr>
        <w:tc>
          <w:tcPr>
            <w:tcW w:w="699" w:type="dxa"/>
            <w:tcMar>
              <w:left w:w="28" w:type="dxa"/>
              <w:right w:w="28" w:type="dxa"/>
            </w:tcMar>
            <w:vAlign w:val="center"/>
          </w:tcPr>
          <w:p w14:paraId="307600B3">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施工期环境保护措施</w:t>
            </w:r>
          </w:p>
        </w:tc>
        <w:tc>
          <w:tcPr>
            <w:tcW w:w="9083" w:type="dxa"/>
            <w:vAlign w:val="center"/>
          </w:tcPr>
          <w:p w14:paraId="3A05AA78">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本项目位于</w:t>
            </w:r>
            <w:r>
              <w:rPr>
                <w:rFonts w:hint="eastAsia" w:eastAsia="仿宋"/>
                <w:bCs/>
                <w:color w:val="000000" w:themeColor="text1"/>
                <w:sz w:val="24"/>
                <w14:textFill>
                  <w14:solidFill>
                    <w14:schemeClr w14:val="tx1"/>
                  </w14:solidFill>
                </w14:textFill>
              </w:rPr>
              <w:t>江苏省常州市金坛区江苏金坛经济开发区汇福路东侧，珠山路南侧</w:t>
            </w:r>
            <w:r>
              <w:rPr>
                <w:rFonts w:eastAsia="仿宋"/>
                <w:bCs/>
                <w:color w:val="000000" w:themeColor="text1"/>
                <w:sz w:val="24"/>
                <w14:textFill>
                  <w14:solidFill>
                    <w14:schemeClr w14:val="tx1"/>
                  </w14:solidFill>
                </w14:textFill>
              </w:rPr>
              <w:t>，</w:t>
            </w:r>
            <w:r>
              <w:rPr>
                <w:rFonts w:hint="eastAsia" w:eastAsia="仿宋"/>
                <w:bCs/>
                <w:color w:val="000000" w:themeColor="text1"/>
                <w:sz w:val="24"/>
                <w14:textFill>
                  <w14:solidFill>
                    <w14:schemeClr w14:val="tx1"/>
                  </w14:solidFill>
                </w14:textFill>
              </w:rPr>
              <w:t>在现有</w:t>
            </w:r>
            <w:r>
              <w:rPr>
                <w:rFonts w:eastAsia="仿宋"/>
                <w:bCs/>
                <w:color w:val="000000" w:themeColor="text1"/>
                <w:sz w:val="24"/>
                <w14:textFill>
                  <w14:solidFill>
                    <w14:schemeClr w14:val="tx1"/>
                  </w14:solidFill>
                </w14:textFill>
              </w:rPr>
              <w:t>厂房</w:t>
            </w:r>
            <w:r>
              <w:rPr>
                <w:rFonts w:hint="eastAsia" w:eastAsia="仿宋"/>
                <w:bCs/>
                <w:color w:val="000000" w:themeColor="text1"/>
                <w:sz w:val="24"/>
                <w14:textFill>
                  <w14:solidFill>
                    <w14:schemeClr w14:val="tx1"/>
                  </w14:solidFill>
                </w14:textFill>
              </w:rPr>
              <w:t>内建设检测实验室</w:t>
            </w:r>
            <w:r>
              <w:rPr>
                <w:rFonts w:eastAsia="仿宋"/>
                <w:color w:val="000000" w:themeColor="text1"/>
                <w:sz w:val="24"/>
                <w14:textFill>
                  <w14:solidFill>
                    <w14:schemeClr w14:val="tx1"/>
                  </w14:solidFill>
                </w14:textFill>
              </w:rPr>
              <w:t>，不涉及厂房建设，</w:t>
            </w:r>
            <w:r>
              <w:rPr>
                <w:rFonts w:hint="eastAsia" w:eastAsia="仿宋"/>
                <w:color w:val="000000" w:themeColor="text1"/>
                <w:sz w:val="24"/>
                <w14:textFill>
                  <w14:solidFill>
                    <w14:schemeClr w14:val="tx1"/>
                  </w14:solidFill>
                </w14:textFill>
              </w:rPr>
              <w:t>施工期仅进行简单的室内装饰、设备安装，设备安装阶段会产生设备噪声、粉尘、装饰建筑垃圾、施工人员生活污水等。由于装饰工序均是在室内进行，产生的噪声、粉尘不会对区域环境产生大的影响；施工产生的建筑垃圾于生活垃圾应分开收集、收运，待工程结束后将建筑垃圾清运至指定地方，施工人员的生活垃圾由物业清运；生活污水经污水管网接管。项目施工期产生的污染物均可得到合理有效的处理处置，且项目施工期较短，施工期对环境的影响将随着工程的结束而终结。</w:t>
            </w:r>
          </w:p>
        </w:tc>
      </w:tr>
      <w:tr w14:paraId="4E1F2E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1" w:hRule="atLeast"/>
          <w:jc w:val="center"/>
        </w:trPr>
        <w:tc>
          <w:tcPr>
            <w:tcW w:w="699" w:type="dxa"/>
            <w:tcMar>
              <w:left w:w="28" w:type="dxa"/>
              <w:right w:w="28" w:type="dxa"/>
            </w:tcMar>
            <w:vAlign w:val="center"/>
          </w:tcPr>
          <w:p w14:paraId="1BBDF0AE">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运营期环境影响和保护措施</w:t>
            </w:r>
          </w:p>
        </w:tc>
        <w:tc>
          <w:tcPr>
            <w:tcW w:w="9083" w:type="dxa"/>
            <w:vAlign w:val="center"/>
          </w:tcPr>
          <w:p w14:paraId="60C70572">
            <w:pPr>
              <w:adjustRightInd w:val="0"/>
              <w:snapToGrid w:val="0"/>
              <w:spacing w:line="48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（一）废气</w:t>
            </w:r>
          </w:p>
          <w:p w14:paraId="4E28D622">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1、</w:t>
            </w:r>
            <w:r>
              <w:rPr>
                <w:rFonts w:eastAsia="仿宋"/>
                <w:color w:val="000000" w:themeColor="text1"/>
                <w:sz w:val="24"/>
                <w14:textFill>
                  <w14:solidFill>
                    <w14:schemeClr w14:val="tx1"/>
                  </w14:solidFill>
                </w14:textFill>
              </w:rPr>
              <w:t>有组织废气</w:t>
            </w:r>
          </w:p>
          <w:p w14:paraId="3738794E">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（1）实验室废气</w:t>
            </w:r>
          </w:p>
          <w:p w14:paraId="0FABA986">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本项目原料入厂检测过程产生的废气来源于Q</w:t>
            </w:r>
            <w:r>
              <w:rPr>
                <w:rFonts w:eastAsia="仿宋"/>
                <w:color w:val="000000" w:themeColor="text1"/>
                <w:sz w:val="24"/>
                <w14:textFill>
                  <w14:solidFill>
                    <w14:schemeClr w14:val="tx1"/>
                  </w14:solidFill>
                </w14:textFill>
              </w:rPr>
              <w:t>C</w:t>
            </w:r>
            <w:r>
              <w:rPr>
                <w:rFonts w:hint="eastAsia" w:eastAsia="仿宋"/>
                <w:color w:val="000000" w:themeColor="text1"/>
                <w:sz w:val="24"/>
                <w14:textFill>
                  <w14:solidFill>
                    <w14:schemeClr w14:val="tx1"/>
                  </w14:solidFill>
                </w14:textFill>
              </w:rPr>
              <w:t>取样和Q</w:t>
            </w:r>
            <w:r>
              <w:rPr>
                <w:rFonts w:eastAsia="仿宋"/>
                <w:color w:val="000000" w:themeColor="text1"/>
                <w:sz w:val="24"/>
                <w14:textFill>
                  <w14:solidFill>
                    <w14:schemeClr w14:val="tx1"/>
                  </w14:solidFill>
                </w14:textFill>
              </w:rPr>
              <w:t>C</w:t>
            </w:r>
            <w:r>
              <w:rPr>
                <w:rFonts w:hint="eastAsia" w:eastAsia="仿宋"/>
                <w:color w:val="000000" w:themeColor="text1"/>
                <w:sz w:val="24"/>
                <w14:textFill>
                  <w14:solidFill>
                    <w14:schemeClr w14:val="tx1"/>
                  </w14:solidFill>
                </w14:textFill>
              </w:rPr>
              <w:t>检验等环节中挥发的少量废气，由于原料检测流程及指标的差别，本项目废气污染物主要为有机废气和无机废气。根据主要原辅材料的挥发性，无机废气主要包括硫酸、盐酸、硝酸、浓氨溶液挥发出的硫酸雾、H</w:t>
            </w:r>
            <w:r>
              <w:rPr>
                <w:rFonts w:eastAsia="仿宋"/>
                <w:color w:val="000000" w:themeColor="text1"/>
                <w:sz w:val="24"/>
                <w14:textFill>
                  <w14:solidFill>
                    <w14:schemeClr w14:val="tx1"/>
                  </w14:solidFill>
                </w14:textFill>
              </w:rPr>
              <w:t>Cl</w:t>
            </w:r>
            <w:r>
              <w:rPr>
                <w:rFonts w:hint="eastAsia" w:eastAsia="仿宋"/>
                <w:color w:val="000000" w:themeColor="text1"/>
                <w:sz w:val="24"/>
                <w14:textFill>
                  <w14:solidFill>
                    <w14:schemeClr w14:val="tx1"/>
                  </w14:solidFill>
                </w14:textFill>
              </w:rPr>
              <w:t>、H</w:t>
            </w:r>
            <w:r>
              <w:rPr>
                <w:rFonts w:eastAsia="仿宋"/>
                <w:color w:val="000000" w:themeColor="text1"/>
                <w:sz w:val="24"/>
                <w14:textFill>
                  <w14:solidFill>
                    <w14:schemeClr w14:val="tx1"/>
                  </w14:solidFill>
                </w14:textFill>
              </w:rPr>
              <w:t>NO</w:t>
            </w:r>
            <w:r>
              <w:rPr>
                <w:rFonts w:eastAsia="仿宋"/>
                <w:color w:val="000000" w:themeColor="text1"/>
                <w:sz w:val="24"/>
                <w:vertAlign w:val="subscript"/>
                <w14:textFill>
                  <w14:solidFill>
                    <w14:schemeClr w14:val="tx1"/>
                  </w14:solidFill>
                </w14:textFill>
              </w:rPr>
              <w:t>3</w:t>
            </w:r>
            <w:r>
              <w:rPr>
                <w:rFonts w:hint="eastAsia" w:eastAsia="仿宋"/>
                <w:color w:val="000000" w:themeColor="text1"/>
                <w:sz w:val="24"/>
                <w14:textFill>
                  <w14:solidFill>
                    <w14:schemeClr w14:val="tx1"/>
                  </w14:solidFill>
                </w14:textFill>
              </w:rPr>
              <w:t>、氨等污染物，有机废气主要包括正己烷、异丙醇、乙腈、乙醇、甲醇等有机溶剂挥发出的V</w:t>
            </w:r>
            <w:r>
              <w:rPr>
                <w:rFonts w:eastAsia="仿宋"/>
                <w:color w:val="000000" w:themeColor="text1"/>
                <w:sz w:val="24"/>
                <w14:textFill>
                  <w14:solidFill>
                    <w14:schemeClr w14:val="tx1"/>
                  </w14:solidFill>
                </w14:textFill>
              </w:rPr>
              <w:t>OCs</w:t>
            </w:r>
            <w:r>
              <w:rPr>
                <w:rFonts w:hint="eastAsia" w:eastAsia="仿宋"/>
                <w:color w:val="000000" w:themeColor="text1"/>
                <w:sz w:val="24"/>
                <w14:textFill>
                  <w14:solidFill>
                    <w14:schemeClr w14:val="tx1"/>
                  </w14:solidFill>
                </w14:textFill>
              </w:rPr>
              <w:t>。产生的废气经实验室通风橱通风系统（捕集效率以9</w:t>
            </w:r>
            <w:r>
              <w:rPr>
                <w:rFonts w:eastAsia="仿宋"/>
                <w:color w:val="000000" w:themeColor="text1"/>
                <w:sz w:val="24"/>
                <w14:textFill>
                  <w14:solidFill>
                    <w14:schemeClr w14:val="tx1"/>
                  </w14:solidFill>
                </w14:textFill>
              </w:rPr>
              <w:t>5%</w:t>
            </w:r>
            <w:r>
              <w:rPr>
                <w:rFonts w:hint="eastAsia" w:eastAsia="仿宋"/>
                <w:color w:val="000000" w:themeColor="text1"/>
                <w:sz w:val="24"/>
                <w14:textFill>
                  <w14:solidFill>
                    <w14:schemeClr w14:val="tx1"/>
                  </w14:solidFill>
                </w14:textFill>
              </w:rPr>
              <w:t>计）收集进入两级活性炭吸附装置处理，尾气由风机引出（风量为</w:t>
            </w:r>
            <w:r>
              <w:rPr>
                <w:rFonts w:eastAsia="仿宋"/>
                <w:color w:val="000000" w:themeColor="text1"/>
                <w:sz w:val="24"/>
                <w14:textFill>
                  <w14:solidFill>
                    <w14:schemeClr w14:val="tx1"/>
                  </w14:solidFill>
                </w14:textFill>
              </w:rPr>
              <w:t>5000m</w:t>
            </w:r>
            <w:r>
              <w:rPr>
                <w:rFonts w:eastAsia="仿宋"/>
                <w:color w:val="000000" w:themeColor="text1"/>
                <w:sz w:val="24"/>
                <w:vertAlign w:val="superscript"/>
                <w14:textFill>
                  <w14:solidFill>
                    <w14:schemeClr w14:val="tx1"/>
                  </w14:solidFill>
                </w14:textFill>
              </w:rPr>
              <w:t>3</w:t>
            </w:r>
            <w:r>
              <w:rPr>
                <w:rFonts w:eastAsia="仿宋"/>
                <w:color w:val="000000" w:themeColor="text1"/>
                <w:sz w:val="24"/>
                <w14:textFill>
                  <w14:solidFill>
                    <w14:schemeClr w14:val="tx1"/>
                  </w14:solidFill>
                </w14:textFill>
              </w:rPr>
              <w:t>/h</w:t>
            </w:r>
            <w:r>
              <w:rPr>
                <w:rFonts w:hint="eastAsia" w:eastAsia="仿宋"/>
                <w:color w:val="000000" w:themeColor="text1"/>
                <w:sz w:val="24"/>
                <w14:textFill>
                  <w14:solidFill>
                    <w14:schemeClr w14:val="tx1"/>
                  </w14:solidFill>
                </w14:textFill>
              </w:rPr>
              <w:t>）经1根2</w:t>
            </w:r>
            <w:r>
              <w:rPr>
                <w:rFonts w:eastAsia="仿宋"/>
                <w:color w:val="000000" w:themeColor="text1"/>
                <w:sz w:val="24"/>
                <w14:textFill>
                  <w14:solidFill>
                    <w14:schemeClr w14:val="tx1"/>
                  </w14:solidFill>
                </w14:textFill>
              </w:rPr>
              <w:t>8</w:t>
            </w:r>
            <w:r>
              <w:rPr>
                <w:rFonts w:hint="eastAsia" w:eastAsia="仿宋"/>
                <w:color w:val="000000" w:themeColor="text1"/>
                <w:sz w:val="24"/>
                <w14:textFill>
                  <w14:solidFill>
                    <w14:schemeClr w14:val="tx1"/>
                  </w14:solidFill>
                </w14:textFill>
              </w:rPr>
              <w:t>米高排气筒（1</w:t>
            </w:r>
            <w:r>
              <w:rPr>
                <w:rFonts w:eastAsia="仿宋"/>
                <w:color w:val="000000" w:themeColor="text1"/>
                <w:sz w:val="24"/>
                <w14:textFill>
                  <w14:solidFill>
                    <w14:schemeClr w14:val="tx1"/>
                  </w14:solidFill>
                </w14:textFill>
              </w:rPr>
              <w:t>#</w:t>
            </w:r>
            <w:r>
              <w:rPr>
                <w:rFonts w:hint="eastAsia" w:eastAsia="仿宋"/>
                <w:color w:val="000000" w:themeColor="text1"/>
                <w:sz w:val="24"/>
                <w14:textFill>
                  <w14:solidFill>
                    <w14:schemeClr w14:val="tx1"/>
                  </w14:solidFill>
                </w14:textFill>
              </w:rPr>
              <w:t>）排放。</w:t>
            </w:r>
          </w:p>
          <w:p w14:paraId="479344FC">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①有机废气</w:t>
            </w:r>
          </w:p>
          <w:p w14:paraId="25091283">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本项目有组织有机废气主要为检测过程中有机溶剂挥发出的V</w:t>
            </w:r>
            <w:r>
              <w:rPr>
                <w:rFonts w:eastAsia="仿宋"/>
                <w:color w:val="000000" w:themeColor="text1"/>
                <w:sz w:val="24"/>
                <w14:textFill>
                  <w14:solidFill>
                    <w14:schemeClr w14:val="tx1"/>
                  </w14:solidFill>
                </w14:textFill>
              </w:rPr>
              <w:t>OCs</w:t>
            </w:r>
            <w:r>
              <w:rPr>
                <w:rFonts w:hint="eastAsia" w:eastAsia="仿宋"/>
                <w:color w:val="000000" w:themeColor="text1"/>
                <w:sz w:val="24"/>
                <w14:textFill>
                  <w14:solidFill>
                    <w14:schemeClr w14:val="tx1"/>
                  </w14:solidFill>
                </w14:textFill>
              </w:rPr>
              <w:t>。根据美国国家环保局编写的《工业污染源调查与研究》等相关资料，在实验室条件下，有机溶剂的挥发量一般在1</w:t>
            </w:r>
            <w:r>
              <w:rPr>
                <w:rFonts w:eastAsia="仿宋"/>
                <w:color w:val="000000" w:themeColor="text1"/>
                <w:sz w:val="24"/>
                <w14:textFill>
                  <w14:solidFill>
                    <w14:schemeClr w14:val="tx1"/>
                  </w14:solidFill>
                </w14:textFill>
              </w:rPr>
              <w:t>%~5%</w:t>
            </w:r>
            <w:r>
              <w:rPr>
                <w:rFonts w:hint="eastAsia" w:eastAsia="仿宋"/>
                <w:color w:val="000000" w:themeColor="text1"/>
                <w:sz w:val="24"/>
                <w14:textFill>
                  <w14:solidFill>
                    <w14:schemeClr w14:val="tx1"/>
                  </w14:solidFill>
                </w14:textFill>
              </w:rPr>
              <w:t>，本次评价取试剂使用量的5</w:t>
            </w:r>
            <w:r>
              <w:rPr>
                <w:rFonts w:eastAsia="仿宋"/>
                <w:color w:val="000000" w:themeColor="text1"/>
                <w:sz w:val="24"/>
                <w14:textFill>
                  <w14:solidFill>
                    <w14:schemeClr w14:val="tx1"/>
                  </w14:solidFill>
                </w14:textFill>
              </w:rPr>
              <w:t>%</w:t>
            </w:r>
            <w:r>
              <w:rPr>
                <w:rFonts w:hint="eastAsia" w:eastAsia="仿宋"/>
                <w:color w:val="000000" w:themeColor="text1"/>
                <w:sz w:val="24"/>
                <w14:textFill>
                  <w14:solidFill>
                    <w14:schemeClr w14:val="tx1"/>
                  </w14:solidFill>
                </w14:textFill>
              </w:rPr>
              <w:t>作为本项目有机溶剂的挥发量，本项目</w:t>
            </w:r>
            <w:bookmarkStart w:id="31" w:name="OLE_LINK14"/>
            <w:bookmarkStart w:id="32" w:name="OLE_LINK16"/>
            <w:r>
              <w:rPr>
                <w:rFonts w:hint="eastAsia" w:eastAsia="仿宋"/>
                <w:color w:val="000000" w:themeColor="text1"/>
                <w:sz w:val="24"/>
                <w14:textFill>
                  <w14:solidFill>
                    <w14:schemeClr w14:val="tx1"/>
                  </w14:solidFill>
                </w14:textFill>
              </w:rPr>
              <w:t>有机溶剂挥发产生的</w:t>
            </w:r>
            <w:r>
              <w:rPr>
                <w:rFonts w:eastAsia="仿宋"/>
                <w:color w:val="000000" w:themeColor="text1"/>
                <w:sz w:val="24"/>
                <w14:textFill>
                  <w14:solidFill>
                    <w14:schemeClr w14:val="tx1"/>
                  </w14:solidFill>
                </w14:textFill>
              </w:rPr>
              <w:t>VOCs</w:t>
            </w:r>
            <w:bookmarkEnd w:id="31"/>
            <w:bookmarkEnd w:id="32"/>
            <w:r>
              <w:rPr>
                <w:rFonts w:hint="eastAsia" w:eastAsia="仿宋"/>
                <w:color w:val="000000" w:themeColor="text1"/>
                <w:sz w:val="24"/>
                <w14:textFill>
                  <w14:solidFill>
                    <w14:schemeClr w14:val="tx1"/>
                  </w14:solidFill>
                </w14:textFill>
              </w:rPr>
              <w:t>情况如下所示。</w:t>
            </w:r>
          </w:p>
          <w:p w14:paraId="7B2164A7">
            <w:pPr>
              <w:snapToGrid w:val="0"/>
              <w:spacing w:line="480" w:lineRule="exact"/>
              <w:jc w:val="center"/>
              <w:rPr>
                <w:rFonts w:eastAsia="仿宋"/>
                <w:b/>
                <w:color w:val="000000" w:themeColor="text1"/>
                <w:szCs w:val="21"/>
                <w14:textFill>
                  <w14:solidFill>
                    <w14:schemeClr w14:val="tx1"/>
                  </w14:solidFill>
                </w14:textFill>
              </w:rPr>
            </w:pPr>
          </w:p>
          <w:p w14:paraId="0E8BDC24">
            <w:pPr>
              <w:snapToGrid w:val="0"/>
              <w:spacing w:line="480" w:lineRule="exact"/>
              <w:jc w:val="center"/>
              <w:rPr>
                <w:rFonts w:eastAsia="仿宋"/>
                <w:b/>
                <w:color w:val="000000" w:themeColor="text1"/>
                <w:szCs w:val="21"/>
                <w14:textFill>
                  <w14:solidFill>
                    <w14:schemeClr w14:val="tx1"/>
                  </w14:solidFill>
                </w14:textFill>
              </w:rPr>
            </w:pPr>
          </w:p>
          <w:p w14:paraId="6FC8C10B">
            <w:pPr>
              <w:snapToGrid w:val="0"/>
              <w:spacing w:line="480" w:lineRule="exact"/>
              <w:jc w:val="center"/>
              <w:rPr>
                <w:rFonts w:eastAsia="仿宋"/>
                <w:b/>
                <w:color w:val="000000" w:themeColor="text1"/>
                <w:szCs w:val="21"/>
                <w14:textFill>
                  <w14:solidFill>
                    <w14:schemeClr w14:val="tx1"/>
                  </w14:solidFill>
                </w14:textFill>
              </w:rPr>
            </w:pPr>
          </w:p>
          <w:p w14:paraId="6817FDEF">
            <w:pPr>
              <w:snapToGrid w:val="0"/>
              <w:spacing w:line="480" w:lineRule="exact"/>
              <w:jc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表4</w:t>
            </w:r>
            <w:r>
              <w:rPr>
                <w:rFonts w:eastAsia="仿宋"/>
                <w:b/>
                <w:color w:val="000000" w:themeColor="text1"/>
                <w:szCs w:val="21"/>
                <w14:textFill>
                  <w14:solidFill>
                    <w14:schemeClr w14:val="tx1"/>
                  </w14:solidFill>
                </w14:textFill>
              </w:rPr>
              <w:t xml:space="preserve">-1 </w:t>
            </w:r>
            <w:r>
              <w:rPr>
                <w:rFonts w:hint="eastAsia" w:eastAsia="仿宋"/>
                <w:b/>
                <w:color w:val="000000" w:themeColor="text1"/>
                <w:szCs w:val="21"/>
                <w14:textFill>
                  <w14:solidFill>
                    <w14:schemeClr w14:val="tx1"/>
                  </w14:solidFill>
                </w14:textFill>
              </w:rPr>
              <w:t>本项目有机溶剂挥发V</w:t>
            </w:r>
            <w:r>
              <w:rPr>
                <w:rFonts w:eastAsia="仿宋"/>
                <w:b/>
                <w:color w:val="000000" w:themeColor="text1"/>
                <w:szCs w:val="21"/>
                <w14:textFill>
                  <w14:solidFill>
                    <w14:schemeClr w14:val="tx1"/>
                  </w14:solidFill>
                </w14:textFill>
              </w:rPr>
              <w:t>OCs</w:t>
            </w:r>
            <w:r>
              <w:rPr>
                <w:rFonts w:hint="eastAsia" w:eastAsia="仿宋"/>
                <w:b/>
                <w:color w:val="000000" w:themeColor="text1"/>
                <w:szCs w:val="21"/>
                <w14:textFill>
                  <w14:solidFill>
                    <w14:schemeClr w14:val="tx1"/>
                  </w14:solidFill>
                </w14:textFill>
              </w:rPr>
              <w:t>情况</w:t>
            </w:r>
          </w:p>
          <w:tbl>
            <w:tblPr>
              <w:tblStyle w:val="25"/>
              <w:tblW w:w="7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570"/>
              <w:gridCol w:w="1559"/>
              <w:gridCol w:w="1559"/>
              <w:gridCol w:w="1573"/>
            </w:tblGrid>
            <w:tr w14:paraId="32357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276" w:type="dxa"/>
                  <w:vAlign w:val="center"/>
                </w:tcPr>
                <w:p w14:paraId="7B75AB90">
                  <w:pPr>
                    <w:snapToGrid w:val="0"/>
                    <w:jc w:val="center"/>
                    <w:rPr>
                      <w:rFonts w:eastAsia="仿宋"/>
                      <w:b/>
                      <w:color w:val="000000" w:themeColor="text1"/>
                      <w:szCs w:val="21"/>
                      <w14:textFill>
                        <w14:solidFill>
                          <w14:schemeClr w14:val="tx1"/>
                        </w14:solidFill>
                      </w14:textFill>
                    </w:rPr>
                  </w:pPr>
                  <w:bookmarkStart w:id="33" w:name="OLE_LINK12"/>
                  <w:bookmarkStart w:id="34" w:name="OLE_LINK13"/>
                  <w:r>
                    <w:rPr>
                      <w:rFonts w:hint="eastAsia" w:eastAsia="仿宋"/>
                      <w:b/>
                      <w:color w:val="000000" w:themeColor="text1"/>
                      <w:szCs w:val="21"/>
                      <w14:textFill>
                        <w14:solidFill>
                          <w14:schemeClr w14:val="tx1"/>
                        </w14:solidFill>
                      </w14:textFill>
                    </w:rPr>
                    <w:t>序号</w:t>
                  </w:r>
                </w:p>
              </w:tc>
              <w:tc>
                <w:tcPr>
                  <w:tcW w:w="1570" w:type="dxa"/>
                  <w:vAlign w:val="center"/>
                </w:tcPr>
                <w:p w14:paraId="6C43A92C">
                  <w:pPr>
                    <w:snapToGrid w:val="0"/>
                    <w:jc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溶剂名称</w:t>
                  </w:r>
                </w:p>
              </w:tc>
              <w:tc>
                <w:tcPr>
                  <w:tcW w:w="1559" w:type="dxa"/>
                  <w:vAlign w:val="center"/>
                </w:tcPr>
                <w:p w14:paraId="7ABDF28B">
                  <w:pPr>
                    <w:snapToGrid w:val="0"/>
                    <w:jc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年使用量</w:t>
                  </w:r>
                </w:p>
              </w:tc>
              <w:tc>
                <w:tcPr>
                  <w:tcW w:w="1559" w:type="dxa"/>
                  <w:vAlign w:val="center"/>
                </w:tcPr>
                <w:p w14:paraId="640EBE8C">
                  <w:pPr>
                    <w:snapToGrid w:val="0"/>
                    <w:jc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密度</w:t>
                  </w:r>
                </w:p>
              </w:tc>
              <w:tc>
                <w:tcPr>
                  <w:tcW w:w="1573" w:type="dxa"/>
                  <w:vAlign w:val="center"/>
                </w:tcPr>
                <w:p w14:paraId="24B0EB09">
                  <w:pPr>
                    <w:snapToGrid w:val="0"/>
                    <w:jc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挥发量（</w:t>
                  </w:r>
                  <w:r>
                    <w:rPr>
                      <w:rFonts w:eastAsia="仿宋"/>
                      <w:b/>
                      <w:color w:val="000000" w:themeColor="text1"/>
                      <w:szCs w:val="21"/>
                      <w14:textFill>
                        <w14:solidFill>
                          <w14:schemeClr w14:val="tx1"/>
                        </w14:solidFill>
                      </w14:textFill>
                    </w:rPr>
                    <w:t>t/a</w:t>
                  </w:r>
                  <w:r>
                    <w:rPr>
                      <w:rFonts w:hint="eastAsia" w:eastAsia="仿宋"/>
                      <w:b/>
                      <w:color w:val="000000" w:themeColor="text1"/>
                      <w:szCs w:val="21"/>
                      <w14:textFill>
                        <w14:solidFill>
                          <w14:schemeClr w14:val="tx1"/>
                        </w14:solidFill>
                      </w14:textFill>
                    </w:rPr>
                    <w:t>）</w:t>
                  </w:r>
                </w:p>
              </w:tc>
            </w:tr>
            <w:tr w14:paraId="5FC89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1276" w:type="dxa"/>
                  <w:vAlign w:val="center"/>
                </w:tcPr>
                <w:p w14:paraId="48A99695">
                  <w:pPr>
                    <w:snapToGrid w:val="0"/>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1</w:t>
                  </w:r>
                </w:p>
              </w:tc>
              <w:tc>
                <w:tcPr>
                  <w:tcW w:w="1570" w:type="dxa"/>
                  <w:vAlign w:val="center"/>
                </w:tcPr>
                <w:p w14:paraId="2D02A54D">
                  <w:pPr>
                    <w:snapToGrid w:val="0"/>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正己烷</w:t>
                  </w:r>
                </w:p>
              </w:tc>
              <w:tc>
                <w:tcPr>
                  <w:tcW w:w="1559" w:type="dxa"/>
                  <w:vAlign w:val="center"/>
                </w:tcPr>
                <w:p w14:paraId="598C4646">
                  <w:pPr>
                    <w:snapToGrid w:val="0"/>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40L</w:t>
                  </w:r>
                </w:p>
              </w:tc>
              <w:tc>
                <w:tcPr>
                  <w:tcW w:w="1559" w:type="dxa"/>
                  <w:vAlign w:val="center"/>
                </w:tcPr>
                <w:p w14:paraId="7570DA52">
                  <w:pPr>
                    <w:jc w:val="center"/>
                    <w:rPr>
                      <w:color w:val="000000" w:themeColor="text1"/>
                      <w14:textFill>
                        <w14:solidFill>
                          <w14:schemeClr w14:val="tx1"/>
                        </w14:solidFill>
                      </w14:textFill>
                    </w:rPr>
                  </w:pPr>
                  <w:r>
                    <w:rPr>
                      <w:color w:val="000000" w:themeColor="text1"/>
                      <w14:textFill>
                        <w14:solidFill>
                          <w14:schemeClr w14:val="tx1"/>
                        </w14:solidFill>
                      </w14:textFill>
                    </w:rPr>
                    <w:t>0.66g/mL</w:t>
                  </w:r>
                </w:p>
              </w:tc>
              <w:tc>
                <w:tcPr>
                  <w:tcW w:w="1573" w:type="dxa"/>
                  <w:vAlign w:val="center"/>
                </w:tcPr>
                <w:p w14:paraId="05747567">
                  <w:pPr>
                    <w:snapToGrid w:val="0"/>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0</w:t>
                  </w:r>
                  <w:r>
                    <w:rPr>
                      <w:rFonts w:eastAsia="仿宋"/>
                      <w:bCs/>
                      <w:color w:val="000000" w:themeColor="text1"/>
                      <w:szCs w:val="21"/>
                      <w14:textFill>
                        <w14:solidFill>
                          <w14:schemeClr w14:val="tx1"/>
                        </w14:solidFill>
                      </w14:textFill>
                    </w:rPr>
                    <w:t>.0013</w:t>
                  </w:r>
                </w:p>
              </w:tc>
            </w:tr>
            <w:tr w14:paraId="1975E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276" w:type="dxa"/>
                  <w:vAlign w:val="center"/>
                </w:tcPr>
                <w:p w14:paraId="2E24E6CC">
                  <w:pPr>
                    <w:snapToGrid w:val="0"/>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2</w:t>
                  </w:r>
                </w:p>
              </w:tc>
              <w:tc>
                <w:tcPr>
                  <w:tcW w:w="1570" w:type="dxa"/>
                  <w:vAlign w:val="center"/>
                </w:tcPr>
                <w:p w14:paraId="58B6EF9B">
                  <w:pPr>
                    <w:snapToGrid w:val="0"/>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正丁醇</w:t>
                  </w:r>
                </w:p>
              </w:tc>
              <w:tc>
                <w:tcPr>
                  <w:tcW w:w="1559" w:type="dxa"/>
                  <w:vAlign w:val="center"/>
                </w:tcPr>
                <w:p w14:paraId="7D1302CB">
                  <w:pPr>
                    <w:snapToGrid w:val="0"/>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1000ml</w:t>
                  </w:r>
                </w:p>
              </w:tc>
              <w:tc>
                <w:tcPr>
                  <w:tcW w:w="1559" w:type="dxa"/>
                  <w:vAlign w:val="center"/>
                </w:tcPr>
                <w:p w14:paraId="5D5F1EC1">
                  <w:pPr>
                    <w:jc w:val="center"/>
                    <w:rPr>
                      <w:color w:val="000000" w:themeColor="text1"/>
                      <w14:textFill>
                        <w14:solidFill>
                          <w14:schemeClr w14:val="tx1"/>
                        </w14:solidFill>
                      </w14:textFill>
                    </w:rPr>
                  </w:pPr>
                  <w:r>
                    <w:rPr>
                      <w:color w:val="000000" w:themeColor="text1"/>
                      <w14:textFill>
                        <w14:solidFill>
                          <w14:schemeClr w14:val="tx1"/>
                        </w14:solidFill>
                      </w14:textFill>
                    </w:rPr>
                    <w:t>0.81g/mL</w:t>
                  </w:r>
                </w:p>
              </w:tc>
              <w:tc>
                <w:tcPr>
                  <w:tcW w:w="1573" w:type="dxa"/>
                  <w:vAlign w:val="center"/>
                </w:tcPr>
                <w:p w14:paraId="252BB971">
                  <w:pPr>
                    <w:snapToGrid w:val="0"/>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0</w:t>
                  </w:r>
                  <w:r>
                    <w:rPr>
                      <w:rFonts w:eastAsia="仿宋"/>
                      <w:bCs/>
                      <w:color w:val="000000" w:themeColor="text1"/>
                      <w:szCs w:val="21"/>
                      <w14:textFill>
                        <w14:solidFill>
                          <w14:schemeClr w14:val="tx1"/>
                        </w14:solidFill>
                      </w14:textFill>
                    </w:rPr>
                    <w:t>.00004</w:t>
                  </w:r>
                </w:p>
              </w:tc>
            </w:tr>
            <w:tr w14:paraId="359B2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276" w:type="dxa"/>
                  <w:vAlign w:val="center"/>
                </w:tcPr>
                <w:p w14:paraId="5BA027C5">
                  <w:pPr>
                    <w:snapToGrid w:val="0"/>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3</w:t>
                  </w:r>
                </w:p>
              </w:tc>
              <w:tc>
                <w:tcPr>
                  <w:tcW w:w="1570" w:type="dxa"/>
                  <w:vAlign w:val="center"/>
                </w:tcPr>
                <w:p w14:paraId="2A229BDE">
                  <w:pPr>
                    <w:snapToGrid w:val="0"/>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异丙醇</w:t>
                  </w:r>
                </w:p>
              </w:tc>
              <w:tc>
                <w:tcPr>
                  <w:tcW w:w="1559" w:type="dxa"/>
                  <w:vAlign w:val="center"/>
                </w:tcPr>
                <w:p w14:paraId="0CC24B53">
                  <w:pPr>
                    <w:snapToGrid w:val="0"/>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40L</w:t>
                  </w:r>
                </w:p>
              </w:tc>
              <w:tc>
                <w:tcPr>
                  <w:tcW w:w="1559" w:type="dxa"/>
                  <w:vAlign w:val="center"/>
                </w:tcPr>
                <w:p w14:paraId="14D0610F">
                  <w:pPr>
                    <w:jc w:val="center"/>
                    <w:rPr>
                      <w:color w:val="000000" w:themeColor="text1"/>
                      <w14:textFill>
                        <w14:solidFill>
                          <w14:schemeClr w14:val="tx1"/>
                        </w14:solidFill>
                      </w14:textFill>
                    </w:rPr>
                  </w:pPr>
                  <w:r>
                    <w:rPr>
                      <w:color w:val="000000" w:themeColor="text1"/>
                      <w14:textFill>
                        <w14:solidFill>
                          <w14:schemeClr w14:val="tx1"/>
                        </w14:solidFill>
                      </w14:textFill>
                    </w:rPr>
                    <w:t>0.785g/mL</w:t>
                  </w:r>
                </w:p>
              </w:tc>
              <w:tc>
                <w:tcPr>
                  <w:tcW w:w="1573" w:type="dxa"/>
                  <w:vAlign w:val="center"/>
                </w:tcPr>
                <w:p w14:paraId="19282EE1">
                  <w:pPr>
                    <w:snapToGrid w:val="0"/>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0</w:t>
                  </w:r>
                  <w:r>
                    <w:rPr>
                      <w:rFonts w:eastAsia="仿宋"/>
                      <w:bCs/>
                      <w:color w:val="000000" w:themeColor="text1"/>
                      <w:szCs w:val="21"/>
                      <w14:textFill>
                        <w14:solidFill>
                          <w14:schemeClr w14:val="tx1"/>
                        </w14:solidFill>
                      </w14:textFill>
                    </w:rPr>
                    <w:t>.0016</w:t>
                  </w:r>
                </w:p>
              </w:tc>
            </w:tr>
            <w:tr w14:paraId="21AAC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276" w:type="dxa"/>
                  <w:vAlign w:val="center"/>
                </w:tcPr>
                <w:p w14:paraId="1CBD5C7D">
                  <w:pPr>
                    <w:snapToGrid w:val="0"/>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4</w:t>
                  </w:r>
                </w:p>
              </w:tc>
              <w:tc>
                <w:tcPr>
                  <w:tcW w:w="1570" w:type="dxa"/>
                  <w:vAlign w:val="center"/>
                </w:tcPr>
                <w:p w14:paraId="2791F064">
                  <w:pPr>
                    <w:snapToGrid w:val="0"/>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乙醚</w:t>
                  </w:r>
                </w:p>
              </w:tc>
              <w:tc>
                <w:tcPr>
                  <w:tcW w:w="1559" w:type="dxa"/>
                  <w:vAlign w:val="center"/>
                </w:tcPr>
                <w:p w14:paraId="24C00306">
                  <w:pPr>
                    <w:snapToGrid w:val="0"/>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1000ml</w:t>
                  </w:r>
                </w:p>
              </w:tc>
              <w:tc>
                <w:tcPr>
                  <w:tcW w:w="1559" w:type="dxa"/>
                  <w:vAlign w:val="center"/>
                </w:tcPr>
                <w:p w14:paraId="7540B6B9">
                  <w:pPr>
                    <w:jc w:val="center"/>
                    <w:rPr>
                      <w:color w:val="000000" w:themeColor="text1"/>
                      <w14:textFill>
                        <w14:solidFill>
                          <w14:schemeClr w14:val="tx1"/>
                        </w14:solidFill>
                      </w14:textFill>
                    </w:rPr>
                  </w:pPr>
                  <w:r>
                    <w:rPr>
                      <w:color w:val="000000" w:themeColor="text1"/>
                      <w14:textFill>
                        <w14:solidFill>
                          <w14:schemeClr w14:val="tx1"/>
                        </w14:solidFill>
                      </w14:textFill>
                    </w:rPr>
                    <w:t>0.714g/mL</w:t>
                  </w:r>
                </w:p>
              </w:tc>
              <w:tc>
                <w:tcPr>
                  <w:tcW w:w="1573" w:type="dxa"/>
                  <w:vAlign w:val="center"/>
                </w:tcPr>
                <w:p w14:paraId="4EAEC43A">
                  <w:pPr>
                    <w:snapToGrid w:val="0"/>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0</w:t>
                  </w:r>
                  <w:r>
                    <w:rPr>
                      <w:rFonts w:eastAsia="仿宋"/>
                      <w:bCs/>
                      <w:color w:val="000000" w:themeColor="text1"/>
                      <w:szCs w:val="21"/>
                      <w14:textFill>
                        <w14:solidFill>
                          <w14:schemeClr w14:val="tx1"/>
                        </w14:solidFill>
                      </w14:textFill>
                    </w:rPr>
                    <w:t>.00004</w:t>
                  </w:r>
                </w:p>
              </w:tc>
            </w:tr>
            <w:tr w14:paraId="33A91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276" w:type="dxa"/>
                  <w:vAlign w:val="center"/>
                </w:tcPr>
                <w:p w14:paraId="30142F2D">
                  <w:pPr>
                    <w:snapToGrid w:val="0"/>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5</w:t>
                  </w:r>
                </w:p>
              </w:tc>
              <w:tc>
                <w:tcPr>
                  <w:tcW w:w="1570" w:type="dxa"/>
                  <w:vAlign w:val="center"/>
                </w:tcPr>
                <w:p w14:paraId="1162AEA3">
                  <w:pPr>
                    <w:snapToGrid w:val="0"/>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乙腈</w:t>
                  </w:r>
                </w:p>
              </w:tc>
              <w:tc>
                <w:tcPr>
                  <w:tcW w:w="1559" w:type="dxa"/>
                  <w:vAlign w:val="center"/>
                </w:tcPr>
                <w:p w14:paraId="11D25C2A">
                  <w:pPr>
                    <w:snapToGrid w:val="0"/>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160L</w:t>
                  </w:r>
                </w:p>
              </w:tc>
              <w:tc>
                <w:tcPr>
                  <w:tcW w:w="1559" w:type="dxa"/>
                  <w:vAlign w:val="center"/>
                </w:tcPr>
                <w:p w14:paraId="4E266C88">
                  <w:pPr>
                    <w:jc w:val="center"/>
                    <w:rPr>
                      <w:color w:val="000000" w:themeColor="text1"/>
                      <w14:textFill>
                        <w14:solidFill>
                          <w14:schemeClr w14:val="tx1"/>
                        </w14:solidFill>
                      </w14:textFill>
                    </w:rPr>
                  </w:pPr>
                  <w:r>
                    <w:rPr>
                      <w:color w:val="000000" w:themeColor="text1"/>
                      <w14:textFill>
                        <w14:solidFill>
                          <w14:schemeClr w14:val="tx1"/>
                        </w14:solidFill>
                      </w14:textFill>
                    </w:rPr>
                    <w:t>0.786g/mL</w:t>
                  </w:r>
                </w:p>
              </w:tc>
              <w:tc>
                <w:tcPr>
                  <w:tcW w:w="1573" w:type="dxa"/>
                  <w:vAlign w:val="center"/>
                </w:tcPr>
                <w:p w14:paraId="331E7CDE">
                  <w:pPr>
                    <w:snapToGrid w:val="0"/>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0</w:t>
                  </w:r>
                  <w:r>
                    <w:rPr>
                      <w:rFonts w:eastAsia="仿宋"/>
                      <w:bCs/>
                      <w:color w:val="000000" w:themeColor="text1"/>
                      <w:szCs w:val="21"/>
                      <w14:textFill>
                        <w14:solidFill>
                          <w14:schemeClr w14:val="tx1"/>
                        </w14:solidFill>
                      </w14:textFill>
                    </w:rPr>
                    <w:t>.0063</w:t>
                  </w:r>
                </w:p>
              </w:tc>
            </w:tr>
            <w:tr w14:paraId="29A61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276" w:type="dxa"/>
                  <w:vAlign w:val="center"/>
                </w:tcPr>
                <w:p w14:paraId="786BB623">
                  <w:pPr>
                    <w:snapToGrid w:val="0"/>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6</w:t>
                  </w:r>
                </w:p>
              </w:tc>
              <w:tc>
                <w:tcPr>
                  <w:tcW w:w="1570" w:type="dxa"/>
                  <w:vAlign w:val="center"/>
                </w:tcPr>
                <w:p w14:paraId="57374709">
                  <w:pPr>
                    <w:snapToGrid w:val="0"/>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乙醇</w:t>
                  </w:r>
                </w:p>
              </w:tc>
              <w:tc>
                <w:tcPr>
                  <w:tcW w:w="1559" w:type="dxa"/>
                  <w:vAlign w:val="center"/>
                </w:tcPr>
                <w:p w14:paraId="7EAD1AE1">
                  <w:pPr>
                    <w:snapToGrid w:val="0"/>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5000ml</w:t>
                  </w:r>
                </w:p>
              </w:tc>
              <w:tc>
                <w:tcPr>
                  <w:tcW w:w="1559" w:type="dxa"/>
                  <w:vAlign w:val="center"/>
                </w:tcPr>
                <w:p w14:paraId="51ED182F">
                  <w:pPr>
                    <w:jc w:val="center"/>
                    <w:rPr>
                      <w:color w:val="000000" w:themeColor="text1"/>
                      <w14:textFill>
                        <w14:solidFill>
                          <w14:schemeClr w14:val="tx1"/>
                        </w14:solidFill>
                      </w14:textFill>
                    </w:rPr>
                  </w:pPr>
                  <w:r>
                    <w:rPr>
                      <w:color w:val="000000" w:themeColor="text1"/>
                      <w14:textFill>
                        <w14:solidFill>
                          <w14:schemeClr w14:val="tx1"/>
                        </w14:solidFill>
                      </w14:textFill>
                    </w:rPr>
                    <w:t>0.789g/mL</w:t>
                  </w:r>
                </w:p>
              </w:tc>
              <w:tc>
                <w:tcPr>
                  <w:tcW w:w="1573" w:type="dxa"/>
                  <w:vAlign w:val="center"/>
                </w:tcPr>
                <w:p w14:paraId="0FC59307">
                  <w:pPr>
                    <w:snapToGrid w:val="0"/>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0</w:t>
                  </w:r>
                  <w:r>
                    <w:rPr>
                      <w:rFonts w:eastAsia="仿宋"/>
                      <w:bCs/>
                      <w:color w:val="000000" w:themeColor="text1"/>
                      <w:szCs w:val="21"/>
                      <w14:textFill>
                        <w14:solidFill>
                          <w14:schemeClr w14:val="tx1"/>
                        </w14:solidFill>
                      </w14:textFill>
                    </w:rPr>
                    <w:t>.0002</w:t>
                  </w:r>
                </w:p>
              </w:tc>
            </w:tr>
            <w:tr w14:paraId="5B7D1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1276" w:type="dxa"/>
                  <w:vAlign w:val="center"/>
                </w:tcPr>
                <w:p w14:paraId="651CE908">
                  <w:pPr>
                    <w:snapToGrid w:val="0"/>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7</w:t>
                  </w:r>
                </w:p>
              </w:tc>
              <w:tc>
                <w:tcPr>
                  <w:tcW w:w="1570" w:type="dxa"/>
                  <w:vAlign w:val="center"/>
                </w:tcPr>
                <w:p w14:paraId="2124C168">
                  <w:pPr>
                    <w:snapToGrid w:val="0"/>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甲醇</w:t>
                  </w:r>
                </w:p>
              </w:tc>
              <w:tc>
                <w:tcPr>
                  <w:tcW w:w="1559" w:type="dxa"/>
                  <w:vAlign w:val="center"/>
                </w:tcPr>
                <w:p w14:paraId="1A1C8308">
                  <w:pPr>
                    <w:snapToGrid w:val="0"/>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160L</w:t>
                  </w:r>
                </w:p>
              </w:tc>
              <w:tc>
                <w:tcPr>
                  <w:tcW w:w="1559" w:type="dxa"/>
                  <w:vAlign w:val="center"/>
                </w:tcPr>
                <w:p w14:paraId="52DB91FD">
                  <w:pPr>
                    <w:jc w:val="center"/>
                    <w:rPr>
                      <w:color w:val="000000" w:themeColor="text1"/>
                      <w14:textFill>
                        <w14:solidFill>
                          <w14:schemeClr w14:val="tx1"/>
                        </w14:solidFill>
                      </w14:textFill>
                    </w:rPr>
                  </w:pPr>
                  <w:r>
                    <w:rPr>
                      <w:color w:val="000000" w:themeColor="text1"/>
                      <w14:textFill>
                        <w14:solidFill>
                          <w14:schemeClr w14:val="tx1"/>
                        </w14:solidFill>
                      </w14:textFill>
                    </w:rPr>
                    <w:t>0.7918g/mL</w:t>
                  </w:r>
                </w:p>
              </w:tc>
              <w:tc>
                <w:tcPr>
                  <w:tcW w:w="1573" w:type="dxa"/>
                  <w:vAlign w:val="center"/>
                </w:tcPr>
                <w:p w14:paraId="4C7C66B5">
                  <w:pPr>
                    <w:snapToGrid w:val="0"/>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0</w:t>
                  </w:r>
                  <w:r>
                    <w:rPr>
                      <w:rFonts w:eastAsia="仿宋"/>
                      <w:bCs/>
                      <w:color w:val="000000" w:themeColor="text1"/>
                      <w:szCs w:val="21"/>
                      <w14:textFill>
                        <w14:solidFill>
                          <w14:schemeClr w14:val="tx1"/>
                        </w14:solidFill>
                      </w14:textFill>
                    </w:rPr>
                    <w:t>.0063</w:t>
                  </w:r>
                </w:p>
              </w:tc>
            </w:tr>
            <w:bookmarkEnd w:id="33"/>
            <w:bookmarkEnd w:id="34"/>
          </w:tbl>
          <w:p w14:paraId="692B6646">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根据上述表格，本项目有机溶剂挥发产生的VOCs总量约为0</w:t>
            </w:r>
            <w:r>
              <w:rPr>
                <w:rFonts w:eastAsia="仿宋"/>
                <w:color w:val="000000" w:themeColor="text1"/>
                <w:sz w:val="24"/>
                <w14:textFill>
                  <w14:solidFill>
                    <w14:schemeClr w14:val="tx1"/>
                  </w14:solidFill>
                </w14:textFill>
              </w:rPr>
              <w:t>.0159t/a</w:t>
            </w:r>
            <w:r>
              <w:rPr>
                <w:rFonts w:hint="eastAsia" w:eastAsia="仿宋"/>
                <w:color w:val="000000" w:themeColor="text1"/>
                <w:sz w:val="24"/>
                <w14:textFill>
                  <w14:solidFill>
                    <w14:schemeClr w14:val="tx1"/>
                  </w14:solidFill>
                </w14:textFill>
              </w:rPr>
              <w:t>，经通风橱通风系统收集，通风橱捕集效率以9</w:t>
            </w:r>
            <w:r>
              <w:rPr>
                <w:rFonts w:eastAsia="仿宋"/>
                <w:color w:val="000000" w:themeColor="text1"/>
                <w:sz w:val="24"/>
                <w14:textFill>
                  <w14:solidFill>
                    <w14:schemeClr w14:val="tx1"/>
                  </w14:solidFill>
                </w14:textFill>
              </w:rPr>
              <w:t>5%</w:t>
            </w:r>
            <w:r>
              <w:rPr>
                <w:rFonts w:hint="eastAsia" w:eastAsia="仿宋"/>
                <w:color w:val="000000" w:themeColor="text1"/>
                <w:sz w:val="24"/>
                <w14:textFill>
                  <w14:solidFill>
                    <w14:schemeClr w14:val="tx1"/>
                  </w14:solidFill>
                </w14:textFill>
              </w:rPr>
              <w:t>计，本项目有组织有机废气产生情况如下所示。</w:t>
            </w:r>
          </w:p>
          <w:p w14:paraId="40FF742E">
            <w:pPr>
              <w:snapToGrid w:val="0"/>
              <w:spacing w:line="480" w:lineRule="exact"/>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表4</w:t>
            </w:r>
            <w:r>
              <w:rPr>
                <w:rFonts w:eastAsia="仿宋"/>
                <w:b/>
                <w:bCs/>
                <w:color w:val="000000" w:themeColor="text1"/>
                <w:szCs w:val="21"/>
                <w14:textFill>
                  <w14:solidFill>
                    <w14:schemeClr w14:val="tx1"/>
                  </w14:solidFill>
                </w14:textFill>
              </w:rPr>
              <w:t>-2 本项目</w:t>
            </w:r>
            <w:r>
              <w:rPr>
                <w:rFonts w:hint="eastAsia" w:eastAsia="仿宋"/>
                <w:b/>
                <w:bCs/>
                <w:color w:val="000000" w:themeColor="text1"/>
                <w:szCs w:val="21"/>
                <w14:textFill>
                  <w14:solidFill>
                    <w14:schemeClr w14:val="tx1"/>
                  </w14:solidFill>
                </w14:textFill>
              </w:rPr>
              <w:t>实验室有组织有机</w:t>
            </w:r>
            <w:r>
              <w:rPr>
                <w:rFonts w:eastAsia="仿宋"/>
                <w:b/>
                <w:bCs/>
                <w:color w:val="000000" w:themeColor="text1"/>
                <w:szCs w:val="21"/>
                <w14:textFill>
                  <w14:solidFill>
                    <w14:schemeClr w14:val="tx1"/>
                  </w14:solidFill>
                </w14:textFill>
              </w:rPr>
              <w:t>废气</w:t>
            </w:r>
            <w:r>
              <w:rPr>
                <w:rFonts w:hint="eastAsia" w:eastAsia="仿宋"/>
                <w:b/>
                <w:bCs/>
                <w:color w:val="000000" w:themeColor="text1"/>
                <w:szCs w:val="21"/>
                <w14:textFill>
                  <w14:solidFill>
                    <w14:schemeClr w14:val="tx1"/>
                  </w14:solidFill>
                </w14:textFill>
              </w:rPr>
              <w:t>情况</w:t>
            </w:r>
            <w:r>
              <w:rPr>
                <w:rFonts w:eastAsia="仿宋"/>
                <w:b/>
                <w:bCs/>
                <w:color w:val="000000" w:themeColor="text1"/>
                <w:szCs w:val="21"/>
                <w14:textFill>
                  <w14:solidFill>
                    <w14:schemeClr w14:val="tx1"/>
                  </w14:solidFill>
                </w14:textFill>
              </w:rPr>
              <w:t>汇总表</w:t>
            </w:r>
          </w:p>
          <w:tbl>
            <w:tblPr>
              <w:tblStyle w:val="25"/>
              <w:tblW w:w="8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221"/>
              <w:gridCol w:w="993"/>
              <w:gridCol w:w="1275"/>
              <w:gridCol w:w="1276"/>
              <w:gridCol w:w="1134"/>
              <w:gridCol w:w="992"/>
              <w:gridCol w:w="1122"/>
            </w:tblGrid>
            <w:tr w14:paraId="07D33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dxa"/>
                  <w:vMerge w:val="restart"/>
                  <w:vAlign w:val="center"/>
                </w:tcPr>
                <w:p w14:paraId="2318E001">
                  <w:pPr>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污染源位置</w:t>
                  </w:r>
                </w:p>
              </w:tc>
              <w:tc>
                <w:tcPr>
                  <w:tcW w:w="1221" w:type="dxa"/>
                  <w:vMerge w:val="restart"/>
                  <w:vAlign w:val="center"/>
                </w:tcPr>
                <w:p w14:paraId="0C56514C">
                  <w:pPr>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污染源及编号</w:t>
                  </w:r>
                </w:p>
              </w:tc>
              <w:tc>
                <w:tcPr>
                  <w:tcW w:w="993" w:type="dxa"/>
                  <w:vMerge w:val="restart"/>
                  <w:vAlign w:val="center"/>
                </w:tcPr>
                <w:p w14:paraId="6679764C">
                  <w:pPr>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排气量（m</w:t>
                  </w:r>
                  <w:r>
                    <w:rPr>
                      <w:rFonts w:eastAsia="仿宋"/>
                      <w:b/>
                      <w:bCs/>
                      <w:color w:val="000000" w:themeColor="text1"/>
                      <w:szCs w:val="21"/>
                      <w:vertAlign w:val="superscript"/>
                      <w14:textFill>
                        <w14:solidFill>
                          <w14:schemeClr w14:val="tx1"/>
                        </w14:solidFill>
                      </w14:textFill>
                    </w:rPr>
                    <w:t>3</w:t>
                  </w:r>
                  <w:r>
                    <w:rPr>
                      <w:rFonts w:eastAsia="仿宋"/>
                      <w:b/>
                      <w:bCs/>
                      <w:color w:val="000000" w:themeColor="text1"/>
                      <w:szCs w:val="21"/>
                      <w14:textFill>
                        <w14:solidFill>
                          <w14:schemeClr w14:val="tx1"/>
                        </w14:solidFill>
                      </w14:textFill>
                    </w:rPr>
                    <w:t>/h</w:t>
                  </w:r>
                  <w:r>
                    <w:rPr>
                      <w:rFonts w:hint="eastAsia" w:eastAsia="仿宋"/>
                      <w:b/>
                      <w:bCs/>
                      <w:color w:val="000000" w:themeColor="text1"/>
                      <w:szCs w:val="21"/>
                      <w14:textFill>
                        <w14:solidFill>
                          <w14:schemeClr w14:val="tx1"/>
                        </w14:solidFill>
                      </w14:textFill>
                    </w:rPr>
                    <w:t>）</w:t>
                  </w:r>
                </w:p>
              </w:tc>
              <w:tc>
                <w:tcPr>
                  <w:tcW w:w="1275" w:type="dxa"/>
                  <w:vMerge w:val="restart"/>
                  <w:vAlign w:val="center"/>
                </w:tcPr>
                <w:p w14:paraId="5CBC2975">
                  <w:pPr>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污染物名称</w:t>
                  </w:r>
                </w:p>
              </w:tc>
              <w:tc>
                <w:tcPr>
                  <w:tcW w:w="3402" w:type="dxa"/>
                  <w:gridSpan w:val="3"/>
                  <w:vAlign w:val="center"/>
                </w:tcPr>
                <w:p w14:paraId="398F6444">
                  <w:pPr>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产生状况</w:t>
                  </w:r>
                </w:p>
              </w:tc>
              <w:tc>
                <w:tcPr>
                  <w:tcW w:w="1122" w:type="dxa"/>
                  <w:vMerge w:val="restart"/>
                  <w:vAlign w:val="center"/>
                </w:tcPr>
                <w:p w14:paraId="4D065AB8">
                  <w:pPr>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年工作时数（h）</w:t>
                  </w:r>
                </w:p>
              </w:tc>
            </w:tr>
            <w:tr w14:paraId="36E3E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8" w:type="dxa"/>
                  <w:vMerge w:val="continue"/>
                  <w:vAlign w:val="center"/>
                </w:tcPr>
                <w:p w14:paraId="4C4F4E96">
                  <w:pPr>
                    <w:jc w:val="center"/>
                    <w:rPr>
                      <w:rFonts w:eastAsia="仿宋"/>
                      <w:color w:val="000000" w:themeColor="text1"/>
                      <w:szCs w:val="21"/>
                      <w14:textFill>
                        <w14:solidFill>
                          <w14:schemeClr w14:val="tx1"/>
                        </w14:solidFill>
                      </w14:textFill>
                    </w:rPr>
                  </w:pPr>
                </w:p>
              </w:tc>
              <w:tc>
                <w:tcPr>
                  <w:tcW w:w="1221" w:type="dxa"/>
                  <w:vMerge w:val="continue"/>
                  <w:vAlign w:val="center"/>
                </w:tcPr>
                <w:p w14:paraId="1986B1FA">
                  <w:pPr>
                    <w:jc w:val="center"/>
                    <w:rPr>
                      <w:rFonts w:eastAsia="仿宋"/>
                      <w:color w:val="000000" w:themeColor="text1"/>
                      <w:szCs w:val="21"/>
                      <w14:textFill>
                        <w14:solidFill>
                          <w14:schemeClr w14:val="tx1"/>
                        </w14:solidFill>
                      </w14:textFill>
                    </w:rPr>
                  </w:pPr>
                </w:p>
              </w:tc>
              <w:tc>
                <w:tcPr>
                  <w:tcW w:w="993" w:type="dxa"/>
                  <w:vMerge w:val="continue"/>
                  <w:vAlign w:val="center"/>
                </w:tcPr>
                <w:p w14:paraId="5F66835C">
                  <w:pPr>
                    <w:jc w:val="center"/>
                    <w:rPr>
                      <w:rFonts w:eastAsia="仿宋"/>
                      <w:color w:val="000000" w:themeColor="text1"/>
                      <w:szCs w:val="21"/>
                      <w14:textFill>
                        <w14:solidFill>
                          <w14:schemeClr w14:val="tx1"/>
                        </w14:solidFill>
                      </w14:textFill>
                    </w:rPr>
                  </w:pPr>
                </w:p>
              </w:tc>
              <w:tc>
                <w:tcPr>
                  <w:tcW w:w="1275" w:type="dxa"/>
                  <w:vMerge w:val="continue"/>
                  <w:vAlign w:val="center"/>
                </w:tcPr>
                <w:p w14:paraId="7ACA3B75">
                  <w:pPr>
                    <w:jc w:val="center"/>
                    <w:rPr>
                      <w:rFonts w:eastAsia="仿宋"/>
                      <w:color w:val="000000" w:themeColor="text1"/>
                      <w:szCs w:val="21"/>
                      <w14:textFill>
                        <w14:solidFill>
                          <w14:schemeClr w14:val="tx1"/>
                        </w14:solidFill>
                      </w14:textFill>
                    </w:rPr>
                  </w:pPr>
                </w:p>
              </w:tc>
              <w:tc>
                <w:tcPr>
                  <w:tcW w:w="1276" w:type="dxa"/>
                  <w:vAlign w:val="center"/>
                </w:tcPr>
                <w:p w14:paraId="3B57EBF1">
                  <w:pPr>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最大浓度（m</w:t>
                  </w:r>
                  <w:r>
                    <w:rPr>
                      <w:rFonts w:eastAsia="仿宋"/>
                      <w:b/>
                      <w:bCs/>
                      <w:color w:val="000000" w:themeColor="text1"/>
                      <w:szCs w:val="21"/>
                      <w14:textFill>
                        <w14:solidFill>
                          <w14:schemeClr w14:val="tx1"/>
                        </w14:solidFill>
                      </w14:textFill>
                    </w:rPr>
                    <w:t>g/m</w:t>
                  </w:r>
                  <w:r>
                    <w:rPr>
                      <w:rFonts w:eastAsia="仿宋"/>
                      <w:b/>
                      <w:bCs/>
                      <w:color w:val="000000" w:themeColor="text1"/>
                      <w:szCs w:val="21"/>
                      <w:vertAlign w:val="superscript"/>
                      <w14:textFill>
                        <w14:solidFill>
                          <w14:schemeClr w14:val="tx1"/>
                        </w14:solidFill>
                      </w14:textFill>
                    </w:rPr>
                    <w:t>3</w:t>
                  </w:r>
                  <w:r>
                    <w:rPr>
                      <w:rFonts w:hint="eastAsia" w:eastAsia="仿宋"/>
                      <w:b/>
                      <w:bCs/>
                      <w:color w:val="000000" w:themeColor="text1"/>
                      <w:szCs w:val="21"/>
                      <w14:textFill>
                        <w14:solidFill>
                          <w14:schemeClr w14:val="tx1"/>
                        </w14:solidFill>
                      </w14:textFill>
                    </w:rPr>
                    <w:t>）</w:t>
                  </w:r>
                </w:p>
              </w:tc>
              <w:tc>
                <w:tcPr>
                  <w:tcW w:w="1134" w:type="dxa"/>
                  <w:vAlign w:val="center"/>
                </w:tcPr>
                <w:p w14:paraId="370360E1">
                  <w:pPr>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最大速率（</w:t>
                  </w:r>
                  <w:r>
                    <w:rPr>
                      <w:rFonts w:eastAsia="仿宋"/>
                      <w:b/>
                      <w:bCs/>
                      <w:color w:val="000000" w:themeColor="text1"/>
                      <w:szCs w:val="21"/>
                      <w14:textFill>
                        <w14:solidFill>
                          <w14:schemeClr w14:val="tx1"/>
                        </w14:solidFill>
                      </w14:textFill>
                    </w:rPr>
                    <w:t>kg/h</w:t>
                  </w:r>
                  <w:r>
                    <w:rPr>
                      <w:rFonts w:hint="eastAsia" w:eastAsia="仿宋"/>
                      <w:b/>
                      <w:bCs/>
                      <w:color w:val="000000" w:themeColor="text1"/>
                      <w:szCs w:val="21"/>
                      <w14:textFill>
                        <w14:solidFill>
                          <w14:schemeClr w14:val="tx1"/>
                        </w14:solidFill>
                      </w14:textFill>
                    </w:rPr>
                    <w:t>）</w:t>
                  </w:r>
                </w:p>
              </w:tc>
              <w:tc>
                <w:tcPr>
                  <w:tcW w:w="992" w:type="dxa"/>
                  <w:vAlign w:val="center"/>
                </w:tcPr>
                <w:p w14:paraId="17A879E6">
                  <w:pPr>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产生量（t</w:t>
                  </w:r>
                  <w:r>
                    <w:rPr>
                      <w:rFonts w:eastAsia="仿宋"/>
                      <w:b/>
                      <w:bCs/>
                      <w:color w:val="000000" w:themeColor="text1"/>
                      <w:szCs w:val="21"/>
                      <w14:textFill>
                        <w14:solidFill>
                          <w14:schemeClr w14:val="tx1"/>
                        </w14:solidFill>
                      </w14:textFill>
                    </w:rPr>
                    <w:t>/a</w:t>
                  </w:r>
                  <w:r>
                    <w:rPr>
                      <w:rFonts w:hint="eastAsia" w:eastAsia="仿宋"/>
                      <w:b/>
                      <w:bCs/>
                      <w:color w:val="000000" w:themeColor="text1"/>
                      <w:szCs w:val="21"/>
                      <w14:textFill>
                        <w14:solidFill>
                          <w14:schemeClr w14:val="tx1"/>
                        </w14:solidFill>
                      </w14:textFill>
                    </w:rPr>
                    <w:t>）</w:t>
                  </w:r>
                </w:p>
              </w:tc>
              <w:tc>
                <w:tcPr>
                  <w:tcW w:w="1122" w:type="dxa"/>
                  <w:vMerge w:val="continue"/>
                  <w:vAlign w:val="center"/>
                </w:tcPr>
                <w:p w14:paraId="35591E15">
                  <w:pPr>
                    <w:jc w:val="center"/>
                    <w:rPr>
                      <w:rFonts w:eastAsia="仿宋"/>
                      <w:color w:val="000000" w:themeColor="text1"/>
                      <w:szCs w:val="21"/>
                      <w14:textFill>
                        <w14:solidFill>
                          <w14:schemeClr w14:val="tx1"/>
                        </w14:solidFill>
                      </w14:textFill>
                    </w:rPr>
                  </w:pPr>
                </w:p>
              </w:tc>
            </w:tr>
            <w:tr w14:paraId="61883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738" w:type="dxa"/>
                  <w:vMerge w:val="restart"/>
                  <w:vAlign w:val="center"/>
                </w:tcPr>
                <w:p w14:paraId="6045D9FF">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实验室</w:t>
                  </w:r>
                </w:p>
              </w:tc>
              <w:tc>
                <w:tcPr>
                  <w:tcW w:w="1221" w:type="dxa"/>
                  <w:vMerge w:val="restart"/>
                  <w:vAlign w:val="center"/>
                </w:tcPr>
                <w:p w14:paraId="72C8F67B">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Q</w:t>
                  </w:r>
                  <w:r>
                    <w:rPr>
                      <w:rFonts w:eastAsia="仿宋"/>
                      <w:color w:val="000000" w:themeColor="text1"/>
                      <w:szCs w:val="21"/>
                      <w14:textFill>
                        <w14:solidFill>
                          <w14:schemeClr w14:val="tx1"/>
                        </w14:solidFill>
                      </w14:textFill>
                    </w:rPr>
                    <w:t>C</w:t>
                  </w:r>
                  <w:r>
                    <w:rPr>
                      <w:rFonts w:hint="eastAsia" w:eastAsia="仿宋"/>
                      <w:color w:val="000000" w:themeColor="text1"/>
                      <w:szCs w:val="21"/>
                      <w14:textFill>
                        <w14:solidFill>
                          <w14:schemeClr w14:val="tx1"/>
                        </w14:solidFill>
                      </w14:textFill>
                    </w:rPr>
                    <w:t>取样、Q</w:t>
                  </w:r>
                  <w:r>
                    <w:rPr>
                      <w:rFonts w:eastAsia="仿宋"/>
                      <w:color w:val="000000" w:themeColor="text1"/>
                      <w:szCs w:val="21"/>
                      <w14:textFill>
                        <w14:solidFill>
                          <w14:schemeClr w14:val="tx1"/>
                        </w14:solidFill>
                      </w14:textFill>
                    </w:rPr>
                    <w:t>C</w:t>
                  </w:r>
                  <w:r>
                    <w:rPr>
                      <w:rFonts w:hint="eastAsia" w:eastAsia="仿宋"/>
                      <w:color w:val="000000" w:themeColor="text1"/>
                      <w:szCs w:val="21"/>
                      <w14:textFill>
                        <w14:solidFill>
                          <w14:schemeClr w14:val="tx1"/>
                        </w14:solidFill>
                      </w14:textFill>
                    </w:rPr>
                    <w:t>检验</w:t>
                  </w:r>
                </w:p>
              </w:tc>
              <w:tc>
                <w:tcPr>
                  <w:tcW w:w="993" w:type="dxa"/>
                  <w:vMerge w:val="restart"/>
                  <w:vAlign w:val="center"/>
                </w:tcPr>
                <w:p w14:paraId="22A4CDA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2700</w:t>
                  </w:r>
                </w:p>
              </w:tc>
              <w:tc>
                <w:tcPr>
                  <w:tcW w:w="1275" w:type="dxa"/>
                  <w:vAlign w:val="center"/>
                </w:tcPr>
                <w:p w14:paraId="2771B0EC">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甲醇</w:t>
                  </w:r>
                </w:p>
              </w:tc>
              <w:tc>
                <w:tcPr>
                  <w:tcW w:w="1276" w:type="dxa"/>
                  <w:tcBorders>
                    <w:top w:val="nil"/>
                    <w:left w:val="nil"/>
                    <w:bottom w:val="single" w:color="000000" w:sz="8" w:space="0"/>
                    <w:right w:val="single" w:color="000000" w:sz="8" w:space="0"/>
                  </w:tcBorders>
                  <w:shd w:val="clear" w:color="auto" w:fill="auto"/>
                  <w:vAlign w:val="center"/>
                </w:tcPr>
                <w:p w14:paraId="4F9D04E2">
                  <w:pPr>
                    <w:widowControl/>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11.11</w:t>
                  </w:r>
                </w:p>
              </w:tc>
              <w:tc>
                <w:tcPr>
                  <w:tcW w:w="1134" w:type="dxa"/>
                  <w:vAlign w:val="center"/>
                </w:tcPr>
                <w:p w14:paraId="55D11FF3">
                  <w:pPr>
                    <w:widowControl/>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0.03</w:t>
                  </w:r>
                </w:p>
              </w:tc>
              <w:tc>
                <w:tcPr>
                  <w:tcW w:w="992" w:type="dxa"/>
                  <w:vAlign w:val="center"/>
                </w:tcPr>
                <w:p w14:paraId="52C3A2E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0.006</w:t>
                  </w:r>
                </w:p>
              </w:tc>
              <w:tc>
                <w:tcPr>
                  <w:tcW w:w="1122" w:type="dxa"/>
                  <w:vMerge w:val="restart"/>
                  <w:vAlign w:val="center"/>
                </w:tcPr>
                <w:p w14:paraId="364DCB9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200</w:t>
                  </w:r>
                </w:p>
              </w:tc>
            </w:tr>
            <w:tr w14:paraId="3C48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38" w:type="dxa"/>
                  <w:vMerge w:val="continue"/>
                  <w:vAlign w:val="center"/>
                </w:tcPr>
                <w:p w14:paraId="42E08A6A">
                  <w:pPr>
                    <w:jc w:val="center"/>
                    <w:rPr>
                      <w:rFonts w:eastAsia="仿宋"/>
                      <w:color w:val="000000" w:themeColor="text1"/>
                      <w:szCs w:val="21"/>
                      <w14:textFill>
                        <w14:solidFill>
                          <w14:schemeClr w14:val="tx1"/>
                        </w14:solidFill>
                      </w14:textFill>
                    </w:rPr>
                  </w:pPr>
                </w:p>
              </w:tc>
              <w:tc>
                <w:tcPr>
                  <w:tcW w:w="1221" w:type="dxa"/>
                  <w:vMerge w:val="continue"/>
                  <w:vAlign w:val="center"/>
                </w:tcPr>
                <w:p w14:paraId="3B2ACE17">
                  <w:pPr>
                    <w:jc w:val="center"/>
                    <w:rPr>
                      <w:rFonts w:eastAsia="仿宋"/>
                      <w:color w:val="000000" w:themeColor="text1"/>
                      <w:szCs w:val="21"/>
                      <w14:textFill>
                        <w14:solidFill>
                          <w14:schemeClr w14:val="tx1"/>
                        </w14:solidFill>
                      </w14:textFill>
                    </w:rPr>
                  </w:pPr>
                </w:p>
              </w:tc>
              <w:tc>
                <w:tcPr>
                  <w:tcW w:w="993" w:type="dxa"/>
                  <w:vMerge w:val="continue"/>
                  <w:vAlign w:val="center"/>
                </w:tcPr>
                <w:p w14:paraId="74310A11">
                  <w:pPr>
                    <w:jc w:val="center"/>
                    <w:rPr>
                      <w:rFonts w:eastAsia="仿宋"/>
                      <w:color w:val="000000" w:themeColor="text1"/>
                      <w:szCs w:val="21"/>
                      <w14:textFill>
                        <w14:solidFill>
                          <w14:schemeClr w14:val="tx1"/>
                        </w14:solidFill>
                      </w14:textFill>
                    </w:rPr>
                  </w:pPr>
                </w:p>
              </w:tc>
              <w:tc>
                <w:tcPr>
                  <w:tcW w:w="1275" w:type="dxa"/>
                  <w:vAlign w:val="center"/>
                </w:tcPr>
                <w:p w14:paraId="185C137B">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非甲烷总烃</w:t>
                  </w:r>
                </w:p>
              </w:tc>
              <w:tc>
                <w:tcPr>
                  <w:tcW w:w="1276" w:type="dxa"/>
                  <w:tcBorders>
                    <w:top w:val="nil"/>
                    <w:left w:val="nil"/>
                    <w:bottom w:val="single" w:color="000000" w:sz="8" w:space="0"/>
                    <w:right w:val="single" w:color="000000" w:sz="8" w:space="0"/>
                  </w:tcBorders>
                  <w:shd w:val="clear" w:color="auto" w:fill="auto"/>
                  <w:vAlign w:val="center"/>
                </w:tcPr>
                <w:p w14:paraId="1F641F57">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27.78</w:t>
                  </w:r>
                </w:p>
              </w:tc>
              <w:tc>
                <w:tcPr>
                  <w:tcW w:w="1134" w:type="dxa"/>
                  <w:vAlign w:val="center"/>
                </w:tcPr>
                <w:p w14:paraId="5F13154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0.075</w:t>
                  </w:r>
                </w:p>
              </w:tc>
              <w:tc>
                <w:tcPr>
                  <w:tcW w:w="992" w:type="dxa"/>
                  <w:vAlign w:val="center"/>
                </w:tcPr>
                <w:p w14:paraId="7A2472B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0.015</w:t>
                  </w:r>
                </w:p>
              </w:tc>
              <w:tc>
                <w:tcPr>
                  <w:tcW w:w="1122" w:type="dxa"/>
                  <w:vMerge w:val="continue"/>
                  <w:vAlign w:val="center"/>
                </w:tcPr>
                <w:p w14:paraId="63512D6B">
                  <w:pPr>
                    <w:jc w:val="center"/>
                    <w:rPr>
                      <w:rFonts w:eastAsia="仿宋"/>
                      <w:color w:val="000000" w:themeColor="text1"/>
                      <w:szCs w:val="21"/>
                      <w14:textFill>
                        <w14:solidFill>
                          <w14:schemeClr w14:val="tx1"/>
                        </w14:solidFill>
                      </w14:textFill>
                    </w:rPr>
                  </w:pPr>
                </w:p>
              </w:tc>
            </w:tr>
          </w:tbl>
          <w:p w14:paraId="3CCDE845">
            <w:pPr>
              <w:tabs>
                <w:tab w:val="left" w:pos="2130"/>
              </w:tabs>
              <w:rPr>
                <w:rFonts w:eastAsia="仿宋"/>
                <w:b/>
                <w:bCs/>
                <w:color w:val="000000" w:themeColor="text1"/>
                <w:szCs w:val="21"/>
                <w14:textFill>
                  <w14:solidFill>
                    <w14:schemeClr w14:val="tx1"/>
                  </w14:solidFill>
                </w14:textFill>
              </w:rPr>
            </w:pPr>
            <w:bookmarkStart w:id="35" w:name="OLE_LINK18"/>
            <w:r>
              <w:rPr>
                <w:rFonts w:hint="eastAsia" w:eastAsia="仿宋"/>
                <w:b/>
                <w:bCs/>
                <w:color w:val="000000" w:themeColor="text1"/>
                <w:szCs w:val="21"/>
                <w14:textFill>
                  <w14:solidFill>
                    <w14:schemeClr w14:val="tx1"/>
                  </w14:solidFill>
                </w14:textFill>
              </w:rPr>
              <w:t>注：上述非甲烷总烃产生量已包含甲醇产生量；本项目原料检测时长具有不确定性，因此本项目运行时间根据最不利工况，即瞬时产生速率最大的工序操作时间确定。</w:t>
            </w:r>
          </w:p>
          <w:p w14:paraId="42546AF8">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②无机废气</w:t>
            </w:r>
          </w:p>
          <w:bookmarkEnd w:id="35"/>
          <w:p w14:paraId="3B988602">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本项目无机废气主要包括硫酸、盐酸、硝酸、浓氨溶液挥发出的硫酸雾、H</w:t>
            </w:r>
            <w:r>
              <w:rPr>
                <w:rFonts w:eastAsia="仿宋"/>
                <w:color w:val="000000" w:themeColor="text1"/>
                <w:sz w:val="24"/>
                <w14:textFill>
                  <w14:solidFill>
                    <w14:schemeClr w14:val="tx1"/>
                  </w14:solidFill>
                </w14:textFill>
              </w:rPr>
              <w:t>Cl</w:t>
            </w:r>
            <w:r>
              <w:rPr>
                <w:rFonts w:hint="eastAsia" w:eastAsia="仿宋"/>
                <w:color w:val="000000" w:themeColor="text1"/>
                <w:sz w:val="24"/>
                <w14:textFill>
                  <w14:solidFill>
                    <w14:schemeClr w14:val="tx1"/>
                  </w14:solidFill>
                </w14:textFill>
              </w:rPr>
              <w:t>、H</w:t>
            </w:r>
            <w:r>
              <w:rPr>
                <w:rFonts w:eastAsia="仿宋"/>
                <w:color w:val="000000" w:themeColor="text1"/>
                <w:sz w:val="24"/>
                <w14:textFill>
                  <w14:solidFill>
                    <w14:schemeClr w14:val="tx1"/>
                  </w14:solidFill>
                </w14:textFill>
              </w:rPr>
              <w:t>NO</w:t>
            </w:r>
            <w:r>
              <w:rPr>
                <w:rFonts w:eastAsia="仿宋"/>
                <w:color w:val="000000" w:themeColor="text1"/>
                <w:sz w:val="24"/>
                <w:vertAlign w:val="subscript"/>
                <w14:textFill>
                  <w14:solidFill>
                    <w14:schemeClr w14:val="tx1"/>
                  </w14:solidFill>
                </w14:textFill>
              </w:rPr>
              <w:t>3</w:t>
            </w:r>
            <w:r>
              <w:rPr>
                <w:rFonts w:hint="eastAsia" w:eastAsia="仿宋"/>
                <w:color w:val="000000" w:themeColor="text1"/>
                <w:sz w:val="24"/>
                <w14:textFill>
                  <w14:solidFill>
                    <w14:schemeClr w14:val="tx1"/>
                  </w14:solidFill>
                </w14:textFill>
              </w:rPr>
              <w:t>、氨等污染物，由于 本项目盐酸、硝酸以及浓氨溶液使用量极少，且操作过程中均采用移液枪或者移液管，挥发出的废气量极少，因此本次环评不做定量分析。</w:t>
            </w:r>
          </w:p>
          <w:p w14:paraId="58093A83">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（2）天然气燃烧废气</w:t>
            </w:r>
          </w:p>
          <w:p w14:paraId="010DDAAB">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本项目新建一座7</w:t>
            </w:r>
            <w:r>
              <w:rPr>
                <w:rFonts w:eastAsia="仿宋"/>
                <w:color w:val="000000" w:themeColor="text1"/>
                <w:sz w:val="24"/>
                <w14:textFill>
                  <w14:solidFill>
                    <w14:schemeClr w14:val="tx1"/>
                  </w14:solidFill>
                </w14:textFill>
              </w:rPr>
              <w:t>.5MW</w:t>
            </w:r>
            <w:r>
              <w:rPr>
                <w:rFonts w:hint="eastAsia" w:eastAsia="仿宋"/>
                <w:color w:val="000000" w:themeColor="text1"/>
                <w:sz w:val="24"/>
                <w14:textFill>
                  <w14:solidFill>
                    <w14:schemeClr w14:val="tx1"/>
                  </w14:solidFill>
                </w14:textFill>
              </w:rPr>
              <w:t>的燃气锅炉和蒸汽发生器，燃料为天然气，产生的燃烧烟气通过一根2</w:t>
            </w:r>
            <w:r>
              <w:rPr>
                <w:rFonts w:eastAsia="仿宋"/>
                <w:color w:val="000000" w:themeColor="text1"/>
                <w:sz w:val="24"/>
                <w14:textFill>
                  <w14:solidFill>
                    <w14:schemeClr w14:val="tx1"/>
                  </w14:solidFill>
                </w14:textFill>
              </w:rPr>
              <w:t>8m</w:t>
            </w:r>
            <w:r>
              <w:rPr>
                <w:rFonts w:hint="eastAsia" w:eastAsia="仿宋"/>
                <w:color w:val="000000" w:themeColor="text1"/>
                <w:sz w:val="24"/>
                <w14:textFill>
                  <w14:solidFill>
                    <w14:schemeClr w14:val="tx1"/>
                  </w14:solidFill>
                </w14:textFill>
              </w:rPr>
              <w:t>高排气筒（2</w:t>
            </w:r>
            <w:r>
              <w:rPr>
                <w:rFonts w:eastAsia="仿宋"/>
                <w:color w:val="000000" w:themeColor="text1"/>
                <w:sz w:val="24"/>
                <w14:textFill>
                  <w14:solidFill>
                    <w14:schemeClr w14:val="tx1"/>
                  </w14:solidFill>
                </w14:textFill>
              </w:rPr>
              <w:t>#</w:t>
            </w:r>
            <w:r>
              <w:rPr>
                <w:rFonts w:hint="eastAsia" w:eastAsia="仿宋"/>
                <w:color w:val="000000" w:themeColor="text1"/>
                <w:sz w:val="24"/>
                <w14:textFill>
                  <w14:solidFill>
                    <w14:schemeClr w14:val="tx1"/>
                  </w14:solidFill>
                </w14:textFill>
              </w:rPr>
              <w:t>）有组织排放。</w:t>
            </w:r>
          </w:p>
          <w:p w14:paraId="0B8A7138">
            <w:pPr>
              <w:autoSpaceDE w:val="0"/>
              <w:snapToGrid w:val="0"/>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燃烧烟气中主要污染物以颗粒物、二氧化硫、氮氧化物、林格曼黑度计，根据</w:t>
            </w:r>
            <w:r>
              <w:rPr>
                <w:rFonts w:eastAsia="仿宋"/>
                <w:color w:val="000000" w:themeColor="text1"/>
                <w:sz w:val="24"/>
                <w14:textFill>
                  <w14:solidFill>
                    <w14:schemeClr w14:val="tx1"/>
                  </w14:solidFill>
                </w14:textFill>
              </w:rPr>
              <w:t>《第二次全国污染源普查产排污核算系数手册》中4430工业锅炉（热力生产和供应行业）产污系数表-燃气工业锅炉</w:t>
            </w:r>
            <w:r>
              <w:rPr>
                <w:rFonts w:hint="eastAsia" w:eastAsia="仿宋"/>
                <w:color w:val="000000" w:themeColor="text1"/>
                <w:sz w:val="24"/>
                <w14:textFill>
                  <w14:solidFill>
                    <w14:schemeClr w14:val="tx1"/>
                  </w14:solidFill>
                </w14:textFill>
              </w:rPr>
              <w:t>和《建设项目环境保护实用手册》（苏绍眉主编，1</w:t>
            </w:r>
            <w:r>
              <w:rPr>
                <w:rFonts w:eastAsia="仿宋"/>
                <w:color w:val="000000" w:themeColor="text1"/>
                <w:sz w:val="24"/>
                <w14:textFill>
                  <w14:solidFill>
                    <w14:schemeClr w14:val="tx1"/>
                  </w14:solidFill>
                </w14:textFill>
              </w:rPr>
              <w:t>992</w:t>
            </w:r>
            <w:r>
              <w:rPr>
                <w:rFonts w:hint="eastAsia" w:eastAsia="仿宋"/>
                <w:color w:val="000000" w:themeColor="text1"/>
                <w:sz w:val="24"/>
                <w14:textFill>
                  <w14:solidFill>
                    <w14:schemeClr w14:val="tx1"/>
                  </w14:solidFill>
                </w14:textFill>
              </w:rPr>
              <w:t>年）中天然气对应的系数取值</w:t>
            </w:r>
            <w:r>
              <w:rPr>
                <w:rFonts w:eastAsia="仿宋"/>
                <w:color w:val="000000" w:themeColor="text1"/>
                <w:sz w:val="24"/>
                <w14:textFill>
                  <w14:solidFill>
                    <w14:schemeClr w14:val="tx1"/>
                  </w14:solidFill>
                </w14:textFill>
              </w:rPr>
              <w:t>，本次环评</w:t>
            </w:r>
            <w:r>
              <w:rPr>
                <w:rFonts w:hint="eastAsia" w:eastAsia="仿宋"/>
                <w:color w:val="000000" w:themeColor="text1"/>
                <w:sz w:val="24"/>
                <w14:textFill>
                  <w14:solidFill>
                    <w14:schemeClr w14:val="tx1"/>
                  </w14:solidFill>
                </w14:textFill>
              </w:rPr>
              <w:t>燃气锅炉和蒸汽发生器天然气燃烧</w:t>
            </w:r>
            <w:r>
              <w:rPr>
                <w:rFonts w:eastAsia="仿宋"/>
                <w:color w:val="000000" w:themeColor="text1"/>
                <w:sz w:val="24"/>
                <w14:textFill>
                  <w14:solidFill>
                    <w14:schemeClr w14:val="tx1"/>
                  </w14:solidFill>
                </w14:textFill>
              </w:rPr>
              <w:t>各污染物产污系数如下：</w:t>
            </w:r>
          </w:p>
          <w:p w14:paraId="5926336E">
            <w:pPr>
              <w:autoSpaceDE w:val="0"/>
              <w:snapToGrid w:val="0"/>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工业废气量：1</w:t>
            </w:r>
            <w:r>
              <w:rPr>
                <w:rFonts w:hint="eastAsia" w:eastAsia="仿宋"/>
                <w:color w:val="000000" w:themeColor="text1"/>
                <w:sz w:val="24"/>
                <w14:textFill>
                  <w14:solidFill>
                    <w14:schemeClr w14:val="tx1"/>
                  </w14:solidFill>
                </w14:textFill>
              </w:rPr>
              <w:t>07753</w:t>
            </w:r>
            <w:r>
              <w:rPr>
                <w:rFonts w:eastAsia="仿宋"/>
                <w:color w:val="000000" w:themeColor="text1"/>
                <w:sz w:val="24"/>
                <w14:textFill>
                  <w14:solidFill>
                    <w14:schemeClr w14:val="tx1"/>
                  </w14:solidFill>
                </w14:textFill>
              </w:rPr>
              <w:t>Nm</w:t>
            </w:r>
            <w:r>
              <w:rPr>
                <w:rFonts w:eastAsia="仿宋"/>
                <w:color w:val="000000" w:themeColor="text1"/>
                <w:sz w:val="24"/>
                <w:vertAlign w:val="superscript"/>
                <w14:textFill>
                  <w14:solidFill>
                    <w14:schemeClr w14:val="tx1"/>
                  </w14:solidFill>
                </w14:textFill>
              </w:rPr>
              <w:t>3</w:t>
            </w:r>
            <w:r>
              <w:rPr>
                <w:rFonts w:eastAsia="仿宋"/>
                <w:color w:val="000000" w:themeColor="text1"/>
                <w:sz w:val="24"/>
                <w14:textFill>
                  <w14:solidFill>
                    <w14:schemeClr w14:val="tx1"/>
                  </w14:solidFill>
                </w14:textFill>
              </w:rPr>
              <w:t>/万m</w:t>
            </w:r>
            <w:r>
              <w:rPr>
                <w:rFonts w:eastAsia="仿宋"/>
                <w:color w:val="000000" w:themeColor="text1"/>
                <w:sz w:val="24"/>
                <w:vertAlign w:val="superscript"/>
                <w14:textFill>
                  <w14:solidFill>
                    <w14:schemeClr w14:val="tx1"/>
                  </w14:solidFill>
                </w14:textFill>
              </w:rPr>
              <w:t>3</w:t>
            </w:r>
            <w:r>
              <w:rPr>
                <w:rFonts w:hint="eastAsia" w:eastAsia="仿宋"/>
                <w:color w:val="000000" w:themeColor="text1"/>
                <w:sz w:val="24"/>
                <w14:textFill>
                  <w14:solidFill>
                    <w14:schemeClr w14:val="tx1"/>
                  </w14:solidFill>
                </w14:textFill>
              </w:rPr>
              <w:t>；</w:t>
            </w:r>
          </w:p>
          <w:p w14:paraId="298FF03F">
            <w:pPr>
              <w:autoSpaceDE w:val="0"/>
              <w:snapToGrid w:val="0"/>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颗粒物：</w:t>
            </w:r>
            <w:r>
              <w:rPr>
                <w:rFonts w:eastAsia="仿宋"/>
                <w:color w:val="000000" w:themeColor="text1"/>
                <w:sz w:val="24"/>
                <w14:textFill>
                  <w14:solidFill>
                    <w14:schemeClr w14:val="tx1"/>
                  </w14:solidFill>
                </w14:textFill>
              </w:rPr>
              <w:t>0.8kg/</w:t>
            </w:r>
            <w:r>
              <w:rPr>
                <w:rFonts w:hint="eastAsia" w:eastAsia="仿宋"/>
                <w:color w:val="000000" w:themeColor="text1"/>
                <w:sz w:val="24"/>
                <w14:textFill>
                  <w14:solidFill>
                    <w14:schemeClr w14:val="tx1"/>
                  </w14:solidFill>
                </w14:textFill>
              </w:rPr>
              <w:t>万</w:t>
            </w:r>
            <w:r>
              <w:rPr>
                <w:rFonts w:eastAsia="仿宋"/>
                <w:color w:val="000000" w:themeColor="text1"/>
                <w:sz w:val="24"/>
                <w14:textFill>
                  <w14:solidFill>
                    <w14:schemeClr w14:val="tx1"/>
                  </w14:solidFill>
                </w14:textFill>
              </w:rPr>
              <w:t>m</w:t>
            </w:r>
            <w:r>
              <w:rPr>
                <w:rFonts w:eastAsia="仿宋"/>
                <w:color w:val="000000" w:themeColor="text1"/>
                <w:sz w:val="24"/>
                <w:vertAlign w:val="superscript"/>
                <w14:textFill>
                  <w14:solidFill>
                    <w14:schemeClr w14:val="tx1"/>
                  </w14:solidFill>
                </w14:textFill>
              </w:rPr>
              <w:t>3</w:t>
            </w:r>
            <w:r>
              <w:rPr>
                <w:rFonts w:hint="eastAsia" w:eastAsia="仿宋"/>
                <w:color w:val="000000" w:themeColor="text1"/>
                <w:sz w:val="24"/>
                <w14:textFill>
                  <w14:solidFill>
                    <w14:schemeClr w14:val="tx1"/>
                  </w14:solidFill>
                </w14:textFill>
              </w:rPr>
              <w:t>；</w:t>
            </w:r>
          </w:p>
          <w:p w14:paraId="120064A0">
            <w:pPr>
              <w:autoSpaceDE w:val="0"/>
              <w:snapToGrid w:val="0"/>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二氧化硫：0.02Skg/万m</w:t>
            </w:r>
            <w:r>
              <w:rPr>
                <w:rFonts w:eastAsia="仿宋"/>
                <w:color w:val="000000" w:themeColor="text1"/>
                <w:sz w:val="24"/>
                <w:vertAlign w:val="superscript"/>
                <w14:textFill>
                  <w14:solidFill>
                    <w14:schemeClr w14:val="tx1"/>
                  </w14:solidFill>
                </w14:textFill>
              </w:rPr>
              <w:t>3</w:t>
            </w:r>
            <w:r>
              <w:rPr>
                <w:rFonts w:eastAsia="仿宋"/>
                <w:color w:val="000000" w:themeColor="text1"/>
                <w:sz w:val="24"/>
                <w14:textFill>
                  <w14:solidFill>
                    <w14:schemeClr w14:val="tx1"/>
                  </w14:solidFill>
                </w14:textFill>
              </w:rPr>
              <w:t>（</w:t>
            </w:r>
            <w:r>
              <w:rPr>
                <w:rFonts w:hint="eastAsia" w:eastAsia="仿宋"/>
                <w:color w:val="000000" w:themeColor="text1"/>
                <w:sz w:val="24"/>
                <w14:textFill>
                  <w14:solidFill>
                    <w14:schemeClr w14:val="tx1"/>
                  </w14:solidFill>
                </w14:textFill>
              </w:rPr>
              <w:t>根据GB17820-2018天然气，</w:t>
            </w:r>
            <w:r>
              <w:rPr>
                <w:rFonts w:eastAsia="仿宋"/>
                <w:color w:val="000000" w:themeColor="text1"/>
                <w:sz w:val="24"/>
                <w14:textFill>
                  <w14:solidFill>
                    <w14:schemeClr w14:val="tx1"/>
                  </w14:solidFill>
                </w14:textFill>
              </w:rPr>
              <w:t>含硫量</w:t>
            </w:r>
            <w:r>
              <w:rPr>
                <w:rFonts w:hint="eastAsia" w:eastAsia="仿宋"/>
                <w:color w:val="000000" w:themeColor="text1"/>
                <w:sz w:val="24"/>
                <w14:textFill>
                  <w14:solidFill>
                    <w14:schemeClr w14:val="tx1"/>
                  </w14:solidFill>
                </w14:textFill>
              </w:rPr>
              <w:t>最高</w:t>
            </w:r>
            <w:r>
              <w:rPr>
                <w:rFonts w:eastAsia="仿宋"/>
                <w:color w:val="000000" w:themeColor="text1"/>
                <w:sz w:val="24"/>
                <w14:textFill>
                  <w14:solidFill>
                    <w14:schemeClr w14:val="tx1"/>
                  </w14:solidFill>
                </w14:textFill>
              </w:rPr>
              <w:t>为</w:t>
            </w:r>
            <w:r>
              <w:rPr>
                <w:rFonts w:hint="eastAsia" w:eastAsia="仿宋"/>
                <w:color w:val="000000" w:themeColor="text1"/>
                <w:sz w:val="24"/>
                <w14:textFill>
                  <w14:solidFill>
                    <w14:schemeClr w14:val="tx1"/>
                  </w14:solidFill>
                </w14:textFill>
              </w:rPr>
              <w:t>1</w:t>
            </w:r>
            <w:r>
              <w:rPr>
                <w:rFonts w:eastAsia="仿宋"/>
                <w:color w:val="000000" w:themeColor="text1"/>
                <w:sz w:val="24"/>
                <w14:textFill>
                  <w14:solidFill>
                    <w14:schemeClr w14:val="tx1"/>
                  </w14:solidFill>
                </w14:textFill>
              </w:rPr>
              <w:t>00mg/Nm</w:t>
            </w:r>
            <w:r>
              <w:rPr>
                <w:rFonts w:eastAsia="仿宋"/>
                <w:color w:val="000000" w:themeColor="text1"/>
                <w:sz w:val="24"/>
                <w:vertAlign w:val="superscript"/>
                <w14:textFill>
                  <w14:solidFill>
                    <w14:schemeClr w14:val="tx1"/>
                  </w14:solidFill>
                </w14:textFill>
              </w:rPr>
              <w:t>3</w:t>
            </w:r>
            <w:r>
              <w:rPr>
                <w:rFonts w:eastAsia="仿宋"/>
                <w:color w:val="000000" w:themeColor="text1"/>
                <w:sz w:val="24"/>
                <w14:textFill>
                  <w14:solidFill>
                    <w14:schemeClr w14:val="tx1"/>
                  </w14:solidFill>
                </w14:textFill>
              </w:rPr>
              <w:t>，即S=</w:t>
            </w:r>
            <w:r>
              <w:rPr>
                <w:rFonts w:hint="eastAsia" w:eastAsia="仿宋"/>
                <w:color w:val="000000" w:themeColor="text1"/>
                <w:sz w:val="24"/>
                <w14:textFill>
                  <w14:solidFill>
                    <w14:schemeClr w14:val="tx1"/>
                  </w14:solidFill>
                </w14:textFill>
              </w:rPr>
              <w:t>1</w:t>
            </w:r>
            <w:r>
              <w:rPr>
                <w:rFonts w:eastAsia="仿宋"/>
                <w:color w:val="000000" w:themeColor="text1"/>
                <w:sz w:val="24"/>
                <w14:textFill>
                  <w14:solidFill>
                    <w14:schemeClr w14:val="tx1"/>
                  </w14:solidFill>
                </w14:textFill>
              </w:rPr>
              <w:t>00）</w:t>
            </w:r>
            <w:r>
              <w:rPr>
                <w:rFonts w:hint="eastAsia" w:eastAsia="仿宋"/>
                <w:color w:val="000000" w:themeColor="text1"/>
                <w:sz w:val="24"/>
                <w14:textFill>
                  <w14:solidFill>
                    <w14:schemeClr w14:val="tx1"/>
                  </w14:solidFill>
                </w14:textFill>
              </w:rPr>
              <w:t>；</w:t>
            </w:r>
          </w:p>
          <w:p w14:paraId="34210965">
            <w:pPr>
              <w:autoSpaceDE w:val="0"/>
              <w:snapToGrid w:val="0"/>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氮氧化物：</w:t>
            </w:r>
            <w:r>
              <w:rPr>
                <w:rFonts w:hint="eastAsia" w:eastAsia="仿宋"/>
                <w:color w:val="000000" w:themeColor="text1"/>
                <w:sz w:val="24"/>
                <w14:textFill>
                  <w14:solidFill>
                    <w14:schemeClr w14:val="tx1"/>
                  </w14:solidFill>
                </w14:textFill>
              </w:rPr>
              <w:t>3.03</w:t>
            </w:r>
            <w:r>
              <w:rPr>
                <w:rFonts w:eastAsia="仿宋"/>
                <w:color w:val="000000" w:themeColor="text1"/>
                <w:sz w:val="24"/>
                <w14:textFill>
                  <w14:solidFill>
                    <w14:schemeClr w14:val="tx1"/>
                  </w14:solidFill>
                </w14:textFill>
              </w:rPr>
              <w:t>kg/万m</w:t>
            </w:r>
            <w:r>
              <w:rPr>
                <w:rFonts w:eastAsia="仿宋"/>
                <w:color w:val="000000" w:themeColor="text1"/>
                <w:sz w:val="24"/>
                <w:vertAlign w:val="superscript"/>
                <w14:textFill>
                  <w14:solidFill>
                    <w14:schemeClr w14:val="tx1"/>
                  </w14:solidFill>
                </w14:textFill>
              </w:rPr>
              <w:t>3</w:t>
            </w:r>
            <w:r>
              <w:rPr>
                <w:rFonts w:hint="eastAsia" w:eastAsia="仿宋"/>
                <w:color w:val="000000" w:themeColor="text1"/>
                <w:sz w:val="24"/>
                <w14:textFill>
                  <w14:solidFill>
                    <w14:schemeClr w14:val="tx1"/>
                  </w14:solidFill>
                </w14:textFill>
              </w:rPr>
              <w:t>（低氮燃烧-国际领先）；</w:t>
            </w:r>
          </w:p>
          <w:p w14:paraId="226E856B">
            <w:pPr>
              <w:autoSpaceDE w:val="0"/>
              <w:snapToGrid w:val="0"/>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本项目安装国际领先的低氮燃烧系统（本项目天然气锅炉和蒸汽发生器设计NO</w:t>
            </w:r>
            <w:r>
              <w:rPr>
                <w:rFonts w:hint="eastAsia" w:eastAsia="仿宋"/>
                <w:color w:val="000000" w:themeColor="text1"/>
                <w:sz w:val="24"/>
                <w:vertAlign w:val="subscript"/>
                <w14:textFill>
                  <w14:solidFill>
                    <w14:schemeClr w14:val="tx1"/>
                  </w14:solidFill>
                </w14:textFill>
              </w:rPr>
              <w:t>x</w:t>
            </w:r>
            <w:r>
              <w:rPr>
                <w:rFonts w:hint="eastAsia" w:eastAsia="仿宋"/>
                <w:color w:val="000000" w:themeColor="text1"/>
                <w:sz w:val="24"/>
                <w14:textFill>
                  <w14:solidFill>
                    <w14:schemeClr w14:val="tx1"/>
                  </w14:solidFill>
                </w14:textFill>
              </w:rPr>
              <w:t>排放控制要求小于30mg/m</w:t>
            </w:r>
            <w:r>
              <w:rPr>
                <w:rFonts w:hint="eastAsia" w:eastAsia="仿宋"/>
                <w:color w:val="000000" w:themeColor="text1"/>
                <w:sz w:val="24"/>
                <w:vertAlign w:val="superscript"/>
                <w14:textFill>
                  <w14:solidFill>
                    <w14:schemeClr w14:val="tx1"/>
                  </w14:solidFill>
                </w14:textFill>
              </w:rPr>
              <w:t>3</w:t>
            </w:r>
            <w:r>
              <w:rPr>
                <w:rFonts w:hint="eastAsia" w:eastAsia="仿宋"/>
                <w:color w:val="000000" w:themeColor="text1"/>
                <w:sz w:val="24"/>
                <w14:textFill>
                  <w14:solidFill>
                    <w14:schemeClr w14:val="tx1"/>
                  </w14:solidFill>
                </w14:textFill>
              </w:rPr>
              <w:t>），全年运行约</w:t>
            </w:r>
            <w:r>
              <w:rPr>
                <w:rFonts w:eastAsia="仿宋"/>
                <w:color w:val="000000" w:themeColor="text1"/>
                <w:sz w:val="24"/>
                <w14:textFill>
                  <w14:solidFill>
                    <w14:schemeClr w14:val="tx1"/>
                  </w14:solidFill>
                </w14:textFill>
              </w:rPr>
              <w:t>3600</w:t>
            </w:r>
            <w:r>
              <w:rPr>
                <w:rFonts w:hint="eastAsia" w:eastAsia="仿宋"/>
                <w:color w:val="000000" w:themeColor="text1"/>
                <w:sz w:val="24"/>
                <w14:textFill>
                  <w14:solidFill>
                    <w14:schemeClr w14:val="tx1"/>
                  </w14:solidFill>
                </w14:textFill>
              </w:rPr>
              <w:t>h，每小时天然气用量为</w:t>
            </w:r>
            <w:r>
              <w:rPr>
                <w:rFonts w:eastAsia="仿宋"/>
                <w:color w:val="000000" w:themeColor="text1"/>
                <w:sz w:val="24"/>
                <w14:textFill>
                  <w14:solidFill>
                    <w14:schemeClr w14:val="tx1"/>
                  </w14:solidFill>
                </w14:textFill>
              </w:rPr>
              <w:t>260</w:t>
            </w:r>
            <w:r>
              <w:rPr>
                <w:rFonts w:hint="eastAsia" w:eastAsia="仿宋"/>
                <w:color w:val="000000" w:themeColor="text1"/>
                <w:sz w:val="24"/>
                <w14:textFill>
                  <w14:solidFill>
                    <w14:schemeClr w14:val="tx1"/>
                  </w14:solidFill>
                </w14:textFill>
              </w:rPr>
              <w:t>m</w:t>
            </w:r>
            <w:r>
              <w:rPr>
                <w:rFonts w:hint="eastAsia" w:eastAsia="仿宋"/>
                <w:color w:val="000000" w:themeColor="text1"/>
                <w:sz w:val="24"/>
                <w:vertAlign w:val="superscript"/>
                <w14:textFill>
                  <w14:solidFill>
                    <w14:schemeClr w14:val="tx1"/>
                  </w14:solidFill>
                </w14:textFill>
              </w:rPr>
              <w:t>3</w:t>
            </w:r>
            <w:r>
              <w:rPr>
                <w:rFonts w:hint="eastAsia" w:eastAsia="仿宋"/>
                <w:color w:val="000000" w:themeColor="text1"/>
                <w:sz w:val="24"/>
                <w14:textFill>
                  <w14:solidFill>
                    <w14:schemeClr w14:val="tx1"/>
                  </w14:solidFill>
                </w14:textFill>
              </w:rPr>
              <w:t>，天然气总用量为</w:t>
            </w:r>
            <w:r>
              <w:rPr>
                <w:rFonts w:eastAsia="仿宋"/>
                <w:color w:val="000000" w:themeColor="text1"/>
                <w:sz w:val="24"/>
                <w14:textFill>
                  <w14:solidFill>
                    <w14:schemeClr w14:val="tx1"/>
                  </w14:solidFill>
                </w14:textFill>
              </w:rPr>
              <w:t>936000</w:t>
            </w:r>
            <w:r>
              <w:rPr>
                <w:rFonts w:hint="eastAsia" w:eastAsia="仿宋"/>
                <w:color w:val="000000" w:themeColor="text1"/>
                <w:sz w:val="24"/>
                <w14:textFill>
                  <w14:solidFill>
                    <w14:schemeClr w14:val="tx1"/>
                  </w14:solidFill>
                </w14:textFill>
              </w:rPr>
              <w:t>m</w:t>
            </w:r>
            <w:r>
              <w:rPr>
                <w:rFonts w:hint="eastAsia" w:eastAsia="仿宋"/>
                <w:color w:val="000000" w:themeColor="text1"/>
                <w:sz w:val="24"/>
                <w:vertAlign w:val="superscript"/>
                <w14:textFill>
                  <w14:solidFill>
                    <w14:schemeClr w14:val="tx1"/>
                  </w14:solidFill>
                </w14:textFill>
              </w:rPr>
              <w:t>3</w:t>
            </w:r>
            <w:r>
              <w:rPr>
                <w:rFonts w:hint="eastAsia" w:eastAsia="仿宋"/>
                <w:color w:val="000000" w:themeColor="text1"/>
                <w:sz w:val="24"/>
                <w14:textFill>
                  <w14:solidFill>
                    <w14:schemeClr w14:val="tx1"/>
                  </w14:solidFill>
                </w14:textFill>
              </w:rPr>
              <w:t>/a，</w:t>
            </w:r>
            <w:r>
              <w:rPr>
                <w:rFonts w:eastAsia="仿宋"/>
                <w:color w:val="000000" w:themeColor="text1"/>
                <w:sz w:val="24"/>
                <w14:textFill>
                  <w14:solidFill>
                    <w14:schemeClr w14:val="tx1"/>
                  </w14:solidFill>
                </w14:textFill>
              </w:rPr>
              <w:t>则燃烧过程中各污染物产生量如下：</w:t>
            </w:r>
          </w:p>
          <w:p w14:paraId="050128C6">
            <w:pPr>
              <w:spacing w:line="480" w:lineRule="exact"/>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表4</w:t>
            </w:r>
            <w:r>
              <w:rPr>
                <w:rFonts w:eastAsia="仿宋"/>
                <w:b/>
                <w:bCs/>
                <w:color w:val="000000" w:themeColor="text1"/>
                <w:szCs w:val="21"/>
                <w14:textFill>
                  <w14:solidFill>
                    <w14:schemeClr w14:val="tx1"/>
                  </w14:solidFill>
                </w14:textFill>
              </w:rPr>
              <w:t>-3 燃气锅炉污染物产生及排放情况一览表</w:t>
            </w:r>
          </w:p>
          <w:tbl>
            <w:tblPr>
              <w:tblStyle w:val="24"/>
              <w:tblW w:w="8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2056"/>
              <w:gridCol w:w="1552"/>
              <w:gridCol w:w="1269"/>
              <w:gridCol w:w="1276"/>
              <w:gridCol w:w="1429"/>
            </w:tblGrid>
            <w:tr w14:paraId="540D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 w:hRule="atLeast"/>
                <w:jc w:val="center"/>
              </w:trPr>
              <w:tc>
                <w:tcPr>
                  <w:tcW w:w="1096" w:type="dxa"/>
                  <w:tcBorders>
                    <w:top w:val="single" w:color="auto" w:sz="4" w:space="0"/>
                    <w:left w:val="single" w:color="auto" w:sz="4" w:space="0"/>
                    <w:bottom w:val="single" w:color="auto" w:sz="4" w:space="0"/>
                    <w:right w:val="single" w:color="auto" w:sz="4" w:space="0"/>
                  </w:tcBorders>
                  <w:vAlign w:val="center"/>
                </w:tcPr>
                <w:p w14:paraId="1885F1AC">
                  <w:pPr>
                    <w:autoSpaceDE w:val="0"/>
                    <w:snapToGrid w:val="0"/>
                    <w:spacing w:line="240" w:lineRule="atLeast"/>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污染源</w:t>
                  </w:r>
                </w:p>
              </w:tc>
              <w:tc>
                <w:tcPr>
                  <w:tcW w:w="2056" w:type="dxa"/>
                  <w:tcBorders>
                    <w:top w:val="single" w:color="auto" w:sz="4" w:space="0"/>
                    <w:left w:val="nil"/>
                    <w:bottom w:val="single" w:color="auto" w:sz="4" w:space="0"/>
                    <w:right w:val="single" w:color="auto" w:sz="4" w:space="0"/>
                  </w:tcBorders>
                  <w:vAlign w:val="center"/>
                </w:tcPr>
                <w:p w14:paraId="659520BC">
                  <w:pPr>
                    <w:autoSpaceDE w:val="0"/>
                    <w:snapToGrid w:val="0"/>
                    <w:spacing w:line="240" w:lineRule="atLeast"/>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项目</w:t>
                  </w:r>
                </w:p>
              </w:tc>
              <w:tc>
                <w:tcPr>
                  <w:tcW w:w="1552" w:type="dxa"/>
                  <w:tcBorders>
                    <w:top w:val="single" w:color="auto" w:sz="4" w:space="0"/>
                    <w:left w:val="nil"/>
                    <w:bottom w:val="single" w:color="auto" w:sz="4" w:space="0"/>
                    <w:right w:val="single" w:color="auto" w:sz="4" w:space="0"/>
                  </w:tcBorders>
                  <w:vAlign w:val="center"/>
                </w:tcPr>
                <w:p w14:paraId="2515B08E">
                  <w:pPr>
                    <w:autoSpaceDE w:val="0"/>
                    <w:snapToGrid w:val="0"/>
                    <w:spacing w:line="240" w:lineRule="atLeast"/>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烟气量</w:t>
                  </w:r>
                </w:p>
              </w:tc>
              <w:tc>
                <w:tcPr>
                  <w:tcW w:w="1269" w:type="dxa"/>
                  <w:tcBorders>
                    <w:top w:val="single" w:color="auto" w:sz="4" w:space="0"/>
                    <w:left w:val="nil"/>
                    <w:bottom w:val="single" w:color="auto" w:sz="4" w:space="0"/>
                    <w:right w:val="single" w:color="auto" w:sz="4" w:space="0"/>
                  </w:tcBorders>
                  <w:vAlign w:val="center"/>
                </w:tcPr>
                <w:p w14:paraId="4C22EC69">
                  <w:pPr>
                    <w:autoSpaceDE w:val="0"/>
                    <w:snapToGrid w:val="0"/>
                    <w:spacing w:line="240" w:lineRule="atLeast"/>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颗粒物</w:t>
                  </w:r>
                </w:p>
              </w:tc>
              <w:tc>
                <w:tcPr>
                  <w:tcW w:w="1276" w:type="dxa"/>
                  <w:tcBorders>
                    <w:top w:val="single" w:color="auto" w:sz="4" w:space="0"/>
                    <w:left w:val="nil"/>
                    <w:bottom w:val="single" w:color="auto" w:sz="4" w:space="0"/>
                    <w:right w:val="single" w:color="auto" w:sz="4" w:space="0"/>
                  </w:tcBorders>
                  <w:vAlign w:val="center"/>
                </w:tcPr>
                <w:p w14:paraId="72D45427">
                  <w:pPr>
                    <w:autoSpaceDE w:val="0"/>
                    <w:snapToGrid w:val="0"/>
                    <w:spacing w:line="240" w:lineRule="atLeast"/>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二氧化硫</w:t>
                  </w:r>
                </w:p>
              </w:tc>
              <w:tc>
                <w:tcPr>
                  <w:tcW w:w="1429" w:type="dxa"/>
                  <w:tcBorders>
                    <w:top w:val="single" w:color="auto" w:sz="4" w:space="0"/>
                    <w:left w:val="nil"/>
                    <w:bottom w:val="single" w:color="auto" w:sz="4" w:space="0"/>
                    <w:right w:val="single" w:color="auto" w:sz="4" w:space="0"/>
                  </w:tcBorders>
                  <w:vAlign w:val="center"/>
                </w:tcPr>
                <w:p w14:paraId="56AD5E78">
                  <w:pPr>
                    <w:autoSpaceDE w:val="0"/>
                    <w:snapToGrid w:val="0"/>
                    <w:spacing w:line="240" w:lineRule="atLeast"/>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氮氧化物</w:t>
                  </w:r>
                </w:p>
              </w:tc>
            </w:tr>
            <w:tr w14:paraId="4A41D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1096" w:type="dxa"/>
                  <w:vMerge w:val="restart"/>
                  <w:tcBorders>
                    <w:top w:val="nil"/>
                    <w:left w:val="single" w:color="auto" w:sz="4" w:space="0"/>
                    <w:bottom w:val="single" w:color="auto" w:sz="4" w:space="0"/>
                    <w:right w:val="single" w:color="auto" w:sz="4" w:space="0"/>
                  </w:tcBorders>
                  <w:vAlign w:val="center"/>
                </w:tcPr>
                <w:p w14:paraId="36BBAB46">
                  <w:pPr>
                    <w:autoSpaceDE w:val="0"/>
                    <w:snapToGrid w:val="0"/>
                    <w:spacing w:line="240" w:lineRule="atLeas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燃气锅炉</w:t>
                  </w:r>
                </w:p>
              </w:tc>
              <w:tc>
                <w:tcPr>
                  <w:tcW w:w="2056" w:type="dxa"/>
                  <w:tcBorders>
                    <w:top w:val="single" w:color="auto" w:sz="4" w:space="0"/>
                    <w:left w:val="nil"/>
                    <w:bottom w:val="single" w:color="auto" w:sz="4" w:space="0"/>
                    <w:right w:val="single" w:color="auto" w:sz="4" w:space="0"/>
                  </w:tcBorders>
                  <w:vAlign w:val="center"/>
                </w:tcPr>
                <w:p w14:paraId="58A67106">
                  <w:pPr>
                    <w:autoSpaceDE w:val="0"/>
                    <w:snapToGrid w:val="0"/>
                    <w:spacing w:line="240" w:lineRule="atLeas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产生量</w:t>
                  </w:r>
                </w:p>
              </w:tc>
              <w:tc>
                <w:tcPr>
                  <w:tcW w:w="1552" w:type="dxa"/>
                  <w:tcBorders>
                    <w:top w:val="single" w:color="auto" w:sz="4" w:space="0"/>
                    <w:left w:val="nil"/>
                    <w:bottom w:val="single" w:color="auto" w:sz="4" w:space="0"/>
                    <w:right w:val="single" w:color="auto" w:sz="4" w:space="0"/>
                  </w:tcBorders>
                  <w:vAlign w:val="center"/>
                </w:tcPr>
                <w:p w14:paraId="044ACFCC">
                  <w:pPr>
                    <w:autoSpaceDE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1.009×10</w:t>
                  </w:r>
                  <w:r>
                    <w:rPr>
                      <w:rFonts w:eastAsia="仿宋"/>
                      <w:color w:val="000000" w:themeColor="text1"/>
                      <w:szCs w:val="21"/>
                      <w:vertAlign w:val="superscript"/>
                      <w14:textFill>
                        <w14:solidFill>
                          <w14:schemeClr w14:val="tx1"/>
                        </w14:solidFill>
                      </w14:textFill>
                    </w:rPr>
                    <w:t>7</w:t>
                  </w:r>
                  <w:r>
                    <w:rPr>
                      <w:rFonts w:eastAsia="仿宋"/>
                      <w:color w:val="000000" w:themeColor="text1"/>
                      <w:szCs w:val="21"/>
                      <w14:textFill>
                        <w14:solidFill>
                          <w14:schemeClr w14:val="tx1"/>
                        </w14:solidFill>
                      </w14:textFill>
                    </w:rPr>
                    <w:t>m</w:t>
                  </w:r>
                  <w:r>
                    <w:rPr>
                      <w:rFonts w:eastAsia="仿宋"/>
                      <w:color w:val="000000" w:themeColor="text1"/>
                      <w:szCs w:val="21"/>
                      <w:vertAlign w:val="superscript"/>
                      <w14:textFill>
                        <w14:solidFill>
                          <w14:schemeClr w14:val="tx1"/>
                        </w14:solidFill>
                      </w14:textFill>
                    </w:rPr>
                    <w:t>3</w:t>
                  </w:r>
                  <w:r>
                    <w:rPr>
                      <w:rFonts w:eastAsia="仿宋"/>
                      <w:color w:val="000000" w:themeColor="text1"/>
                      <w:szCs w:val="21"/>
                      <w14:textFill>
                        <w14:solidFill>
                          <w14:schemeClr w14:val="tx1"/>
                        </w14:solidFill>
                      </w14:textFill>
                    </w:rPr>
                    <w:t>/a</w:t>
                  </w:r>
                </w:p>
              </w:tc>
              <w:tc>
                <w:tcPr>
                  <w:tcW w:w="1269" w:type="dxa"/>
                  <w:tcBorders>
                    <w:top w:val="single" w:color="auto" w:sz="4" w:space="0"/>
                    <w:left w:val="nil"/>
                    <w:bottom w:val="single" w:color="auto" w:sz="4" w:space="0"/>
                    <w:right w:val="single" w:color="auto" w:sz="4" w:space="0"/>
                  </w:tcBorders>
                  <w:vAlign w:val="center"/>
                </w:tcPr>
                <w:p w14:paraId="451265B4">
                  <w:pPr>
                    <w:autoSpaceDE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0.075t/a</w:t>
                  </w:r>
                </w:p>
              </w:tc>
              <w:tc>
                <w:tcPr>
                  <w:tcW w:w="1276" w:type="dxa"/>
                  <w:tcBorders>
                    <w:top w:val="single" w:color="auto" w:sz="4" w:space="0"/>
                    <w:left w:val="nil"/>
                    <w:bottom w:val="single" w:color="auto" w:sz="4" w:space="0"/>
                    <w:right w:val="single" w:color="auto" w:sz="4" w:space="0"/>
                  </w:tcBorders>
                  <w:vAlign w:val="center"/>
                </w:tcPr>
                <w:p w14:paraId="6DD484C0">
                  <w:pPr>
                    <w:autoSpaceDE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0.187t/a</w:t>
                  </w:r>
                </w:p>
              </w:tc>
              <w:tc>
                <w:tcPr>
                  <w:tcW w:w="1429" w:type="dxa"/>
                  <w:tcBorders>
                    <w:top w:val="single" w:color="auto" w:sz="4" w:space="0"/>
                    <w:left w:val="nil"/>
                    <w:bottom w:val="single" w:color="auto" w:sz="4" w:space="0"/>
                    <w:right w:val="single" w:color="auto" w:sz="4" w:space="0"/>
                  </w:tcBorders>
                  <w:vAlign w:val="center"/>
                </w:tcPr>
                <w:p w14:paraId="0CF5BC34">
                  <w:pPr>
                    <w:autoSpaceDE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0.312t/a</w:t>
                  </w:r>
                </w:p>
              </w:tc>
            </w:tr>
            <w:tr w14:paraId="2F879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 w:hRule="atLeast"/>
                <w:jc w:val="center"/>
              </w:trPr>
              <w:tc>
                <w:tcPr>
                  <w:tcW w:w="1096" w:type="dxa"/>
                  <w:vMerge w:val="continue"/>
                  <w:tcBorders>
                    <w:top w:val="nil"/>
                    <w:left w:val="single" w:color="auto" w:sz="4" w:space="0"/>
                    <w:bottom w:val="single" w:color="auto" w:sz="4" w:space="0"/>
                    <w:right w:val="single" w:color="auto" w:sz="4" w:space="0"/>
                  </w:tcBorders>
                  <w:vAlign w:val="center"/>
                </w:tcPr>
                <w:p w14:paraId="5A5BFA0B">
                  <w:pPr>
                    <w:widowControl/>
                    <w:spacing w:line="240" w:lineRule="atLeast"/>
                    <w:jc w:val="left"/>
                    <w:rPr>
                      <w:rFonts w:eastAsia="仿宋"/>
                      <w:color w:val="000000" w:themeColor="text1"/>
                      <w:szCs w:val="21"/>
                      <w14:textFill>
                        <w14:solidFill>
                          <w14:schemeClr w14:val="tx1"/>
                        </w14:solidFill>
                      </w14:textFill>
                    </w:rPr>
                  </w:pPr>
                </w:p>
              </w:tc>
              <w:tc>
                <w:tcPr>
                  <w:tcW w:w="2056" w:type="dxa"/>
                  <w:tcBorders>
                    <w:top w:val="single" w:color="auto" w:sz="4" w:space="0"/>
                    <w:left w:val="nil"/>
                    <w:bottom w:val="single" w:color="auto" w:sz="4" w:space="0"/>
                    <w:right w:val="single" w:color="auto" w:sz="4" w:space="0"/>
                  </w:tcBorders>
                  <w:vAlign w:val="center"/>
                </w:tcPr>
                <w:p w14:paraId="15944D58">
                  <w:pPr>
                    <w:autoSpaceDE w:val="0"/>
                    <w:snapToGrid w:val="0"/>
                    <w:spacing w:line="240" w:lineRule="atLeas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产生速率</w:t>
                  </w:r>
                </w:p>
              </w:tc>
              <w:tc>
                <w:tcPr>
                  <w:tcW w:w="1552" w:type="dxa"/>
                  <w:tcBorders>
                    <w:top w:val="single" w:color="auto" w:sz="4" w:space="0"/>
                    <w:left w:val="nil"/>
                    <w:bottom w:val="single" w:color="auto" w:sz="4" w:space="0"/>
                    <w:right w:val="single" w:color="auto" w:sz="4" w:space="0"/>
                  </w:tcBorders>
                  <w:vAlign w:val="center"/>
                </w:tcPr>
                <w:p w14:paraId="7567D82C">
                  <w:pPr>
                    <w:autoSpaceDE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2803m</w:t>
                  </w:r>
                  <w:r>
                    <w:rPr>
                      <w:rFonts w:eastAsia="仿宋"/>
                      <w:color w:val="000000" w:themeColor="text1"/>
                      <w:szCs w:val="21"/>
                      <w:vertAlign w:val="superscript"/>
                      <w14:textFill>
                        <w14:solidFill>
                          <w14:schemeClr w14:val="tx1"/>
                        </w14:solidFill>
                      </w14:textFill>
                    </w:rPr>
                    <w:t>3</w:t>
                  </w:r>
                  <w:r>
                    <w:rPr>
                      <w:rFonts w:eastAsia="仿宋"/>
                      <w:color w:val="000000" w:themeColor="text1"/>
                      <w:szCs w:val="21"/>
                      <w14:textFill>
                        <w14:solidFill>
                          <w14:schemeClr w14:val="tx1"/>
                        </w14:solidFill>
                      </w14:textFill>
                    </w:rPr>
                    <w:t>/h</w:t>
                  </w:r>
                </w:p>
              </w:tc>
              <w:tc>
                <w:tcPr>
                  <w:tcW w:w="1269" w:type="dxa"/>
                  <w:tcBorders>
                    <w:top w:val="single" w:color="auto" w:sz="4" w:space="0"/>
                    <w:left w:val="nil"/>
                    <w:bottom w:val="single" w:color="auto" w:sz="4" w:space="0"/>
                    <w:right w:val="single" w:color="auto" w:sz="4" w:space="0"/>
                  </w:tcBorders>
                  <w:vAlign w:val="center"/>
                </w:tcPr>
                <w:p w14:paraId="2BDCFA76">
                  <w:pPr>
                    <w:autoSpaceDE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0.021kg/h</w:t>
                  </w:r>
                </w:p>
              </w:tc>
              <w:tc>
                <w:tcPr>
                  <w:tcW w:w="1276" w:type="dxa"/>
                  <w:tcBorders>
                    <w:top w:val="single" w:color="auto" w:sz="4" w:space="0"/>
                    <w:left w:val="nil"/>
                    <w:bottom w:val="single" w:color="auto" w:sz="4" w:space="0"/>
                    <w:right w:val="single" w:color="auto" w:sz="4" w:space="0"/>
                  </w:tcBorders>
                  <w:vAlign w:val="center"/>
                </w:tcPr>
                <w:p w14:paraId="578138B0">
                  <w:pPr>
                    <w:autoSpaceDE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0.052kg/h</w:t>
                  </w:r>
                </w:p>
              </w:tc>
              <w:tc>
                <w:tcPr>
                  <w:tcW w:w="1429" w:type="dxa"/>
                  <w:tcBorders>
                    <w:top w:val="single" w:color="auto" w:sz="4" w:space="0"/>
                    <w:left w:val="nil"/>
                    <w:bottom w:val="single" w:color="auto" w:sz="4" w:space="0"/>
                    <w:right w:val="single" w:color="auto" w:sz="4" w:space="0"/>
                  </w:tcBorders>
                  <w:vAlign w:val="center"/>
                </w:tcPr>
                <w:p w14:paraId="13689E25">
                  <w:pPr>
                    <w:autoSpaceDE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0.087kg/h</w:t>
                  </w:r>
                </w:p>
              </w:tc>
            </w:tr>
            <w:tr w14:paraId="31CFE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 w:hRule="atLeast"/>
                <w:jc w:val="center"/>
              </w:trPr>
              <w:tc>
                <w:tcPr>
                  <w:tcW w:w="1096" w:type="dxa"/>
                  <w:vMerge w:val="continue"/>
                  <w:tcBorders>
                    <w:top w:val="nil"/>
                    <w:left w:val="single" w:color="auto" w:sz="4" w:space="0"/>
                    <w:bottom w:val="single" w:color="auto" w:sz="4" w:space="0"/>
                    <w:right w:val="single" w:color="auto" w:sz="4" w:space="0"/>
                  </w:tcBorders>
                  <w:vAlign w:val="center"/>
                </w:tcPr>
                <w:p w14:paraId="006A2D15">
                  <w:pPr>
                    <w:widowControl/>
                    <w:spacing w:line="240" w:lineRule="atLeast"/>
                    <w:jc w:val="left"/>
                    <w:rPr>
                      <w:rFonts w:eastAsia="仿宋"/>
                      <w:color w:val="000000" w:themeColor="text1"/>
                      <w:szCs w:val="21"/>
                      <w14:textFill>
                        <w14:solidFill>
                          <w14:schemeClr w14:val="tx1"/>
                        </w14:solidFill>
                      </w14:textFill>
                    </w:rPr>
                  </w:pPr>
                </w:p>
              </w:tc>
              <w:tc>
                <w:tcPr>
                  <w:tcW w:w="2056" w:type="dxa"/>
                  <w:tcBorders>
                    <w:top w:val="single" w:color="auto" w:sz="4" w:space="0"/>
                    <w:left w:val="nil"/>
                    <w:bottom w:val="single" w:color="auto" w:sz="4" w:space="0"/>
                    <w:right w:val="single" w:color="auto" w:sz="4" w:space="0"/>
                  </w:tcBorders>
                  <w:vAlign w:val="center"/>
                </w:tcPr>
                <w:p w14:paraId="04503DF3">
                  <w:pPr>
                    <w:autoSpaceDE w:val="0"/>
                    <w:snapToGrid w:val="0"/>
                    <w:spacing w:line="240" w:lineRule="atLeas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产生浓度</w:t>
                  </w:r>
                </w:p>
              </w:tc>
              <w:tc>
                <w:tcPr>
                  <w:tcW w:w="1552" w:type="dxa"/>
                  <w:tcBorders>
                    <w:top w:val="single" w:color="auto" w:sz="4" w:space="0"/>
                    <w:left w:val="nil"/>
                    <w:bottom w:val="single" w:color="auto" w:sz="4" w:space="0"/>
                    <w:right w:val="single" w:color="auto" w:sz="4" w:space="0"/>
                  </w:tcBorders>
                  <w:vAlign w:val="center"/>
                </w:tcPr>
                <w:p w14:paraId="1565330D">
                  <w:pPr>
                    <w:autoSpaceDE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1269" w:type="dxa"/>
                  <w:tcBorders>
                    <w:top w:val="single" w:color="auto" w:sz="4" w:space="0"/>
                    <w:left w:val="nil"/>
                    <w:bottom w:val="single" w:color="auto" w:sz="4" w:space="0"/>
                    <w:right w:val="single" w:color="auto" w:sz="4" w:space="0"/>
                  </w:tcBorders>
                  <w:vAlign w:val="center"/>
                </w:tcPr>
                <w:p w14:paraId="6664394B">
                  <w:pPr>
                    <w:autoSpaceDE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7.492mg/m</w:t>
                  </w:r>
                  <w:r>
                    <w:rPr>
                      <w:rFonts w:eastAsia="仿宋"/>
                      <w:color w:val="000000" w:themeColor="text1"/>
                      <w:szCs w:val="21"/>
                      <w:vertAlign w:val="superscript"/>
                      <w14:textFill>
                        <w14:solidFill>
                          <w14:schemeClr w14:val="tx1"/>
                        </w14:solidFill>
                      </w14:textFill>
                    </w:rPr>
                    <w:t>3</w:t>
                  </w:r>
                </w:p>
              </w:tc>
              <w:tc>
                <w:tcPr>
                  <w:tcW w:w="1276" w:type="dxa"/>
                  <w:tcBorders>
                    <w:top w:val="single" w:color="auto" w:sz="4" w:space="0"/>
                    <w:left w:val="nil"/>
                    <w:bottom w:val="single" w:color="auto" w:sz="4" w:space="0"/>
                    <w:right w:val="single" w:color="auto" w:sz="4" w:space="0"/>
                  </w:tcBorders>
                  <w:vAlign w:val="center"/>
                </w:tcPr>
                <w:p w14:paraId="2DF6DC54">
                  <w:pPr>
                    <w:autoSpaceDE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18.552g/m</w:t>
                  </w:r>
                  <w:r>
                    <w:rPr>
                      <w:rFonts w:eastAsia="仿宋"/>
                      <w:color w:val="000000" w:themeColor="text1"/>
                      <w:szCs w:val="21"/>
                      <w:vertAlign w:val="superscript"/>
                      <w14:textFill>
                        <w14:solidFill>
                          <w14:schemeClr w14:val="tx1"/>
                        </w14:solidFill>
                      </w14:textFill>
                    </w:rPr>
                    <w:t>3</w:t>
                  </w:r>
                </w:p>
              </w:tc>
              <w:tc>
                <w:tcPr>
                  <w:tcW w:w="1429" w:type="dxa"/>
                  <w:tcBorders>
                    <w:top w:val="single" w:color="auto" w:sz="4" w:space="0"/>
                    <w:left w:val="nil"/>
                    <w:bottom w:val="single" w:color="auto" w:sz="4" w:space="0"/>
                    <w:right w:val="single" w:color="auto" w:sz="4" w:space="0"/>
                  </w:tcBorders>
                  <w:vAlign w:val="center"/>
                </w:tcPr>
                <w:p w14:paraId="726F45A6">
                  <w:pPr>
                    <w:autoSpaceDE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31.038mg/m</w:t>
                  </w:r>
                  <w:r>
                    <w:rPr>
                      <w:rFonts w:eastAsia="仿宋"/>
                      <w:color w:val="000000" w:themeColor="text1"/>
                      <w:szCs w:val="21"/>
                      <w:vertAlign w:val="superscript"/>
                      <w14:textFill>
                        <w14:solidFill>
                          <w14:schemeClr w14:val="tx1"/>
                        </w14:solidFill>
                      </w14:textFill>
                    </w:rPr>
                    <w:t>3</w:t>
                  </w:r>
                </w:p>
              </w:tc>
            </w:tr>
            <w:tr w14:paraId="49646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 w:hRule="atLeast"/>
                <w:jc w:val="center"/>
              </w:trPr>
              <w:tc>
                <w:tcPr>
                  <w:tcW w:w="1096" w:type="dxa"/>
                  <w:vMerge w:val="continue"/>
                  <w:tcBorders>
                    <w:top w:val="nil"/>
                    <w:left w:val="single" w:color="auto" w:sz="4" w:space="0"/>
                    <w:bottom w:val="single" w:color="auto" w:sz="4" w:space="0"/>
                    <w:right w:val="single" w:color="auto" w:sz="4" w:space="0"/>
                  </w:tcBorders>
                  <w:vAlign w:val="center"/>
                </w:tcPr>
                <w:p w14:paraId="1000EA88">
                  <w:pPr>
                    <w:widowControl/>
                    <w:spacing w:line="240" w:lineRule="atLeast"/>
                    <w:jc w:val="left"/>
                    <w:rPr>
                      <w:rFonts w:eastAsia="仿宋"/>
                      <w:color w:val="000000" w:themeColor="text1"/>
                      <w:szCs w:val="21"/>
                      <w14:textFill>
                        <w14:solidFill>
                          <w14:schemeClr w14:val="tx1"/>
                        </w14:solidFill>
                      </w14:textFill>
                    </w:rPr>
                  </w:pPr>
                </w:p>
              </w:tc>
              <w:tc>
                <w:tcPr>
                  <w:tcW w:w="2056" w:type="dxa"/>
                  <w:tcBorders>
                    <w:top w:val="single" w:color="auto" w:sz="4" w:space="0"/>
                    <w:left w:val="nil"/>
                    <w:bottom w:val="single" w:color="auto" w:sz="4" w:space="0"/>
                    <w:right w:val="single" w:color="auto" w:sz="4" w:space="0"/>
                  </w:tcBorders>
                  <w:vAlign w:val="center"/>
                </w:tcPr>
                <w:p w14:paraId="0E3213D0">
                  <w:pPr>
                    <w:autoSpaceDE w:val="0"/>
                    <w:snapToGrid w:val="0"/>
                    <w:spacing w:line="240" w:lineRule="atLeas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末端治理技术名称</w:t>
                  </w:r>
                </w:p>
              </w:tc>
              <w:tc>
                <w:tcPr>
                  <w:tcW w:w="5526" w:type="dxa"/>
                  <w:gridSpan w:val="4"/>
                  <w:tcBorders>
                    <w:top w:val="single" w:color="auto" w:sz="4" w:space="0"/>
                    <w:left w:val="nil"/>
                    <w:bottom w:val="single" w:color="auto" w:sz="4" w:space="0"/>
                    <w:right w:val="single" w:color="auto" w:sz="4" w:space="0"/>
                  </w:tcBorders>
                  <w:vAlign w:val="center"/>
                </w:tcPr>
                <w:p w14:paraId="322ED314">
                  <w:pPr>
                    <w:autoSpaceDE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直排</w:t>
                  </w:r>
                </w:p>
              </w:tc>
            </w:tr>
            <w:tr w14:paraId="132BF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1096" w:type="dxa"/>
                  <w:vMerge w:val="continue"/>
                  <w:tcBorders>
                    <w:top w:val="nil"/>
                    <w:left w:val="single" w:color="auto" w:sz="4" w:space="0"/>
                    <w:bottom w:val="single" w:color="auto" w:sz="4" w:space="0"/>
                    <w:right w:val="single" w:color="auto" w:sz="4" w:space="0"/>
                  </w:tcBorders>
                  <w:vAlign w:val="center"/>
                </w:tcPr>
                <w:p w14:paraId="2C1565B4">
                  <w:pPr>
                    <w:widowControl/>
                    <w:spacing w:line="240" w:lineRule="atLeast"/>
                    <w:jc w:val="left"/>
                    <w:rPr>
                      <w:rFonts w:eastAsia="仿宋"/>
                      <w:color w:val="000000" w:themeColor="text1"/>
                      <w:szCs w:val="21"/>
                      <w14:textFill>
                        <w14:solidFill>
                          <w14:schemeClr w14:val="tx1"/>
                        </w14:solidFill>
                      </w14:textFill>
                    </w:rPr>
                  </w:pPr>
                </w:p>
              </w:tc>
              <w:tc>
                <w:tcPr>
                  <w:tcW w:w="2056" w:type="dxa"/>
                  <w:tcBorders>
                    <w:top w:val="single" w:color="auto" w:sz="4" w:space="0"/>
                    <w:left w:val="nil"/>
                    <w:bottom w:val="single" w:color="auto" w:sz="4" w:space="0"/>
                    <w:right w:val="single" w:color="auto" w:sz="4" w:space="0"/>
                  </w:tcBorders>
                  <w:vAlign w:val="center"/>
                </w:tcPr>
                <w:p w14:paraId="4BEB6D14">
                  <w:pPr>
                    <w:autoSpaceDE w:val="0"/>
                    <w:snapToGrid w:val="0"/>
                    <w:spacing w:line="240" w:lineRule="atLeas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排放量</w:t>
                  </w:r>
                </w:p>
              </w:tc>
              <w:tc>
                <w:tcPr>
                  <w:tcW w:w="1552" w:type="dxa"/>
                  <w:tcBorders>
                    <w:top w:val="single" w:color="auto" w:sz="4" w:space="0"/>
                    <w:left w:val="nil"/>
                    <w:bottom w:val="single" w:color="auto" w:sz="4" w:space="0"/>
                    <w:right w:val="single" w:color="auto" w:sz="4" w:space="0"/>
                  </w:tcBorders>
                  <w:vAlign w:val="center"/>
                </w:tcPr>
                <w:p w14:paraId="21C46512">
                  <w:pPr>
                    <w:autoSpaceDE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1.009×10</w:t>
                  </w:r>
                  <w:r>
                    <w:rPr>
                      <w:rFonts w:eastAsia="仿宋"/>
                      <w:color w:val="000000" w:themeColor="text1"/>
                      <w:szCs w:val="21"/>
                      <w:vertAlign w:val="superscript"/>
                      <w14:textFill>
                        <w14:solidFill>
                          <w14:schemeClr w14:val="tx1"/>
                        </w14:solidFill>
                      </w14:textFill>
                    </w:rPr>
                    <w:t>7</w:t>
                  </w:r>
                  <w:r>
                    <w:rPr>
                      <w:rFonts w:eastAsia="仿宋"/>
                      <w:color w:val="000000" w:themeColor="text1"/>
                      <w:szCs w:val="21"/>
                      <w14:textFill>
                        <w14:solidFill>
                          <w14:schemeClr w14:val="tx1"/>
                        </w14:solidFill>
                      </w14:textFill>
                    </w:rPr>
                    <w:t>m</w:t>
                  </w:r>
                  <w:r>
                    <w:rPr>
                      <w:rFonts w:eastAsia="仿宋"/>
                      <w:color w:val="000000" w:themeColor="text1"/>
                      <w:szCs w:val="21"/>
                      <w:vertAlign w:val="superscript"/>
                      <w14:textFill>
                        <w14:solidFill>
                          <w14:schemeClr w14:val="tx1"/>
                        </w14:solidFill>
                      </w14:textFill>
                    </w:rPr>
                    <w:t>3</w:t>
                  </w:r>
                  <w:r>
                    <w:rPr>
                      <w:rFonts w:eastAsia="仿宋"/>
                      <w:color w:val="000000" w:themeColor="text1"/>
                      <w:szCs w:val="21"/>
                      <w14:textFill>
                        <w14:solidFill>
                          <w14:schemeClr w14:val="tx1"/>
                        </w14:solidFill>
                      </w14:textFill>
                    </w:rPr>
                    <w:t>/a</w:t>
                  </w:r>
                </w:p>
              </w:tc>
              <w:tc>
                <w:tcPr>
                  <w:tcW w:w="1269" w:type="dxa"/>
                  <w:tcBorders>
                    <w:top w:val="single" w:color="auto" w:sz="4" w:space="0"/>
                    <w:left w:val="nil"/>
                    <w:bottom w:val="single" w:color="auto" w:sz="4" w:space="0"/>
                    <w:right w:val="single" w:color="auto" w:sz="4" w:space="0"/>
                  </w:tcBorders>
                  <w:vAlign w:val="center"/>
                </w:tcPr>
                <w:p w14:paraId="06661DFD">
                  <w:pPr>
                    <w:autoSpaceDE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0.075t/a</w:t>
                  </w:r>
                </w:p>
              </w:tc>
              <w:tc>
                <w:tcPr>
                  <w:tcW w:w="1276" w:type="dxa"/>
                  <w:tcBorders>
                    <w:top w:val="single" w:color="auto" w:sz="4" w:space="0"/>
                    <w:left w:val="nil"/>
                    <w:bottom w:val="single" w:color="auto" w:sz="4" w:space="0"/>
                    <w:right w:val="single" w:color="auto" w:sz="4" w:space="0"/>
                  </w:tcBorders>
                  <w:vAlign w:val="center"/>
                </w:tcPr>
                <w:p w14:paraId="16991A1A">
                  <w:pPr>
                    <w:autoSpaceDE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0.187t/a</w:t>
                  </w:r>
                </w:p>
              </w:tc>
              <w:tc>
                <w:tcPr>
                  <w:tcW w:w="1429" w:type="dxa"/>
                  <w:tcBorders>
                    <w:top w:val="single" w:color="auto" w:sz="4" w:space="0"/>
                    <w:left w:val="nil"/>
                    <w:bottom w:val="single" w:color="auto" w:sz="4" w:space="0"/>
                    <w:right w:val="single" w:color="auto" w:sz="4" w:space="0"/>
                  </w:tcBorders>
                  <w:vAlign w:val="center"/>
                </w:tcPr>
                <w:p w14:paraId="0A8B0ADA">
                  <w:pPr>
                    <w:autoSpaceDE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0.312t/a</w:t>
                  </w:r>
                </w:p>
              </w:tc>
            </w:tr>
            <w:tr w14:paraId="2862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 w:hRule="atLeast"/>
                <w:jc w:val="center"/>
              </w:trPr>
              <w:tc>
                <w:tcPr>
                  <w:tcW w:w="1096" w:type="dxa"/>
                  <w:vMerge w:val="continue"/>
                  <w:tcBorders>
                    <w:top w:val="nil"/>
                    <w:left w:val="single" w:color="auto" w:sz="4" w:space="0"/>
                    <w:bottom w:val="single" w:color="auto" w:sz="4" w:space="0"/>
                    <w:right w:val="single" w:color="auto" w:sz="4" w:space="0"/>
                  </w:tcBorders>
                  <w:vAlign w:val="center"/>
                </w:tcPr>
                <w:p w14:paraId="17DDF248">
                  <w:pPr>
                    <w:widowControl/>
                    <w:spacing w:line="240" w:lineRule="atLeast"/>
                    <w:jc w:val="left"/>
                    <w:rPr>
                      <w:rFonts w:eastAsia="仿宋"/>
                      <w:color w:val="000000" w:themeColor="text1"/>
                      <w:szCs w:val="21"/>
                      <w14:textFill>
                        <w14:solidFill>
                          <w14:schemeClr w14:val="tx1"/>
                        </w14:solidFill>
                      </w14:textFill>
                    </w:rPr>
                  </w:pPr>
                </w:p>
              </w:tc>
              <w:tc>
                <w:tcPr>
                  <w:tcW w:w="2056" w:type="dxa"/>
                  <w:tcBorders>
                    <w:top w:val="single" w:color="auto" w:sz="4" w:space="0"/>
                    <w:left w:val="nil"/>
                    <w:bottom w:val="single" w:color="auto" w:sz="4" w:space="0"/>
                    <w:right w:val="single" w:color="auto" w:sz="4" w:space="0"/>
                  </w:tcBorders>
                  <w:vAlign w:val="center"/>
                </w:tcPr>
                <w:p w14:paraId="38A48202">
                  <w:pPr>
                    <w:autoSpaceDE w:val="0"/>
                    <w:snapToGrid w:val="0"/>
                    <w:spacing w:line="240" w:lineRule="atLeas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排放速率</w:t>
                  </w:r>
                </w:p>
              </w:tc>
              <w:tc>
                <w:tcPr>
                  <w:tcW w:w="1552" w:type="dxa"/>
                  <w:tcBorders>
                    <w:top w:val="single" w:color="auto" w:sz="4" w:space="0"/>
                    <w:left w:val="nil"/>
                    <w:bottom w:val="single" w:color="auto" w:sz="4" w:space="0"/>
                    <w:right w:val="single" w:color="auto" w:sz="4" w:space="0"/>
                  </w:tcBorders>
                  <w:vAlign w:val="center"/>
                </w:tcPr>
                <w:p w14:paraId="1A1C5601">
                  <w:pPr>
                    <w:autoSpaceDE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2803m</w:t>
                  </w:r>
                  <w:r>
                    <w:rPr>
                      <w:rFonts w:eastAsia="仿宋"/>
                      <w:color w:val="000000" w:themeColor="text1"/>
                      <w:szCs w:val="21"/>
                      <w:vertAlign w:val="superscript"/>
                      <w14:textFill>
                        <w14:solidFill>
                          <w14:schemeClr w14:val="tx1"/>
                        </w14:solidFill>
                      </w14:textFill>
                    </w:rPr>
                    <w:t>3</w:t>
                  </w:r>
                  <w:r>
                    <w:rPr>
                      <w:rFonts w:eastAsia="仿宋"/>
                      <w:color w:val="000000" w:themeColor="text1"/>
                      <w:szCs w:val="21"/>
                      <w14:textFill>
                        <w14:solidFill>
                          <w14:schemeClr w14:val="tx1"/>
                        </w14:solidFill>
                      </w14:textFill>
                    </w:rPr>
                    <w:t>/h</w:t>
                  </w:r>
                </w:p>
              </w:tc>
              <w:tc>
                <w:tcPr>
                  <w:tcW w:w="1269" w:type="dxa"/>
                  <w:tcBorders>
                    <w:top w:val="single" w:color="auto" w:sz="4" w:space="0"/>
                    <w:left w:val="nil"/>
                    <w:bottom w:val="single" w:color="auto" w:sz="4" w:space="0"/>
                    <w:right w:val="single" w:color="auto" w:sz="4" w:space="0"/>
                  </w:tcBorders>
                  <w:vAlign w:val="center"/>
                </w:tcPr>
                <w:p w14:paraId="4C1C1E95">
                  <w:pPr>
                    <w:autoSpaceDE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0.021kg/h</w:t>
                  </w:r>
                </w:p>
              </w:tc>
              <w:tc>
                <w:tcPr>
                  <w:tcW w:w="1276" w:type="dxa"/>
                  <w:tcBorders>
                    <w:top w:val="single" w:color="auto" w:sz="4" w:space="0"/>
                    <w:left w:val="nil"/>
                    <w:bottom w:val="single" w:color="auto" w:sz="4" w:space="0"/>
                    <w:right w:val="single" w:color="auto" w:sz="4" w:space="0"/>
                  </w:tcBorders>
                  <w:vAlign w:val="center"/>
                </w:tcPr>
                <w:p w14:paraId="6DCE1923">
                  <w:pPr>
                    <w:autoSpaceDE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0.052kg/h</w:t>
                  </w:r>
                </w:p>
              </w:tc>
              <w:tc>
                <w:tcPr>
                  <w:tcW w:w="1429" w:type="dxa"/>
                  <w:tcBorders>
                    <w:top w:val="single" w:color="auto" w:sz="4" w:space="0"/>
                    <w:left w:val="nil"/>
                    <w:bottom w:val="single" w:color="auto" w:sz="4" w:space="0"/>
                    <w:right w:val="single" w:color="auto" w:sz="4" w:space="0"/>
                  </w:tcBorders>
                  <w:vAlign w:val="center"/>
                </w:tcPr>
                <w:p w14:paraId="16A739D8">
                  <w:pPr>
                    <w:autoSpaceDE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0.087kg/h</w:t>
                  </w:r>
                </w:p>
              </w:tc>
            </w:tr>
            <w:tr w14:paraId="312FF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 w:hRule="atLeast"/>
                <w:jc w:val="center"/>
              </w:trPr>
              <w:tc>
                <w:tcPr>
                  <w:tcW w:w="1096" w:type="dxa"/>
                  <w:vMerge w:val="continue"/>
                  <w:tcBorders>
                    <w:top w:val="nil"/>
                    <w:left w:val="single" w:color="auto" w:sz="4" w:space="0"/>
                    <w:bottom w:val="single" w:color="auto" w:sz="4" w:space="0"/>
                    <w:right w:val="single" w:color="auto" w:sz="4" w:space="0"/>
                  </w:tcBorders>
                  <w:vAlign w:val="center"/>
                </w:tcPr>
                <w:p w14:paraId="73C9DD4D">
                  <w:pPr>
                    <w:widowControl/>
                    <w:spacing w:line="240" w:lineRule="atLeast"/>
                    <w:jc w:val="left"/>
                    <w:rPr>
                      <w:rFonts w:eastAsia="仿宋"/>
                      <w:color w:val="000000" w:themeColor="text1"/>
                      <w:szCs w:val="21"/>
                      <w14:textFill>
                        <w14:solidFill>
                          <w14:schemeClr w14:val="tx1"/>
                        </w14:solidFill>
                      </w14:textFill>
                    </w:rPr>
                  </w:pPr>
                </w:p>
              </w:tc>
              <w:tc>
                <w:tcPr>
                  <w:tcW w:w="2056" w:type="dxa"/>
                  <w:tcBorders>
                    <w:top w:val="single" w:color="auto" w:sz="4" w:space="0"/>
                    <w:left w:val="nil"/>
                    <w:bottom w:val="single" w:color="auto" w:sz="4" w:space="0"/>
                    <w:right w:val="single" w:color="auto" w:sz="4" w:space="0"/>
                  </w:tcBorders>
                  <w:vAlign w:val="center"/>
                </w:tcPr>
                <w:p w14:paraId="223BDA85">
                  <w:pPr>
                    <w:autoSpaceDE w:val="0"/>
                    <w:snapToGrid w:val="0"/>
                    <w:spacing w:line="240" w:lineRule="atLeas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排放浓度</w:t>
                  </w:r>
                </w:p>
              </w:tc>
              <w:tc>
                <w:tcPr>
                  <w:tcW w:w="1552" w:type="dxa"/>
                  <w:tcBorders>
                    <w:top w:val="single" w:color="auto" w:sz="4" w:space="0"/>
                    <w:left w:val="nil"/>
                    <w:bottom w:val="single" w:color="auto" w:sz="4" w:space="0"/>
                    <w:right w:val="single" w:color="auto" w:sz="4" w:space="0"/>
                  </w:tcBorders>
                  <w:vAlign w:val="center"/>
                </w:tcPr>
                <w:p w14:paraId="6D3AEA6B">
                  <w:pPr>
                    <w:autoSpaceDE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1269" w:type="dxa"/>
                  <w:tcBorders>
                    <w:top w:val="single" w:color="auto" w:sz="4" w:space="0"/>
                    <w:left w:val="nil"/>
                    <w:bottom w:val="single" w:color="auto" w:sz="4" w:space="0"/>
                    <w:right w:val="single" w:color="auto" w:sz="4" w:space="0"/>
                  </w:tcBorders>
                  <w:vAlign w:val="center"/>
                </w:tcPr>
                <w:p w14:paraId="083FFD5E">
                  <w:pPr>
                    <w:autoSpaceDE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7.492mg/m</w:t>
                  </w:r>
                  <w:r>
                    <w:rPr>
                      <w:rFonts w:eastAsia="仿宋"/>
                      <w:color w:val="000000" w:themeColor="text1"/>
                      <w:szCs w:val="21"/>
                      <w:vertAlign w:val="superscript"/>
                      <w14:textFill>
                        <w14:solidFill>
                          <w14:schemeClr w14:val="tx1"/>
                        </w14:solidFill>
                      </w14:textFill>
                    </w:rPr>
                    <w:t>3</w:t>
                  </w:r>
                </w:p>
              </w:tc>
              <w:tc>
                <w:tcPr>
                  <w:tcW w:w="1276" w:type="dxa"/>
                  <w:tcBorders>
                    <w:top w:val="single" w:color="auto" w:sz="4" w:space="0"/>
                    <w:left w:val="nil"/>
                    <w:bottom w:val="single" w:color="auto" w:sz="4" w:space="0"/>
                    <w:right w:val="single" w:color="auto" w:sz="4" w:space="0"/>
                  </w:tcBorders>
                  <w:vAlign w:val="center"/>
                </w:tcPr>
                <w:p w14:paraId="19E7A13E">
                  <w:pPr>
                    <w:autoSpaceDE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18.552g/m</w:t>
                  </w:r>
                  <w:r>
                    <w:rPr>
                      <w:rFonts w:eastAsia="仿宋"/>
                      <w:color w:val="000000" w:themeColor="text1"/>
                      <w:szCs w:val="21"/>
                      <w:vertAlign w:val="superscript"/>
                      <w14:textFill>
                        <w14:solidFill>
                          <w14:schemeClr w14:val="tx1"/>
                        </w14:solidFill>
                      </w14:textFill>
                    </w:rPr>
                    <w:t>3</w:t>
                  </w:r>
                </w:p>
              </w:tc>
              <w:tc>
                <w:tcPr>
                  <w:tcW w:w="1429" w:type="dxa"/>
                  <w:tcBorders>
                    <w:top w:val="single" w:color="auto" w:sz="4" w:space="0"/>
                    <w:left w:val="nil"/>
                    <w:bottom w:val="single" w:color="auto" w:sz="4" w:space="0"/>
                    <w:right w:val="single" w:color="auto" w:sz="4" w:space="0"/>
                  </w:tcBorders>
                  <w:vAlign w:val="center"/>
                </w:tcPr>
                <w:p w14:paraId="662193CC">
                  <w:pPr>
                    <w:autoSpaceDE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31.038mg/m</w:t>
                  </w:r>
                  <w:r>
                    <w:rPr>
                      <w:rFonts w:eastAsia="仿宋"/>
                      <w:color w:val="000000" w:themeColor="text1"/>
                      <w:szCs w:val="21"/>
                      <w:vertAlign w:val="superscript"/>
                      <w14:textFill>
                        <w14:solidFill>
                          <w14:schemeClr w14:val="tx1"/>
                        </w14:solidFill>
                      </w14:textFill>
                    </w:rPr>
                    <w:t>3</w:t>
                  </w:r>
                </w:p>
              </w:tc>
            </w:tr>
            <w:tr w14:paraId="1A44A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 w:hRule="atLeast"/>
                <w:jc w:val="center"/>
              </w:trPr>
              <w:tc>
                <w:tcPr>
                  <w:tcW w:w="1096" w:type="dxa"/>
                  <w:vMerge w:val="continue"/>
                  <w:tcBorders>
                    <w:top w:val="nil"/>
                    <w:left w:val="single" w:color="auto" w:sz="4" w:space="0"/>
                    <w:bottom w:val="single" w:color="auto" w:sz="4" w:space="0"/>
                    <w:right w:val="single" w:color="auto" w:sz="4" w:space="0"/>
                  </w:tcBorders>
                  <w:vAlign w:val="center"/>
                </w:tcPr>
                <w:p w14:paraId="17F809B0">
                  <w:pPr>
                    <w:widowControl/>
                    <w:spacing w:line="240" w:lineRule="atLeast"/>
                    <w:jc w:val="left"/>
                    <w:rPr>
                      <w:rFonts w:eastAsia="仿宋"/>
                      <w:color w:val="000000" w:themeColor="text1"/>
                      <w:szCs w:val="21"/>
                      <w14:textFill>
                        <w14:solidFill>
                          <w14:schemeClr w14:val="tx1"/>
                        </w14:solidFill>
                      </w14:textFill>
                    </w:rPr>
                  </w:pPr>
                </w:p>
              </w:tc>
              <w:tc>
                <w:tcPr>
                  <w:tcW w:w="2056" w:type="dxa"/>
                  <w:tcBorders>
                    <w:top w:val="single" w:color="auto" w:sz="4" w:space="0"/>
                    <w:left w:val="nil"/>
                    <w:bottom w:val="single" w:color="auto" w:sz="4" w:space="0"/>
                    <w:right w:val="single" w:color="auto" w:sz="4" w:space="0"/>
                  </w:tcBorders>
                  <w:vAlign w:val="center"/>
                </w:tcPr>
                <w:p w14:paraId="219855B8">
                  <w:pPr>
                    <w:autoSpaceDE w:val="0"/>
                    <w:snapToGrid w:val="0"/>
                    <w:spacing w:line="240" w:lineRule="atLeas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排放限值</w:t>
                  </w:r>
                </w:p>
              </w:tc>
              <w:tc>
                <w:tcPr>
                  <w:tcW w:w="1552" w:type="dxa"/>
                  <w:tcBorders>
                    <w:top w:val="single" w:color="auto" w:sz="4" w:space="0"/>
                    <w:left w:val="nil"/>
                    <w:bottom w:val="single" w:color="auto" w:sz="4" w:space="0"/>
                    <w:right w:val="single" w:color="auto" w:sz="4" w:space="0"/>
                  </w:tcBorders>
                  <w:vAlign w:val="center"/>
                </w:tcPr>
                <w:p w14:paraId="6C1D30D5">
                  <w:pPr>
                    <w:autoSpaceDE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1269" w:type="dxa"/>
                  <w:tcBorders>
                    <w:top w:val="single" w:color="auto" w:sz="4" w:space="0"/>
                    <w:left w:val="nil"/>
                    <w:bottom w:val="single" w:color="auto" w:sz="4" w:space="0"/>
                    <w:right w:val="single" w:color="auto" w:sz="4" w:space="0"/>
                  </w:tcBorders>
                  <w:vAlign w:val="center"/>
                </w:tcPr>
                <w:p w14:paraId="36E7560A">
                  <w:pPr>
                    <w:autoSpaceDE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10mg/m</w:t>
                  </w:r>
                  <w:r>
                    <w:rPr>
                      <w:rFonts w:eastAsia="仿宋"/>
                      <w:color w:val="000000" w:themeColor="text1"/>
                      <w:szCs w:val="21"/>
                      <w:vertAlign w:val="superscript"/>
                      <w14:textFill>
                        <w14:solidFill>
                          <w14:schemeClr w14:val="tx1"/>
                        </w14:solidFill>
                      </w14:textFill>
                    </w:rPr>
                    <w:t>3</w:t>
                  </w:r>
                </w:p>
              </w:tc>
              <w:tc>
                <w:tcPr>
                  <w:tcW w:w="1276" w:type="dxa"/>
                  <w:tcBorders>
                    <w:top w:val="single" w:color="auto" w:sz="4" w:space="0"/>
                    <w:left w:val="nil"/>
                    <w:bottom w:val="single" w:color="auto" w:sz="4" w:space="0"/>
                    <w:right w:val="single" w:color="auto" w:sz="4" w:space="0"/>
                  </w:tcBorders>
                  <w:vAlign w:val="center"/>
                </w:tcPr>
                <w:p w14:paraId="63DC7E72">
                  <w:pPr>
                    <w:autoSpaceDE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35mg/m</w:t>
                  </w:r>
                  <w:r>
                    <w:rPr>
                      <w:rFonts w:eastAsia="仿宋"/>
                      <w:color w:val="000000" w:themeColor="text1"/>
                      <w:szCs w:val="21"/>
                      <w:vertAlign w:val="superscript"/>
                      <w14:textFill>
                        <w14:solidFill>
                          <w14:schemeClr w14:val="tx1"/>
                        </w14:solidFill>
                      </w14:textFill>
                    </w:rPr>
                    <w:t>3</w:t>
                  </w:r>
                </w:p>
              </w:tc>
              <w:tc>
                <w:tcPr>
                  <w:tcW w:w="1429" w:type="dxa"/>
                  <w:tcBorders>
                    <w:top w:val="single" w:color="auto" w:sz="4" w:space="0"/>
                    <w:left w:val="nil"/>
                    <w:bottom w:val="single" w:color="auto" w:sz="4" w:space="0"/>
                    <w:right w:val="single" w:color="auto" w:sz="4" w:space="0"/>
                  </w:tcBorders>
                  <w:vAlign w:val="center"/>
                </w:tcPr>
                <w:p w14:paraId="1CEBB9D4">
                  <w:pPr>
                    <w:autoSpaceDE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50mg/m</w:t>
                  </w:r>
                  <w:r>
                    <w:rPr>
                      <w:rFonts w:eastAsia="仿宋"/>
                      <w:color w:val="000000" w:themeColor="text1"/>
                      <w:szCs w:val="21"/>
                      <w:vertAlign w:val="superscript"/>
                      <w14:textFill>
                        <w14:solidFill>
                          <w14:schemeClr w14:val="tx1"/>
                        </w14:solidFill>
                      </w14:textFill>
                    </w:rPr>
                    <w:t>3</w:t>
                  </w:r>
                </w:p>
              </w:tc>
            </w:tr>
          </w:tbl>
          <w:p w14:paraId="1C56F476">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w:t>
            </w:r>
            <w:r>
              <w:rPr>
                <w:rFonts w:eastAsia="仿宋"/>
                <w:color w:val="000000" w:themeColor="text1"/>
                <w:sz w:val="24"/>
                <w14:textFill>
                  <w14:solidFill>
                    <w14:schemeClr w14:val="tx1"/>
                  </w14:solidFill>
                </w14:textFill>
              </w:rPr>
              <w:t>3</w:t>
            </w:r>
            <w:r>
              <w:rPr>
                <w:rFonts w:hint="eastAsia" w:eastAsia="仿宋"/>
                <w:color w:val="000000" w:themeColor="text1"/>
                <w:sz w:val="24"/>
                <w14:textFill>
                  <w14:solidFill>
                    <w14:schemeClr w14:val="tx1"/>
                  </w14:solidFill>
                </w14:textFill>
              </w:rPr>
              <w:t>）危废仓库废气</w:t>
            </w:r>
          </w:p>
          <w:p w14:paraId="21FEFDD8">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危废仓库储存废包装桶/袋、废活性炭等含有机物的危险废物，由于量较小，不进行定量分析；危废仓库通过排风管道收集至两级活性炭吸附装置处理后通过</w:t>
            </w:r>
            <w:r>
              <w:rPr>
                <w:rFonts w:eastAsia="仿宋"/>
                <w:color w:val="000000" w:themeColor="text1"/>
                <w:sz w:val="24"/>
                <w14:textFill>
                  <w14:solidFill>
                    <w14:schemeClr w14:val="tx1"/>
                  </w14:solidFill>
                </w14:textFill>
              </w:rPr>
              <w:t>1</w:t>
            </w:r>
            <w:r>
              <w:rPr>
                <w:rFonts w:hint="eastAsia" w:eastAsia="仿宋"/>
                <w:color w:val="000000" w:themeColor="text1"/>
                <w:sz w:val="24"/>
                <w14:textFill>
                  <w14:solidFill>
                    <w14:schemeClr w14:val="tx1"/>
                  </w14:solidFill>
                </w14:textFill>
              </w:rPr>
              <w:t>#排气筒排放。</w:t>
            </w:r>
          </w:p>
          <w:p w14:paraId="36E3229F">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综上所述，本项目有组织废气产生情况如下表所示。</w:t>
            </w:r>
          </w:p>
          <w:p w14:paraId="2222FA2A">
            <w:pPr>
              <w:tabs>
                <w:tab w:val="left" w:pos="2130"/>
              </w:tabs>
              <w:spacing w:line="480" w:lineRule="exact"/>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表4-5 本项目有组织废气产生情况表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705"/>
              <w:gridCol w:w="1202"/>
              <w:gridCol w:w="880"/>
              <w:gridCol w:w="1321"/>
              <w:gridCol w:w="1173"/>
              <w:gridCol w:w="1026"/>
              <w:gridCol w:w="881"/>
              <w:gridCol w:w="918"/>
            </w:tblGrid>
            <w:tr w14:paraId="3F1A8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dxa"/>
                  <w:vMerge w:val="restart"/>
                  <w:tcBorders>
                    <w:top w:val="single" w:color="auto" w:sz="4" w:space="0"/>
                    <w:left w:val="single" w:color="auto" w:sz="4" w:space="0"/>
                    <w:bottom w:val="single" w:color="auto" w:sz="4" w:space="0"/>
                    <w:right w:val="single" w:color="auto" w:sz="4" w:space="0"/>
                  </w:tcBorders>
                  <w:vAlign w:val="center"/>
                </w:tcPr>
                <w:p w14:paraId="5A4693DA">
                  <w:pPr>
                    <w:widowControl/>
                    <w:jc w:val="center"/>
                    <w:rPr>
                      <w:rFonts w:eastAsia="仿宋"/>
                      <w:b/>
                      <w:color w:val="000000" w:themeColor="text1"/>
                      <w:kern w:val="0"/>
                      <w:szCs w:val="21"/>
                      <w14:textFill>
                        <w14:solidFill>
                          <w14:schemeClr w14:val="tx1"/>
                        </w14:solidFill>
                      </w14:textFill>
                    </w:rPr>
                  </w:pPr>
                  <w:r>
                    <w:rPr>
                      <w:rFonts w:hint="eastAsia" w:ascii="仿宋" w:hAnsi="仿宋" w:eastAsia="仿宋"/>
                      <w:b/>
                      <w:color w:val="000000" w:themeColor="text1"/>
                      <w:kern w:val="0"/>
                      <w14:textFill>
                        <w14:solidFill>
                          <w14:schemeClr w14:val="tx1"/>
                        </w14:solidFill>
                      </w14:textFill>
                    </w:rPr>
                    <w:t>污染源位置</w:t>
                  </w:r>
                </w:p>
              </w:tc>
              <w:tc>
                <w:tcPr>
                  <w:tcW w:w="692" w:type="dxa"/>
                  <w:vMerge w:val="restart"/>
                  <w:tcBorders>
                    <w:top w:val="single" w:color="auto" w:sz="4" w:space="0"/>
                    <w:left w:val="single" w:color="auto" w:sz="4" w:space="0"/>
                    <w:bottom w:val="single" w:color="auto" w:sz="4" w:space="0"/>
                    <w:right w:val="single" w:color="auto" w:sz="4" w:space="0"/>
                  </w:tcBorders>
                  <w:vAlign w:val="center"/>
                </w:tcPr>
                <w:p w14:paraId="60A2F9D2">
                  <w:pPr>
                    <w:widowControl/>
                    <w:jc w:val="center"/>
                    <w:rPr>
                      <w:rFonts w:eastAsia="仿宋"/>
                      <w:b/>
                      <w:color w:val="000000" w:themeColor="text1"/>
                      <w:kern w:val="0"/>
                      <w14:textFill>
                        <w14:solidFill>
                          <w14:schemeClr w14:val="tx1"/>
                        </w14:solidFill>
                      </w14:textFill>
                    </w:rPr>
                  </w:pPr>
                  <w:r>
                    <w:rPr>
                      <w:rFonts w:ascii="仿宋" w:hAnsi="仿宋" w:eastAsia="仿宋"/>
                      <w:b/>
                      <w:color w:val="000000" w:themeColor="text1"/>
                      <w:kern w:val="0"/>
                      <w14:textFill>
                        <w14:solidFill>
                          <w14:schemeClr w14:val="tx1"/>
                        </w14:solidFill>
                      </w14:textFill>
                    </w:rPr>
                    <w:t>排气筒编号</w:t>
                  </w:r>
                </w:p>
              </w:tc>
              <w:tc>
                <w:tcPr>
                  <w:tcW w:w="1181" w:type="dxa"/>
                  <w:vMerge w:val="restart"/>
                  <w:tcBorders>
                    <w:top w:val="single" w:color="auto" w:sz="4" w:space="0"/>
                    <w:left w:val="single" w:color="auto" w:sz="4" w:space="0"/>
                    <w:bottom w:val="single" w:color="auto" w:sz="4" w:space="0"/>
                    <w:right w:val="single" w:color="auto" w:sz="4" w:space="0"/>
                  </w:tcBorders>
                  <w:vAlign w:val="center"/>
                </w:tcPr>
                <w:p w14:paraId="6756CF25">
                  <w:pPr>
                    <w:widowControl/>
                    <w:jc w:val="center"/>
                    <w:rPr>
                      <w:rFonts w:eastAsia="仿宋"/>
                      <w:b/>
                      <w:color w:val="000000" w:themeColor="text1"/>
                      <w:kern w:val="0"/>
                      <w14:textFill>
                        <w14:solidFill>
                          <w14:schemeClr w14:val="tx1"/>
                        </w14:solidFill>
                      </w14:textFill>
                    </w:rPr>
                  </w:pPr>
                  <w:r>
                    <w:rPr>
                      <w:rFonts w:ascii="仿宋" w:hAnsi="仿宋" w:eastAsia="仿宋"/>
                      <w:b/>
                      <w:color w:val="000000" w:themeColor="text1"/>
                      <w:kern w:val="0"/>
                      <w14:textFill>
                        <w14:solidFill>
                          <w14:schemeClr w14:val="tx1"/>
                        </w14:solidFill>
                      </w14:textFill>
                    </w:rPr>
                    <w:t>污染源名称</w:t>
                  </w:r>
                </w:p>
              </w:tc>
              <w:tc>
                <w:tcPr>
                  <w:tcW w:w="864" w:type="dxa"/>
                  <w:vMerge w:val="restart"/>
                  <w:tcBorders>
                    <w:top w:val="single" w:color="auto" w:sz="4" w:space="0"/>
                    <w:left w:val="single" w:color="auto" w:sz="4" w:space="0"/>
                    <w:bottom w:val="single" w:color="auto" w:sz="4" w:space="0"/>
                    <w:right w:val="single" w:color="auto" w:sz="4" w:space="0"/>
                  </w:tcBorders>
                  <w:vAlign w:val="center"/>
                </w:tcPr>
                <w:p w14:paraId="0855A0D3">
                  <w:pPr>
                    <w:widowControl/>
                    <w:jc w:val="center"/>
                    <w:rPr>
                      <w:rFonts w:eastAsia="仿宋"/>
                      <w:b/>
                      <w:color w:val="000000" w:themeColor="text1"/>
                      <w:kern w:val="0"/>
                      <w14:textFill>
                        <w14:solidFill>
                          <w14:schemeClr w14:val="tx1"/>
                        </w14:solidFill>
                      </w14:textFill>
                    </w:rPr>
                  </w:pPr>
                  <w:r>
                    <w:rPr>
                      <w:rFonts w:ascii="仿宋" w:hAnsi="仿宋" w:eastAsia="仿宋"/>
                      <w:b/>
                      <w:color w:val="000000" w:themeColor="text1"/>
                      <w:kern w:val="0"/>
                      <w14:textFill>
                        <w14:solidFill>
                          <w14:schemeClr w14:val="tx1"/>
                        </w14:solidFill>
                      </w14:textFill>
                    </w:rPr>
                    <w:t>排气量</w:t>
                  </w:r>
                  <w:r>
                    <w:rPr>
                      <w:rFonts w:eastAsia="仿宋"/>
                      <w:b/>
                      <w:color w:val="000000" w:themeColor="text1"/>
                      <w:kern w:val="0"/>
                      <w14:textFill>
                        <w14:solidFill>
                          <w14:schemeClr w14:val="tx1"/>
                        </w14:solidFill>
                      </w14:textFill>
                    </w:rPr>
                    <w:t>m</w:t>
                  </w:r>
                  <w:r>
                    <w:rPr>
                      <w:rFonts w:eastAsia="仿宋"/>
                      <w:b/>
                      <w:color w:val="000000" w:themeColor="text1"/>
                      <w:kern w:val="0"/>
                      <w:vertAlign w:val="superscript"/>
                      <w14:textFill>
                        <w14:solidFill>
                          <w14:schemeClr w14:val="tx1"/>
                        </w14:solidFill>
                      </w14:textFill>
                    </w:rPr>
                    <w:t>3</w:t>
                  </w:r>
                  <w:r>
                    <w:rPr>
                      <w:rFonts w:eastAsia="仿宋"/>
                      <w:b/>
                      <w:color w:val="000000" w:themeColor="text1"/>
                      <w:kern w:val="0"/>
                      <w14:textFill>
                        <w14:solidFill>
                          <w14:schemeClr w14:val="tx1"/>
                        </w14:solidFill>
                      </w14:textFill>
                    </w:rPr>
                    <w:t>/h</w:t>
                  </w:r>
                </w:p>
              </w:tc>
              <w:tc>
                <w:tcPr>
                  <w:tcW w:w="1297" w:type="dxa"/>
                  <w:vMerge w:val="restart"/>
                  <w:tcBorders>
                    <w:top w:val="single" w:color="auto" w:sz="4" w:space="0"/>
                    <w:left w:val="single" w:color="auto" w:sz="4" w:space="0"/>
                    <w:bottom w:val="single" w:color="auto" w:sz="4" w:space="0"/>
                    <w:right w:val="single" w:color="auto" w:sz="4" w:space="0"/>
                  </w:tcBorders>
                  <w:vAlign w:val="center"/>
                </w:tcPr>
                <w:p w14:paraId="58078515">
                  <w:pPr>
                    <w:widowControl/>
                    <w:jc w:val="center"/>
                    <w:rPr>
                      <w:rFonts w:eastAsia="仿宋"/>
                      <w:b/>
                      <w:color w:val="000000" w:themeColor="text1"/>
                      <w:kern w:val="0"/>
                      <w14:textFill>
                        <w14:solidFill>
                          <w14:schemeClr w14:val="tx1"/>
                        </w14:solidFill>
                      </w14:textFill>
                    </w:rPr>
                  </w:pPr>
                  <w:r>
                    <w:rPr>
                      <w:rFonts w:ascii="仿宋" w:hAnsi="仿宋" w:eastAsia="仿宋"/>
                      <w:b/>
                      <w:color w:val="000000" w:themeColor="text1"/>
                      <w:kern w:val="0"/>
                      <w14:textFill>
                        <w14:solidFill>
                          <w14:schemeClr w14:val="tx1"/>
                        </w14:solidFill>
                      </w14:textFill>
                    </w:rPr>
                    <w:t>污染物名称</w:t>
                  </w:r>
                </w:p>
              </w:tc>
              <w:tc>
                <w:tcPr>
                  <w:tcW w:w="3025" w:type="dxa"/>
                  <w:gridSpan w:val="3"/>
                  <w:tcBorders>
                    <w:top w:val="single" w:color="auto" w:sz="4" w:space="0"/>
                    <w:left w:val="single" w:color="auto" w:sz="4" w:space="0"/>
                    <w:bottom w:val="single" w:color="auto" w:sz="4" w:space="0"/>
                    <w:right w:val="single" w:color="auto" w:sz="4" w:space="0"/>
                  </w:tcBorders>
                  <w:vAlign w:val="center"/>
                </w:tcPr>
                <w:p w14:paraId="33896CF1">
                  <w:pPr>
                    <w:widowControl/>
                    <w:jc w:val="center"/>
                    <w:rPr>
                      <w:rFonts w:eastAsia="仿宋"/>
                      <w:b/>
                      <w:color w:val="000000" w:themeColor="text1"/>
                      <w:kern w:val="0"/>
                      <w14:textFill>
                        <w14:solidFill>
                          <w14:schemeClr w14:val="tx1"/>
                        </w14:solidFill>
                      </w14:textFill>
                    </w:rPr>
                  </w:pPr>
                  <w:r>
                    <w:rPr>
                      <w:rFonts w:ascii="仿宋" w:hAnsi="仿宋" w:eastAsia="仿宋"/>
                      <w:b/>
                      <w:color w:val="000000" w:themeColor="text1"/>
                      <w:kern w:val="0"/>
                      <w14:textFill>
                        <w14:solidFill>
                          <w14:schemeClr w14:val="tx1"/>
                        </w14:solidFill>
                      </w14:textFill>
                    </w:rPr>
                    <w:t>产生状况</w:t>
                  </w:r>
                </w:p>
              </w:tc>
              <w:tc>
                <w:tcPr>
                  <w:tcW w:w="902" w:type="dxa"/>
                  <w:vMerge w:val="restart"/>
                  <w:tcBorders>
                    <w:top w:val="single" w:color="auto" w:sz="4" w:space="0"/>
                    <w:left w:val="single" w:color="auto" w:sz="4" w:space="0"/>
                    <w:bottom w:val="single" w:color="auto" w:sz="4" w:space="0"/>
                    <w:right w:val="single" w:color="auto" w:sz="4" w:space="0"/>
                  </w:tcBorders>
                  <w:vAlign w:val="center"/>
                </w:tcPr>
                <w:p w14:paraId="3A252C1F">
                  <w:pPr>
                    <w:widowControl/>
                    <w:jc w:val="center"/>
                    <w:rPr>
                      <w:rFonts w:eastAsia="仿宋"/>
                      <w:b/>
                      <w:color w:val="000000" w:themeColor="text1"/>
                      <w:kern w:val="0"/>
                      <w14:textFill>
                        <w14:solidFill>
                          <w14:schemeClr w14:val="tx1"/>
                        </w14:solidFill>
                      </w14:textFill>
                    </w:rPr>
                  </w:pPr>
                  <w:r>
                    <w:rPr>
                      <w:rFonts w:ascii="仿宋" w:hAnsi="仿宋" w:eastAsia="仿宋"/>
                      <w:b/>
                      <w:color w:val="000000" w:themeColor="text1"/>
                      <w:kern w:val="0"/>
                      <w14:textFill>
                        <w14:solidFill>
                          <w14:schemeClr w14:val="tx1"/>
                        </w14:solidFill>
                      </w14:textFill>
                    </w:rPr>
                    <w:t>治理措施</w:t>
                  </w:r>
                </w:p>
              </w:tc>
            </w:tr>
            <w:tr w14:paraId="2C9FA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896" w:type="dxa"/>
                  <w:vMerge w:val="continue"/>
                  <w:tcBorders>
                    <w:top w:val="single" w:color="auto" w:sz="4" w:space="0"/>
                    <w:left w:val="single" w:color="auto" w:sz="4" w:space="0"/>
                    <w:bottom w:val="single" w:color="auto" w:sz="4" w:space="0"/>
                    <w:right w:val="single" w:color="auto" w:sz="4" w:space="0"/>
                  </w:tcBorders>
                  <w:vAlign w:val="center"/>
                </w:tcPr>
                <w:p w14:paraId="76E89AFE">
                  <w:pPr>
                    <w:widowControl/>
                    <w:jc w:val="left"/>
                    <w:rPr>
                      <w:rFonts w:eastAsia="仿宋"/>
                      <w:b/>
                      <w:color w:val="000000" w:themeColor="text1"/>
                      <w:kern w:val="0"/>
                      <w:szCs w:val="21"/>
                      <w14:textFill>
                        <w14:solidFill>
                          <w14:schemeClr w14:val="tx1"/>
                        </w14:solidFill>
                      </w14:textFill>
                    </w:rPr>
                  </w:pPr>
                </w:p>
              </w:tc>
              <w:tc>
                <w:tcPr>
                  <w:tcW w:w="692" w:type="dxa"/>
                  <w:vMerge w:val="continue"/>
                  <w:tcBorders>
                    <w:top w:val="single" w:color="auto" w:sz="4" w:space="0"/>
                    <w:left w:val="single" w:color="auto" w:sz="4" w:space="0"/>
                    <w:bottom w:val="single" w:color="auto" w:sz="4" w:space="0"/>
                    <w:right w:val="single" w:color="auto" w:sz="4" w:space="0"/>
                  </w:tcBorders>
                  <w:vAlign w:val="center"/>
                </w:tcPr>
                <w:p w14:paraId="548EF8E2">
                  <w:pPr>
                    <w:widowControl/>
                    <w:jc w:val="left"/>
                    <w:rPr>
                      <w:rFonts w:eastAsia="仿宋"/>
                      <w:b/>
                      <w:color w:val="000000" w:themeColor="text1"/>
                      <w:kern w:val="0"/>
                      <w:szCs w:val="21"/>
                      <w14:textFill>
                        <w14:solidFill>
                          <w14:schemeClr w14:val="tx1"/>
                        </w14:solidFill>
                      </w14:textFill>
                    </w:rPr>
                  </w:pPr>
                </w:p>
              </w:tc>
              <w:tc>
                <w:tcPr>
                  <w:tcW w:w="1181" w:type="dxa"/>
                  <w:vMerge w:val="continue"/>
                  <w:tcBorders>
                    <w:top w:val="single" w:color="auto" w:sz="4" w:space="0"/>
                    <w:left w:val="single" w:color="auto" w:sz="4" w:space="0"/>
                    <w:bottom w:val="single" w:color="auto" w:sz="4" w:space="0"/>
                    <w:right w:val="single" w:color="auto" w:sz="4" w:space="0"/>
                  </w:tcBorders>
                  <w:vAlign w:val="center"/>
                </w:tcPr>
                <w:p w14:paraId="0BEEE4A0">
                  <w:pPr>
                    <w:widowControl/>
                    <w:jc w:val="left"/>
                    <w:rPr>
                      <w:rFonts w:eastAsia="仿宋"/>
                      <w:b/>
                      <w:color w:val="000000" w:themeColor="text1"/>
                      <w:kern w:val="0"/>
                      <w:szCs w:val="21"/>
                      <w14:textFill>
                        <w14:solidFill>
                          <w14:schemeClr w14:val="tx1"/>
                        </w14:solidFill>
                      </w14:textFill>
                    </w:rPr>
                  </w:pPr>
                </w:p>
              </w:tc>
              <w:tc>
                <w:tcPr>
                  <w:tcW w:w="864" w:type="dxa"/>
                  <w:vMerge w:val="continue"/>
                  <w:tcBorders>
                    <w:top w:val="single" w:color="auto" w:sz="4" w:space="0"/>
                    <w:left w:val="single" w:color="auto" w:sz="4" w:space="0"/>
                    <w:bottom w:val="single" w:color="auto" w:sz="4" w:space="0"/>
                    <w:right w:val="single" w:color="auto" w:sz="4" w:space="0"/>
                  </w:tcBorders>
                  <w:vAlign w:val="center"/>
                </w:tcPr>
                <w:p w14:paraId="66C57E87">
                  <w:pPr>
                    <w:widowControl/>
                    <w:jc w:val="left"/>
                    <w:rPr>
                      <w:rFonts w:eastAsia="仿宋"/>
                      <w:b/>
                      <w:color w:val="000000" w:themeColor="text1"/>
                      <w:kern w:val="0"/>
                      <w:szCs w:val="21"/>
                      <w14:textFill>
                        <w14:solidFill>
                          <w14:schemeClr w14:val="tx1"/>
                        </w14:solidFill>
                      </w14:textFill>
                    </w:rPr>
                  </w:pPr>
                </w:p>
              </w:tc>
              <w:tc>
                <w:tcPr>
                  <w:tcW w:w="1297" w:type="dxa"/>
                  <w:vMerge w:val="continue"/>
                  <w:tcBorders>
                    <w:top w:val="single" w:color="auto" w:sz="4" w:space="0"/>
                    <w:left w:val="single" w:color="auto" w:sz="4" w:space="0"/>
                    <w:bottom w:val="single" w:color="auto" w:sz="4" w:space="0"/>
                    <w:right w:val="single" w:color="auto" w:sz="4" w:space="0"/>
                  </w:tcBorders>
                  <w:vAlign w:val="center"/>
                </w:tcPr>
                <w:p w14:paraId="4193E7EB">
                  <w:pPr>
                    <w:widowControl/>
                    <w:jc w:val="left"/>
                    <w:rPr>
                      <w:rFonts w:eastAsia="仿宋"/>
                      <w:b/>
                      <w:color w:val="000000" w:themeColor="text1"/>
                      <w:kern w:val="0"/>
                      <w:szCs w:val="21"/>
                      <w14:textFill>
                        <w14:solidFill>
                          <w14:schemeClr w14:val="tx1"/>
                        </w14:solidFill>
                      </w14:textFill>
                    </w:rPr>
                  </w:pPr>
                </w:p>
              </w:tc>
              <w:tc>
                <w:tcPr>
                  <w:tcW w:w="1152" w:type="dxa"/>
                  <w:tcBorders>
                    <w:top w:val="single" w:color="auto" w:sz="4" w:space="0"/>
                    <w:left w:val="single" w:color="auto" w:sz="4" w:space="0"/>
                    <w:bottom w:val="single" w:color="auto" w:sz="4" w:space="0"/>
                    <w:right w:val="single" w:color="auto" w:sz="4" w:space="0"/>
                  </w:tcBorders>
                  <w:vAlign w:val="center"/>
                </w:tcPr>
                <w:p w14:paraId="62350B45">
                  <w:pPr>
                    <w:widowControl/>
                    <w:jc w:val="center"/>
                    <w:rPr>
                      <w:rFonts w:eastAsia="仿宋"/>
                      <w:b/>
                      <w:color w:val="000000" w:themeColor="text1"/>
                      <w:kern w:val="0"/>
                      <w14:textFill>
                        <w14:solidFill>
                          <w14:schemeClr w14:val="tx1"/>
                        </w14:solidFill>
                      </w14:textFill>
                    </w:rPr>
                  </w:pPr>
                  <w:r>
                    <w:rPr>
                      <w:rFonts w:ascii="仿宋" w:hAnsi="仿宋" w:eastAsia="仿宋"/>
                      <w:b/>
                      <w:color w:val="000000" w:themeColor="text1"/>
                      <w:kern w:val="0"/>
                      <w14:textFill>
                        <w14:solidFill>
                          <w14:schemeClr w14:val="tx1"/>
                        </w14:solidFill>
                      </w14:textFill>
                    </w:rPr>
                    <w:t>最大浓度</w:t>
                  </w:r>
                  <w:r>
                    <w:rPr>
                      <w:rFonts w:eastAsia="仿宋"/>
                      <w:b/>
                      <w:color w:val="000000" w:themeColor="text1"/>
                      <w:kern w:val="0"/>
                      <w14:textFill>
                        <w14:solidFill>
                          <w14:schemeClr w14:val="tx1"/>
                        </w14:solidFill>
                      </w14:textFill>
                    </w:rPr>
                    <w:t>mg/m</w:t>
                  </w:r>
                  <w:r>
                    <w:rPr>
                      <w:rFonts w:eastAsia="仿宋"/>
                      <w:b/>
                      <w:color w:val="000000" w:themeColor="text1"/>
                      <w:kern w:val="0"/>
                      <w:vertAlign w:val="superscript"/>
                      <w14:textFill>
                        <w14:solidFill>
                          <w14:schemeClr w14:val="tx1"/>
                        </w14:solidFill>
                      </w14:textFill>
                    </w:rPr>
                    <w:t>3</w:t>
                  </w:r>
                </w:p>
              </w:tc>
              <w:tc>
                <w:tcPr>
                  <w:tcW w:w="1008" w:type="dxa"/>
                  <w:tcBorders>
                    <w:top w:val="single" w:color="auto" w:sz="4" w:space="0"/>
                    <w:left w:val="single" w:color="auto" w:sz="4" w:space="0"/>
                    <w:bottom w:val="single" w:color="auto" w:sz="4" w:space="0"/>
                    <w:right w:val="single" w:color="auto" w:sz="4" w:space="0"/>
                  </w:tcBorders>
                  <w:vAlign w:val="center"/>
                </w:tcPr>
                <w:p w14:paraId="5F35954B">
                  <w:pPr>
                    <w:widowControl/>
                    <w:jc w:val="center"/>
                    <w:rPr>
                      <w:rFonts w:eastAsia="仿宋"/>
                      <w:b/>
                      <w:color w:val="000000" w:themeColor="text1"/>
                      <w:kern w:val="0"/>
                      <w14:textFill>
                        <w14:solidFill>
                          <w14:schemeClr w14:val="tx1"/>
                        </w14:solidFill>
                      </w14:textFill>
                    </w:rPr>
                  </w:pPr>
                  <w:r>
                    <w:rPr>
                      <w:rFonts w:ascii="仿宋" w:hAnsi="仿宋" w:eastAsia="仿宋"/>
                      <w:b/>
                      <w:color w:val="000000" w:themeColor="text1"/>
                      <w:kern w:val="0"/>
                      <w14:textFill>
                        <w14:solidFill>
                          <w14:schemeClr w14:val="tx1"/>
                        </w14:solidFill>
                      </w14:textFill>
                    </w:rPr>
                    <w:t>最大速率</w:t>
                  </w:r>
                  <w:r>
                    <w:rPr>
                      <w:rFonts w:eastAsia="等线"/>
                      <w:b/>
                      <w:color w:val="000000" w:themeColor="text1"/>
                      <w:kern w:val="0"/>
                      <w14:textFill>
                        <w14:solidFill>
                          <w14:schemeClr w14:val="tx1"/>
                        </w14:solidFill>
                      </w14:textFill>
                    </w:rPr>
                    <w:t>kg/h</w:t>
                  </w:r>
                </w:p>
              </w:tc>
              <w:tc>
                <w:tcPr>
                  <w:tcW w:w="865" w:type="dxa"/>
                  <w:tcBorders>
                    <w:top w:val="single" w:color="auto" w:sz="4" w:space="0"/>
                    <w:left w:val="single" w:color="auto" w:sz="4" w:space="0"/>
                    <w:bottom w:val="single" w:color="auto" w:sz="4" w:space="0"/>
                    <w:right w:val="single" w:color="auto" w:sz="4" w:space="0"/>
                  </w:tcBorders>
                  <w:vAlign w:val="center"/>
                </w:tcPr>
                <w:p w14:paraId="25AD516A">
                  <w:pPr>
                    <w:widowControl/>
                    <w:jc w:val="center"/>
                    <w:rPr>
                      <w:rFonts w:eastAsia="仿宋"/>
                      <w:b/>
                      <w:color w:val="000000" w:themeColor="text1"/>
                      <w:kern w:val="0"/>
                      <w14:textFill>
                        <w14:solidFill>
                          <w14:schemeClr w14:val="tx1"/>
                        </w14:solidFill>
                      </w14:textFill>
                    </w:rPr>
                  </w:pPr>
                  <w:r>
                    <w:rPr>
                      <w:rFonts w:ascii="仿宋" w:hAnsi="仿宋" w:eastAsia="仿宋"/>
                      <w:b/>
                      <w:color w:val="000000" w:themeColor="text1"/>
                      <w:kern w:val="0"/>
                      <w14:textFill>
                        <w14:solidFill>
                          <w14:schemeClr w14:val="tx1"/>
                        </w14:solidFill>
                      </w14:textFill>
                    </w:rPr>
                    <w:t>产生量</w:t>
                  </w:r>
                  <w:r>
                    <w:rPr>
                      <w:rFonts w:eastAsia="仿宋"/>
                      <w:b/>
                      <w:color w:val="000000" w:themeColor="text1"/>
                      <w:kern w:val="0"/>
                      <w14:textFill>
                        <w14:solidFill>
                          <w14:schemeClr w14:val="tx1"/>
                        </w14:solidFill>
                      </w14:textFill>
                    </w:rPr>
                    <w:t>t/a</w:t>
                  </w:r>
                </w:p>
              </w:tc>
              <w:tc>
                <w:tcPr>
                  <w:tcW w:w="902" w:type="dxa"/>
                  <w:vMerge w:val="continue"/>
                  <w:tcBorders>
                    <w:top w:val="single" w:color="auto" w:sz="4" w:space="0"/>
                    <w:left w:val="single" w:color="auto" w:sz="4" w:space="0"/>
                    <w:bottom w:val="single" w:color="auto" w:sz="4" w:space="0"/>
                    <w:right w:val="single" w:color="auto" w:sz="4" w:space="0"/>
                  </w:tcBorders>
                  <w:vAlign w:val="center"/>
                </w:tcPr>
                <w:p w14:paraId="051909F5">
                  <w:pPr>
                    <w:widowControl/>
                    <w:jc w:val="left"/>
                    <w:rPr>
                      <w:rFonts w:eastAsia="仿宋"/>
                      <w:bCs/>
                      <w:color w:val="000000" w:themeColor="text1"/>
                      <w:kern w:val="0"/>
                      <w:szCs w:val="21"/>
                      <w14:textFill>
                        <w14:solidFill>
                          <w14:schemeClr w14:val="tx1"/>
                        </w14:solidFill>
                      </w14:textFill>
                    </w:rPr>
                  </w:pPr>
                </w:p>
              </w:tc>
            </w:tr>
            <w:tr w14:paraId="53CE3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896" w:type="dxa"/>
                  <w:vMerge w:val="restart"/>
                  <w:tcBorders>
                    <w:top w:val="nil"/>
                    <w:left w:val="single" w:color="auto" w:sz="4" w:space="0"/>
                    <w:right w:val="single" w:color="auto" w:sz="4" w:space="0"/>
                  </w:tcBorders>
                  <w:vAlign w:val="center"/>
                </w:tcPr>
                <w:p w14:paraId="03446892">
                  <w:pPr>
                    <w:widowControl/>
                    <w:jc w:val="center"/>
                    <w:rPr>
                      <w:rFonts w:eastAsia="仿宋"/>
                      <w:bCs/>
                      <w:color w:val="000000" w:themeColor="text1"/>
                      <w:kern w:val="0"/>
                      <w14:textFill>
                        <w14:solidFill>
                          <w14:schemeClr w14:val="tx1"/>
                        </w14:solidFill>
                      </w14:textFill>
                    </w:rPr>
                  </w:pPr>
                  <w:r>
                    <w:rPr>
                      <w:rFonts w:eastAsia="仿宋"/>
                      <w:bCs/>
                      <w:color w:val="000000" w:themeColor="text1"/>
                      <w:kern w:val="0"/>
                      <w14:textFill>
                        <w14:solidFill>
                          <w14:schemeClr w14:val="tx1"/>
                        </w14:solidFill>
                      </w14:textFill>
                    </w:rPr>
                    <w:t>实验室</w:t>
                  </w:r>
                </w:p>
              </w:tc>
              <w:tc>
                <w:tcPr>
                  <w:tcW w:w="692" w:type="dxa"/>
                  <w:vMerge w:val="restart"/>
                  <w:tcBorders>
                    <w:top w:val="nil"/>
                    <w:left w:val="single" w:color="auto" w:sz="4" w:space="0"/>
                    <w:right w:val="single" w:color="auto" w:sz="4" w:space="0"/>
                  </w:tcBorders>
                  <w:vAlign w:val="center"/>
                </w:tcPr>
                <w:p w14:paraId="726C4D60">
                  <w:pPr>
                    <w:widowControl/>
                    <w:jc w:val="center"/>
                    <w:rPr>
                      <w:rFonts w:eastAsia="等线"/>
                      <w:color w:val="000000" w:themeColor="text1"/>
                      <w:kern w:val="0"/>
                      <w14:textFill>
                        <w14:solidFill>
                          <w14:schemeClr w14:val="tx1"/>
                        </w14:solidFill>
                      </w14:textFill>
                    </w:rPr>
                  </w:pPr>
                  <w:r>
                    <w:rPr>
                      <w:rFonts w:eastAsia="等线"/>
                      <w:color w:val="000000" w:themeColor="text1"/>
                      <w:kern w:val="0"/>
                      <w14:textFill>
                        <w14:solidFill>
                          <w14:schemeClr w14:val="tx1"/>
                        </w14:solidFill>
                      </w14:textFill>
                    </w:rPr>
                    <w:t>1#</w:t>
                  </w:r>
                </w:p>
              </w:tc>
              <w:tc>
                <w:tcPr>
                  <w:tcW w:w="1181" w:type="dxa"/>
                  <w:vMerge w:val="restart"/>
                  <w:tcBorders>
                    <w:top w:val="nil"/>
                    <w:left w:val="single" w:color="auto" w:sz="4" w:space="0"/>
                    <w:right w:val="single" w:color="auto" w:sz="4" w:space="0"/>
                  </w:tcBorders>
                  <w:vAlign w:val="center"/>
                </w:tcPr>
                <w:p w14:paraId="3FE15FC0">
                  <w:pPr>
                    <w:widowControl/>
                    <w:jc w:val="center"/>
                    <w:rPr>
                      <w:rFonts w:eastAsia="仿宋"/>
                      <w:color w:val="000000" w:themeColor="text1"/>
                      <w:kern w:val="0"/>
                      <w14:textFill>
                        <w14:solidFill>
                          <w14:schemeClr w14:val="tx1"/>
                        </w14:solidFill>
                      </w14:textFill>
                    </w:rPr>
                  </w:pPr>
                  <w:r>
                    <w:rPr>
                      <w:rFonts w:eastAsia="仿宋"/>
                      <w:color w:val="000000" w:themeColor="text1"/>
                      <w:kern w:val="0"/>
                      <w14:textFill>
                        <w14:solidFill>
                          <w14:schemeClr w14:val="tx1"/>
                        </w14:solidFill>
                      </w14:textFill>
                    </w:rPr>
                    <w:t>QC取样废气、QC检验废气</w:t>
                  </w:r>
                </w:p>
              </w:tc>
              <w:tc>
                <w:tcPr>
                  <w:tcW w:w="864" w:type="dxa"/>
                  <w:vMerge w:val="restart"/>
                  <w:tcBorders>
                    <w:top w:val="nil"/>
                    <w:left w:val="single" w:color="auto" w:sz="4" w:space="0"/>
                    <w:right w:val="single" w:color="auto" w:sz="4" w:space="0"/>
                  </w:tcBorders>
                  <w:vAlign w:val="center"/>
                </w:tcPr>
                <w:p w14:paraId="44232DAE">
                  <w:pPr>
                    <w:widowControl/>
                    <w:jc w:val="center"/>
                    <w:rPr>
                      <w:rFonts w:eastAsia="等线"/>
                      <w:color w:val="000000" w:themeColor="text1"/>
                      <w:kern w:val="0"/>
                      <w14:textFill>
                        <w14:solidFill>
                          <w14:schemeClr w14:val="tx1"/>
                        </w14:solidFill>
                      </w14:textFill>
                    </w:rPr>
                  </w:pPr>
                  <w:r>
                    <w:rPr>
                      <w:rFonts w:eastAsia="等线"/>
                      <w:color w:val="000000" w:themeColor="text1"/>
                      <w:kern w:val="0"/>
                      <w14:textFill>
                        <w14:solidFill>
                          <w14:schemeClr w14:val="tx1"/>
                        </w14:solidFill>
                      </w14:textFill>
                    </w:rPr>
                    <w:t>4000</w:t>
                  </w:r>
                </w:p>
              </w:tc>
              <w:tc>
                <w:tcPr>
                  <w:tcW w:w="1297" w:type="dxa"/>
                  <w:tcBorders>
                    <w:top w:val="single" w:color="auto" w:sz="4" w:space="0"/>
                    <w:left w:val="single" w:color="auto" w:sz="4" w:space="0"/>
                    <w:bottom w:val="single" w:color="auto" w:sz="4" w:space="0"/>
                    <w:right w:val="single" w:color="auto" w:sz="4" w:space="0"/>
                  </w:tcBorders>
                  <w:vAlign w:val="center"/>
                </w:tcPr>
                <w:p w14:paraId="149C3964">
                  <w:pPr>
                    <w:widowControl/>
                    <w:jc w:val="center"/>
                    <w:rPr>
                      <w:rFonts w:eastAsia="仿宋"/>
                      <w:color w:val="000000" w:themeColor="text1"/>
                      <w:kern w:val="0"/>
                      <w14:textFill>
                        <w14:solidFill>
                          <w14:schemeClr w14:val="tx1"/>
                        </w14:solidFill>
                      </w14:textFill>
                    </w:rPr>
                  </w:pPr>
                  <w:r>
                    <w:rPr>
                      <w:rFonts w:eastAsia="仿宋"/>
                      <w:color w:val="000000" w:themeColor="text1"/>
                      <w:kern w:val="0"/>
                      <w14:textFill>
                        <w14:solidFill>
                          <w14:schemeClr w14:val="tx1"/>
                        </w14:solidFill>
                      </w14:textFill>
                    </w:rPr>
                    <w:t>甲醇</w:t>
                  </w:r>
                </w:p>
              </w:tc>
              <w:tc>
                <w:tcPr>
                  <w:tcW w:w="1152" w:type="dxa"/>
                  <w:tcBorders>
                    <w:top w:val="single" w:color="auto" w:sz="4" w:space="0"/>
                    <w:left w:val="single" w:color="auto" w:sz="4" w:space="0"/>
                    <w:right w:val="single" w:color="auto" w:sz="4" w:space="0"/>
                  </w:tcBorders>
                  <w:vAlign w:val="center"/>
                </w:tcPr>
                <w:p w14:paraId="48526840">
                  <w:pPr>
                    <w:widowControl/>
                    <w:jc w:val="center"/>
                    <w:rPr>
                      <w:rFonts w:eastAsia="等线"/>
                      <w:color w:val="000000" w:themeColor="text1"/>
                      <w14:textFill>
                        <w14:solidFill>
                          <w14:schemeClr w14:val="tx1"/>
                        </w14:solidFill>
                      </w14:textFill>
                    </w:rPr>
                  </w:pPr>
                  <w:r>
                    <w:rPr>
                      <w:color w:val="000000" w:themeColor="text1"/>
                      <w:szCs w:val="21"/>
                      <w14:textFill>
                        <w14:solidFill>
                          <w14:schemeClr w14:val="tx1"/>
                        </w14:solidFill>
                      </w14:textFill>
                    </w:rPr>
                    <w:t>11.11</w:t>
                  </w:r>
                </w:p>
              </w:tc>
              <w:tc>
                <w:tcPr>
                  <w:tcW w:w="1008" w:type="dxa"/>
                  <w:tcBorders>
                    <w:top w:val="single" w:color="auto" w:sz="4" w:space="0"/>
                    <w:left w:val="single" w:color="auto" w:sz="4" w:space="0"/>
                    <w:right w:val="single" w:color="auto" w:sz="4" w:space="0"/>
                  </w:tcBorders>
                  <w:vAlign w:val="center"/>
                </w:tcPr>
                <w:p w14:paraId="1C763E90">
                  <w:pPr>
                    <w:widowControl/>
                    <w:jc w:val="center"/>
                    <w:rPr>
                      <w:rFonts w:eastAsia="等线"/>
                      <w:color w:val="000000" w:themeColor="text1"/>
                      <w14:textFill>
                        <w14:solidFill>
                          <w14:schemeClr w14:val="tx1"/>
                        </w14:solidFill>
                      </w14:textFill>
                    </w:rPr>
                  </w:pPr>
                  <w:r>
                    <w:rPr>
                      <w:color w:val="000000" w:themeColor="text1"/>
                      <w:szCs w:val="21"/>
                      <w14:textFill>
                        <w14:solidFill>
                          <w14:schemeClr w14:val="tx1"/>
                        </w14:solidFill>
                      </w14:textFill>
                    </w:rPr>
                    <w:t>0.03</w:t>
                  </w:r>
                </w:p>
              </w:tc>
              <w:tc>
                <w:tcPr>
                  <w:tcW w:w="865" w:type="dxa"/>
                  <w:tcBorders>
                    <w:top w:val="single" w:color="auto" w:sz="4" w:space="0"/>
                    <w:left w:val="single" w:color="auto" w:sz="4" w:space="0"/>
                    <w:right w:val="single" w:color="auto" w:sz="4" w:space="0"/>
                  </w:tcBorders>
                  <w:vAlign w:val="center"/>
                </w:tcPr>
                <w:p w14:paraId="7F4ACF95">
                  <w:pPr>
                    <w:widowControl/>
                    <w:jc w:val="center"/>
                    <w:textAlignment w:val="center"/>
                    <w:rPr>
                      <w:rFonts w:eastAsia="仿宋"/>
                      <w:color w:val="000000" w:themeColor="text1"/>
                      <w14:textFill>
                        <w14:solidFill>
                          <w14:schemeClr w14:val="tx1"/>
                        </w14:solidFill>
                      </w14:textFill>
                    </w:rPr>
                  </w:pPr>
                  <w:r>
                    <w:rPr>
                      <w:color w:val="000000" w:themeColor="text1"/>
                      <w:szCs w:val="21"/>
                      <w14:textFill>
                        <w14:solidFill>
                          <w14:schemeClr w14:val="tx1"/>
                        </w14:solidFill>
                      </w14:textFill>
                    </w:rPr>
                    <w:t>0.006</w:t>
                  </w:r>
                </w:p>
              </w:tc>
              <w:tc>
                <w:tcPr>
                  <w:tcW w:w="902" w:type="dxa"/>
                  <w:vMerge w:val="restart"/>
                  <w:tcBorders>
                    <w:top w:val="nil"/>
                    <w:left w:val="single" w:color="auto" w:sz="4" w:space="0"/>
                    <w:right w:val="single" w:color="auto" w:sz="4" w:space="0"/>
                  </w:tcBorders>
                  <w:vAlign w:val="center"/>
                </w:tcPr>
                <w:p w14:paraId="740A8CF3">
                  <w:pPr>
                    <w:widowControl/>
                    <w:jc w:val="center"/>
                    <w:rPr>
                      <w:rFonts w:eastAsia="仿宋"/>
                      <w:color w:val="000000" w:themeColor="text1"/>
                      <w:kern w:val="0"/>
                      <w14:textFill>
                        <w14:solidFill>
                          <w14:schemeClr w14:val="tx1"/>
                        </w14:solidFill>
                      </w14:textFill>
                    </w:rPr>
                  </w:pPr>
                  <w:r>
                    <w:rPr>
                      <w:rFonts w:ascii="仿宋" w:hAnsi="仿宋" w:eastAsia="仿宋"/>
                      <w:color w:val="000000" w:themeColor="text1"/>
                      <w:kern w:val="0"/>
                      <w14:textFill>
                        <w14:solidFill>
                          <w14:schemeClr w14:val="tx1"/>
                        </w14:solidFill>
                      </w14:textFill>
                    </w:rPr>
                    <w:t>两级活性炭吸附装置</w:t>
                  </w:r>
                </w:p>
              </w:tc>
            </w:tr>
            <w:tr w14:paraId="32E8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896" w:type="dxa"/>
                  <w:vMerge w:val="continue"/>
                  <w:tcBorders>
                    <w:left w:val="single" w:color="auto" w:sz="4" w:space="0"/>
                    <w:bottom w:val="single" w:color="auto" w:sz="4" w:space="0"/>
                    <w:right w:val="single" w:color="auto" w:sz="4" w:space="0"/>
                  </w:tcBorders>
                  <w:vAlign w:val="center"/>
                </w:tcPr>
                <w:p w14:paraId="5C94E89C">
                  <w:pPr>
                    <w:widowControl/>
                    <w:jc w:val="center"/>
                    <w:rPr>
                      <w:rFonts w:eastAsia="仿宋"/>
                      <w:bCs/>
                      <w:color w:val="000000" w:themeColor="text1"/>
                      <w:kern w:val="0"/>
                      <w14:textFill>
                        <w14:solidFill>
                          <w14:schemeClr w14:val="tx1"/>
                        </w14:solidFill>
                      </w14:textFill>
                    </w:rPr>
                  </w:pPr>
                </w:p>
              </w:tc>
              <w:tc>
                <w:tcPr>
                  <w:tcW w:w="692" w:type="dxa"/>
                  <w:vMerge w:val="continue"/>
                  <w:tcBorders>
                    <w:left w:val="single" w:color="auto" w:sz="4" w:space="0"/>
                    <w:right w:val="single" w:color="auto" w:sz="4" w:space="0"/>
                  </w:tcBorders>
                  <w:vAlign w:val="center"/>
                </w:tcPr>
                <w:p w14:paraId="57AC9611">
                  <w:pPr>
                    <w:widowControl/>
                    <w:jc w:val="center"/>
                    <w:rPr>
                      <w:rFonts w:eastAsia="等线"/>
                      <w:color w:val="000000" w:themeColor="text1"/>
                      <w:kern w:val="0"/>
                      <w14:textFill>
                        <w14:solidFill>
                          <w14:schemeClr w14:val="tx1"/>
                        </w14:solidFill>
                      </w14:textFill>
                    </w:rPr>
                  </w:pPr>
                </w:p>
              </w:tc>
              <w:tc>
                <w:tcPr>
                  <w:tcW w:w="1181" w:type="dxa"/>
                  <w:vMerge w:val="continue"/>
                  <w:tcBorders>
                    <w:left w:val="single" w:color="auto" w:sz="4" w:space="0"/>
                    <w:right w:val="single" w:color="auto" w:sz="4" w:space="0"/>
                  </w:tcBorders>
                  <w:vAlign w:val="center"/>
                </w:tcPr>
                <w:p w14:paraId="1305EB83">
                  <w:pPr>
                    <w:widowControl/>
                    <w:jc w:val="center"/>
                    <w:rPr>
                      <w:rFonts w:eastAsia="仿宋"/>
                      <w:color w:val="000000" w:themeColor="text1"/>
                      <w:kern w:val="0"/>
                      <w14:textFill>
                        <w14:solidFill>
                          <w14:schemeClr w14:val="tx1"/>
                        </w14:solidFill>
                      </w14:textFill>
                    </w:rPr>
                  </w:pPr>
                </w:p>
              </w:tc>
              <w:tc>
                <w:tcPr>
                  <w:tcW w:w="864" w:type="dxa"/>
                  <w:vMerge w:val="continue"/>
                  <w:tcBorders>
                    <w:left w:val="single" w:color="auto" w:sz="4" w:space="0"/>
                    <w:right w:val="single" w:color="auto" w:sz="4" w:space="0"/>
                  </w:tcBorders>
                  <w:vAlign w:val="center"/>
                </w:tcPr>
                <w:p w14:paraId="6528B231">
                  <w:pPr>
                    <w:widowControl/>
                    <w:jc w:val="center"/>
                    <w:rPr>
                      <w:rFonts w:eastAsia="等线"/>
                      <w:color w:val="000000" w:themeColor="text1"/>
                      <w:kern w:val="0"/>
                      <w14:textFill>
                        <w14:solidFill>
                          <w14:schemeClr w14:val="tx1"/>
                        </w14:solidFill>
                      </w14:textFill>
                    </w:rPr>
                  </w:pPr>
                </w:p>
              </w:tc>
              <w:tc>
                <w:tcPr>
                  <w:tcW w:w="1297" w:type="dxa"/>
                  <w:tcBorders>
                    <w:top w:val="single" w:color="auto" w:sz="4" w:space="0"/>
                    <w:left w:val="single" w:color="auto" w:sz="4" w:space="0"/>
                    <w:bottom w:val="single" w:color="auto" w:sz="4" w:space="0"/>
                    <w:right w:val="single" w:color="auto" w:sz="4" w:space="0"/>
                  </w:tcBorders>
                  <w:vAlign w:val="center"/>
                </w:tcPr>
                <w:p w14:paraId="6548E514">
                  <w:pPr>
                    <w:widowControl/>
                    <w:jc w:val="center"/>
                    <w:rPr>
                      <w:rFonts w:eastAsia="仿宋"/>
                      <w:color w:val="000000" w:themeColor="text1"/>
                      <w:kern w:val="0"/>
                      <w14:textFill>
                        <w14:solidFill>
                          <w14:schemeClr w14:val="tx1"/>
                        </w14:solidFill>
                      </w14:textFill>
                    </w:rPr>
                  </w:pPr>
                  <w:r>
                    <w:rPr>
                      <w:rFonts w:eastAsia="仿宋"/>
                      <w:color w:val="000000" w:themeColor="text1"/>
                      <w:kern w:val="0"/>
                      <w14:textFill>
                        <w14:solidFill>
                          <w14:schemeClr w14:val="tx1"/>
                        </w14:solidFill>
                      </w14:textFill>
                    </w:rPr>
                    <w:t>非甲烷总烃</w:t>
                  </w:r>
                </w:p>
              </w:tc>
              <w:tc>
                <w:tcPr>
                  <w:tcW w:w="1152" w:type="dxa"/>
                  <w:tcBorders>
                    <w:left w:val="single" w:color="auto" w:sz="4" w:space="0"/>
                    <w:bottom w:val="single" w:color="auto" w:sz="4" w:space="0"/>
                    <w:right w:val="single" w:color="auto" w:sz="4" w:space="0"/>
                  </w:tcBorders>
                  <w:vAlign w:val="center"/>
                </w:tcPr>
                <w:p w14:paraId="388923F5">
                  <w:pPr>
                    <w:widowControl/>
                    <w:jc w:val="center"/>
                    <w:rPr>
                      <w:rFonts w:eastAsia="等线"/>
                      <w:color w:val="000000" w:themeColor="text1"/>
                      <w14:textFill>
                        <w14:solidFill>
                          <w14:schemeClr w14:val="tx1"/>
                        </w14:solidFill>
                      </w14:textFill>
                    </w:rPr>
                  </w:pPr>
                  <w:r>
                    <w:rPr>
                      <w:color w:val="000000" w:themeColor="text1"/>
                      <w:szCs w:val="21"/>
                      <w14:textFill>
                        <w14:solidFill>
                          <w14:schemeClr w14:val="tx1"/>
                        </w14:solidFill>
                      </w14:textFill>
                    </w:rPr>
                    <w:t>27.78</w:t>
                  </w:r>
                </w:p>
              </w:tc>
              <w:tc>
                <w:tcPr>
                  <w:tcW w:w="1008" w:type="dxa"/>
                  <w:tcBorders>
                    <w:left w:val="single" w:color="auto" w:sz="4" w:space="0"/>
                    <w:bottom w:val="single" w:color="auto" w:sz="4" w:space="0"/>
                    <w:right w:val="single" w:color="auto" w:sz="4" w:space="0"/>
                  </w:tcBorders>
                  <w:vAlign w:val="center"/>
                </w:tcPr>
                <w:p w14:paraId="003532DE">
                  <w:pPr>
                    <w:widowControl/>
                    <w:jc w:val="center"/>
                    <w:rPr>
                      <w:rFonts w:eastAsia="等线"/>
                      <w:color w:val="000000" w:themeColor="text1"/>
                      <w14:textFill>
                        <w14:solidFill>
                          <w14:schemeClr w14:val="tx1"/>
                        </w14:solidFill>
                      </w14:textFill>
                    </w:rPr>
                  </w:pPr>
                  <w:r>
                    <w:rPr>
                      <w:color w:val="000000" w:themeColor="text1"/>
                      <w:szCs w:val="21"/>
                      <w14:textFill>
                        <w14:solidFill>
                          <w14:schemeClr w14:val="tx1"/>
                        </w14:solidFill>
                      </w14:textFill>
                    </w:rPr>
                    <w:t>0.075</w:t>
                  </w:r>
                </w:p>
              </w:tc>
              <w:tc>
                <w:tcPr>
                  <w:tcW w:w="865" w:type="dxa"/>
                  <w:tcBorders>
                    <w:left w:val="single" w:color="auto" w:sz="4" w:space="0"/>
                    <w:bottom w:val="single" w:color="auto" w:sz="4" w:space="0"/>
                    <w:right w:val="single" w:color="auto" w:sz="4" w:space="0"/>
                  </w:tcBorders>
                  <w:vAlign w:val="center"/>
                </w:tcPr>
                <w:p w14:paraId="13ED1F5B">
                  <w:pPr>
                    <w:widowControl/>
                    <w:jc w:val="center"/>
                    <w:textAlignment w:val="center"/>
                    <w:rPr>
                      <w:rFonts w:eastAsia="等线"/>
                      <w:color w:val="000000" w:themeColor="text1"/>
                      <w14:textFill>
                        <w14:solidFill>
                          <w14:schemeClr w14:val="tx1"/>
                        </w14:solidFill>
                      </w14:textFill>
                    </w:rPr>
                  </w:pPr>
                  <w:r>
                    <w:rPr>
                      <w:color w:val="000000" w:themeColor="text1"/>
                      <w:szCs w:val="21"/>
                      <w14:textFill>
                        <w14:solidFill>
                          <w14:schemeClr w14:val="tx1"/>
                        </w14:solidFill>
                      </w14:textFill>
                    </w:rPr>
                    <w:t>0.015</w:t>
                  </w:r>
                </w:p>
              </w:tc>
              <w:tc>
                <w:tcPr>
                  <w:tcW w:w="902" w:type="dxa"/>
                  <w:vMerge w:val="continue"/>
                  <w:tcBorders>
                    <w:left w:val="single" w:color="auto" w:sz="4" w:space="0"/>
                    <w:right w:val="single" w:color="auto" w:sz="4" w:space="0"/>
                  </w:tcBorders>
                  <w:vAlign w:val="center"/>
                </w:tcPr>
                <w:p w14:paraId="0AD89C16">
                  <w:pPr>
                    <w:widowControl/>
                    <w:jc w:val="center"/>
                    <w:rPr>
                      <w:rFonts w:eastAsia="仿宋"/>
                      <w:color w:val="000000" w:themeColor="text1"/>
                      <w:kern w:val="0"/>
                      <w14:textFill>
                        <w14:solidFill>
                          <w14:schemeClr w14:val="tx1"/>
                        </w14:solidFill>
                      </w14:textFill>
                    </w:rPr>
                  </w:pPr>
                </w:p>
              </w:tc>
            </w:tr>
            <w:tr w14:paraId="02DC7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896" w:type="dxa"/>
                  <w:tcBorders>
                    <w:top w:val="nil"/>
                    <w:left w:val="single" w:color="auto" w:sz="4" w:space="0"/>
                    <w:bottom w:val="single" w:color="auto" w:sz="4" w:space="0"/>
                    <w:right w:val="single" w:color="auto" w:sz="4" w:space="0"/>
                  </w:tcBorders>
                  <w:vAlign w:val="center"/>
                </w:tcPr>
                <w:p w14:paraId="2814553B">
                  <w:pPr>
                    <w:widowControl/>
                    <w:jc w:val="left"/>
                    <w:rPr>
                      <w:rFonts w:eastAsia="仿宋"/>
                      <w:bCs/>
                      <w:color w:val="000000" w:themeColor="text1"/>
                      <w:kern w:val="0"/>
                      <w:szCs w:val="21"/>
                      <w14:textFill>
                        <w14:solidFill>
                          <w14:schemeClr w14:val="tx1"/>
                        </w14:solidFill>
                      </w14:textFill>
                    </w:rPr>
                  </w:pPr>
                  <w:r>
                    <w:rPr>
                      <w:rFonts w:eastAsia="仿宋"/>
                      <w:bCs/>
                      <w:color w:val="000000" w:themeColor="text1"/>
                      <w:kern w:val="0"/>
                      <w:szCs w:val="21"/>
                      <w14:textFill>
                        <w14:solidFill>
                          <w14:schemeClr w14:val="tx1"/>
                        </w14:solidFill>
                      </w14:textFill>
                    </w:rPr>
                    <w:t>危险废物仓库</w:t>
                  </w:r>
                </w:p>
              </w:tc>
              <w:tc>
                <w:tcPr>
                  <w:tcW w:w="692" w:type="dxa"/>
                  <w:vMerge w:val="continue"/>
                  <w:tcBorders>
                    <w:left w:val="single" w:color="auto" w:sz="4" w:space="0"/>
                    <w:bottom w:val="single" w:color="auto" w:sz="4" w:space="0"/>
                    <w:right w:val="single" w:color="auto" w:sz="4" w:space="0"/>
                  </w:tcBorders>
                  <w:vAlign w:val="center"/>
                </w:tcPr>
                <w:p w14:paraId="2F167B1F">
                  <w:pPr>
                    <w:widowControl/>
                    <w:jc w:val="left"/>
                    <w:rPr>
                      <w:rFonts w:eastAsia="等线"/>
                      <w:color w:val="000000" w:themeColor="text1"/>
                      <w:kern w:val="0"/>
                      <w:szCs w:val="21"/>
                      <w14:textFill>
                        <w14:solidFill>
                          <w14:schemeClr w14:val="tx1"/>
                        </w14:solidFill>
                      </w14:textFill>
                    </w:rPr>
                  </w:pPr>
                </w:p>
              </w:tc>
              <w:tc>
                <w:tcPr>
                  <w:tcW w:w="1181" w:type="dxa"/>
                  <w:vMerge w:val="continue"/>
                  <w:tcBorders>
                    <w:left w:val="single" w:color="auto" w:sz="4" w:space="0"/>
                    <w:bottom w:val="single" w:color="auto" w:sz="4" w:space="0"/>
                    <w:right w:val="single" w:color="auto" w:sz="4" w:space="0"/>
                  </w:tcBorders>
                  <w:vAlign w:val="center"/>
                </w:tcPr>
                <w:p w14:paraId="0C7E2111">
                  <w:pPr>
                    <w:widowControl/>
                    <w:jc w:val="left"/>
                    <w:rPr>
                      <w:rFonts w:eastAsia="仿宋"/>
                      <w:color w:val="000000" w:themeColor="text1"/>
                      <w:kern w:val="0"/>
                      <w:szCs w:val="21"/>
                      <w14:textFill>
                        <w14:solidFill>
                          <w14:schemeClr w14:val="tx1"/>
                        </w14:solidFill>
                      </w14:textFill>
                    </w:rPr>
                  </w:pPr>
                </w:p>
              </w:tc>
              <w:tc>
                <w:tcPr>
                  <w:tcW w:w="864" w:type="dxa"/>
                  <w:vMerge w:val="continue"/>
                  <w:tcBorders>
                    <w:left w:val="single" w:color="auto" w:sz="4" w:space="0"/>
                    <w:bottom w:val="single" w:color="auto" w:sz="4" w:space="0"/>
                    <w:right w:val="single" w:color="auto" w:sz="4" w:space="0"/>
                  </w:tcBorders>
                  <w:vAlign w:val="center"/>
                </w:tcPr>
                <w:p w14:paraId="5DC7439E">
                  <w:pPr>
                    <w:widowControl/>
                    <w:jc w:val="left"/>
                    <w:rPr>
                      <w:rFonts w:eastAsia="等线"/>
                      <w:color w:val="000000" w:themeColor="text1"/>
                      <w:kern w:val="0"/>
                      <w:szCs w:val="21"/>
                      <w14:textFill>
                        <w14:solidFill>
                          <w14:schemeClr w14:val="tx1"/>
                        </w14:solidFill>
                      </w14:textFill>
                    </w:rPr>
                  </w:pPr>
                </w:p>
              </w:tc>
              <w:tc>
                <w:tcPr>
                  <w:tcW w:w="1297" w:type="dxa"/>
                  <w:tcBorders>
                    <w:top w:val="single" w:color="auto" w:sz="4" w:space="0"/>
                    <w:left w:val="single" w:color="auto" w:sz="4" w:space="0"/>
                    <w:bottom w:val="single" w:color="auto" w:sz="4" w:space="0"/>
                    <w:right w:val="single" w:color="auto" w:sz="4" w:space="0"/>
                  </w:tcBorders>
                  <w:vAlign w:val="center"/>
                </w:tcPr>
                <w:p w14:paraId="4079F850">
                  <w:pPr>
                    <w:widowControl/>
                    <w:jc w:val="center"/>
                    <w:rPr>
                      <w:rFonts w:eastAsia="仿宋"/>
                      <w:color w:val="000000" w:themeColor="text1"/>
                      <w:kern w:val="0"/>
                      <w14:textFill>
                        <w14:solidFill>
                          <w14:schemeClr w14:val="tx1"/>
                        </w14:solidFill>
                      </w14:textFill>
                    </w:rPr>
                  </w:pPr>
                  <w:r>
                    <w:rPr>
                      <w:rFonts w:hint="eastAsia" w:eastAsia="仿宋"/>
                      <w:color w:val="000000" w:themeColor="text1"/>
                      <w:kern w:val="0"/>
                      <w14:textFill>
                        <w14:solidFill>
                          <w14:schemeClr w14:val="tx1"/>
                        </w14:solidFill>
                      </w14:textFill>
                    </w:rPr>
                    <w:t>/</w:t>
                  </w:r>
                </w:p>
              </w:tc>
              <w:tc>
                <w:tcPr>
                  <w:tcW w:w="1152" w:type="dxa"/>
                  <w:tcBorders>
                    <w:top w:val="single" w:color="auto" w:sz="4" w:space="0"/>
                    <w:left w:val="single" w:color="auto" w:sz="4" w:space="0"/>
                    <w:bottom w:val="single" w:color="auto" w:sz="4" w:space="0"/>
                    <w:right w:val="single" w:color="auto" w:sz="4" w:space="0"/>
                  </w:tcBorders>
                  <w:vAlign w:val="center"/>
                </w:tcPr>
                <w:p w14:paraId="2237EED4">
                  <w:pPr>
                    <w:widowControl/>
                    <w:jc w:val="center"/>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1008" w:type="dxa"/>
                  <w:tcBorders>
                    <w:top w:val="single" w:color="auto" w:sz="4" w:space="0"/>
                    <w:left w:val="single" w:color="auto" w:sz="4" w:space="0"/>
                    <w:bottom w:val="single" w:color="auto" w:sz="4" w:space="0"/>
                    <w:right w:val="single" w:color="auto" w:sz="4" w:space="0"/>
                  </w:tcBorders>
                  <w:vAlign w:val="center"/>
                </w:tcPr>
                <w:p w14:paraId="56D205B8">
                  <w:pPr>
                    <w:widowControl/>
                    <w:jc w:val="center"/>
                    <w:rPr>
                      <w:rFonts w:eastAsia="等线"/>
                      <w:color w:val="000000" w:themeColor="text1"/>
                      <w14:textFill>
                        <w14:solidFill>
                          <w14:schemeClr w14:val="tx1"/>
                        </w14:solidFill>
                      </w14:textFill>
                    </w:rPr>
                  </w:pPr>
                  <w:r>
                    <w:rPr>
                      <w:rFonts w:eastAsia="等线"/>
                      <w:color w:val="000000" w:themeColor="text1"/>
                      <w14:textFill>
                        <w14:solidFill>
                          <w14:schemeClr w14:val="tx1"/>
                        </w14:solidFill>
                      </w14:textFill>
                    </w:rPr>
                    <w:t>/</w:t>
                  </w:r>
                </w:p>
              </w:tc>
              <w:tc>
                <w:tcPr>
                  <w:tcW w:w="865" w:type="dxa"/>
                  <w:tcBorders>
                    <w:top w:val="single" w:color="auto" w:sz="4" w:space="0"/>
                    <w:left w:val="single" w:color="auto" w:sz="4" w:space="0"/>
                    <w:bottom w:val="single" w:color="auto" w:sz="4" w:space="0"/>
                    <w:right w:val="single" w:color="auto" w:sz="4" w:space="0"/>
                  </w:tcBorders>
                  <w:vAlign w:val="center"/>
                </w:tcPr>
                <w:p w14:paraId="5232415A">
                  <w:pPr>
                    <w:widowControl/>
                    <w:jc w:val="center"/>
                    <w:rPr>
                      <w:rFonts w:eastAsia="等线"/>
                      <w:color w:val="000000" w:themeColor="text1"/>
                      <w:kern w:val="0"/>
                      <w14:textFill>
                        <w14:solidFill>
                          <w14:schemeClr w14:val="tx1"/>
                        </w14:solidFill>
                      </w14:textFill>
                    </w:rPr>
                  </w:pPr>
                  <w:r>
                    <w:rPr>
                      <w:rFonts w:eastAsia="等线"/>
                      <w:color w:val="000000" w:themeColor="text1"/>
                      <w14:textFill>
                        <w14:solidFill>
                          <w14:schemeClr w14:val="tx1"/>
                        </w14:solidFill>
                      </w14:textFill>
                    </w:rPr>
                    <w:t>/</w:t>
                  </w:r>
                </w:p>
              </w:tc>
              <w:tc>
                <w:tcPr>
                  <w:tcW w:w="902" w:type="dxa"/>
                  <w:vMerge w:val="continue"/>
                  <w:tcBorders>
                    <w:left w:val="single" w:color="auto" w:sz="4" w:space="0"/>
                    <w:bottom w:val="single" w:color="auto" w:sz="4" w:space="0"/>
                    <w:right w:val="single" w:color="auto" w:sz="4" w:space="0"/>
                  </w:tcBorders>
                  <w:vAlign w:val="center"/>
                </w:tcPr>
                <w:p w14:paraId="6D020DE8">
                  <w:pPr>
                    <w:widowControl/>
                    <w:jc w:val="left"/>
                    <w:rPr>
                      <w:rFonts w:eastAsia="仿宋"/>
                      <w:color w:val="000000" w:themeColor="text1"/>
                      <w:kern w:val="0"/>
                      <w:szCs w:val="21"/>
                      <w14:textFill>
                        <w14:solidFill>
                          <w14:schemeClr w14:val="tx1"/>
                        </w14:solidFill>
                      </w14:textFill>
                    </w:rPr>
                  </w:pPr>
                </w:p>
              </w:tc>
            </w:tr>
            <w:tr w14:paraId="7671A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896" w:type="dxa"/>
                  <w:vMerge w:val="restart"/>
                  <w:tcBorders>
                    <w:top w:val="nil"/>
                    <w:left w:val="single" w:color="auto" w:sz="4" w:space="0"/>
                    <w:right w:val="single" w:color="auto" w:sz="4" w:space="0"/>
                  </w:tcBorders>
                  <w:vAlign w:val="center"/>
                </w:tcPr>
                <w:p w14:paraId="5E31821A">
                  <w:pPr>
                    <w:jc w:val="center"/>
                    <w:rPr>
                      <w:rFonts w:eastAsia="仿宋"/>
                      <w:bCs/>
                      <w:color w:val="000000" w:themeColor="text1"/>
                      <w:kern w:val="0"/>
                      <w:szCs w:val="21"/>
                      <w14:textFill>
                        <w14:solidFill>
                          <w14:schemeClr w14:val="tx1"/>
                        </w14:solidFill>
                      </w14:textFill>
                    </w:rPr>
                  </w:pPr>
                  <w:r>
                    <w:rPr>
                      <w:rFonts w:hint="eastAsia" w:ascii="仿宋" w:hAnsi="仿宋" w:eastAsia="仿宋"/>
                      <w:bCs/>
                      <w:color w:val="000000" w:themeColor="text1"/>
                      <w:kern w:val="0"/>
                      <w14:textFill>
                        <w14:solidFill>
                          <w14:schemeClr w14:val="tx1"/>
                        </w14:solidFill>
                      </w14:textFill>
                    </w:rPr>
                    <w:t>锅炉房</w:t>
                  </w:r>
                </w:p>
              </w:tc>
              <w:tc>
                <w:tcPr>
                  <w:tcW w:w="692" w:type="dxa"/>
                  <w:vMerge w:val="restart"/>
                  <w:tcBorders>
                    <w:top w:val="nil"/>
                    <w:left w:val="single" w:color="auto" w:sz="4" w:space="0"/>
                    <w:right w:val="single" w:color="auto" w:sz="4" w:space="0"/>
                  </w:tcBorders>
                  <w:vAlign w:val="center"/>
                </w:tcPr>
                <w:p w14:paraId="2C590C65">
                  <w:pPr>
                    <w:widowControl/>
                    <w:jc w:val="center"/>
                    <w:rPr>
                      <w:rFonts w:eastAsia="等线"/>
                      <w:color w:val="000000" w:themeColor="text1"/>
                      <w:kern w:val="0"/>
                      <w14:textFill>
                        <w14:solidFill>
                          <w14:schemeClr w14:val="tx1"/>
                        </w14:solidFill>
                      </w14:textFill>
                    </w:rPr>
                  </w:pPr>
                  <w:r>
                    <w:rPr>
                      <w:rFonts w:eastAsia="等线"/>
                      <w:color w:val="000000" w:themeColor="text1"/>
                      <w:kern w:val="0"/>
                      <w14:textFill>
                        <w14:solidFill>
                          <w14:schemeClr w14:val="tx1"/>
                        </w14:solidFill>
                      </w14:textFill>
                    </w:rPr>
                    <w:t>2#</w:t>
                  </w:r>
                </w:p>
              </w:tc>
              <w:tc>
                <w:tcPr>
                  <w:tcW w:w="1181" w:type="dxa"/>
                  <w:vMerge w:val="restart"/>
                  <w:tcBorders>
                    <w:top w:val="single" w:color="auto" w:sz="4" w:space="0"/>
                    <w:left w:val="single" w:color="auto" w:sz="4" w:space="0"/>
                    <w:right w:val="single" w:color="auto" w:sz="4" w:space="0"/>
                  </w:tcBorders>
                  <w:vAlign w:val="center"/>
                </w:tcPr>
                <w:p w14:paraId="6F3D4D37">
                  <w:pPr>
                    <w:jc w:val="center"/>
                    <w:rPr>
                      <w:rFonts w:eastAsia="仿宋"/>
                      <w:color w:val="000000" w:themeColor="text1"/>
                      <w:kern w:val="0"/>
                      <w14:textFill>
                        <w14:solidFill>
                          <w14:schemeClr w14:val="tx1"/>
                        </w14:solidFill>
                      </w14:textFill>
                    </w:rPr>
                  </w:pPr>
                  <w:r>
                    <w:rPr>
                      <w:rFonts w:hint="eastAsia" w:ascii="仿宋" w:hAnsi="仿宋" w:eastAsia="仿宋"/>
                      <w:color w:val="000000" w:themeColor="text1"/>
                      <w:kern w:val="0"/>
                      <w14:textFill>
                        <w14:solidFill>
                          <w14:schemeClr w14:val="tx1"/>
                        </w14:solidFill>
                      </w14:textFill>
                    </w:rPr>
                    <w:t>天然气燃烧废气</w:t>
                  </w:r>
                </w:p>
              </w:tc>
              <w:tc>
                <w:tcPr>
                  <w:tcW w:w="864" w:type="dxa"/>
                  <w:vMerge w:val="restart"/>
                  <w:tcBorders>
                    <w:top w:val="nil"/>
                    <w:left w:val="single" w:color="auto" w:sz="4" w:space="0"/>
                    <w:right w:val="single" w:color="auto" w:sz="4" w:space="0"/>
                  </w:tcBorders>
                  <w:vAlign w:val="center"/>
                </w:tcPr>
                <w:p w14:paraId="1DC81E9C">
                  <w:pPr>
                    <w:widowControl/>
                    <w:jc w:val="center"/>
                    <w:rPr>
                      <w:rFonts w:eastAsia="等线"/>
                      <w:color w:val="000000" w:themeColor="text1"/>
                      <w:kern w:val="0"/>
                      <w14:textFill>
                        <w14:solidFill>
                          <w14:schemeClr w14:val="tx1"/>
                        </w14:solidFill>
                      </w14:textFill>
                    </w:rPr>
                  </w:pPr>
                  <w:r>
                    <w:rPr>
                      <w:rFonts w:eastAsia="等线"/>
                      <w:color w:val="000000" w:themeColor="text1"/>
                      <w:kern w:val="0"/>
                      <w14:textFill>
                        <w14:solidFill>
                          <w14:schemeClr w14:val="tx1"/>
                        </w14:solidFill>
                      </w14:textFill>
                    </w:rPr>
                    <w:t>2803</w:t>
                  </w:r>
                </w:p>
              </w:tc>
              <w:tc>
                <w:tcPr>
                  <w:tcW w:w="1297" w:type="dxa"/>
                  <w:tcBorders>
                    <w:top w:val="single" w:color="auto" w:sz="4" w:space="0"/>
                    <w:left w:val="single" w:color="auto" w:sz="4" w:space="0"/>
                    <w:bottom w:val="single" w:color="auto" w:sz="4" w:space="0"/>
                    <w:right w:val="single" w:color="auto" w:sz="4" w:space="0"/>
                  </w:tcBorders>
                  <w:vAlign w:val="center"/>
                </w:tcPr>
                <w:p w14:paraId="214B023E">
                  <w:pPr>
                    <w:widowControl/>
                    <w:jc w:val="center"/>
                    <w:rPr>
                      <w:rFonts w:eastAsia="仿宋"/>
                      <w:color w:val="000000" w:themeColor="text1"/>
                      <w:kern w:val="0"/>
                      <w14:textFill>
                        <w14:solidFill>
                          <w14:schemeClr w14:val="tx1"/>
                        </w14:solidFill>
                      </w14:textFill>
                    </w:rPr>
                  </w:pPr>
                  <w:r>
                    <w:rPr>
                      <w:rFonts w:hint="eastAsia" w:ascii="仿宋" w:hAnsi="仿宋" w:eastAsia="仿宋"/>
                      <w:color w:val="000000" w:themeColor="text1"/>
                      <w:kern w:val="0"/>
                      <w14:textFill>
                        <w14:solidFill>
                          <w14:schemeClr w14:val="tx1"/>
                        </w14:solidFill>
                      </w14:textFill>
                    </w:rPr>
                    <w:t>氮氧化物</w:t>
                  </w:r>
                </w:p>
              </w:tc>
              <w:tc>
                <w:tcPr>
                  <w:tcW w:w="1152" w:type="dxa"/>
                  <w:tcBorders>
                    <w:top w:val="single" w:color="auto" w:sz="4" w:space="0"/>
                    <w:left w:val="single" w:color="auto" w:sz="4" w:space="0"/>
                    <w:bottom w:val="single" w:color="auto" w:sz="4" w:space="0"/>
                    <w:right w:val="single" w:color="auto" w:sz="4" w:space="0"/>
                  </w:tcBorders>
                  <w:vAlign w:val="center"/>
                </w:tcPr>
                <w:p w14:paraId="55A1C782">
                  <w:pPr>
                    <w:widowControl/>
                    <w:jc w:val="center"/>
                    <w:rPr>
                      <w:rFonts w:eastAsia="等线"/>
                      <w:color w:val="000000" w:themeColor="text1"/>
                      <w:kern w:val="0"/>
                      <w14:textFill>
                        <w14:solidFill>
                          <w14:schemeClr w14:val="tx1"/>
                        </w14:solidFill>
                      </w14:textFill>
                    </w:rPr>
                  </w:pPr>
                  <w:r>
                    <w:rPr>
                      <w:rFonts w:eastAsia="等线"/>
                      <w:color w:val="000000" w:themeColor="text1"/>
                      <w:kern w:val="0"/>
                      <w14:textFill>
                        <w14:solidFill>
                          <w14:schemeClr w14:val="tx1"/>
                        </w14:solidFill>
                      </w14:textFill>
                    </w:rPr>
                    <w:t>31.038</w:t>
                  </w:r>
                </w:p>
              </w:tc>
              <w:tc>
                <w:tcPr>
                  <w:tcW w:w="1008" w:type="dxa"/>
                  <w:tcBorders>
                    <w:top w:val="single" w:color="auto" w:sz="4" w:space="0"/>
                    <w:left w:val="single" w:color="auto" w:sz="4" w:space="0"/>
                    <w:bottom w:val="single" w:color="auto" w:sz="4" w:space="0"/>
                    <w:right w:val="single" w:color="auto" w:sz="4" w:space="0"/>
                  </w:tcBorders>
                  <w:vAlign w:val="center"/>
                </w:tcPr>
                <w:p w14:paraId="3A6FAEE7">
                  <w:pPr>
                    <w:jc w:val="center"/>
                    <w:rPr>
                      <w:rFonts w:eastAsia="等线"/>
                      <w:color w:val="000000" w:themeColor="text1"/>
                      <w:kern w:val="0"/>
                      <w14:textFill>
                        <w14:solidFill>
                          <w14:schemeClr w14:val="tx1"/>
                        </w14:solidFill>
                      </w14:textFill>
                    </w:rPr>
                  </w:pPr>
                  <w:r>
                    <w:rPr>
                      <w:rFonts w:eastAsia="等线"/>
                      <w:color w:val="000000" w:themeColor="text1"/>
                      <w:kern w:val="0"/>
                      <w14:textFill>
                        <w14:solidFill>
                          <w14:schemeClr w14:val="tx1"/>
                        </w14:solidFill>
                      </w14:textFill>
                    </w:rPr>
                    <w:t>0.087</w:t>
                  </w:r>
                </w:p>
              </w:tc>
              <w:tc>
                <w:tcPr>
                  <w:tcW w:w="865" w:type="dxa"/>
                  <w:tcBorders>
                    <w:top w:val="single" w:color="auto" w:sz="4" w:space="0"/>
                    <w:left w:val="single" w:color="auto" w:sz="4" w:space="0"/>
                    <w:bottom w:val="single" w:color="auto" w:sz="4" w:space="0"/>
                    <w:right w:val="single" w:color="auto" w:sz="4" w:space="0"/>
                  </w:tcBorders>
                  <w:vAlign w:val="center"/>
                </w:tcPr>
                <w:p w14:paraId="6995A43D">
                  <w:pPr>
                    <w:widowControl/>
                    <w:jc w:val="center"/>
                    <w:rPr>
                      <w:rFonts w:eastAsia="等线"/>
                      <w:color w:val="000000" w:themeColor="text1"/>
                      <w:kern w:val="0"/>
                      <w14:textFill>
                        <w14:solidFill>
                          <w14:schemeClr w14:val="tx1"/>
                        </w14:solidFill>
                      </w14:textFill>
                    </w:rPr>
                  </w:pPr>
                  <w:r>
                    <w:rPr>
                      <w:rFonts w:eastAsia="等线"/>
                      <w:color w:val="000000" w:themeColor="text1"/>
                      <w:kern w:val="0"/>
                      <w14:textFill>
                        <w14:solidFill>
                          <w14:schemeClr w14:val="tx1"/>
                        </w14:solidFill>
                      </w14:textFill>
                    </w:rPr>
                    <w:t>0.312</w:t>
                  </w:r>
                </w:p>
              </w:tc>
              <w:tc>
                <w:tcPr>
                  <w:tcW w:w="902" w:type="dxa"/>
                  <w:vMerge w:val="restart"/>
                  <w:tcBorders>
                    <w:top w:val="nil"/>
                    <w:left w:val="single" w:color="auto" w:sz="4" w:space="0"/>
                    <w:right w:val="single" w:color="auto" w:sz="4" w:space="0"/>
                  </w:tcBorders>
                  <w:vAlign w:val="center"/>
                </w:tcPr>
                <w:p w14:paraId="2CCAAD93">
                  <w:pPr>
                    <w:widowControl/>
                    <w:jc w:val="center"/>
                    <w:rPr>
                      <w:rFonts w:eastAsia="仿宋"/>
                      <w:color w:val="000000" w:themeColor="text1"/>
                      <w:kern w:val="0"/>
                      <w14:textFill>
                        <w14:solidFill>
                          <w14:schemeClr w14:val="tx1"/>
                        </w14:solidFill>
                      </w14:textFill>
                    </w:rPr>
                  </w:pPr>
                  <w:r>
                    <w:rPr>
                      <w:rFonts w:eastAsia="仿宋"/>
                      <w:color w:val="000000" w:themeColor="text1"/>
                      <w:kern w:val="0"/>
                      <w14:textFill>
                        <w14:solidFill>
                          <w14:schemeClr w14:val="tx1"/>
                        </w14:solidFill>
                      </w14:textFill>
                    </w:rPr>
                    <w:t>/</w:t>
                  </w:r>
                </w:p>
              </w:tc>
            </w:tr>
            <w:tr w14:paraId="5A1A1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896" w:type="dxa"/>
                  <w:vMerge w:val="continue"/>
                  <w:tcBorders>
                    <w:left w:val="single" w:color="auto" w:sz="4" w:space="0"/>
                    <w:right w:val="single" w:color="auto" w:sz="4" w:space="0"/>
                  </w:tcBorders>
                  <w:vAlign w:val="center"/>
                </w:tcPr>
                <w:p w14:paraId="01E366A4">
                  <w:pPr>
                    <w:jc w:val="center"/>
                    <w:rPr>
                      <w:rFonts w:eastAsia="仿宋"/>
                      <w:b/>
                      <w:bCs/>
                      <w:color w:val="000000" w:themeColor="text1"/>
                      <w:kern w:val="0"/>
                      <w14:textFill>
                        <w14:solidFill>
                          <w14:schemeClr w14:val="tx1"/>
                        </w14:solidFill>
                      </w14:textFill>
                    </w:rPr>
                  </w:pPr>
                </w:p>
              </w:tc>
              <w:tc>
                <w:tcPr>
                  <w:tcW w:w="692" w:type="dxa"/>
                  <w:vMerge w:val="continue"/>
                  <w:tcBorders>
                    <w:left w:val="single" w:color="auto" w:sz="4" w:space="0"/>
                    <w:right w:val="single" w:color="auto" w:sz="4" w:space="0"/>
                  </w:tcBorders>
                  <w:vAlign w:val="center"/>
                </w:tcPr>
                <w:p w14:paraId="0BE5604C">
                  <w:pPr>
                    <w:widowControl/>
                    <w:jc w:val="left"/>
                    <w:rPr>
                      <w:rFonts w:eastAsia="等线"/>
                      <w:color w:val="000000" w:themeColor="text1"/>
                      <w:kern w:val="0"/>
                      <w:szCs w:val="21"/>
                      <w14:textFill>
                        <w14:solidFill>
                          <w14:schemeClr w14:val="tx1"/>
                        </w14:solidFill>
                      </w14:textFill>
                    </w:rPr>
                  </w:pPr>
                </w:p>
              </w:tc>
              <w:tc>
                <w:tcPr>
                  <w:tcW w:w="1181" w:type="dxa"/>
                  <w:vMerge w:val="continue"/>
                  <w:tcBorders>
                    <w:left w:val="single" w:color="auto" w:sz="4" w:space="0"/>
                    <w:right w:val="single" w:color="auto" w:sz="4" w:space="0"/>
                  </w:tcBorders>
                  <w:vAlign w:val="center"/>
                </w:tcPr>
                <w:p w14:paraId="79ABF85C">
                  <w:pPr>
                    <w:widowControl/>
                    <w:jc w:val="center"/>
                    <w:rPr>
                      <w:rFonts w:eastAsia="仿宋"/>
                      <w:color w:val="000000" w:themeColor="text1"/>
                      <w:kern w:val="0"/>
                      <w14:textFill>
                        <w14:solidFill>
                          <w14:schemeClr w14:val="tx1"/>
                        </w14:solidFill>
                      </w14:textFill>
                    </w:rPr>
                  </w:pPr>
                </w:p>
              </w:tc>
              <w:tc>
                <w:tcPr>
                  <w:tcW w:w="864" w:type="dxa"/>
                  <w:vMerge w:val="continue"/>
                  <w:tcBorders>
                    <w:left w:val="single" w:color="auto" w:sz="4" w:space="0"/>
                    <w:right w:val="single" w:color="auto" w:sz="4" w:space="0"/>
                  </w:tcBorders>
                  <w:vAlign w:val="center"/>
                </w:tcPr>
                <w:p w14:paraId="5563CD75">
                  <w:pPr>
                    <w:widowControl/>
                    <w:jc w:val="left"/>
                    <w:rPr>
                      <w:rFonts w:eastAsia="等线"/>
                      <w:color w:val="000000" w:themeColor="text1"/>
                      <w:kern w:val="0"/>
                      <w:szCs w:val="21"/>
                      <w14:textFill>
                        <w14:solidFill>
                          <w14:schemeClr w14:val="tx1"/>
                        </w14:solidFill>
                      </w14:textFill>
                    </w:rPr>
                  </w:pPr>
                </w:p>
              </w:tc>
              <w:tc>
                <w:tcPr>
                  <w:tcW w:w="1297" w:type="dxa"/>
                  <w:tcBorders>
                    <w:top w:val="single" w:color="auto" w:sz="4" w:space="0"/>
                    <w:left w:val="single" w:color="auto" w:sz="4" w:space="0"/>
                    <w:bottom w:val="single" w:color="auto" w:sz="4" w:space="0"/>
                    <w:right w:val="single" w:color="auto" w:sz="4" w:space="0"/>
                  </w:tcBorders>
                  <w:vAlign w:val="center"/>
                </w:tcPr>
                <w:p w14:paraId="70CDEFB9">
                  <w:pPr>
                    <w:widowControl/>
                    <w:jc w:val="center"/>
                    <w:rPr>
                      <w:rFonts w:eastAsia="仿宋"/>
                      <w:color w:val="000000" w:themeColor="text1"/>
                      <w:kern w:val="0"/>
                      <w14:textFill>
                        <w14:solidFill>
                          <w14:schemeClr w14:val="tx1"/>
                        </w14:solidFill>
                      </w14:textFill>
                    </w:rPr>
                  </w:pPr>
                  <w:r>
                    <w:rPr>
                      <w:rFonts w:hint="eastAsia" w:ascii="仿宋" w:hAnsi="仿宋" w:eastAsia="仿宋"/>
                      <w:color w:val="000000" w:themeColor="text1"/>
                      <w:kern w:val="0"/>
                      <w14:textFill>
                        <w14:solidFill>
                          <w14:schemeClr w14:val="tx1"/>
                        </w14:solidFill>
                      </w14:textFill>
                    </w:rPr>
                    <w:t>二氧化硫</w:t>
                  </w:r>
                </w:p>
              </w:tc>
              <w:tc>
                <w:tcPr>
                  <w:tcW w:w="1152" w:type="dxa"/>
                  <w:tcBorders>
                    <w:top w:val="single" w:color="auto" w:sz="4" w:space="0"/>
                    <w:left w:val="single" w:color="auto" w:sz="4" w:space="0"/>
                    <w:right w:val="single" w:color="auto" w:sz="4" w:space="0"/>
                  </w:tcBorders>
                  <w:vAlign w:val="center"/>
                </w:tcPr>
                <w:p w14:paraId="27726D77">
                  <w:pPr>
                    <w:widowControl/>
                    <w:jc w:val="center"/>
                    <w:rPr>
                      <w:rFonts w:eastAsia="等线"/>
                      <w:color w:val="000000" w:themeColor="text1"/>
                      <w:kern w:val="0"/>
                      <w14:textFill>
                        <w14:solidFill>
                          <w14:schemeClr w14:val="tx1"/>
                        </w14:solidFill>
                      </w14:textFill>
                    </w:rPr>
                  </w:pPr>
                  <w:r>
                    <w:rPr>
                      <w:rFonts w:eastAsia="等线"/>
                      <w:color w:val="000000" w:themeColor="text1"/>
                      <w:kern w:val="0"/>
                      <w14:textFill>
                        <w14:solidFill>
                          <w14:schemeClr w14:val="tx1"/>
                        </w14:solidFill>
                      </w14:textFill>
                    </w:rPr>
                    <w:t>18.552</w:t>
                  </w:r>
                </w:p>
              </w:tc>
              <w:tc>
                <w:tcPr>
                  <w:tcW w:w="1008" w:type="dxa"/>
                  <w:tcBorders>
                    <w:top w:val="single" w:color="auto" w:sz="4" w:space="0"/>
                    <w:left w:val="single" w:color="auto" w:sz="4" w:space="0"/>
                    <w:right w:val="single" w:color="auto" w:sz="4" w:space="0"/>
                  </w:tcBorders>
                  <w:vAlign w:val="center"/>
                </w:tcPr>
                <w:p w14:paraId="6BDE3F60">
                  <w:pPr>
                    <w:widowControl/>
                    <w:jc w:val="center"/>
                    <w:rPr>
                      <w:rFonts w:eastAsia="等线"/>
                      <w:color w:val="000000" w:themeColor="text1"/>
                      <w:kern w:val="0"/>
                      <w14:textFill>
                        <w14:solidFill>
                          <w14:schemeClr w14:val="tx1"/>
                        </w14:solidFill>
                      </w14:textFill>
                    </w:rPr>
                  </w:pPr>
                  <w:r>
                    <w:rPr>
                      <w:rFonts w:eastAsia="等线"/>
                      <w:color w:val="000000" w:themeColor="text1"/>
                      <w:kern w:val="0"/>
                      <w14:textFill>
                        <w14:solidFill>
                          <w14:schemeClr w14:val="tx1"/>
                        </w14:solidFill>
                      </w14:textFill>
                    </w:rPr>
                    <w:t>0.052</w:t>
                  </w:r>
                </w:p>
              </w:tc>
              <w:tc>
                <w:tcPr>
                  <w:tcW w:w="865" w:type="dxa"/>
                  <w:tcBorders>
                    <w:top w:val="single" w:color="auto" w:sz="4" w:space="0"/>
                    <w:left w:val="single" w:color="auto" w:sz="4" w:space="0"/>
                    <w:right w:val="single" w:color="auto" w:sz="4" w:space="0"/>
                  </w:tcBorders>
                  <w:vAlign w:val="center"/>
                </w:tcPr>
                <w:p w14:paraId="48323B36">
                  <w:pPr>
                    <w:widowControl/>
                    <w:jc w:val="center"/>
                    <w:rPr>
                      <w:rFonts w:eastAsia="等线"/>
                      <w:color w:val="000000" w:themeColor="text1"/>
                      <w:kern w:val="0"/>
                      <w14:textFill>
                        <w14:solidFill>
                          <w14:schemeClr w14:val="tx1"/>
                        </w14:solidFill>
                      </w14:textFill>
                    </w:rPr>
                  </w:pPr>
                  <w:r>
                    <w:rPr>
                      <w:rFonts w:eastAsia="等线"/>
                      <w:color w:val="000000" w:themeColor="text1"/>
                      <w:kern w:val="0"/>
                      <w14:textFill>
                        <w14:solidFill>
                          <w14:schemeClr w14:val="tx1"/>
                        </w14:solidFill>
                      </w14:textFill>
                    </w:rPr>
                    <w:t>0.187</w:t>
                  </w:r>
                </w:p>
              </w:tc>
              <w:tc>
                <w:tcPr>
                  <w:tcW w:w="902" w:type="dxa"/>
                  <w:vMerge w:val="continue"/>
                  <w:tcBorders>
                    <w:left w:val="single" w:color="auto" w:sz="4" w:space="0"/>
                    <w:right w:val="single" w:color="auto" w:sz="4" w:space="0"/>
                  </w:tcBorders>
                  <w:vAlign w:val="center"/>
                </w:tcPr>
                <w:p w14:paraId="4A1671D7">
                  <w:pPr>
                    <w:widowControl/>
                    <w:jc w:val="left"/>
                    <w:rPr>
                      <w:rFonts w:eastAsia="仿宋"/>
                      <w:color w:val="000000" w:themeColor="text1"/>
                      <w:kern w:val="0"/>
                      <w:szCs w:val="21"/>
                      <w14:textFill>
                        <w14:solidFill>
                          <w14:schemeClr w14:val="tx1"/>
                        </w14:solidFill>
                      </w14:textFill>
                    </w:rPr>
                  </w:pPr>
                </w:p>
              </w:tc>
            </w:tr>
            <w:tr w14:paraId="567E6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896" w:type="dxa"/>
                  <w:vMerge w:val="continue"/>
                  <w:tcBorders>
                    <w:left w:val="single" w:color="auto" w:sz="4" w:space="0"/>
                    <w:right w:val="single" w:color="auto" w:sz="4" w:space="0"/>
                  </w:tcBorders>
                  <w:vAlign w:val="center"/>
                </w:tcPr>
                <w:p w14:paraId="78CA07DC">
                  <w:pPr>
                    <w:jc w:val="center"/>
                    <w:rPr>
                      <w:rFonts w:eastAsia="仿宋"/>
                      <w:b/>
                      <w:bCs/>
                      <w:color w:val="000000" w:themeColor="text1"/>
                      <w:kern w:val="0"/>
                      <w14:textFill>
                        <w14:solidFill>
                          <w14:schemeClr w14:val="tx1"/>
                        </w14:solidFill>
                      </w14:textFill>
                    </w:rPr>
                  </w:pPr>
                </w:p>
              </w:tc>
              <w:tc>
                <w:tcPr>
                  <w:tcW w:w="692" w:type="dxa"/>
                  <w:vMerge w:val="continue"/>
                  <w:tcBorders>
                    <w:left w:val="single" w:color="auto" w:sz="4" w:space="0"/>
                    <w:bottom w:val="single" w:color="auto" w:sz="4" w:space="0"/>
                    <w:right w:val="single" w:color="auto" w:sz="4" w:space="0"/>
                  </w:tcBorders>
                  <w:vAlign w:val="center"/>
                </w:tcPr>
                <w:p w14:paraId="799C7A5B">
                  <w:pPr>
                    <w:widowControl/>
                    <w:jc w:val="left"/>
                    <w:rPr>
                      <w:rFonts w:eastAsia="等线"/>
                      <w:color w:val="000000" w:themeColor="text1"/>
                      <w:kern w:val="0"/>
                      <w:szCs w:val="21"/>
                      <w14:textFill>
                        <w14:solidFill>
                          <w14:schemeClr w14:val="tx1"/>
                        </w14:solidFill>
                      </w14:textFill>
                    </w:rPr>
                  </w:pPr>
                </w:p>
              </w:tc>
              <w:tc>
                <w:tcPr>
                  <w:tcW w:w="1181" w:type="dxa"/>
                  <w:vMerge w:val="continue"/>
                  <w:tcBorders>
                    <w:left w:val="single" w:color="auto" w:sz="4" w:space="0"/>
                    <w:bottom w:val="single" w:color="auto" w:sz="4" w:space="0"/>
                    <w:right w:val="single" w:color="auto" w:sz="4" w:space="0"/>
                  </w:tcBorders>
                  <w:vAlign w:val="center"/>
                </w:tcPr>
                <w:p w14:paraId="030EE395">
                  <w:pPr>
                    <w:widowControl/>
                    <w:jc w:val="center"/>
                    <w:rPr>
                      <w:rFonts w:eastAsia="仿宋"/>
                      <w:color w:val="000000" w:themeColor="text1"/>
                      <w:kern w:val="0"/>
                      <w14:textFill>
                        <w14:solidFill>
                          <w14:schemeClr w14:val="tx1"/>
                        </w14:solidFill>
                      </w14:textFill>
                    </w:rPr>
                  </w:pPr>
                </w:p>
              </w:tc>
              <w:tc>
                <w:tcPr>
                  <w:tcW w:w="864" w:type="dxa"/>
                  <w:vMerge w:val="continue"/>
                  <w:tcBorders>
                    <w:left w:val="single" w:color="auto" w:sz="4" w:space="0"/>
                    <w:bottom w:val="single" w:color="auto" w:sz="4" w:space="0"/>
                    <w:right w:val="single" w:color="auto" w:sz="4" w:space="0"/>
                  </w:tcBorders>
                  <w:vAlign w:val="center"/>
                </w:tcPr>
                <w:p w14:paraId="6D3D7B9B">
                  <w:pPr>
                    <w:widowControl/>
                    <w:jc w:val="left"/>
                    <w:rPr>
                      <w:rFonts w:eastAsia="等线"/>
                      <w:color w:val="000000" w:themeColor="text1"/>
                      <w:kern w:val="0"/>
                      <w:szCs w:val="21"/>
                      <w14:textFill>
                        <w14:solidFill>
                          <w14:schemeClr w14:val="tx1"/>
                        </w14:solidFill>
                      </w14:textFill>
                    </w:rPr>
                  </w:pPr>
                </w:p>
              </w:tc>
              <w:tc>
                <w:tcPr>
                  <w:tcW w:w="1297" w:type="dxa"/>
                  <w:tcBorders>
                    <w:top w:val="single" w:color="auto" w:sz="4" w:space="0"/>
                    <w:left w:val="single" w:color="auto" w:sz="4" w:space="0"/>
                    <w:bottom w:val="single" w:color="auto" w:sz="4" w:space="0"/>
                    <w:right w:val="single" w:color="auto" w:sz="4" w:space="0"/>
                  </w:tcBorders>
                  <w:vAlign w:val="center"/>
                </w:tcPr>
                <w:p w14:paraId="6ABBD727">
                  <w:pPr>
                    <w:widowControl/>
                    <w:jc w:val="center"/>
                    <w:rPr>
                      <w:rFonts w:ascii="仿宋" w:hAnsi="仿宋" w:eastAsia="仿宋"/>
                      <w:color w:val="000000" w:themeColor="text1"/>
                      <w:kern w:val="0"/>
                      <w14:textFill>
                        <w14:solidFill>
                          <w14:schemeClr w14:val="tx1"/>
                        </w14:solidFill>
                      </w14:textFill>
                    </w:rPr>
                  </w:pPr>
                  <w:r>
                    <w:rPr>
                      <w:rFonts w:hint="eastAsia" w:ascii="仿宋" w:hAnsi="仿宋" w:eastAsia="仿宋"/>
                      <w:color w:val="000000" w:themeColor="text1"/>
                      <w:kern w:val="0"/>
                      <w14:textFill>
                        <w14:solidFill>
                          <w14:schemeClr w14:val="tx1"/>
                        </w14:solidFill>
                      </w14:textFill>
                    </w:rPr>
                    <w:t>颗粒物</w:t>
                  </w:r>
                </w:p>
              </w:tc>
              <w:tc>
                <w:tcPr>
                  <w:tcW w:w="1152" w:type="dxa"/>
                  <w:tcBorders>
                    <w:left w:val="single" w:color="auto" w:sz="4" w:space="0"/>
                    <w:bottom w:val="single" w:color="auto" w:sz="4" w:space="0"/>
                    <w:right w:val="single" w:color="auto" w:sz="4" w:space="0"/>
                  </w:tcBorders>
                  <w:vAlign w:val="center"/>
                </w:tcPr>
                <w:p w14:paraId="4339EF06">
                  <w:pPr>
                    <w:widowControl/>
                    <w:jc w:val="center"/>
                    <w:rPr>
                      <w:rFonts w:eastAsia="等线"/>
                      <w:color w:val="000000" w:themeColor="text1"/>
                      <w:kern w:val="0"/>
                      <w14:textFill>
                        <w14:solidFill>
                          <w14:schemeClr w14:val="tx1"/>
                        </w14:solidFill>
                      </w14:textFill>
                    </w:rPr>
                  </w:pPr>
                  <w:r>
                    <w:rPr>
                      <w:rFonts w:eastAsia="等线"/>
                      <w:color w:val="000000" w:themeColor="text1"/>
                      <w:kern w:val="0"/>
                      <w14:textFill>
                        <w14:solidFill>
                          <w14:schemeClr w14:val="tx1"/>
                        </w14:solidFill>
                      </w14:textFill>
                    </w:rPr>
                    <w:t>7.492</w:t>
                  </w:r>
                </w:p>
              </w:tc>
              <w:tc>
                <w:tcPr>
                  <w:tcW w:w="1008" w:type="dxa"/>
                  <w:tcBorders>
                    <w:left w:val="single" w:color="auto" w:sz="4" w:space="0"/>
                    <w:bottom w:val="single" w:color="auto" w:sz="4" w:space="0"/>
                    <w:right w:val="single" w:color="auto" w:sz="4" w:space="0"/>
                  </w:tcBorders>
                  <w:vAlign w:val="center"/>
                </w:tcPr>
                <w:p w14:paraId="20939CB0">
                  <w:pPr>
                    <w:widowControl/>
                    <w:jc w:val="center"/>
                    <w:rPr>
                      <w:rFonts w:eastAsia="等线"/>
                      <w:color w:val="000000" w:themeColor="text1"/>
                      <w:kern w:val="0"/>
                      <w14:textFill>
                        <w14:solidFill>
                          <w14:schemeClr w14:val="tx1"/>
                        </w14:solidFill>
                      </w14:textFill>
                    </w:rPr>
                  </w:pPr>
                  <w:r>
                    <w:rPr>
                      <w:rFonts w:eastAsia="等线"/>
                      <w:color w:val="000000" w:themeColor="text1"/>
                      <w:kern w:val="0"/>
                      <w14:textFill>
                        <w14:solidFill>
                          <w14:schemeClr w14:val="tx1"/>
                        </w14:solidFill>
                      </w14:textFill>
                    </w:rPr>
                    <w:t>0.021</w:t>
                  </w:r>
                </w:p>
              </w:tc>
              <w:tc>
                <w:tcPr>
                  <w:tcW w:w="865" w:type="dxa"/>
                  <w:tcBorders>
                    <w:left w:val="single" w:color="auto" w:sz="4" w:space="0"/>
                    <w:bottom w:val="single" w:color="auto" w:sz="4" w:space="0"/>
                    <w:right w:val="single" w:color="auto" w:sz="4" w:space="0"/>
                  </w:tcBorders>
                  <w:vAlign w:val="center"/>
                </w:tcPr>
                <w:p w14:paraId="59EEC7CE">
                  <w:pPr>
                    <w:widowControl/>
                    <w:jc w:val="center"/>
                    <w:rPr>
                      <w:rFonts w:eastAsia="等线"/>
                      <w:color w:val="000000" w:themeColor="text1"/>
                      <w:kern w:val="0"/>
                      <w14:textFill>
                        <w14:solidFill>
                          <w14:schemeClr w14:val="tx1"/>
                        </w14:solidFill>
                      </w14:textFill>
                    </w:rPr>
                  </w:pPr>
                  <w:r>
                    <w:rPr>
                      <w:rFonts w:eastAsia="等线"/>
                      <w:color w:val="000000" w:themeColor="text1"/>
                      <w:kern w:val="0"/>
                      <w14:textFill>
                        <w14:solidFill>
                          <w14:schemeClr w14:val="tx1"/>
                        </w14:solidFill>
                      </w14:textFill>
                    </w:rPr>
                    <w:t>0.075</w:t>
                  </w:r>
                </w:p>
              </w:tc>
              <w:tc>
                <w:tcPr>
                  <w:tcW w:w="902" w:type="dxa"/>
                  <w:vMerge w:val="continue"/>
                  <w:tcBorders>
                    <w:left w:val="single" w:color="auto" w:sz="4" w:space="0"/>
                    <w:bottom w:val="single" w:color="auto" w:sz="4" w:space="0"/>
                    <w:right w:val="single" w:color="auto" w:sz="4" w:space="0"/>
                  </w:tcBorders>
                  <w:vAlign w:val="center"/>
                </w:tcPr>
                <w:p w14:paraId="387408B2">
                  <w:pPr>
                    <w:widowControl/>
                    <w:jc w:val="left"/>
                    <w:rPr>
                      <w:rFonts w:eastAsia="仿宋"/>
                      <w:color w:val="000000" w:themeColor="text1"/>
                      <w:kern w:val="0"/>
                      <w:szCs w:val="21"/>
                      <w14:textFill>
                        <w14:solidFill>
                          <w14:schemeClr w14:val="tx1"/>
                        </w14:solidFill>
                      </w14:textFill>
                    </w:rPr>
                  </w:pPr>
                </w:p>
              </w:tc>
            </w:tr>
          </w:tbl>
          <w:p w14:paraId="5EB73DFC">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2</w:t>
            </w:r>
            <w:r>
              <w:rPr>
                <w:rFonts w:hint="eastAsia" w:eastAsia="仿宋"/>
                <w:color w:val="000000" w:themeColor="text1"/>
                <w:sz w:val="24"/>
                <w14:textFill>
                  <w14:solidFill>
                    <w14:schemeClr w14:val="tx1"/>
                  </w14:solidFill>
                </w14:textFill>
              </w:rPr>
              <w:t>、</w:t>
            </w:r>
            <w:r>
              <w:rPr>
                <w:rFonts w:eastAsia="仿宋"/>
                <w:color w:val="000000" w:themeColor="text1"/>
                <w:sz w:val="24"/>
                <w14:textFill>
                  <w14:solidFill>
                    <w14:schemeClr w14:val="tx1"/>
                  </w14:solidFill>
                </w14:textFill>
              </w:rPr>
              <w:t>无组织废气</w:t>
            </w:r>
          </w:p>
          <w:p w14:paraId="36D1E6FB">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本项目无组织废气为实验室通风橱未捕集废气，具体如下：</w:t>
            </w:r>
          </w:p>
          <w:p w14:paraId="2D96FD62">
            <w:pPr>
              <w:pStyle w:val="7"/>
              <w:rPr>
                <w:color w:val="000000" w:themeColor="text1"/>
                <w14:textFill>
                  <w14:solidFill>
                    <w14:schemeClr w14:val="tx1"/>
                  </w14:solidFill>
                </w14:textFill>
              </w:rPr>
            </w:pPr>
            <w:r>
              <w:rPr>
                <w:rFonts w:hint="eastAsia"/>
                <w:color w:val="000000" w:themeColor="text1"/>
                <w14:textFill>
                  <w14:solidFill>
                    <w14:schemeClr w14:val="tx1"/>
                  </w14:solidFill>
                </w14:textFill>
              </w:rPr>
              <w:t>表4</w:t>
            </w:r>
            <w:r>
              <w:rPr>
                <w:color w:val="000000" w:themeColor="text1"/>
                <w14:textFill>
                  <w14:solidFill>
                    <w14:schemeClr w14:val="tx1"/>
                  </w14:solidFill>
                </w14:textFill>
              </w:rPr>
              <w:t>-6 本项目</w:t>
            </w:r>
            <w:r>
              <w:rPr>
                <w:rFonts w:hint="eastAsia"/>
                <w:color w:val="000000" w:themeColor="text1"/>
                <w14:textFill>
                  <w14:solidFill>
                    <w14:schemeClr w14:val="tx1"/>
                  </w14:solidFill>
                </w14:textFill>
              </w:rPr>
              <w:t>无</w:t>
            </w:r>
            <w:r>
              <w:rPr>
                <w:color w:val="000000" w:themeColor="text1"/>
                <w14:textFill>
                  <w14:solidFill>
                    <w14:schemeClr w14:val="tx1"/>
                  </w14:solidFill>
                </w14:textFill>
              </w:rPr>
              <w:t>组织废气产生情况表</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3"/>
              <w:gridCol w:w="1468"/>
              <w:gridCol w:w="2650"/>
              <w:gridCol w:w="3405"/>
            </w:tblGrid>
            <w:tr w14:paraId="2B4F0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pct"/>
                  <w:vAlign w:val="center"/>
                </w:tcPr>
                <w:p w14:paraId="1483560C">
                  <w:pPr>
                    <w:autoSpaceDE w:val="0"/>
                    <w:autoSpaceDN w:val="0"/>
                    <w:snapToGrid w:val="0"/>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污染源位置</w:t>
                  </w:r>
                </w:p>
              </w:tc>
              <w:tc>
                <w:tcPr>
                  <w:tcW w:w="814" w:type="pct"/>
                  <w:vAlign w:val="center"/>
                </w:tcPr>
                <w:p w14:paraId="0D88BBBE">
                  <w:pPr>
                    <w:widowControl/>
                    <w:jc w:val="center"/>
                    <w:textAlignment w:val="center"/>
                    <w:rPr>
                      <w:rFonts w:eastAsia="仿宋"/>
                      <w:b/>
                      <w:bCs/>
                      <w:color w:val="000000" w:themeColor="text1"/>
                      <w:szCs w:val="21"/>
                      <w14:textFill>
                        <w14:solidFill>
                          <w14:schemeClr w14:val="tx1"/>
                        </w14:solidFill>
                      </w14:textFill>
                    </w:rPr>
                  </w:pPr>
                  <w:r>
                    <w:rPr>
                      <w:rFonts w:eastAsia="仿宋"/>
                      <w:b/>
                      <w:bCs/>
                      <w:color w:val="000000" w:themeColor="text1"/>
                      <w:kern w:val="0"/>
                      <w:szCs w:val="21"/>
                      <w:lang w:bidi="ar"/>
                      <w14:textFill>
                        <w14:solidFill>
                          <w14:schemeClr w14:val="tx1"/>
                        </w14:solidFill>
                      </w14:textFill>
                    </w:rPr>
                    <w:t>废气来源</w:t>
                  </w:r>
                </w:p>
              </w:tc>
              <w:tc>
                <w:tcPr>
                  <w:tcW w:w="3358" w:type="pct"/>
                  <w:gridSpan w:val="2"/>
                  <w:vAlign w:val="center"/>
                </w:tcPr>
                <w:p w14:paraId="51971009">
                  <w:pPr>
                    <w:widowControl/>
                    <w:jc w:val="center"/>
                    <w:textAlignment w:val="center"/>
                    <w:rPr>
                      <w:rFonts w:eastAsia="仿宋"/>
                      <w:b/>
                      <w:bCs/>
                      <w:color w:val="000000" w:themeColor="text1"/>
                      <w:szCs w:val="21"/>
                      <w14:textFill>
                        <w14:solidFill>
                          <w14:schemeClr w14:val="tx1"/>
                        </w14:solidFill>
                      </w14:textFill>
                    </w:rPr>
                  </w:pPr>
                  <w:r>
                    <w:rPr>
                      <w:rStyle w:val="103"/>
                      <w:rFonts w:hint="default" w:ascii="Times New Roman" w:hAnsi="Times New Roman" w:cs="Times New Roman"/>
                      <w:b/>
                      <w:bCs/>
                      <w:color w:val="000000" w:themeColor="text1"/>
                      <w:lang w:bidi="ar"/>
                      <w14:textFill>
                        <w14:solidFill>
                          <w14:schemeClr w14:val="tx1"/>
                        </w14:solidFill>
                      </w14:textFill>
                    </w:rPr>
                    <w:t>污染物排放量（</w:t>
                  </w:r>
                  <w:r>
                    <w:rPr>
                      <w:rStyle w:val="107"/>
                      <w:rFonts w:eastAsia="仿宋"/>
                      <w:b/>
                      <w:bCs/>
                      <w:color w:val="000000" w:themeColor="text1"/>
                      <w:sz w:val="21"/>
                      <w:szCs w:val="21"/>
                      <w:lang w:bidi="ar"/>
                      <w14:textFill>
                        <w14:solidFill>
                          <w14:schemeClr w14:val="tx1"/>
                        </w14:solidFill>
                      </w14:textFill>
                    </w:rPr>
                    <w:t>t/a</w:t>
                  </w:r>
                  <w:r>
                    <w:rPr>
                      <w:rStyle w:val="103"/>
                      <w:rFonts w:hint="default" w:ascii="Times New Roman" w:hAnsi="Times New Roman" w:cs="Times New Roman"/>
                      <w:b/>
                      <w:bCs/>
                      <w:color w:val="000000" w:themeColor="text1"/>
                      <w:lang w:bidi="ar"/>
                      <w14:textFill>
                        <w14:solidFill>
                          <w14:schemeClr w14:val="tx1"/>
                        </w14:solidFill>
                      </w14:textFill>
                    </w:rPr>
                    <w:t>）</w:t>
                  </w:r>
                </w:p>
              </w:tc>
            </w:tr>
            <w:tr w14:paraId="2405E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828" w:type="pct"/>
                  <w:vMerge w:val="restart"/>
                  <w:vAlign w:val="center"/>
                </w:tcPr>
                <w:p w14:paraId="11315B1B">
                  <w:pPr>
                    <w:widowControl/>
                    <w:jc w:val="center"/>
                    <w:textAlignment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实验室</w:t>
                  </w:r>
                </w:p>
              </w:tc>
              <w:tc>
                <w:tcPr>
                  <w:tcW w:w="814" w:type="pct"/>
                  <w:vMerge w:val="restart"/>
                  <w:vAlign w:val="center"/>
                </w:tcPr>
                <w:p w14:paraId="2D80D614">
                  <w:pPr>
                    <w:jc w:val="center"/>
                    <w:textAlignment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QC取样、QC检验</w:t>
                  </w:r>
                </w:p>
              </w:tc>
              <w:tc>
                <w:tcPr>
                  <w:tcW w:w="1470" w:type="pct"/>
                  <w:vAlign w:val="center"/>
                </w:tcPr>
                <w:p w14:paraId="42A18ABE">
                  <w:pPr>
                    <w:widowControl/>
                    <w:jc w:val="center"/>
                    <w:textAlignment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甲醇</w:t>
                  </w:r>
                </w:p>
              </w:tc>
              <w:tc>
                <w:tcPr>
                  <w:tcW w:w="1888" w:type="pct"/>
                  <w:vAlign w:val="center"/>
                </w:tcPr>
                <w:p w14:paraId="4A546DD2">
                  <w:pPr>
                    <w:widowControl/>
                    <w:jc w:val="center"/>
                    <w:textAlignment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0.0003</w:t>
                  </w:r>
                </w:p>
              </w:tc>
            </w:tr>
            <w:tr w14:paraId="2E387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828" w:type="pct"/>
                  <w:vMerge w:val="continue"/>
                  <w:vAlign w:val="center"/>
                </w:tcPr>
                <w:p w14:paraId="107395AD">
                  <w:pPr>
                    <w:autoSpaceDE w:val="0"/>
                    <w:autoSpaceDN w:val="0"/>
                    <w:snapToGrid w:val="0"/>
                    <w:jc w:val="center"/>
                    <w:rPr>
                      <w:rFonts w:eastAsia="仿宋"/>
                      <w:color w:val="000000" w:themeColor="text1"/>
                      <w:szCs w:val="22"/>
                      <w14:textFill>
                        <w14:solidFill>
                          <w14:schemeClr w14:val="tx1"/>
                        </w14:solidFill>
                      </w14:textFill>
                    </w:rPr>
                  </w:pPr>
                </w:p>
              </w:tc>
              <w:tc>
                <w:tcPr>
                  <w:tcW w:w="814" w:type="pct"/>
                  <w:vMerge w:val="continue"/>
                  <w:vAlign w:val="center"/>
                </w:tcPr>
                <w:p w14:paraId="3D41B8DB">
                  <w:pPr>
                    <w:jc w:val="center"/>
                    <w:textAlignment w:val="center"/>
                    <w:rPr>
                      <w:rFonts w:eastAsia="仿宋"/>
                      <w:color w:val="000000" w:themeColor="text1"/>
                      <w:kern w:val="0"/>
                      <w:szCs w:val="21"/>
                      <w:lang w:bidi="ar"/>
                      <w14:textFill>
                        <w14:solidFill>
                          <w14:schemeClr w14:val="tx1"/>
                        </w14:solidFill>
                      </w14:textFill>
                    </w:rPr>
                  </w:pPr>
                </w:p>
              </w:tc>
              <w:tc>
                <w:tcPr>
                  <w:tcW w:w="1470" w:type="pct"/>
                  <w:vAlign w:val="center"/>
                </w:tcPr>
                <w:p w14:paraId="1D5D8D71">
                  <w:pPr>
                    <w:widowControl/>
                    <w:jc w:val="center"/>
                    <w:textAlignment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非甲烷总烃</w:t>
                  </w:r>
                </w:p>
              </w:tc>
              <w:tc>
                <w:tcPr>
                  <w:tcW w:w="1888" w:type="pct"/>
                  <w:vAlign w:val="center"/>
                </w:tcPr>
                <w:p w14:paraId="2907E066">
                  <w:pPr>
                    <w:widowControl/>
                    <w:jc w:val="center"/>
                    <w:textAlignment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0.0008</w:t>
                  </w:r>
                </w:p>
              </w:tc>
            </w:tr>
          </w:tbl>
          <w:p w14:paraId="15CEC0A2">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（二）</w:t>
            </w:r>
            <w:r>
              <w:rPr>
                <w:rFonts w:eastAsia="仿宋"/>
                <w:color w:val="000000" w:themeColor="text1"/>
                <w:sz w:val="24"/>
                <w14:textFill>
                  <w14:solidFill>
                    <w14:schemeClr w14:val="tx1"/>
                  </w14:solidFill>
                </w14:textFill>
              </w:rPr>
              <w:t>污染防治措施及污染物排放分析</w:t>
            </w:r>
          </w:p>
          <w:p w14:paraId="37C0D501">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1、</w:t>
            </w:r>
            <w:r>
              <w:rPr>
                <w:rFonts w:eastAsia="仿宋"/>
                <w:color w:val="000000" w:themeColor="text1"/>
                <w:sz w:val="24"/>
                <w14:textFill>
                  <w14:solidFill>
                    <w14:schemeClr w14:val="tx1"/>
                  </w14:solidFill>
                </w14:textFill>
              </w:rPr>
              <w:t>防治措施</w:t>
            </w:r>
          </w:p>
          <w:p w14:paraId="7BB84C25">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rFonts w:eastAsia="仿宋"/>
                <w:color w:val="000000" w:themeColor="text1"/>
                <w:sz w:val="24"/>
                <w14:textFill>
                  <w14:solidFill>
                    <w14:schemeClr w14:val="tx1"/>
                  </w14:solidFill>
                </w14:textFill>
              </w:rPr>
              <w:t>有组织废气</w:t>
            </w:r>
          </w:p>
          <w:p w14:paraId="684E1DE7">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a.</w:t>
            </w:r>
            <w:r>
              <w:rPr>
                <w:rFonts w:eastAsia="仿宋"/>
                <w:color w:val="000000" w:themeColor="text1"/>
                <w:sz w:val="24"/>
                <w14:textFill>
                  <w14:solidFill>
                    <w14:schemeClr w14:val="tx1"/>
                  </w14:solidFill>
                </w14:textFill>
              </w:rPr>
              <w:t>本项目</w:t>
            </w:r>
            <w:r>
              <w:rPr>
                <w:rFonts w:hint="eastAsia" w:eastAsia="仿宋"/>
                <w:color w:val="000000" w:themeColor="text1"/>
                <w:sz w:val="24"/>
                <w14:textFill>
                  <w14:solidFill>
                    <w14:schemeClr w14:val="tx1"/>
                  </w14:solidFill>
                </w14:textFill>
              </w:rPr>
              <w:t>有组织废气主要来源于原料入厂检测流程中</w:t>
            </w:r>
            <w:bookmarkStart w:id="36" w:name="OLE_LINK19"/>
            <w:r>
              <w:rPr>
                <w:rFonts w:hint="eastAsia" w:eastAsia="仿宋"/>
                <w:color w:val="000000" w:themeColor="text1"/>
                <w:sz w:val="24"/>
                <w14:textFill>
                  <w14:solidFill>
                    <w14:schemeClr w14:val="tx1"/>
                  </w14:solidFill>
                </w14:textFill>
              </w:rPr>
              <w:t>Q</w:t>
            </w:r>
            <w:r>
              <w:rPr>
                <w:rFonts w:eastAsia="仿宋"/>
                <w:color w:val="000000" w:themeColor="text1"/>
                <w:sz w:val="24"/>
                <w14:textFill>
                  <w14:solidFill>
                    <w14:schemeClr w14:val="tx1"/>
                  </w14:solidFill>
                </w14:textFill>
              </w:rPr>
              <w:t>C</w:t>
            </w:r>
            <w:r>
              <w:rPr>
                <w:rFonts w:hint="eastAsia" w:eastAsia="仿宋"/>
                <w:color w:val="000000" w:themeColor="text1"/>
                <w:sz w:val="24"/>
                <w14:textFill>
                  <w14:solidFill>
                    <w14:schemeClr w14:val="tx1"/>
                  </w14:solidFill>
                </w14:textFill>
              </w:rPr>
              <w:t>取样和Q</w:t>
            </w:r>
            <w:r>
              <w:rPr>
                <w:rFonts w:eastAsia="仿宋"/>
                <w:color w:val="000000" w:themeColor="text1"/>
                <w:sz w:val="24"/>
                <w14:textFill>
                  <w14:solidFill>
                    <w14:schemeClr w14:val="tx1"/>
                  </w14:solidFill>
                </w14:textFill>
              </w:rPr>
              <w:t>C</w:t>
            </w:r>
            <w:r>
              <w:rPr>
                <w:rFonts w:hint="eastAsia" w:eastAsia="仿宋"/>
                <w:color w:val="000000" w:themeColor="text1"/>
                <w:sz w:val="24"/>
                <w14:textFill>
                  <w14:solidFill>
                    <w14:schemeClr w14:val="tx1"/>
                  </w14:solidFill>
                </w14:textFill>
              </w:rPr>
              <w:t>检验</w:t>
            </w:r>
            <w:bookmarkEnd w:id="36"/>
            <w:r>
              <w:rPr>
                <w:rFonts w:hint="eastAsia" w:eastAsia="仿宋"/>
                <w:color w:val="000000" w:themeColor="text1"/>
                <w:sz w:val="24"/>
                <w14:textFill>
                  <w14:solidFill>
                    <w14:schemeClr w14:val="tx1"/>
                  </w14:solidFill>
                </w14:textFill>
              </w:rPr>
              <w:t>步骤，主要为使用的试剂挥发的有机废气，产生的废气经通风橱通风系统</w:t>
            </w:r>
            <w:r>
              <w:rPr>
                <w:rFonts w:eastAsia="仿宋"/>
                <w:color w:val="000000" w:themeColor="text1"/>
                <w:sz w:val="24"/>
                <w14:textFill>
                  <w14:solidFill>
                    <w14:schemeClr w14:val="tx1"/>
                  </w14:solidFill>
                </w14:textFill>
              </w:rPr>
              <w:t>收集后通过</w:t>
            </w:r>
            <w:r>
              <w:rPr>
                <w:rFonts w:hint="eastAsia" w:eastAsia="仿宋"/>
                <w:color w:val="000000" w:themeColor="text1"/>
                <w:sz w:val="24"/>
                <w14:textFill>
                  <w14:solidFill>
                    <w14:schemeClr w14:val="tx1"/>
                  </w14:solidFill>
                </w14:textFill>
              </w:rPr>
              <w:t>两级活性炭吸附</w:t>
            </w:r>
            <w:r>
              <w:rPr>
                <w:rFonts w:eastAsia="仿宋"/>
                <w:color w:val="000000" w:themeColor="text1"/>
                <w:sz w:val="24"/>
                <w14:textFill>
                  <w14:solidFill>
                    <w14:schemeClr w14:val="tx1"/>
                  </w14:solidFill>
                </w14:textFill>
              </w:rPr>
              <w:t>装置处理</w:t>
            </w:r>
            <w:r>
              <w:rPr>
                <w:rFonts w:hint="eastAsia" w:eastAsia="仿宋"/>
                <w:color w:val="000000" w:themeColor="text1"/>
                <w:sz w:val="24"/>
                <w14:textFill>
                  <w14:solidFill>
                    <w14:schemeClr w14:val="tx1"/>
                  </w14:solidFill>
                </w14:textFill>
              </w:rPr>
              <w:t>，</w:t>
            </w:r>
            <w:r>
              <w:rPr>
                <w:rFonts w:eastAsia="仿宋"/>
                <w:color w:val="000000" w:themeColor="text1"/>
                <w:sz w:val="24"/>
                <w14:textFill>
                  <w14:solidFill>
                    <w14:schemeClr w14:val="tx1"/>
                  </w14:solidFill>
                </w14:textFill>
              </w:rPr>
              <w:t>处理后的废气由1</w:t>
            </w:r>
            <w:r>
              <w:rPr>
                <w:rFonts w:hint="eastAsia" w:eastAsia="仿宋"/>
                <w:color w:val="000000" w:themeColor="text1"/>
                <w:sz w:val="24"/>
                <w14:textFill>
                  <w14:solidFill>
                    <w14:schemeClr w14:val="tx1"/>
                  </w14:solidFill>
                </w14:textFill>
              </w:rPr>
              <w:t>根</w:t>
            </w:r>
            <w:r>
              <w:rPr>
                <w:rFonts w:eastAsia="仿宋"/>
                <w:color w:val="000000" w:themeColor="text1"/>
                <w:sz w:val="24"/>
                <w14:textFill>
                  <w14:solidFill>
                    <w14:schemeClr w14:val="tx1"/>
                  </w14:solidFill>
                </w14:textFill>
              </w:rPr>
              <w:t>28</w:t>
            </w:r>
            <w:r>
              <w:rPr>
                <w:rFonts w:hint="eastAsia" w:eastAsia="仿宋"/>
                <w:color w:val="000000" w:themeColor="text1"/>
                <w:sz w:val="24"/>
                <w14:textFill>
                  <w14:solidFill>
                    <w14:schemeClr w14:val="tx1"/>
                  </w14:solidFill>
                </w14:textFill>
              </w:rPr>
              <w:t>米高</w:t>
            </w:r>
            <w:r>
              <w:rPr>
                <w:rFonts w:eastAsia="仿宋"/>
                <w:color w:val="000000" w:themeColor="text1"/>
                <w:sz w:val="24"/>
                <w14:textFill>
                  <w14:solidFill>
                    <w14:schemeClr w14:val="tx1"/>
                  </w14:solidFill>
                </w14:textFill>
              </w:rPr>
              <w:t>的排气筒排放（</w:t>
            </w:r>
            <w:r>
              <w:rPr>
                <w:rFonts w:hint="eastAsia" w:eastAsia="仿宋"/>
                <w:color w:val="000000" w:themeColor="text1"/>
                <w:sz w:val="24"/>
                <w14:textFill>
                  <w14:solidFill>
                    <w14:schemeClr w14:val="tx1"/>
                  </w14:solidFill>
                </w14:textFill>
              </w:rPr>
              <w:t>1</w:t>
            </w:r>
            <w:r>
              <w:rPr>
                <w:rFonts w:eastAsia="仿宋"/>
                <w:color w:val="000000" w:themeColor="text1"/>
                <w:sz w:val="24"/>
                <w14:textFill>
                  <w14:solidFill>
                    <w14:schemeClr w14:val="tx1"/>
                  </w14:solidFill>
                </w14:textFill>
              </w:rPr>
              <w:t>#）。</w:t>
            </w:r>
          </w:p>
          <w:p w14:paraId="3BD29882">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b.</w:t>
            </w:r>
            <w:r>
              <w:rPr>
                <w:rFonts w:hint="eastAsia" w:eastAsia="仿宋"/>
                <w:color w:val="000000" w:themeColor="text1"/>
                <w:sz w:val="24"/>
                <w14:textFill>
                  <w14:solidFill>
                    <w14:schemeClr w14:val="tx1"/>
                  </w14:solidFill>
                </w14:textFill>
              </w:rPr>
              <w:t>本项目燃气锅炉和蒸汽发生器天然气燃烧废气通过1根2</w:t>
            </w:r>
            <w:r>
              <w:rPr>
                <w:rFonts w:eastAsia="仿宋"/>
                <w:color w:val="000000" w:themeColor="text1"/>
                <w:sz w:val="24"/>
                <w14:textFill>
                  <w14:solidFill>
                    <w14:schemeClr w14:val="tx1"/>
                  </w14:solidFill>
                </w14:textFill>
              </w:rPr>
              <w:t>8</w:t>
            </w:r>
            <w:r>
              <w:rPr>
                <w:rFonts w:hint="eastAsia" w:eastAsia="仿宋"/>
                <w:color w:val="000000" w:themeColor="text1"/>
                <w:sz w:val="24"/>
                <w14:textFill>
                  <w14:solidFill>
                    <w14:schemeClr w14:val="tx1"/>
                  </w14:solidFill>
                </w14:textFill>
              </w:rPr>
              <w:t>米排气筒排放（2</w:t>
            </w:r>
            <w:r>
              <w:rPr>
                <w:rFonts w:eastAsia="仿宋"/>
                <w:color w:val="000000" w:themeColor="text1"/>
                <w:sz w:val="24"/>
                <w14:textFill>
                  <w14:solidFill>
                    <w14:schemeClr w14:val="tx1"/>
                  </w14:solidFill>
                </w14:textFill>
              </w:rPr>
              <w:t>#</w:t>
            </w:r>
            <w:r>
              <w:rPr>
                <w:rFonts w:hint="eastAsia" w:eastAsia="仿宋"/>
                <w:color w:val="000000" w:themeColor="text1"/>
                <w:sz w:val="24"/>
                <w14:textFill>
                  <w14:solidFill>
                    <w14:schemeClr w14:val="tx1"/>
                  </w14:solidFill>
                </w14:textFill>
              </w:rPr>
              <w:t>）。</w:t>
            </w:r>
          </w:p>
          <w:p w14:paraId="1931995B">
            <w:pPr>
              <w:tabs>
                <w:tab w:val="left" w:pos="2130"/>
              </w:tabs>
              <w:jc w:val="center"/>
              <w:rPr>
                <w:rFonts w:eastAsia="仿宋"/>
                <w:color w:val="000000" w:themeColor="text1"/>
                <w:sz w:val="24"/>
                <w14:textFill>
                  <w14:solidFill>
                    <w14:schemeClr w14:val="tx1"/>
                  </w14:solidFill>
                </w14:textFill>
              </w:rPr>
            </w:pPr>
            <w:r>
              <w:rPr>
                <w:color w:val="000000" w:themeColor="text1"/>
                <w14:textFill>
                  <w14:solidFill>
                    <w14:schemeClr w14:val="tx1"/>
                  </w14:solidFill>
                </w14:textFill>
              </w:rPr>
              <w:object>
                <v:shape id="_x0000_i1027" o:spt="75" type="#_x0000_t75" style="height:96.2pt;width:350.8pt;" o:ole="t" filled="f" o:preferrelative="t" stroked="f" coordsize="21600,21600">
                  <v:path/>
                  <v:fill on="f" focussize="0,0"/>
                  <v:stroke on="f" joinstyle="miter"/>
                  <v:imagedata r:id="rId18" o:title=""/>
                  <o:lock v:ext="edit" aspectratio="t"/>
                  <w10:wrap type="none"/>
                  <w10:anchorlock/>
                </v:shape>
                <o:OLEObject Type="Embed" ProgID="Visio.Drawing.15" ShapeID="_x0000_i1027" DrawAspect="Content" ObjectID="_1468075727" r:id="rId17">
                  <o:LockedField>false</o:LockedField>
                </o:OLEObject>
              </w:object>
            </w:r>
          </w:p>
          <w:p w14:paraId="0D13C631">
            <w:pPr>
              <w:spacing w:line="480" w:lineRule="exact"/>
              <w:jc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图4</w:t>
            </w:r>
            <w:r>
              <w:rPr>
                <w:rFonts w:eastAsia="仿宋"/>
                <w:b/>
                <w:color w:val="000000" w:themeColor="text1"/>
                <w:szCs w:val="21"/>
                <w14:textFill>
                  <w14:solidFill>
                    <w14:schemeClr w14:val="tx1"/>
                  </w14:solidFill>
                </w14:textFill>
              </w:rPr>
              <w:t>-1 本项目有组织废气处理系统示意图</w:t>
            </w:r>
          </w:p>
          <w:p w14:paraId="4AA70AF6">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rFonts w:eastAsia="仿宋"/>
                <w:color w:val="000000" w:themeColor="text1"/>
                <w:sz w:val="24"/>
                <w14:textFill>
                  <w14:solidFill>
                    <w14:schemeClr w14:val="tx1"/>
                  </w14:solidFill>
                </w14:textFill>
              </w:rPr>
              <w:t>无组织废气</w:t>
            </w:r>
          </w:p>
          <w:p w14:paraId="055C4BF3">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w:t>
            </w:r>
            <w:r>
              <w:rPr>
                <w:rFonts w:hint="eastAsia" w:eastAsia="仿宋"/>
                <w:color w:val="000000" w:themeColor="text1"/>
                <w:sz w:val="24"/>
                <w14:textFill>
                  <w14:solidFill>
                    <w14:schemeClr w14:val="tx1"/>
                  </w14:solidFill>
                </w14:textFill>
              </w:rPr>
              <w:t>QC取样和QC检验步骤</w:t>
            </w:r>
            <w:r>
              <w:rPr>
                <w:rFonts w:eastAsia="仿宋"/>
                <w:color w:val="000000" w:themeColor="text1"/>
                <w:sz w:val="24"/>
                <w14:textFill>
                  <w14:solidFill>
                    <w14:schemeClr w14:val="tx1"/>
                  </w14:solidFill>
                </w14:textFill>
              </w:rPr>
              <w:t>未捕集到的</w:t>
            </w:r>
            <w:r>
              <w:rPr>
                <w:rFonts w:hint="eastAsia" w:eastAsia="仿宋"/>
                <w:color w:val="000000" w:themeColor="text1"/>
                <w:sz w:val="24"/>
                <w14:textFill>
                  <w14:solidFill>
                    <w14:schemeClr w14:val="tx1"/>
                  </w14:solidFill>
                </w14:textFill>
              </w:rPr>
              <w:t>废气</w:t>
            </w:r>
            <w:r>
              <w:rPr>
                <w:rFonts w:eastAsia="仿宋"/>
                <w:color w:val="000000" w:themeColor="text1"/>
                <w:sz w:val="24"/>
                <w14:textFill>
                  <w14:solidFill>
                    <w14:schemeClr w14:val="tx1"/>
                  </w14:solidFill>
                </w14:textFill>
              </w:rPr>
              <w:t>通过</w:t>
            </w:r>
            <w:r>
              <w:rPr>
                <w:rFonts w:hint="eastAsia" w:eastAsia="仿宋"/>
                <w:color w:val="000000" w:themeColor="text1"/>
                <w:sz w:val="24"/>
                <w14:textFill>
                  <w14:solidFill>
                    <w14:schemeClr w14:val="tx1"/>
                  </w14:solidFill>
                </w14:textFill>
              </w:rPr>
              <w:t>实验室</w:t>
            </w:r>
            <w:r>
              <w:rPr>
                <w:rFonts w:eastAsia="仿宋"/>
                <w:color w:val="000000" w:themeColor="text1"/>
                <w:sz w:val="24"/>
                <w14:textFill>
                  <w14:solidFill>
                    <w14:schemeClr w14:val="tx1"/>
                  </w14:solidFill>
                </w14:textFill>
              </w:rPr>
              <w:t>无组织排放。为有效控制无组织</w:t>
            </w:r>
            <w:r>
              <w:rPr>
                <w:rFonts w:hint="eastAsia" w:eastAsia="仿宋"/>
                <w:color w:val="000000" w:themeColor="text1"/>
                <w:sz w:val="24"/>
                <w14:textFill>
                  <w14:solidFill>
                    <w14:schemeClr w14:val="tx1"/>
                  </w14:solidFill>
                </w14:textFill>
              </w:rPr>
              <w:t>废气</w:t>
            </w:r>
            <w:r>
              <w:rPr>
                <w:rFonts w:eastAsia="仿宋"/>
                <w:color w:val="000000" w:themeColor="text1"/>
                <w:sz w:val="24"/>
                <w14:textFill>
                  <w14:solidFill>
                    <w14:schemeClr w14:val="tx1"/>
                  </w14:solidFill>
                </w14:textFill>
              </w:rPr>
              <w:t>的排放，本项目采取预防为主的方针，同时工艺设计尽量减少生产过程中的产污环节，从而减少无组织排放量；本项目定期检查管道的密封性，定期检查排气筒，减少无组织排放。</w:t>
            </w:r>
          </w:p>
          <w:p w14:paraId="40DA4ED1">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无组织排放废气均通过合理布置</w:t>
            </w:r>
            <w:r>
              <w:rPr>
                <w:rFonts w:hint="eastAsia" w:eastAsia="仿宋"/>
                <w:color w:val="000000" w:themeColor="text1"/>
                <w:sz w:val="24"/>
                <w14:textFill>
                  <w14:solidFill>
                    <w14:schemeClr w14:val="tx1"/>
                  </w14:solidFill>
                </w14:textFill>
              </w:rPr>
              <w:t>实验室</w:t>
            </w:r>
            <w:r>
              <w:rPr>
                <w:rFonts w:eastAsia="仿宋"/>
                <w:color w:val="000000" w:themeColor="text1"/>
                <w:sz w:val="24"/>
                <w14:textFill>
                  <w14:solidFill>
                    <w14:schemeClr w14:val="tx1"/>
                  </w14:solidFill>
                </w14:textFill>
              </w:rPr>
              <w:t>、将产生无组织的废气装置布置在远离厂界的地方、强制通风等措施，减少无组织废气对厂界周围环境的影响。通过加大换气次数，降低</w:t>
            </w:r>
            <w:r>
              <w:rPr>
                <w:rFonts w:hint="eastAsia" w:eastAsia="仿宋"/>
                <w:color w:val="000000" w:themeColor="text1"/>
                <w:sz w:val="24"/>
                <w14:textFill>
                  <w14:solidFill>
                    <w14:schemeClr w14:val="tx1"/>
                  </w14:solidFill>
                </w14:textFill>
              </w:rPr>
              <w:t>实验室</w:t>
            </w:r>
            <w:r>
              <w:rPr>
                <w:rFonts w:eastAsia="仿宋"/>
                <w:color w:val="000000" w:themeColor="text1"/>
                <w:sz w:val="24"/>
                <w14:textFill>
                  <w14:solidFill>
                    <w14:schemeClr w14:val="tx1"/>
                  </w14:solidFill>
                </w14:textFill>
              </w:rPr>
              <w:t>内污染物浓度。</w:t>
            </w:r>
          </w:p>
          <w:p w14:paraId="120E81D8">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（2）有组织废气收集和治理措施可行性分析</w:t>
            </w:r>
          </w:p>
          <w:p w14:paraId="5197EDBF">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rFonts w:eastAsia="仿宋"/>
                <w:color w:val="000000" w:themeColor="text1"/>
                <w:sz w:val="24"/>
                <w14:textFill>
                  <w14:solidFill>
                    <w14:schemeClr w14:val="tx1"/>
                  </w14:solidFill>
                </w14:textFill>
              </w:rPr>
              <w:t>风量可行性分析</w:t>
            </w:r>
          </w:p>
          <w:p w14:paraId="4C888DA8">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本项目实验室产生的废气经通风橱通风系统收集，通风橱采取顶吸风的方式，顶吸风集气罩设计风量如下所示：</w:t>
            </w:r>
          </w:p>
          <w:p w14:paraId="2DAF34A2">
            <w:pPr>
              <w:spacing w:line="480" w:lineRule="exact"/>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Q=K(A+B)×H×V×3600</w:t>
            </w:r>
          </w:p>
          <w:p w14:paraId="3582F315">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式中：</w:t>
            </w:r>
          </w:p>
          <w:p w14:paraId="7BB44A5C">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Q—集气罩设计风量，m</w:t>
            </w:r>
            <w:r>
              <w:rPr>
                <w:rFonts w:eastAsia="仿宋"/>
                <w:color w:val="000000" w:themeColor="text1"/>
                <w:sz w:val="24"/>
                <w:vertAlign w:val="superscript"/>
                <w14:textFill>
                  <w14:solidFill>
                    <w14:schemeClr w14:val="tx1"/>
                  </w14:solidFill>
                </w14:textFill>
              </w:rPr>
              <w:t>3</w:t>
            </w:r>
            <w:r>
              <w:rPr>
                <w:rFonts w:eastAsia="仿宋"/>
                <w:color w:val="000000" w:themeColor="text1"/>
                <w:sz w:val="24"/>
                <w14:textFill>
                  <w14:solidFill>
                    <w14:schemeClr w14:val="tx1"/>
                  </w14:solidFill>
                </w14:textFill>
              </w:rPr>
              <w:t>/h；</w:t>
            </w:r>
          </w:p>
          <w:p w14:paraId="4E95B48A">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K—设计安全系数，一般取1.1~1.5；</w:t>
            </w:r>
          </w:p>
          <w:p w14:paraId="603BFB8E">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A+B—集气罩周长，m；</w:t>
            </w:r>
          </w:p>
          <w:p w14:paraId="782E663A">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H—污染源至集气罩的距离，m；</w:t>
            </w:r>
          </w:p>
          <w:p w14:paraId="2714B1A3">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V—设计气体流速，m/s，范围为0.5~1.0m/s。</w:t>
            </w:r>
          </w:p>
          <w:p w14:paraId="5FEF89B6">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本项目通风橱吸风罩口距离废气产生点均约0</w:t>
            </w:r>
            <w:r>
              <w:rPr>
                <w:rFonts w:eastAsia="仿宋"/>
                <w:color w:val="000000" w:themeColor="text1"/>
                <w:sz w:val="24"/>
                <w14:textFill>
                  <w14:solidFill>
                    <w14:schemeClr w14:val="tx1"/>
                  </w14:solidFill>
                </w14:textFill>
              </w:rPr>
              <w:t>.5m</w:t>
            </w:r>
            <w:r>
              <w:rPr>
                <w:rFonts w:hint="eastAsia" w:eastAsia="仿宋"/>
                <w:color w:val="000000" w:themeColor="text1"/>
                <w:sz w:val="24"/>
                <w14:textFill>
                  <w14:solidFill>
                    <w14:schemeClr w14:val="tx1"/>
                  </w14:solidFill>
                </w14:textFill>
              </w:rPr>
              <w:t>，罩口设计周长按设备平面尺寸设计，取</w:t>
            </w:r>
            <w:r>
              <w:rPr>
                <w:rFonts w:eastAsia="仿宋"/>
                <w:color w:val="000000" w:themeColor="text1"/>
                <w:sz w:val="24"/>
                <w14:textFill>
                  <w14:solidFill>
                    <w14:schemeClr w14:val="tx1"/>
                  </w14:solidFill>
                </w14:textFill>
              </w:rPr>
              <w:t>1</w:t>
            </w:r>
            <w:r>
              <w:rPr>
                <w:rFonts w:hint="eastAsia" w:eastAsia="仿宋"/>
                <w:color w:val="000000" w:themeColor="text1"/>
                <w:sz w:val="24"/>
                <w14:textFill>
                  <w14:solidFill>
                    <w14:schemeClr w14:val="tx1"/>
                  </w14:solidFill>
                </w14:textFill>
              </w:rPr>
              <w:t>m，设计罩口流速0.5m/s，安全系数取</w:t>
            </w:r>
            <w:r>
              <w:rPr>
                <w:rFonts w:eastAsia="仿宋"/>
                <w:color w:val="000000" w:themeColor="text1"/>
                <w:sz w:val="24"/>
                <w14:textFill>
                  <w14:solidFill>
                    <w14:schemeClr w14:val="tx1"/>
                  </w14:solidFill>
                </w14:textFill>
              </w:rPr>
              <w:t>1.5</w:t>
            </w:r>
            <w:r>
              <w:rPr>
                <w:rFonts w:hint="eastAsia" w:eastAsia="仿宋"/>
                <w:color w:val="000000" w:themeColor="text1"/>
                <w:sz w:val="24"/>
                <w14:textFill>
                  <w14:solidFill>
                    <w14:schemeClr w14:val="tx1"/>
                  </w14:solidFill>
                </w14:textFill>
              </w:rPr>
              <w:t>，则本项目单个集气罩设计风量为</w:t>
            </w:r>
            <w:r>
              <w:rPr>
                <w:rFonts w:eastAsia="仿宋"/>
                <w:color w:val="000000" w:themeColor="text1"/>
                <w:sz w:val="24"/>
                <w14:textFill>
                  <w14:solidFill>
                    <w14:schemeClr w14:val="tx1"/>
                  </w14:solidFill>
                </w14:textFill>
              </w:rPr>
              <w:t>1350</w:t>
            </w:r>
            <w:r>
              <w:rPr>
                <w:rFonts w:hint="eastAsia" w:eastAsia="仿宋"/>
                <w:color w:val="000000" w:themeColor="text1"/>
                <w:sz w:val="24"/>
                <w14:textFill>
                  <w14:solidFill>
                    <w14:schemeClr w14:val="tx1"/>
                  </w14:solidFill>
                </w14:textFill>
              </w:rPr>
              <w:t>m</w:t>
            </w:r>
            <w:r>
              <w:rPr>
                <w:rFonts w:hint="eastAsia" w:eastAsia="仿宋"/>
                <w:color w:val="000000" w:themeColor="text1"/>
                <w:sz w:val="24"/>
                <w:vertAlign w:val="superscript"/>
                <w14:textFill>
                  <w14:solidFill>
                    <w14:schemeClr w14:val="tx1"/>
                  </w14:solidFill>
                </w14:textFill>
              </w:rPr>
              <w:t>3</w:t>
            </w:r>
            <w:r>
              <w:rPr>
                <w:rFonts w:hint="eastAsia" w:eastAsia="仿宋"/>
                <w:color w:val="000000" w:themeColor="text1"/>
                <w:sz w:val="24"/>
                <w14:textFill>
                  <w14:solidFill>
                    <w14:schemeClr w14:val="tx1"/>
                  </w14:solidFill>
                </w14:textFill>
              </w:rPr>
              <w:t>/h，根据企业提供资料，本项目最多同时开启两个通风橱，则总收集风量为</w:t>
            </w:r>
            <w:r>
              <w:rPr>
                <w:rFonts w:eastAsia="仿宋"/>
                <w:color w:val="000000" w:themeColor="text1"/>
                <w:sz w:val="24"/>
                <w14:textFill>
                  <w14:solidFill>
                    <w14:schemeClr w14:val="tx1"/>
                  </w14:solidFill>
                </w14:textFill>
              </w:rPr>
              <w:t>2700</w:t>
            </w:r>
            <w:r>
              <w:rPr>
                <w:rFonts w:hint="eastAsia" w:eastAsia="仿宋"/>
                <w:color w:val="000000" w:themeColor="text1"/>
                <w:sz w:val="24"/>
                <w14:textFill>
                  <w14:solidFill>
                    <w14:schemeClr w14:val="tx1"/>
                  </w14:solidFill>
                </w14:textFill>
              </w:rPr>
              <w:t>m</w:t>
            </w:r>
            <w:r>
              <w:rPr>
                <w:rFonts w:hint="eastAsia" w:eastAsia="仿宋"/>
                <w:color w:val="000000" w:themeColor="text1"/>
                <w:sz w:val="24"/>
                <w:vertAlign w:val="superscript"/>
                <w14:textFill>
                  <w14:solidFill>
                    <w14:schemeClr w14:val="tx1"/>
                  </w14:solidFill>
                </w14:textFill>
              </w:rPr>
              <w:t>3</w:t>
            </w:r>
            <w:r>
              <w:rPr>
                <w:rFonts w:hint="eastAsia" w:eastAsia="仿宋"/>
                <w:color w:val="000000" w:themeColor="text1"/>
                <w:sz w:val="24"/>
                <w14:textFill>
                  <w14:solidFill>
                    <w14:schemeClr w14:val="tx1"/>
                  </w14:solidFill>
                </w14:textFill>
              </w:rPr>
              <w:t>/h。</w:t>
            </w:r>
          </w:p>
          <w:p w14:paraId="0383009C">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综上，本项目</w:t>
            </w:r>
            <w:r>
              <w:rPr>
                <w:rFonts w:eastAsia="仿宋"/>
                <w:color w:val="000000" w:themeColor="text1"/>
                <w:sz w:val="24"/>
                <w14:textFill>
                  <w14:solidFill>
                    <w14:schemeClr w14:val="tx1"/>
                  </w14:solidFill>
                </w14:textFill>
              </w:rPr>
              <w:t>1#</w:t>
            </w:r>
            <w:r>
              <w:rPr>
                <w:rFonts w:hint="eastAsia" w:eastAsia="仿宋"/>
                <w:color w:val="000000" w:themeColor="text1"/>
                <w:sz w:val="24"/>
                <w14:textFill>
                  <w14:solidFill>
                    <w14:schemeClr w14:val="tx1"/>
                  </w14:solidFill>
                </w14:textFill>
              </w:rPr>
              <w:t>排气筒配备1台风量为</w:t>
            </w:r>
            <w:r>
              <w:rPr>
                <w:rFonts w:eastAsia="仿宋"/>
                <w:color w:val="000000" w:themeColor="text1"/>
                <w:sz w:val="24"/>
                <w14:textFill>
                  <w14:solidFill>
                    <w14:schemeClr w14:val="tx1"/>
                  </w14:solidFill>
                </w14:textFill>
              </w:rPr>
              <w:t>4000</w:t>
            </w:r>
            <w:r>
              <w:rPr>
                <w:rFonts w:hint="eastAsia" w:eastAsia="仿宋"/>
                <w:color w:val="000000" w:themeColor="text1"/>
                <w:sz w:val="24"/>
                <w14:textFill>
                  <w14:solidFill>
                    <w14:schemeClr w14:val="tx1"/>
                  </w14:solidFill>
                </w14:textFill>
              </w:rPr>
              <w:t>m</w:t>
            </w:r>
            <w:r>
              <w:rPr>
                <w:rFonts w:hint="eastAsia" w:eastAsia="仿宋"/>
                <w:color w:val="000000" w:themeColor="text1"/>
                <w:sz w:val="24"/>
                <w:vertAlign w:val="superscript"/>
                <w14:textFill>
                  <w14:solidFill>
                    <w14:schemeClr w14:val="tx1"/>
                  </w14:solidFill>
                </w14:textFill>
              </w:rPr>
              <w:t>3</w:t>
            </w:r>
            <w:r>
              <w:rPr>
                <w:rFonts w:hint="eastAsia" w:eastAsia="仿宋"/>
                <w:color w:val="000000" w:themeColor="text1"/>
                <w:sz w:val="24"/>
                <w14:textFill>
                  <w14:solidFill>
                    <w14:schemeClr w14:val="tx1"/>
                  </w14:solidFill>
                </w14:textFill>
              </w:rPr>
              <w:t>/h的变频引风机，因此设计风量满足废气捕集所需风量。</w:t>
            </w:r>
          </w:p>
          <w:p w14:paraId="53BB0CF4">
            <w:pPr>
              <w:spacing w:line="500" w:lineRule="exact"/>
              <w:ind w:firstLine="480" w:firstLineChars="200"/>
              <w:rPr>
                <w:rFonts w:eastAsia="仿宋"/>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有组织废气治理措施可行性分析</w:t>
            </w:r>
          </w:p>
          <w:p w14:paraId="1D89B735">
            <w:pPr>
              <w:spacing w:line="50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两级活性炭吸附</w:t>
            </w:r>
            <w:r>
              <w:rPr>
                <w:rFonts w:eastAsia="仿宋"/>
                <w:color w:val="000000" w:themeColor="text1"/>
                <w:sz w:val="24"/>
                <w14:textFill>
                  <w14:solidFill>
                    <w14:schemeClr w14:val="tx1"/>
                  </w14:solidFill>
                </w14:textFill>
              </w:rPr>
              <w:t>原理：利用活性炭的微孔对溶剂分子或分子团吸附，当工业废气通过吸附介质时，其中的有机溶剂被“阻留”下来，从而使有机废气得到净化处理，由于活性炭固体表面上存在着未平衡和未饱和的分子引力或化学键力，因此当此固体表面与气体接触时，就能吸引气体分子，使其浓聚并保持在固体表面，污染物质从而被吸附，废气经过滤器后，进入设备排尘系统，净化气体高空达标排放。该方法几乎适用于所有的气相污染物，一般是中低浓度的气相污染物，具有去除效率高等优点。</w:t>
            </w:r>
          </w:p>
          <w:p w14:paraId="47463CE0">
            <w:pPr>
              <w:keepNext/>
              <w:spacing w:line="48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表4-7 本项目二级活性炭吸附装置技术参数</w:t>
            </w:r>
          </w:p>
          <w:tbl>
            <w:tblPr>
              <w:tblStyle w:val="24"/>
              <w:tblW w:w="706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6"/>
              <w:gridCol w:w="3215"/>
              <w:gridCol w:w="3117"/>
            </w:tblGrid>
            <w:tr w14:paraId="76A57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jc w:val="center"/>
              </w:trPr>
              <w:tc>
                <w:tcPr>
                  <w:tcW w:w="736" w:type="dxa"/>
                  <w:tcBorders>
                    <w:top w:val="single" w:color="000000" w:sz="4" w:space="0"/>
                    <w:left w:val="single" w:color="000000" w:sz="4" w:space="0"/>
                    <w:bottom w:val="single" w:color="000000" w:sz="4" w:space="0"/>
                    <w:right w:val="single" w:color="000000" w:sz="4" w:space="0"/>
                  </w:tcBorders>
                  <w:vAlign w:val="center"/>
                </w:tcPr>
                <w:p w14:paraId="6C9A484C">
                  <w:pPr>
                    <w:autoSpaceDE w:val="0"/>
                    <w:autoSpaceDN w:val="0"/>
                    <w:snapToGrid w:val="0"/>
                    <w:spacing w:line="300" w:lineRule="exact"/>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序号</w:t>
                  </w:r>
                </w:p>
              </w:tc>
              <w:tc>
                <w:tcPr>
                  <w:tcW w:w="32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5D46D2A">
                  <w:pPr>
                    <w:autoSpaceDE w:val="0"/>
                    <w:autoSpaceDN w:val="0"/>
                    <w:snapToGrid w:val="0"/>
                    <w:spacing w:line="300" w:lineRule="exact"/>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名称</w:t>
                  </w:r>
                </w:p>
              </w:tc>
              <w:tc>
                <w:tcPr>
                  <w:tcW w:w="31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16CD147">
                  <w:pPr>
                    <w:autoSpaceDE w:val="0"/>
                    <w:autoSpaceDN w:val="0"/>
                    <w:snapToGrid w:val="0"/>
                    <w:spacing w:line="300" w:lineRule="exact"/>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主要技术参数</w:t>
                  </w:r>
                </w:p>
              </w:tc>
            </w:tr>
            <w:tr w14:paraId="2716C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736" w:type="dxa"/>
                  <w:tcBorders>
                    <w:top w:val="single" w:color="000000" w:sz="4" w:space="0"/>
                    <w:left w:val="single" w:color="000000" w:sz="4" w:space="0"/>
                    <w:bottom w:val="single" w:color="000000" w:sz="4" w:space="0"/>
                    <w:right w:val="single" w:color="000000" w:sz="4" w:space="0"/>
                  </w:tcBorders>
                  <w:vAlign w:val="center"/>
                </w:tcPr>
                <w:p w14:paraId="44A20775">
                  <w:pPr>
                    <w:autoSpaceDE w:val="0"/>
                    <w:autoSpaceDN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32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704F7D6">
                  <w:pPr>
                    <w:autoSpaceDE w:val="0"/>
                    <w:autoSpaceDN w:val="0"/>
                    <w:snapToGrid w:val="0"/>
                    <w:spacing w:line="300" w:lineRule="exac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活性炭种类</w:t>
                  </w:r>
                </w:p>
              </w:tc>
              <w:tc>
                <w:tcPr>
                  <w:tcW w:w="31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4A48889">
                  <w:pPr>
                    <w:autoSpaceDE w:val="0"/>
                    <w:autoSpaceDN w:val="0"/>
                    <w:snapToGrid w:val="0"/>
                    <w:spacing w:line="300" w:lineRule="exac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颗粒活性炭</w:t>
                  </w:r>
                </w:p>
              </w:tc>
            </w:tr>
            <w:tr w14:paraId="2A36C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 w:hRule="atLeast"/>
                <w:jc w:val="center"/>
              </w:trPr>
              <w:tc>
                <w:tcPr>
                  <w:tcW w:w="736" w:type="dxa"/>
                  <w:tcBorders>
                    <w:top w:val="single" w:color="000000" w:sz="4" w:space="0"/>
                    <w:left w:val="single" w:color="000000" w:sz="4" w:space="0"/>
                    <w:bottom w:val="single" w:color="000000" w:sz="4" w:space="0"/>
                    <w:right w:val="single" w:color="000000" w:sz="4" w:space="0"/>
                  </w:tcBorders>
                  <w:vAlign w:val="center"/>
                </w:tcPr>
                <w:p w14:paraId="2FF67AB5">
                  <w:pPr>
                    <w:autoSpaceDE w:val="0"/>
                    <w:autoSpaceDN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32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DCE4334">
                  <w:pPr>
                    <w:autoSpaceDE w:val="0"/>
                    <w:autoSpaceDN w:val="0"/>
                    <w:snapToGrid w:val="0"/>
                    <w:spacing w:line="300" w:lineRule="exac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处理风量</w:t>
                  </w:r>
                </w:p>
              </w:tc>
              <w:tc>
                <w:tcPr>
                  <w:tcW w:w="31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CF4E661">
                  <w:pPr>
                    <w:autoSpaceDE w:val="0"/>
                    <w:autoSpaceDN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4000m</w:t>
                  </w:r>
                  <w:r>
                    <w:rPr>
                      <w:rFonts w:eastAsia="仿宋"/>
                      <w:color w:val="000000" w:themeColor="text1"/>
                      <w:szCs w:val="21"/>
                      <w:vertAlign w:val="superscript"/>
                      <w14:textFill>
                        <w14:solidFill>
                          <w14:schemeClr w14:val="tx1"/>
                        </w14:solidFill>
                      </w14:textFill>
                    </w:rPr>
                    <w:t>3</w:t>
                  </w:r>
                  <w:r>
                    <w:rPr>
                      <w:rFonts w:eastAsia="仿宋"/>
                      <w:color w:val="000000" w:themeColor="text1"/>
                      <w:szCs w:val="21"/>
                      <w14:textFill>
                        <w14:solidFill>
                          <w14:schemeClr w14:val="tx1"/>
                        </w14:solidFill>
                      </w14:textFill>
                    </w:rPr>
                    <w:t>/h</w:t>
                  </w:r>
                </w:p>
              </w:tc>
            </w:tr>
            <w:tr w14:paraId="3F47D8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 w:hRule="atLeast"/>
                <w:jc w:val="center"/>
              </w:trPr>
              <w:tc>
                <w:tcPr>
                  <w:tcW w:w="736" w:type="dxa"/>
                  <w:tcBorders>
                    <w:top w:val="single" w:color="000000" w:sz="4" w:space="0"/>
                    <w:left w:val="single" w:color="000000" w:sz="4" w:space="0"/>
                    <w:bottom w:val="single" w:color="000000" w:sz="4" w:space="0"/>
                    <w:right w:val="single" w:color="000000" w:sz="4" w:space="0"/>
                  </w:tcBorders>
                  <w:vAlign w:val="center"/>
                </w:tcPr>
                <w:p w14:paraId="13285EDD">
                  <w:pPr>
                    <w:autoSpaceDE w:val="0"/>
                    <w:autoSpaceDN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32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ECBF478">
                  <w:pPr>
                    <w:autoSpaceDE w:val="0"/>
                    <w:autoSpaceDN w:val="0"/>
                    <w:snapToGrid w:val="0"/>
                    <w:spacing w:line="300" w:lineRule="exac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单个活性炭吸附塔尺寸</w:t>
                  </w:r>
                </w:p>
              </w:tc>
              <w:tc>
                <w:tcPr>
                  <w:tcW w:w="31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16E4B34">
                  <w:pPr>
                    <w:autoSpaceDE w:val="0"/>
                    <w:autoSpaceDN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1700mm*1030mm*1500mm</w:t>
                  </w:r>
                </w:p>
              </w:tc>
            </w:tr>
            <w:tr w14:paraId="4BCAA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jc w:val="center"/>
              </w:trPr>
              <w:tc>
                <w:tcPr>
                  <w:tcW w:w="736" w:type="dxa"/>
                  <w:tcBorders>
                    <w:top w:val="single" w:color="000000" w:sz="4" w:space="0"/>
                    <w:left w:val="single" w:color="000000" w:sz="4" w:space="0"/>
                    <w:bottom w:val="single" w:color="000000" w:sz="4" w:space="0"/>
                    <w:right w:val="single" w:color="000000" w:sz="4" w:space="0"/>
                  </w:tcBorders>
                  <w:vAlign w:val="center"/>
                </w:tcPr>
                <w:p w14:paraId="4254A17D">
                  <w:pPr>
                    <w:autoSpaceDE w:val="0"/>
                    <w:autoSpaceDN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w:t>
                  </w:r>
                </w:p>
              </w:tc>
              <w:tc>
                <w:tcPr>
                  <w:tcW w:w="32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3C405A9">
                  <w:pPr>
                    <w:autoSpaceDE w:val="0"/>
                    <w:autoSpaceDN w:val="0"/>
                    <w:snapToGrid w:val="0"/>
                    <w:spacing w:line="300" w:lineRule="exac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单级活性炭填充量</w:t>
                  </w:r>
                </w:p>
              </w:tc>
              <w:tc>
                <w:tcPr>
                  <w:tcW w:w="31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21A08A6">
                  <w:pPr>
                    <w:autoSpaceDE w:val="0"/>
                    <w:autoSpaceDN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0.375t</w:t>
                  </w:r>
                </w:p>
              </w:tc>
            </w:tr>
            <w:tr w14:paraId="4E6EB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 w:hRule="atLeast"/>
                <w:jc w:val="center"/>
              </w:trPr>
              <w:tc>
                <w:tcPr>
                  <w:tcW w:w="736" w:type="dxa"/>
                  <w:tcBorders>
                    <w:top w:val="single" w:color="000000" w:sz="4" w:space="0"/>
                    <w:left w:val="single" w:color="000000" w:sz="4" w:space="0"/>
                    <w:bottom w:val="single" w:color="000000" w:sz="4" w:space="0"/>
                    <w:right w:val="single" w:color="000000" w:sz="4" w:space="0"/>
                  </w:tcBorders>
                  <w:vAlign w:val="center"/>
                </w:tcPr>
                <w:p w14:paraId="37EEF4C9">
                  <w:pPr>
                    <w:autoSpaceDE w:val="0"/>
                    <w:autoSpaceDN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w:t>
                  </w:r>
                </w:p>
              </w:tc>
              <w:tc>
                <w:tcPr>
                  <w:tcW w:w="32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5319EF4">
                  <w:pPr>
                    <w:autoSpaceDE w:val="0"/>
                    <w:autoSpaceDN w:val="0"/>
                    <w:snapToGrid w:val="0"/>
                    <w:spacing w:line="300" w:lineRule="exac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碘值</w:t>
                  </w:r>
                </w:p>
              </w:tc>
              <w:tc>
                <w:tcPr>
                  <w:tcW w:w="31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BABF1F9">
                  <w:pPr>
                    <w:autoSpaceDE w:val="0"/>
                    <w:autoSpaceDN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800mg/g</w:t>
                  </w:r>
                </w:p>
              </w:tc>
            </w:tr>
            <w:tr w14:paraId="21AF1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 w:hRule="atLeast"/>
                <w:jc w:val="center"/>
              </w:trPr>
              <w:tc>
                <w:tcPr>
                  <w:tcW w:w="7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5DF194">
                  <w:pPr>
                    <w:autoSpaceDE w:val="0"/>
                    <w:autoSpaceDN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w:t>
                  </w:r>
                </w:p>
              </w:tc>
              <w:tc>
                <w:tcPr>
                  <w:tcW w:w="32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70970A4">
                  <w:pPr>
                    <w:autoSpaceDE w:val="0"/>
                    <w:autoSpaceDN w:val="0"/>
                    <w:snapToGrid w:val="0"/>
                    <w:spacing w:line="300" w:lineRule="exac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含水率</w:t>
                  </w:r>
                </w:p>
              </w:tc>
              <w:tc>
                <w:tcPr>
                  <w:tcW w:w="31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0330E0E">
                  <w:pPr>
                    <w:autoSpaceDE w:val="0"/>
                    <w:autoSpaceDN w:val="0"/>
                    <w:snapToGrid w:val="0"/>
                    <w:spacing w:line="300" w:lineRule="exac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5%</w:t>
                  </w:r>
                </w:p>
              </w:tc>
            </w:tr>
            <w:tr w14:paraId="261F3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jc w:val="center"/>
              </w:trPr>
              <w:tc>
                <w:tcPr>
                  <w:tcW w:w="7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20D94C">
                  <w:pPr>
                    <w:autoSpaceDE w:val="0"/>
                    <w:autoSpaceDN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w:t>
                  </w:r>
                </w:p>
              </w:tc>
              <w:tc>
                <w:tcPr>
                  <w:tcW w:w="321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53D2D1F">
                  <w:pPr>
                    <w:autoSpaceDE w:val="0"/>
                    <w:autoSpaceDN w:val="0"/>
                    <w:snapToGrid w:val="0"/>
                    <w:spacing w:line="300" w:lineRule="exac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机械强度</w:t>
                  </w:r>
                </w:p>
              </w:tc>
              <w:tc>
                <w:tcPr>
                  <w:tcW w:w="311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6F8E968">
                  <w:pPr>
                    <w:autoSpaceDE w:val="0"/>
                    <w:autoSpaceDN w:val="0"/>
                    <w:snapToGrid w:val="0"/>
                    <w:spacing w:line="300" w:lineRule="exac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90%</w:t>
                  </w:r>
                </w:p>
              </w:tc>
            </w:tr>
            <w:tr w14:paraId="70617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B0F809">
                  <w:pPr>
                    <w:autoSpaceDE w:val="0"/>
                    <w:autoSpaceDN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w:t>
                  </w:r>
                </w:p>
              </w:tc>
              <w:tc>
                <w:tcPr>
                  <w:tcW w:w="321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412822F2">
                  <w:pPr>
                    <w:autoSpaceDE w:val="0"/>
                    <w:autoSpaceDN w:val="0"/>
                    <w:snapToGrid w:val="0"/>
                    <w:spacing w:line="300" w:lineRule="exac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灰分</w:t>
                  </w:r>
                </w:p>
              </w:tc>
              <w:tc>
                <w:tcPr>
                  <w:tcW w:w="3117"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BD1882A">
                  <w:pPr>
                    <w:autoSpaceDE w:val="0"/>
                    <w:autoSpaceDN w:val="0"/>
                    <w:snapToGrid w:val="0"/>
                    <w:spacing w:line="300" w:lineRule="exac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14%</w:t>
                  </w:r>
                </w:p>
              </w:tc>
            </w:tr>
            <w:tr w14:paraId="67E2C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 w:hRule="atLeast"/>
                <w:jc w:val="center"/>
              </w:trPr>
              <w:tc>
                <w:tcPr>
                  <w:tcW w:w="7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F0A676">
                  <w:pPr>
                    <w:autoSpaceDE w:val="0"/>
                    <w:autoSpaceDN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w:t>
                  </w:r>
                </w:p>
              </w:tc>
              <w:tc>
                <w:tcPr>
                  <w:tcW w:w="3215"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392EF6C7">
                  <w:pPr>
                    <w:autoSpaceDE w:val="0"/>
                    <w:autoSpaceDN w:val="0"/>
                    <w:snapToGrid w:val="0"/>
                    <w:spacing w:line="300" w:lineRule="exact"/>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堆积密度</w:t>
                  </w:r>
                </w:p>
              </w:tc>
              <w:tc>
                <w:tcPr>
                  <w:tcW w:w="3117"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14:paraId="59BDF813">
                  <w:pPr>
                    <w:autoSpaceDE w:val="0"/>
                    <w:autoSpaceDN w:val="0"/>
                    <w:snapToGrid w:val="0"/>
                    <w:spacing w:line="30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0.5-0.55g/mL</w:t>
                  </w:r>
                </w:p>
              </w:tc>
            </w:tr>
          </w:tbl>
          <w:p w14:paraId="0299EBEC">
            <w:pPr>
              <w:tabs>
                <w:tab w:val="left" w:pos="2130"/>
              </w:tabs>
              <w:spacing w:line="480" w:lineRule="exact"/>
              <w:ind w:firstLine="480" w:firstLineChars="200"/>
              <w:rPr>
                <w:rFonts w:eastAsia="仿宋"/>
                <w:b/>
                <w:bCs/>
                <w:color w:val="000000" w:themeColor="text1"/>
                <w:szCs w:val="21"/>
                <w14:textFill>
                  <w14:solidFill>
                    <w14:schemeClr w14:val="tx1"/>
                  </w14:solidFill>
                </w14:textFill>
              </w:rPr>
            </w:pPr>
            <w:r>
              <w:rPr>
                <w:rFonts w:hint="eastAsia" w:eastAsia="仿宋"/>
                <w:color w:val="000000" w:themeColor="text1"/>
                <w:sz w:val="24"/>
                <w14:textFill>
                  <w14:solidFill>
                    <w14:schemeClr w14:val="tx1"/>
                  </w14:solidFill>
                </w14:textFill>
              </w:rPr>
              <w:t>根据无锡市新环化工环境监测站于2019年3月对“常州前博源塑业有限公司年产260万件塑料制品项目”的“二级活性炭吸附装置”废气排放口的验收检测数据，其废气处理效率在90%以上，具体见下表。</w:t>
            </w:r>
          </w:p>
          <w:p w14:paraId="65FC7D65">
            <w:pPr>
              <w:tabs>
                <w:tab w:val="left" w:pos="2130"/>
              </w:tabs>
              <w:spacing w:line="480" w:lineRule="exact"/>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表4</w:t>
            </w:r>
            <w:r>
              <w:rPr>
                <w:rFonts w:eastAsia="仿宋"/>
                <w:b/>
                <w:bCs/>
                <w:color w:val="000000" w:themeColor="text1"/>
                <w:szCs w:val="21"/>
                <w14:textFill>
                  <w14:solidFill>
                    <w14:schemeClr w14:val="tx1"/>
                  </w14:solidFill>
                </w14:textFill>
              </w:rPr>
              <w:t xml:space="preserve">-8 </w:t>
            </w:r>
            <w:r>
              <w:rPr>
                <w:rFonts w:hint="eastAsia" w:eastAsia="仿宋"/>
                <w:b/>
                <w:bCs/>
                <w:color w:val="000000" w:themeColor="text1"/>
                <w:szCs w:val="21"/>
                <w14:textFill>
                  <w14:solidFill>
                    <w14:schemeClr w14:val="tx1"/>
                  </w14:solidFill>
                </w14:textFill>
              </w:rPr>
              <w:t>工程实例废气监测</w:t>
            </w:r>
            <w:r>
              <w:rPr>
                <w:rFonts w:eastAsia="仿宋"/>
                <w:b/>
                <w:bCs/>
                <w:color w:val="000000" w:themeColor="text1"/>
                <w:szCs w:val="21"/>
                <w14:textFill>
                  <w14:solidFill>
                    <w14:schemeClr w14:val="tx1"/>
                  </w14:solidFill>
                </w14:textFill>
              </w:rPr>
              <w:t>结果表</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1501"/>
              <w:gridCol w:w="1501"/>
              <w:gridCol w:w="1503"/>
              <w:gridCol w:w="1503"/>
              <w:gridCol w:w="1508"/>
            </w:tblGrid>
            <w:tr w14:paraId="7356B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832" w:type="pct"/>
                  <w:vMerge w:val="restart"/>
                  <w:vAlign w:val="center"/>
                </w:tcPr>
                <w:p w14:paraId="22638288">
                  <w:pPr>
                    <w:widowControl/>
                    <w:jc w:val="center"/>
                    <w:textAlignment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项目</w:t>
                  </w:r>
                  <w:r>
                    <w:rPr>
                      <w:rFonts w:eastAsia="仿宋"/>
                      <w:b/>
                      <w:color w:val="000000" w:themeColor="text1"/>
                      <w:szCs w:val="21"/>
                      <w14:textFill>
                        <w14:solidFill>
                          <w14:schemeClr w14:val="tx1"/>
                        </w14:solidFill>
                      </w14:textFill>
                    </w:rPr>
                    <w:t>点位</w:t>
                  </w:r>
                </w:p>
              </w:tc>
              <w:tc>
                <w:tcPr>
                  <w:tcW w:w="832" w:type="pct"/>
                  <w:vMerge w:val="restart"/>
                  <w:vAlign w:val="center"/>
                </w:tcPr>
                <w:p w14:paraId="5E936908">
                  <w:pPr>
                    <w:widowControl/>
                    <w:jc w:val="center"/>
                    <w:textAlignment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监测</w:t>
                  </w:r>
                  <w:r>
                    <w:rPr>
                      <w:rFonts w:eastAsia="仿宋"/>
                      <w:b/>
                      <w:color w:val="000000" w:themeColor="text1"/>
                      <w:szCs w:val="21"/>
                      <w14:textFill>
                        <w14:solidFill>
                          <w14:schemeClr w14:val="tx1"/>
                        </w14:solidFill>
                      </w14:textFill>
                    </w:rPr>
                    <w:t>时间</w:t>
                  </w:r>
                </w:p>
              </w:tc>
              <w:tc>
                <w:tcPr>
                  <w:tcW w:w="3334" w:type="pct"/>
                  <w:gridSpan w:val="4"/>
                  <w:vAlign w:val="center"/>
                </w:tcPr>
                <w:p w14:paraId="583138A3">
                  <w:pPr>
                    <w:spacing w:line="240" w:lineRule="exact"/>
                    <w:jc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非甲烷</w:t>
                  </w:r>
                  <w:r>
                    <w:rPr>
                      <w:rFonts w:eastAsia="仿宋"/>
                      <w:b/>
                      <w:color w:val="000000" w:themeColor="text1"/>
                      <w:szCs w:val="21"/>
                      <w14:textFill>
                        <w14:solidFill>
                          <w14:schemeClr w14:val="tx1"/>
                        </w14:solidFill>
                      </w14:textFill>
                    </w:rPr>
                    <w:t>总烃</w:t>
                  </w:r>
                  <w:r>
                    <w:rPr>
                      <w:rFonts w:hint="eastAsia" w:eastAsia="仿宋"/>
                      <w:b/>
                      <w:color w:val="000000" w:themeColor="text1"/>
                      <w:szCs w:val="21"/>
                      <w14:textFill>
                        <w14:solidFill>
                          <w14:schemeClr w14:val="tx1"/>
                        </w14:solidFill>
                      </w14:textFill>
                    </w:rPr>
                    <w:t>监测</w:t>
                  </w:r>
                  <w:r>
                    <w:rPr>
                      <w:rFonts w:eastAsia="仿宋"/>
                      <w:b/>
                      <w:color w:val="000000" w:themeColor="text1"/>
                      <w:szCs w:val="21"/>
                      <w14:textFill>
                        <w14:solidFill>
                          <w14:schemeClr w14:val="tx1"/>
                        </w14:solidFill>
                      </w14:textFill>
                    </w:rPr>
                    <w:t>结果（</w:t>
                  </w:r>
                  <w:r>
                    <w:rPr>
                      <w:rFonts w:hint="eastAsia" w:eastAsia="仿宋"/>
                      <w:b/>
                      <w:color w:val="000000" w:themeColor="text1"/>
                      <w:szCs w:val="21"/>
                      <w14:textFill>
                        <w14:solidFill>
                          <w14:schemeClr w14:val="tx1"/>
                        </w14:solidFill>
                      </w14:textFill>
                    </w:rPr>
                    <w:t>mg</w:t>
                  </w:r>
                  <w:r>
                    <w:rPr>
                      <w:rFonts w:eastAsia="仿宋"/>
                      <w:b/>
                      <w:color w:val="000000" w:themeColor="text1"/>
                      <w:szCs w:val="21"/>
                      <w14:textFill>
                        <w14:solidFill>
                          <w14:schemeClr w14:val="tx1"/>
                        </w14:solidFill>
                      </w14:textFill>
                    </w:rPr>
                    <w:t>/m</w:t>
                  </w:r>
                  <w:r>
                    <w:rPr>
                      <w:rFonts w:eastAsia="仿宋"/>
                      <w:b/>
                      <w:color w:val="000000" w:themeColor="text1"/>
                      <w:szCs w:val="21"/>
                      <w:vertAlign w:val="superscript"/>
                      <w14:textFill>
                        <w14:solidFill>
                          <w14:schemeClr w14:val="tx1"/>
                        </w14:solidFill>
                      </w14:textFill>
                    </w:rPr>
                    <w:t>3</w:t>
                  </w:r>
                  <w:r>
                    <w:rPr>
                      <w:rFonts w:eastAsia="仿宋"/>
                      <w:b/>
                      <w:color w:val="000000" w:themeColor="text1"/>
                      <w:szCs w:val="21"/>
                      <w14:textFill>
                        <w14:solidFill>
                          <w14:schemeClr w14:val="tx1"/>
                        </w14:solidFill>
                      </w14:textFill>
                    </w:rPr>
                    <w:t>）</w:t>
                  </w:r>
                </w:p>
              </w:tc>
            </w:tr>
            <w:tr w14:paraId="5D240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832" w:type="pct"/>
                  <w:vMerge w:val="continue"/>
                  <w:vAlign w:val="center"/>
                </w:tcPr>
                <w:p w14:paraId="5FFDACC7">
                  <w:pPr>
                    <w:widowControl/>
                    <w:jc w:val="center"/>
                    <w:textAlignment w:val="center"/>
                    <w:rPr>
                      <w:rFonts w:eastAsia="仿宋"/>
                      <w:b/>
                      <w:color w:val="000000" w:themeColor="text1"/>
                      <w:szCs w:val="21"/>
                      <w14:textFill>
                        <w14:solidFill>
                          <w14:schemeClr w14:val="tx1"/>
                        </w14:solidFill>
                      </w14:textFill>
                    </w:rPr>
                  </w:pPr>
                </w:p>
              </w:tc>
              <w:tc>
                <w:tcPr>
                  <w:tcW w:w="832" w:type="pct"/>
                  <w:vMerge w:val="continue"/>
                  <w:vAlign w:val="center"/>
                </w:tcPr>
                <w:p w14:paraId="21DA3F10">
                  <w:pPr>
                    <w:widowControl/>
                    <w:jc w:val="center"/>
                    <w:textAlignment w:val="center"/>
                    <w:rPr>
                      <w:rFonts w:eastAsia="仿宋"/>
                      <w:b/>
                      <w:color w:val="000000" w:themeColor="text1"/>
                      <w:szCs w:val="21"/>
                      <w14:textFill>
                        <w14:solidFill>
                          <w14:schemeClr w14:val="tx1"/>
                        </w14:solidFill>
                      </w14:textFill>
                    </w:rPr>
                  </w:pPr>
                </w:p>
              </w:tc>
              <w:tc>
                <w:tcPr>
                  <w:tcW w:w="832" w:type="pct"/>
                  <w:vAlign w:val="center"/>
                </w:tcPr>
                <w:p w14:paraId="4CB20A73">
                  <w:pPr>
                    <w:widowControl/>
                    <w:jc w:val="center"/>
                    <w:textAlignment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1</w:t>
                  </w:r>
                </w:p>
              </w:tc>
              <w:tc>
                <w:tcPr>
                  <w:tcW w:w="833" w:type="pct"/>
                  <w:vAlign w:val="center"/>
                </w:tcPr>
                <w:p w14:paraId="6547BC1C">
                  <w:pPr>
                    <w:widowControl/>
                    <w:jc w:val="center"/>
                    <w:textAlignment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2</w:t>
                  </w:r>
                </w:p>
              </w:tc>
              <w:tc>
                <w:tcPr>
                  <w:tcW w:w="833" w:type="pct"/>
                  <w:vAlign w:val="center"/>
                </w:tcPr>
                <w:p w14:paraId="0C087250">
                  <w:pPr>
                    <w:widowControl/>
                    <w:jc w:val="center"/>
                    <w:textAlignment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3</w:t>
                  </w:r>
                </w:p>
              </w:tc>
              <w:tc>
                <w:tcPr>
                  <w:tcW w:w="834" w:type="pct"/>
                  <w:vAlign w:val="center"/>
                </w:tcPr>
                <w:p w14:paraId="3B162F5E">
                  <w:pPr>
                    <w:pStyle w:val="10"/>
                    <w:spacing w:line="240" w:lineRule="auto"/>
                    <w:ind w:firstLine="0" w:firstLineChars="0"/>
                    <w:rPr>
                      <w:bCs w:val="0"/>
                      <w:color w:val="000000" w:themeColor="text1"/>
                      <w14:textFill>
                        <w14:solidFill>
                          <w14:schemeClr w14:val="tx1"/>
                        </w14:solidFill>
                      </w14:textFill>
                    </w:rPr>
                  </w:pPr>
                  <w:r>
                    <w:rPr>
                      <w:bCs w:val="0"/>
                      <w:color w:val="000000" w:themeColor="text1"/>
                      <w14:textFill>
                        <w14:solidFill>
                          <w14:schemeClr w14:val="tx1"/>
                        </w14:solidFill>
                      </w14:textFill>
                    </w:rPr>
                    <w:t>平均值</w:t>
                  </w:r>
                </w:p>
              </w:tc>
            </w:tr>
            <w:tr w14:paraId="22345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832" w:type="pct"/>
                  <w:vAlign w:val="center"/>
                </w:tcPr>
                <w:p w14:paraId="4B3442D4">
                  <w:pPr>
                    <w:widowControl/>
                    <w:jc w:val="center"/>
                    <w:textAlignment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废气进口</w:t>
                  </w:r>
                </w:p>
              </w:tc>
              <w:tc>
                <w:tcPr>
                  <w:tcW w:w="832" w:type="pct"/>
                  <w:vMerge w:val="restart"/>
                  <w:vAlign w:val="center"/>
                </w:tcPr>
                <w:p w14:paraId="2EF4A8AA">
                  <w:pPr>
                    <w:widowControl/>
                    <w:jc w:val="center"/>
                    <w:textAlignment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2019.3.29</w:t>
                  </w:r>
                </w:p>
              </w:tc>
              <w:tc>
                <w:tcPr>
                  <w:tcW w:w="832" w:type="pct"/>
                  <w:vAlign w:val="center"/>
                </w:tcPr>
                <w:p w14:paraId="7AF75FF0">
                  <w:pPr>
                    <w:widowControl/>
                    <w:jc w:val="center"/>
                    <w:textAlignment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4.22</w:t>
                  </w:r>
                </w:p>
              </w:tc>
              <w:tc>
                <w:tcPr>
                  <w:tcW w:w="833" w:type="pct"/>
                  <w:vAlign w:val="center"/>
                </w:tcPr>
                <w:p w14:paraId="7F2886C0">
                  <w:pPr>
                    <w:widowControl/>
                    <w:jc w:val="center"/>
                    <w:textAlignment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3.48</w:t>
                  </w:r>
                </w:p>
              </w:tc>
              <w:tc>
                <w:tcPr>
                  <w:tcW w:w="833" w:type="pct"/>
                  <w:vAlign w:val="center"/>
                </w:tcPr>
                <w:p w14:paraId="50C66AA9">
                  <w:pPr>
                    <w:widowControl/>
                    <w:jc w:val="center"/>
                    <w:textAlignment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4.09</w:t>
                  </w:r>
                </w:p>
              </w:tc>
              <w:tc>
                <w:tcPr>
                  <w:tcW w:w="834" w:type="pct"/>
                  <w:vAlign w:val="center"/>
                </w:tcPr>
                <w:p w14:paraId="66F6B96C">
                  <w:pPr>
                    <w:widowControl/>
                    <w:jc w:val="center"/>
                    <w:textAlignment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3.93</w:t>
                  </w:r>
                </w:p>
              </w:tc>
            </w:tr>
            <w:tr w14:paraId="743FA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32" w:type="pct"/>
                  <w:vAlign w:val="center"/>
                </w:tcPr>
                <w:p w14:paraId="4C0FB01D">
                  <w:pPr>
                    <w:widowControl/>
                    <w:jc w:val="center"/>
                    <w:textAlignment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废气</w:t>
                  </w:r>
                  <w:r>
                    <w:rPr>
                      <w:rFonts w:eastAsia="仿宋"/>
                      <w:bCs/>
                      <w:color w:val="000000" w:themeColor="text1"/>
                      <w:szCs w:val="21"/>
                      <w14:textFill>
                        <w14:solidFill>
                          <w14:schemeClr w14:val="tx1"/>
                        </w14:solidFill>
                      </w14:textFill>
                    </w:rPr>
                    <w:t>出口</w:t>
                  </w:r>
                </w:p>
              </w:tc>
              <w:tc>
                <w:tcPr>
                  <w:tcW w:w="832" w:type="pct"/>
                  <w:vMerge w:val="continue"/>
                  <w:vAlign w:val="center"/>
                </w:tcPr>
                <w:p w14:paraId="10E4235A">
                  <w:pPr>
                    <w:spacing w:line="240" w:lineRule="exact"/>
                    <w:ind w:firstLine="420"/>
                    <w:jc w:val="center"/>
                    <w:rPr>
                      <w:rFonts w:eastAsia="仿宋"/>
                      <w:color w:val="000000" w:themeColor="text1"/>
                      <w:szCs w:val="21"/>
                      <w14:textFill>
                        <w14:solidFill>
                          <w14:schemeClr w14:val="tx1"/>
                        </w14:solidFill>
                      </w14:textFill>
                    </w:rPr>
                  </w:pPr>
                </w:p>
              </w:tc>
              <w:tc>
                <w:tcPr>
                  <w:tcW w:w="832" w:type="pct"/>
                  <w:vAlign w:val="center"/>
                </w:tcPr>
                <w:p w14:paraId="1B2CECDE">
                  <w:pPr>
                    <w:widowControl/>
                    <w:jc w:val="center"/>
                    <w:textAlignment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0.25</w:t>
                  </w:r>
                </w:p>
              </w:tc>
              <w:tc>
                <w:tcPr>
                  <w:tcW w:w="833" w:type="pct"/>
                  <w:vAlign w:val="center"/>
                </w:tcPr>
                <w:p w14:paraId="2587CAD4">
                  <w:pPr>
                    <w:widowControl/>
                    <w:jc w:val="center"/>
                    <w:textAlignment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0.29</w:t>
                  </w:r>
                </w:p>
              </w:tc>
              <w:tc>
                <w:tcPr>
                  <w:tcW w:w="833" w:type="pct"/>
                  <w:vAlign w:val="center"/>
                </w:tcPr>
                <w:p w14:paraId="657CFA1C">
                  <w:pPr>
                    <w:widowControl/>
                    <w:jc w:val="center"/>
                    <w:textAlignment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0.25</w:t>
                  </w:r>
                </w:p>
              </w:tc>
              <w:tc>
                <w:tcPr>
                  <w:tcW w:w="834" w:type="pct"/>
                  <w:vAlign w:val="center"/>
                </w:tcPr>
                <w:p w14:paraId="0693EEE0">
                  <w:pPr>
                    <w:widowControl/>
                    <w:jc w:val="center"/>
                    <w:textAlignment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0.26</w:t>
                  </w:r>
                </w:p>
              </w:tc>
            </w:tr>
            <w:tr w14:paraId="194A6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832" w:type="pct"/>
                  <w:vAlign w:val="center"/>
                </w:tcPr>
                <w:p w14:paraId="49F625A1">
                  <w:pPr>
                    <w:widowControl/>
                    <w:jc w:val="center"/>
                    <w:textAlignment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处理</w:t>
                  </w:r>
                  <w:r>
                    <w:rPr>
                      <w:rFonts w:eastAsia="仿宋"/>
                      <w:bCs/>
                      <w:color w:val="000000" w:themeColor="text1"/>
                      <w:szCs w:val="21"/>
                      <w14:textFill>
                        <w14:solidFill>
                          <w14:schemeClr w14:val="tx1"/>
                        </w14:solidFill>
                      </w14:textFill>
                    </w:rPr>
                    <w:t>效率</w:t>
                  </w:r>
                </w:p>
              </w:tc>
              <w:tc>
                <w:tcPr>
                  <w:tcW w:w="832" w:type="pct"/>
                  <w:vMerge w:val="continue"/>
                  <w:vAlign w:val="center"/>
                </w:tcPr>
                <w:p w14:paraId="030E676F">
                  <w:pPr>
                    <w:spacing w:line="240" w:lineRule="exact"/>
                    <w:ind w:firstLine="420"/>
                    <w:jc w:val="center"/>
                    <w:rPr>
                      <w:rFonts w:eastAsia="仿宋"/>
                      <w:color w:val="000000" w:themeColor="text1"/>
                      <w:szCs w:val="21"/>
                      <w14:textFill>
                        <w14:solidFill>
                          <w14:schemeClr w14:val="tx1"/>
                        </w14:solidFill>
                      </w14:textFill>
                    </w:rPr>
                  </w:pPr>
                </w:p>
              </w:tc>
              <w:tc>
                <w:tcPr>
                  <w:tcW w:w="832" w:type="pct"/>
                  <w:vAlign w:val="center"/>
                </w:tcPr>
                <w:p w14:paraId="5AA2CDE9">
                  <w:pPr>
                    <w:widowControl/>
                    <w:jc w:val="center"/>
                    <w:textAlignment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94.1</w:t>
                  </w:r>
                </w:p>
              </w:tc>
              <w:tc>
                <w:tcPr>
                  <w:tcW w:w="833" w:type="pct"/>
                  <w:vAlign w:val="center"/>
                </w:tcPr>
                <w:p w14:paraId="32C25384">
                  <w:pPr>
                    <w:widowControl/>
                    <w:jc w:val="center"/>
                    <w:textAlignment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91.7</w:t>
                  </w:r>
                </w:p>
              </w:tc>
              <w:tc>
                <w:tcPr>
                  <w:tcW w:w="833" w:type="pct"/>
                  <w:vAlign w:val="center"/>
                </w:tcPr>
                <w:p w14:paraId="640AC0B3">
                  <w:pPr>
                    <w:widowControl/>
                    <w:jc w:val="center"/>
                    <w:textAlignment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93.9</w:t>
                  </w:r>
                </w:p>
              </w:tc>
              <w:tc>
                <w:tcPr>
                  <w:tcW w:w="834" w:type="pct"/>
                  <w:vAlign w:val="center"/>
                </w:tcPr>
                <w:p w14:paraId="0B8F7363">
                  <w:pPr>
                    <w:widowControl/>
                    <w:jc w:val="center"/>
                    <w:textAlignment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93.4</w:t>
                  </w:r>
                </w:p>
              </w:tc>
            </w:tr>
          </w:tbl>
          <w:p w14:paraId="5660E9AA">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由上表可知，“二级活性炭吸附装置”对非甲烷总烃的去除效率平均在90%以上。由于本项目非甲烷总烃初始浓度较低，本项目二级活性炭对非甲烷总烃的净化效率取</w:t>
            </w:r>
            <w:r>
              <w:rPr>
                <w:rFonts w:eastAsia="仿宋"/>
                <w:color w:val="000000" w:themeColor="text1"/>
                <w:sz w:val="24"/>
                <w14:textFill>
                  <w14:solidFill>
                    <w14:schemeClr w14:val="tx1"/>
                  </w14:solidFill>
                </w14:textFill>
              </w:rPr>
              <w:t>75</w:t>
            </w:r>
            <w:r>
              <w:rPr>
                <w:rFonts w:hint="eastAsia" w:eastAsia="仿宋"/>
                <w:color w:val="000000" w:themeColor="text1"/>
                <w:sz w:val="24"/>
                <w14:textFill>
                  <w14:solidFill>
                    <w14:schemeClr w14:val="tx1"/>
                  </w14:solidFill>
                </w14:textFill>
              </w:rPr>
              <w:t>%。</w:t>
            </w:r>
          </w:p>
          <w:p w14:paraId="2898390B">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（3）排气筒设置合理性</w:t>
            </w:r>
          </w:p>
          <w:p w14:paraId="72D12506">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w:t>
            </w:r>
            <w:r>
              <w:rPr>
                <w:rFonts w:hint="eastAsia" w:eastAsia="仿宋"/>
                <w:bCs/>
                <w:color w:val="000000" w:themeColor="text1"/>
                <w:sz w:val="24"/>
                <w14:textFill>
                  <w14:solidFill>
                    <w14:schemeClr w14:val="tx1"/>
                  </w14:solidFill>
                </w14:textFill>
              </w:rPr>
              <w:t>拟新增</w:t>
            </w:r>
            <w:r>
              <w:rPr>
                <w:rFonts w:eastAsia="仿宋"/>
                <w:bCs/>
                <w:color w:val="000000" w:themeColor="text1"/>
                <w:sz w:val="24"/>
                <w14:textFill>
                  <w14:solidFill>
                    <w14:schemeClr w14:val="tx1"/>
                  </w14:solidFill>
                </w14:textFill>
              </w:rPr>
              <w:t>2根排气筒，具体设置方案见下表。</w:t>
            </w:r>
          </w:p>
          <w:p w14:paraId="5C8642B3">
            <w:pPr>
              <w:pStyle w:val="7"/>
              <w:rPr>
                <w:color w:val="000000" w:themeColor="text1"/>
                <w14:textFill>
                  <w14:solidFill>
                    <w14:schemeClr w14:val="tx1"/>
                  </w14:solidFill>
                </w14:textFill>
              </w:rPr>
            </w:pPr>
            <w:r>
              <w:rPr>
                <w:rFonts w:hint="eastAsia"/>
                <w:color w:val="000000" w:themeColor="text1"/>
                <w14:textFill>
                  <w14:solidFill>
                    <w14:schemeClr w14:val="tx1"/>
                  </w14:solidFill>
                </w14:textFill>
              </w:rPr>
              <w:t>表4</w:t>
            </w:r>
            <w:r>
              <w:rPr>
                <w:color w:val="000000" w:themeColor="text1"/>
                <w14:textFill>
                  <w14:solidFill>
                    <w14:schemeClr w14:val="tx1"/>
                  </w14:solidFill>
                </w14:textFill>
              </w:rPr>
              <w:t>-9 本项目废气排放口基本情况表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40"/>
              <w:gridCol w:w="1444"/>
              <w:gridCol w:w="1215"/>
              <w:gridCol w:w="1172"/>
              <w:gridCol w:w="1174"/>
              <w:gridCol w:w="1324"/>
              <w:gridCol w:w="1646"/>
            </w:tblGrid>
            <w:tr w14:paraId="6CE38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 w:hRule="atLeast"/>
                <w:jc w:val="center"/>
              </w:trPr>
              <w:tc>
                <w:tcPr>
                  <w:tcW w:w="577" w:type="pct"/>
                  <w:vMerge w:val="restart"/>
                  <w:vAlign w:val="center"/>
                </w:tcPr>
                <w:p w14:paraId="25B9C00B">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排气筒编号</w:t>
                  </w:r>
                </w:p>
              </w:tc>
              <w:tc>
                <w:tcPr>
                  <w:tcW w:w="801" w:type="pct"/>
                  <w:vMerge w:val="restart"/>
                  <w:noWrap/>
                  <w:vAlign w:val="center"/>
                </w:tcPr>
                <w:p w14:paraId="620938DD">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引风机总排气量</w:t>
                  </w:r>
                  <w:r>
                    <w:rPr>
                      <w:rFonts w:hint="eastAsia" w:eastAsia="仿宋"/>
                      <w:b/>
                      <w:bCs/>
                      <w:color w:val="000000" w:themeColor="text1"/>
                      <w:szCs w:val="21"/>
                      <w14:textFill>
                        <w14:solidFill>
                          <w14:schemeClr w14:val="tx1"/>
                        </w14:solidFill>
                      </w14:textFill>
                    </w:rPr>
                    <w:t>（m</w:t>
                  </w:r>
                  <w:r>
                    <w:rPr>
                      <w:rFonts w:eastAsia="仿宋"/>
                      <w:b/>
                      <w:bCs/>
                      <w:color w:val="000000" w:themeColor="text1"/>
                      <w:szCs w:val="21"/>
                      <w:vertAlign w:val="superscript"/>
                      <w14:textFill>
                        <w14:solidFill>
                          <w14:schemeClr w14:val="tx1"/>
                        </w14:solidFill>
                      </w14:textFill>
                    </w:rPr>
                    <w:t>3</w:t>
                  </w:r>
                  <w:r>
                    <w:rPr>
                      <w:rFonts w:eastAsia="仿宋"/>
                      <w:b/>
                      <w:bCs/>
                      <w:color w:val="000000" w:themeColor="text1"/>
                      <w:szCs w:val="21"/>
                      <w14:textFill>
                        <w14:solidFill>
                          <w14:schemeClr w14:val="tx1"/>
                        </w14:solidFill>
                      </w14:textFill>
                    </w:rPr>
                    <w:t>/h</w:t>
                  </w:r>
                  <w:r>
                    <w:rPr>
                      <w:rFonts w:hint="eastAsia" w:eastAsia="仿宋"/>
                      <w:b/>
                      <w:bCs/>
                      <w:color w:val="000000" w:themeColor="text1"/>
                      <w:szCs w:val="21"/>
                      <w14:textFill>
                        <w14:solidFill>
                          <w14:schemeClr w14:val="tx1"/>
                        </w14:solidFill>
                      </w14:textFill>
                    </w:rPr>
                    <w:t>）</w:t>
                  </w:r>
                </w:p>
              </w:tc>
              <w:tc>
                <w:tcPr>
                  <w:tcW w:w="2709" w:type="pct"/>
                  <w:gridSpan w:val="4"/>
                  <w:noWrap/>
                  <w:vAlign w:val="center"/>
                </w:tcPr>
                <w:p w14:paraId="16D77272">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排气筒参数</w:t>
                  </w:r>
                </w:p>
              </w:tc>
              <w:tc>
                <w:tcPr>
                  <w:tcW w:w="913" w:type="pct"/>
                  <w:vMerge w:val="restart"/>
                  <w:noWrap/>
                  <w:vAlign w:val="center"/>
                </w:tcPr>
                <w:p w14:paraId="624E3210">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污染物名称</w:t>
                  </w:r>
                </w:p>
              </w:tc>
            </w:tr>
            <w:tr w14:paraId="6F6E8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8" w:hRule="atLeast"/>
                <w:jc w:val="center"/>
              </w:trPr>
              <w:tc>
                <w:tcPr>
                  <w:tcW w:w="577" w:type="pct"/>
                  <w:vMerge w:val="continue"/>
                  <w:vAlign w:val="center"/>
                </w:tcPr>
                <w:p w14:paraId="6FE24917">
                  <w:pPr>
                    <w:autoSpaceDE w:val="0"/>
                    <w:autoSpaceDN w:val="0"/>
                    <w:snapToGrid w:val="0"/>
                    <w:jc w:val="center"/>
                    <w:rPr>
                      <w:rFonts w:eastAsia="仿宋"/>
                      <w:b/>
                      <w:bCs/>
                      <w:color w:val="000000" w:themeColor="text1"/>
                      <w:szCs w:val="22"/>
                      <w14:textFill>
                        <w14:solidFill>
                          <w14:schemeClr w14:val="tx1"/>
                        </w14:solidFill>
                      </w14:textFill>
                    </w:rPr>
                  </w:pPr>
                </w:p>
              </w:tc>
              <w:tc>
                <w:tcPr>
                  <w:tcW w:w="801" w:type="pct"/>
                  <w:vMerge w:val="continue"/>
                  <w:noWrap/>
                  <w:vAlign w:val="center"/>
                </w:tcPr>
                <w:p w14:paraId="571AE7F9">
                  <w:pPr>
                    <w:autoSpaceDE w:val="0"/>
                    <w:autoSpaceDN w:val="0"/>
                    <w:snapToGrid w:val="0"/>
                    <w:jc w:val="center"/>
                    <w:rPr>
                      <w:rFonts w:eastAsia="仿宋"/>
                      <w:b/>
                      <w:bCs/>
                      <w:color w:val="000000" w:themeColor="text1"/>
                      <w:szCs w:val="22"/>
                      <w14:textFill>
                        <w14:solidFill>
                          <w14:schemeClr w14:val="tx1"/>
                        </w14:solidFill>
                      </w14:textFill>
                    </w:rPr>
                  </w:pPr>
                </w:p>
              </w:tc>
              <w:tc>
                <w:tcPr>
                  <w:tcW w:w="674" w:type="pct"/>
                  <w:noWrap/>
                  <w:vAlign w:val="center"/>
                </w:tcPr>
                <w:p w14:paraId="3E421599">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高度</w:t>
                  </w:r>
                  <w:r>
                    <w:rPr>
                      <w:rFonts w:hint="eastAsia" w:eastAsia="仿宋"/>
                      <w:b/>
                      <w:bCs/>
                      <w:color w:val="000000" w:themeColor="text1"/>
                      <w:szCs w:val="22"/>
                      <w14:textFill>
                        <w14:solidFill>
                          <w14:schemeClr w14:val="tx1"/>
                        </w14:solidFill>
                      </w14:textFill>
                    </w:rPr>
                    <w:t>（m）</w:t>
                  </w:r>
                </w:p>
              </w:tc>
              <w:tc>
                <w:tcPr>
                  <w:tcW w:w="650" w:type="pct"/>
                  <w:noWrap/>
                  <w:vAlign w:val="center"/>
                </w:tcPr>
                <w:p w14:paraId="084355C5">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内径</w:t>
                  </w:r>
                  <w:r>
                    <w:rPr>
                      <w:rFonts w:hint="eastAsia" w:eastAsia="仿宋"/>
                      <w:b/>
                      <w:bCs/>
                      <w:color w:val="000000" w:themeColor="text1"/>
                      <w:szCs w:val="22"/>
                      <w14:textFill>
                        <w14:solidFill>
                          <w14:schemeClr w14:val="tx1"/>
                        </w14:solidFill>
                      </w14:textFill>
                    </w:rPr>
                    <w:t>（m）</w:t>
                  </w:r>
                </w:p>
              </w:tc>
              <w:tc>
                <w:tcPr>
                  <w:tcW w:w="651" w:type="pct"/>
                  <w:noWrap/>
                  <w:vAlign w:val="center"/>
                </w:tcPr>
                <w:p w14:paraId="1A3E091C">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温度</w:t>
                  </w:r>
                  <w:r>
                    <w:rPr>
                      <w:rFonts w:hint="eastAsia" w:eastAsia="仿宋"/>
                      <w:b/>
                      <w:bCs/>
                      <w:color w:val="000000" w:themeColor="text1"/>
                      <w:szCs w:val="22"/>
                      <w14:textFill>
                        <w14:solidFill>
                          <w14:schemeClr w14:val="tx1"/>
                        </w14:solidFill>
                      </w14:textFill>
                    </w:rPr>
                    <w:t>(℃)</w:t>
                  </w:r>
                </w:p>
              </w:tc>
              <w:tc>
                <w:tcPr>
                  <w:tcW w:w="734" w:type="pct"/>
                  <w:noWrap/>
                  <w:vAlign w:val="center"/>
                </w:tcPr>
                <w:p w14:paraId="58F046E5">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流速</w:t>
                  </w:r>
                  <w:r>
                    <w:rPr>
                      <w:rFonts w:hint="eastAsia" w:eastAsia="仿宋"/>
                      <w:b/>
                      <w:bCs/>
                      <w:color w:val="000000" w:themeColor="text1"/>
                      <w:szCs w:val="22"/>
                      <w14:textFill>
                        <w14:solidFill>
                          <w14:schemeClr w14:val="tx1"/>
                        </w14:solidFill>
                      </w14:textFill>
                    </w:rPr>
                    <w:t>（m</w:t>
                  </w:r>
                  <w:r>
                    <w:rPr>
                      <w:rFonts w:eastAsia="仿宋"/>
                      <w:b/>
                      <w:bCs/>
                      <w:color w:val="000000" w:themeColor="text1"/>
                      <w:szCs w:val="22"/>
                      <w14:textFill>
                        <w14:solidFill>
                          <w14:schemeClr w14:val="tx1"/>
                        </w14:solidFill>
                      </w14:textFill>
                    </w:rPr>
                    <w:t>/s</w:t>
                  </w:r>
                  <w:r>
                    <w:rPr>
                      <w:rFonts w:hint="eastAsia" w:eastAsia="仿宋"/>
                      <w:b/>
                      <w:bCs/>
                      <w:color w:val="000000" w:themeColor="text1"/>
                      <w:szCs w:val="22"/>
                      <w14:textFill>
                        <w14:solidFill>
                          <w14:schemeClr w14:val="tx1"/>
                        </w14:solidFill>
                      </w14:textFill>
                    </w:rPr>
                    <w:t>）</w:t>
                  </w:r>
                </w:p>
              </w:tc>
              <w:tc>
                <w:tcPr>
                  <w:tcW w:w="913" w:type="pct"/>
                  <w:vMerge w:val="continue"/>
                  <w:noWrap/>
                  <w:vAlign w:val="center"/>
                </w:tcPr>
                <w:p w14:paraId="14DCA339">
                  <w:pPr>
                    <w:autoSpaceDE w:val="0"/>
                    <w:autoSpaceDN w:val="0"/>
                    <w:snapToGrid w:val="0"/>
                    <w:jc w:val="center"/>
                    <w:rPr>
                      <w:rFonts w:eastAsia="仿宋"/>
                      <w:color w:val="000000" w:themeColor="text1"/>
                      <w:szCs w:val="22"/>
                      <w14:textFill>
                        <w14:solidFill>
                          <w14:schemeClr w14:val="tx1"/>
                        </w14:solidFill>
                      </w14:textFill>
                    </w:rPr>
                  </w:pPr>
                </w:p>
              </w:tc>
            </w:tr>
            <w:tr w14:paraId="4A497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77" w:type="pct"/>
                  <w:vAlign w:val="center"/>
                </w:tcPr>
                <w:p w14:paraId="7E63DD48">
                  <w:pPr>
                    <w:autoSpaceDE w:val="0"/>
                    <w:autoSpaceDN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1</w:t>
                  </w:r>
                  <w:r>
                    <w:rPr>
                      <w:rFonts w:eastAsia="仿宋"/>
                      <w:color w:val="000000" w:themeColor="text1"/>
                      <w:szCs w:val="22"/>
                      <w14:textFill>
                        <w14:solidFill>
                          <w14:schemeClr w14:val="tx1"/>
                        </w14:solidFill>
                      </w14:textFill>
                    </w:rPr>
                    <w:t>#排气筒</w:t>
                  </w:r>
                </w:p>
              </w:tc>
              <w:tc>
                <w:tcPr>
                  <w:tcW w:w="801" w:type="pct"/>
                  <w:noWrap/>
                  <w:vAlign w:val="center"/>
                </w:tcPr>
                <w:p w14:paraId="582D146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4000</w:t>
                  </w:r>
                </w:p>
              </w:tc>
              <w:tc>
                <w:tcPr>
                  <w:tcW w:w="674" w:type="pct"/>
                  <w:noWrap/>
                  <w:vAlign w:val="center"/>
                </w:tcPr>
                <w:p w14:paraId="5474C05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28</w:t>
                  </w:r>
                </w:p>
              </w:tc>
              <w:tc>
                <w:tcPr>
                  <w:tcW w:w="650" w:type="pct"/>
                  <w:noWrap/>
                  <w:vAlign w:val="center"/>
                </w:tcPr>
                <w:p w14:paraId="1E04567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0.35</w:t>
                  </w:r>
                </w:p>
              </w:tc>
              <w:tc>
                <w:tcPr>
                  <w:tcW w:w="651" w:type="pct"/>
                  <w:noWrap/>
                  <w:vAlign w:val="center"/>
                </w:tcPr>
                <w:p w14:paraId="2775492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25</w:t>
                  </w:r>
                </w:p>
              </w:tc>
              <w:tc>
                <w:tcPr>
                  <w:tcW w:w="734" w:type="pct"/>
                  <w:shd w:val="clear" w:color="auto" w:fill="auto"/>
                  <w:noWrap/>
                  <w:vAlign w:val="center"/>
                </w:tcPr>
                <w:p w14:paraId="5983382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11.55</w:t>
                  </w:r>
                </w:p>
              </w:tc>
              <w:tc>
                <w:tcPr>
                  <w:tcW w:w="913" w:type="pct"/>
                  <w:noWrap/>
                  <w:vAlign w:val="center"/>
                </w:tcPr>
                <w:p w14:paraId="1A0EF13D">
                  <w:pPr>
                    <w:widowControl/>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非甲烷总烃</w:t>
                  </w:r>
                  <w:r>
                    <w:rPr>
                      <w:rFonts w:hint="eastAsia" w:eastAsia="仿宋"/>
                      <w:color w:val="000000" w:themeColor="text1"/>
                      <w:szCs w:val="22"/>
                      <w14:textFill>
                        <w14:solidFill>
                          <w14:schemeClr w14:val="tx1"/>
                        </w14:solidFill>
                      </w14:textFill>
                    </w:rPr>
                    <w:t>、甲醇</w:t>
                  </w:r>
                </w:p>
              </w:tc>
            </w:tr>
            <w:tr w14:paraId="72E7D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77" w:type="pct"/>
                  <w:vAlign w:val="center"/>
                </w:tcPr>
                <w:p w14:paraId="7E8C5D07">
                  <w:pPr>
                    <w:autoSpaceDE w:val="0"/>
                    <w:autoSpaceDN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2</w:t>
                  </w:r>
                  <w:r>
                    <w:rPr>
                      <w:rFonts w:eastAsia="仿宋"/>
                      <w:color w:val="000000" w:themeColor="text1"/>
                      <w:szCs w:val="22"/>
                      <w14:textFill>
                        <w14:solidFill>
                          <w14:schemeClr w14:val="tx1"/>
                        </w14:solidFill>
                      </w14:textFill>
                    </w:rPr>
                    <w:t>#</w:t>
                  </w:r>
                  <w:r>
                    <w:rPr>
                      <w:rFonts w:hint="eastAsia" w:eastAsia="仿宋"/>
                      <w:color w:val="000000" w:themeColor="text1"/>
                      <w:szCs w:val="22"/>
                      <w14:textFill>
                        <w14:solidFill>
                          <w14:schemeClr w14:val="tx1"/>
                        </w14:solidFill>
                      </w14:textFill>
                    </w:rPr>
                    <w:t>排气筒</w:t>
                  </w:r>
                </w:p>
              </w:tc>
              <w:tc>
                <w:tcPr>
                  <w:tcW w:w="801" w:type="pct"/>
                  <w:noWrap/>
                  <w:vAlign w:val="center"/>
                </w:tcPr>
                <w:p w14:paraId="69D9CF6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2803</w:t>
                  </w:r>
                </w:p>
              </w:tc>
              <w:tc>
                <w:tcPr>
                  <w:tcW w:w="674" w:type="pct"/>
                  <w:noWrap/>
                  <w:vAlign w:val="center"/>
                </w:tcPr>
                <w:p w14:paraId="63F57D33">
                  <w:pPr>
                    <w:autoSpaceDE w:val="0"/>
                    <w:autoSpaceDN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2</w:t>
                  </w:r>
                  <w:r>
                    <w:rPr>
                      <w:rFonts w:eastAsia="仿宋"/>
                      <w:color w:val="000000" w:themeColor="text1"/>
                      <w:szCs w:val="22"/>
                      <w14:textFill>
                        <w14:solidFill>
                          <w14:schemeClr w14:val="tx1"/>
                        </w14:solidFill>
                      </w14:textFill>
                    </w:rPr>
                    <w:t>8</w:t>
                  </w:r>
                </w:p>
              </w:tc>
              <w:tc>
                <w:tcPr>
                  <w:tcW w:w="650" w:type="pct"/>
                  <w:noWrap/>
                  <w:vAlign w:val="center"/>
                </w:tcPr>
                <w:p w14:paraId="5BD0F9D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0.5</w:t>
                  </w:r>
                </w:p>
              </w:tc>
              <w:tc>
                <w:tcPr>
                  <w:tcW w:w="651" w:type="pct"/>
                  <w:noWrap/>
                  <w:vAlign w:val="center"/>
                </w:tcPr>
                <w:p w14:paraId="7B0ED2E0">
                  <w:pPr>
                    <w:autoSpaceDE w:val="0"/>
                    <w:autoSpaceDN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＜60</w:t>
                  </w:r>
                </w:p>
              </w:tc>
              <w:tc>
                <w:tcPr>
                  <w:tcW w:w="734" w:type="pct"/>
                  <w:shd w:val="clear" w:color="auto" w:fill="auto"/>
                  <w:noWrap/>
                  <w:vAlign w:val="center"/>
                </w:tcPr>
                <w:p w14:paraId="02BCC6A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3.97</w:t>
                  </w:r>
                </w:p>
              </w:tc>
              <w:tc>
                <w:tcPr>
                  <w:tcW w:w="913" w:type="pct"/>
                  <w:noWrap/>
                  <w:vAlign w:val="center"/>
                </w:tcPr>
                <w:p w14:paraId="1F1E9286">
                  <w:pPr>
                    <w:widowControl/>
                    <w:autoSpaceDE w:val="0"/>
                    <w:autoSpaceDN w:val="0"/>
                    <w:snapToGrid w:val="0"/>
                    <w:jc w:val="center"/>
                    <w:rPr>
                      <w:rFonts w:eastAsia="仿宋"/>
                      <w:color w:val="000000" w:themeColor="text1"/>
                      <w:szCs w:val="22"/>
                      <w14:textFill>
                        <w14:solidFill>
                          <w14:schemeClr w14:val="tx1"/>
                        </w14:solidFill>
                      </w14:textFill>
                    </w:rPr>
                  </w:pPr>
                  <w:bookmarkStart w:id="37" w:name="OLE_LINK4"/>
                  <w:r>
                    <w:rPr>
                      <w:rFonts w:hint="eastAsia" w:eastAsia="仿宋"/>
                      <w:color w:val="000000" w:themeColor="text1"/>
                      <w:szCs w:val="22"/>
                      <w14:textFill>
                        <w14:solidFill>
                          <w14:schemeClr w14:val="tx1"/>
                        </w14:solidFill>
                      </w14:textFill>
                    </w:rPr>
                    <w:t>氮氧化物</w:t>
                  </w:r>
                  <w:bookmarkEnd w:id="37"/>
                  <w:r>
                    <w:rPr>
                      <w:rFonts w:hint="eastAsia" w:eastAsia="仿宋"/>
                      <w:color w:val="000000" w:themeColor="text1"/>
                      <w:szCs w:val="22"/>
                      <w14:textFill>
                        <w14:solidFill>
                          <w14:schemeClr w14:val="tx1"/>
                        </w14:solidFill>
                      </w14:textFill>
                    </w:rPr>
                    <w:t>、二氧化硫、颗粒物</w:t>
                  </w:r>
                </w:p>
              </w:tc>
            </w:tr>
          </w:tbl>
          <w:p w14:paraId="3075EA0C">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参照《大气污染治理工程技术导则》（HJ2000-2010），本项目排气筒流速均在合理范围内，本项目工艺设计时已考虑到自身的特点，排放同类污染物的排气筒已尽量合并，因此本项目排气筒设置合理。</w:t>
            </w:r>
          </w:p>
          <w:p w14:paraId="36A0AE45">
            <w:pPr>
              <w:spacing w:line="480" w:lineRule="exact"/>
              <w:ind w:firstLine="480" w:firstLineChars="200"/>
              <w:rPr>
                <w:rFonts w:eastAsia="仿宋"/>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本项目各工艺废气经处理后浓度及速率均满足相关标准，污染物能够很好扩散，对周围环境影响较小，符合国家的相关要求；本项目</w:t>
            </w:r>
            <w:r>
              <w:rPr>
                <w:rFonts w:hint="eastAsia" w:eastAsia="仿宋"/>
                <w:bCs/>
                <w:color w:val="000000" w:themeColor="text1"/>
                <w:sz w:val="24"/>
                <w14:textFill>
                  <w14:solidFill>
                    <w14:schemeClr w14:val="tx1"/>
                  </w14:solidFill>
                </w14:textFill>
              </w:rPr>
              <w:t>新增的</w:t>
            </w:r>
            <w:r>
              <w:rPr>
                <w:rFonts w:eastAsia="仿宋"/>
                <w:bCs/>
                <w:color w:val="000000" w:themeColor="text1"/>
                <w:sz w:val="24"/>
                <w14:textFill>
                  <w14:solidFill>
                    <w14:schemeClr w14:val="tx1"/>
                  </w14:solidFill>
                </w14:textFill>
              </w:rPr>
              <w:t>2</w:t>
            </w:r>
            <w:r>
              <w:rPr>
                <w:rFonts w:hint="eastAsia" w:eastAsia="仿宋"/>
                <w:bCs/>
                <w:color w:val="000000" w:themeColor="text1"/>
                <w:sz w:val="24"/>
                <w14:textFill>
                  <w14:solidFill>
                    <w14:schemeClr w14:val="tx1"/>
                  </w14:solidFill>
                </w14:textFill>
              </w:rPr>
              <w:t>根排气筒高度均为2</w:t>
            </w:r>
            <w:r>
              <w:rPr>
                <w:rFonts w:eastAsia="仿宋"/>
                <w:bCs/>
                <w:color w:val="000000" w:themeColor="text1"/>
                <w:sz w:val="24"/>
                <w14:textFill>
                  <w14:solidFill>
                    <w14:schemeClr w14:val="tx1"/>
                  </w14:solidFill>
                </w14:textFill>
              </w:rPr>
              <w:t>8</w:t>
            </w:r>
            <w:r>
              <w:rPr>
                <w:rFonts w:hint="eastAsia" w:eastAsia="仿宋"/>
                <w:bCs/>
                <w:color w:val="000000" w:themeColor="text1"/>
                <w:sz w:val="24"/>
                <w14:textFill>
                  <w14:solidFill>
                    <w14:schemeClr w14:val="tx1"/>
                  </w14:solidFill>
                </w14:textFill>
              </w:rPr>
              <w:t>米，</w:t>
            </w:r>
            <w:r>
              <w:rPr>
                <w:rFonts w:eastAsia="仿宋"/>
                <w:bCs/>
                <w:color w:val="000000" w:themeColor="text1"/>
                <w:sz w:val="24"/>
                <w14:textFill>
                  <w14:solidFill>
                    <w14:schemeClr w14:val="tx1"/>
                  </w14:solidFill>
                </w14:textFill>
              </w:rPr>
              <w:t>排气筒高度设置合理可行。</w:t>
            </w:r>
          </w:p>
          <w:p w14:paraId="657B8160">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综上所述，本项目排气筒的数量及排气筒高度的设置是合理的。</w:t>
            </w:r>
          </w:p>
        </w:tc>
      </w:tr>
    </w:tbl>
    <w:p w14:paraId="1D54EEAF">
      <w:pPr>
        <w:adjustRightInd w:val="0"/>
        <w:snapToGrid w:val="0"/>
        <w:jc w:val="center"/>
        <w:rPr>
          <w:rFonts w:eastAsia="仿宋"/>
          <w:bCs/>
          <w:color w:val="000000" w:themeColor="text1"/>
          <w:sz w:val="24"/>
          <w14:textFill>
            <w14:solidFill>
              <w14:schemeClr w14:val="tx1"/>
            </w14:solidFill>
          </w14:textFill>
        </w:rPr>
        <w:sectPr>
          <w:pgSz w:w="11906" w:h="16838"/>
          <w:pgMar w:top="1701" w:right="1531" w:bottom="1701" w:left="1531" w:header="851" w:footer="851" w:gutter="0"/>
          <w:cols w:space="720" w:num="1"/>
          <w:docGrid w:linePitch="312" w:charSpace="0"/>
        </w:sectPr>
      </w:pPr>
    </w:p>
    <w:tbl>
      <w:tblPr>
        <w:tblStyle w:val="24"/>
        <w:tblW w:w="14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3750"/>
      </w:tblGrid>
      <w:tr w14:paraId="2D887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5E557DB9">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运营期环境影响和保护措施</w:t>
            </w:r>
          </w:p>
        </w:tc>
        <w:tc>
          <w:tcPr>
            <w:tcW w:w="13750" w:type="dxa"/>
          </w:tcPr>
          <w:p w14:paraId="10C50D5C">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（4）排放情况</w:t>
            </w:r>
          </w:p>
          <w:p w14:paraId="729E2C27">
            <w:pPr>
              <w:spacing w:line="480" w:lineRule="exact"/>
              <w:ind w:firstLine="480" w:firstLineChars="200"/>
              <w:rPr>
                <w:rFonts w:eastAsia="仿宋"/>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有组织废气</w:t>
            </w:r>
          </w:p>
          <w:p w14:paraId="3910DB0A">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本项目废气有组织排放情况见下表。</w:t>
            </w:r>
          </w:p>
          <w:p w14:paraId="56AFE6AC">
            <w:pPr>
              <w:pStyle w:val="7"/>
              <w:rPr>
                <w:color w:val="000000" w:themeColor="text1"/>
                <w14:textFill>
                  <w14:solidFill>
                    <w14:schemeClr w14:val="tx1"/>
                  </w14:solidFill>
                </w14:textFill>
              </w:rPr>
            </w:pPr>
            <w:r>
              <w:rPr>
                <w:rFonts w:hint="eastAsia"/>
                <w:color w:val="000000" w:themeColor="text1"/>
                <w14:textFill>
                  <w14:solidFill>
                    <w14:schemeClr w14:val="tx1"/>
                  </w14:solidFill>
                </w14:textFill>
              </w:rPr>
              <w:t>表4</w:t>
            </w:r>
            <w:r>
              <w:rPr>
                <w:color w:val="000000" w:themeColor="text1"/>
                <w14:textFill>
                  <w14:solidFill>
                    <w14:schemeClr w14:val="tx1"/>
                  </w14:solidFill>
                </w14:textFill>
              </w:rPr>
              <w:t>-10 本项目大气污染物</w:t>
            </w:r>
            <w:r>
              <w:rPr>
                <w:rFonts w:hint="eastAsia"/>
                <w:color w:val="000000" w:themeColor="text1"/>
                <w14:textFill>
                  <w14:solidFill>
                    <w14:schemeClr w14:val="tx1"/>
                  </w14:solidFill>
                </w14:textFill>
              </w:rPr>
              <w:t>产生及排放情况一览表</w:t>
            </w:r>
            <w:r>
              <w:rPr>
                <w:color w:val="000000" w:themeColor="text1"/>
                <w14:textFill>
                  <w14:solidFill>
                    <w14:schemeClr w14:val="tx1"/>
                  </w14:solidFill>
                </w14:textFill>
              </w:rPr>
              <w:t>（有组织）</w:t>
            </w:r>
          </w:p>
          <w:tbl>
            <w:tblPr>
              <w:tblStyle w:val="24"/>
              <w:tblpPr w:leftFromText="180" w:rightFromText="180" w:vertAnchor="text" w:horzAnchor="page" w:tblpXSpec="center" w:tblpY="63"/>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7"/>
              <w:gridCol w:w="966"/>
              <w:gridCol w:w="849"/>
              <w:gridCol w:w="947"/>
              <w:gridCol w:w="830"/>
              <w:gridCol w:w="844"/>
              <w:gridCol w:w="687"/>
              <w:gridCol w:w="687"/>
              <w:gridCol w:w="557"/>
              <w:gridCol w:w="828"/>
              <w:gridCol w:w="828"/>
              <w:gridCol w:w="752"/>
              <w:gridCol w:w="749"/>
              <w:gridCol w:w="619"/>
              <w:gridCol w:w="487"/>
              <w:gridCol w:w="584"/>
              <w:gridCol w:w="703"/>
              <w:gridCol w:w="554"/>
              <w:gridCol w:w="606"/>
            </w:tblGrid>
            <w:tr w14:paraId="5F200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2" w:hRule="atLeast"/>
                <w:jc w:val="center"/>
              </w:trPr>
              <w:tc>
                <w:tcPr>
                  <w:tcW w:w="165" w:type="pct"/>
                  <w:vMerge w:val="restart"/>
                  <w:vAlign w:val="center"/>
                </w:tcPr>
                <w:p w14:paraId="3D407B81">
                  <w:pPr>
                    <w:autoSpaceDE w:val="0"/>
                    <w:autoSpaceDN w:val="0"/>
                    <w:snapToGrid w:val="0"/>
                    <w:jc w:val="center"/>
                    <w:rPr>
                      <w:rFonts w:eastAsia="仿宋"/>
                      <w:b/>
                      <w:bCs/>
                      <w:color w:val="000000" w:themeColor="text1"/>
                      <w:szCs w:val="22"/>
                      <w14:textFill>
                        <w14:solidFill>
                          <w14:schemeClr w14:val="tx1"/>
                        </w14:solidFill>
                      </w14:textFill>
                    </w:rPr>
                  </w:pPr>
                  <w:bookmarkStart w:id="38" w:name="_Hlk109984811"/>
                  <w:r>
                    <w:rPr>
                      <w:rFonts w:hint="eastAsia" w:eastAsia="仿宋"/>
                      <w:b/>
                      <w:bCs/>
                      <w:color w:val="000000" w:themeColor="text1"/>
                      <w:szCs w:val="22"/>
                      <w14:textFill>
                        <w14:solidFill>
                          <w14:schemeClr w14:val="tx1"/>
                        </w14:solidFill>
                      </w14:textFill>
                    </w:rPr>
                    <w:t>排气筒编号</w:t>
                  </w:r>
                </w:p>
              </w:tc>
              <w:tc>
                <w:tcPr>
                  <w:tcW w:w="357" w:type="pct"/>
                  <w:vMerge w:val="restart"/>
                  <w:vAlign w:val="center"/>
                </w:tcPr>
                <w:p w14:paraId="6DCEC918">
                  <w:pPr>
                    <w:autoSpaceDE w:val="0"/>
                    <w:autoSpaceDN w:val="0"/>
                    <w:snapToGrid w:val="0"/>
                    <w:jc w:val="center"/>
                    <w:rPr>
                      <w:rFonts w:eastAsia="仿宋"/>
                      <w:b/>
                      <w:bCs/>
                      <w:color w:val="000000" w:themeColor="text1"/>
                      <w:szCs w:val="22"/>
                      <w14:textFill>
                        <w14:solidFill>
                          <w14:schemeClr w14:val="tx1"/>
                        </w14:solidFill>
                      </w14:textFill>
                    </w:rPr>
                  </w:pPr>
                  <w:r>
                    <w:rPr>
                      <w:rFonts w:hint="eastAsia" w:eastAsia="仿宋"/>
                      <w:b/>
                      <w:bCs/>
                      <w:color w:val="000000" w:themeColor="text1"/>
                      <w:szCs w:val="22"/>
                      <w14:textFill>
                        <w14:solidFill>
                          <w14:schemeClr w14:val="tx1"/>
                        </w14:solidFill>
                      </w14:textFill>
                    </w:rPr>
                    <w:t>污染源及编号</w:t>
                  </w:r>
                </w:p>
              </w:tc>
              <w:tc>
                <w:tcPr>
                  <w:tcW w:w="314" w:type="pct"/>
                  <w:vMerge w:val="restart"/>
                  <w:vAlign w:val="center"/>
                </w:tcPr>
                <w:p w14:paraId="310597A1">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排气量</w:t>
                  </w:r>
                  <w:r>
                    <w:rPr>
                      <w:rFonts w:hint="eastAsia" w:eastAsia="仿宋"/>
                      <w:b/>
                      <w:bCs/>
                      <w:color w:val="000000" w:themeColor="text1"/>
                      <w:szCs w:val="22"/>
                      <w14:textFill>
                        <w14:solidFill>
                          <w14:schemeClr w14:val="tx1"/>
                        </w14:solidFill>
                      </w14:textFill>
                    </w:rPr>
                    <w:t>（m</w:t>
                  </w:r>
                  <w:r>
                    <w:rPr>
                      <w:rFonts w:hint="eastAsia" w:eastAsia="仿宋"/>
                      <w:b/>
                      <w:bCs/>
                      <w:color w:val="000000" w:themeColor="text1"/>
                      <w:szCs w:val="22"/>
                      <w:vertAlign w:val="superscript"/>
                      <w14:textFill>
                        <w14:solidFill>
                          <w14:schemeClr w14:val="tx1"/>
                        </w14:solidFill>
                      </w14:textFill>
                    </w:rPr>
                    <w:t>3</w:t>
                  </w:r>
                  <w:r>
                    <w:rPr>
                      <w:rFonts w:hint="eastAsia" w:eastAsia="仿宋"/>
                      <w:b/>
                      <w:bCs/>
                      <w:color w:val="000000" w:themeColor="text1"/>
                      <w:szCs w:val="22"/>
                      <w14:textFill>
                        <w14:solidFill>
                          <w14:schemeClr w14:val="tx1"/>
                        </w14:solidFill>
                      </w14:textFill>
                    </w:rPr>
                    <w:t>/h）</w:t>
                  </w:r>
                </w:p>
              </w:tc>
              <w:tc>
                <w:tcPr>
                  <w:tcW w:w="969" w:type="pct"/>
                  <w:gridSpan w:val="3"/>
                  <w:vAlign w:val="center"/>
                </w:tcPr>
                <w:p w14:paraId="3E96C358">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产生状况</w:t>
                  </w:r>
                </w:p>
              </w:tc>
              <w:tc>
                <w:tcPr>
                  <w:tcW w:w="254" w:type="pct"/>
                  <w:vMerge w:val="restart"/>
                  <w:vAlign w:val="center"/>
                </w:tcPr>
                <w:p w14:paraId="4169CA11">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拟采取措施</w:t>
                  </w:r>
                </w:p>
              </w:tc>
              <w:tc>
                <w:tcPr>
                  <w:tcW w:w="254" w:type="pct"/>
                  <w:vMerge w:val="restart"/>
                  <w:vAlign w:val="center"/>
                </w:tcPr>
                <w:p w14:paraId="1279D594">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污染物名称</w:t>
                  </w:r>
                </w:p>
              </w:tc>
              <w:tc>
                <w:tcPr>
                  <w:tcW w:w="206" w:type="pct"/>
                  <w:vMerge w:val="restart"/>
                  <w:vAlign w:val="center"/>
                </w:tcPr>
                <w:p w14:paraId="67035BB7">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去除效率</w:t>
                  </w:r>
                </w:p>
                <w:p w14:paraId="06E26A3A">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w:t>
                  </w:r>
                </w:p>
              </w:tc>
              <w:tc>
                <w:tcPr>
                  <w:tcW w:w="890" w:type="pct"/>
                  <w:gridSpan w:val="3"/>
                  <w:vAlign w:val="center"/>
                </w:tcPr>
                <w:p w14:paraId="3711F861">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排放状况</w:t>
                  </w:r>
                </w:p>
              </w:tc>
              <w:tc>
                <w:tcPr>
                  <w:tcW w:w="506" w:type="pct"/>
                  <w:gridSpan w:val="2"/>
                  <w:vAlign w:val="center"/>
                </w:tcPr>
                <w:p w14:paraId="47727BC0">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执行标准</w:t>
                  </w:r>
                </w:p>
              </w:tc>
              <w:tc>
                <w:tcPr>
                  <w:tcW w:w="656" w:type="pct"/>
                  <w:gridSpan w:val="3"/>
                  <w:vAlign w:val="center"/>
                </w:tcPr>
                <w:p w14:paraId="0E025EC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排放源参数</w:t>
                  </w:r>
                </w:p>
              </w:tc>
              <w:tc>
                <w:tcPr>
                  <w:tcW w:w="205" w:type="pct"/>
                  <w:vMerge w:val="restart"/>
                  <w:vAlign w:val="center"/>
                </w:tcPr>
                <w:p w14:paraId="0BFAAC99">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排放</w:t>
                  </w:r>
                </w:p>
                <w:p w14:paraId="2ABC14D1">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方式</w:t>
                  </w:r>
                </w:p>
              </w:tc>
              <w:tc>
                <w:tcPr>
                  <w:tcW w:w="224" w:type="pct"/>
                  <w:vMerge w:val="restart"/>
                  <w:vAlign w:val="center"/>
                </w:tcPr>
                <w:p w14:paraId="0C77685A">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工作</w:t>
                  </w:r>
                </w:p>
                <w:p w14:paraId="5BEAF0AD">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时间</w:t>
                  </w:r>
                </w:p>
              </w:tc>
            </w:tr>
            <w:tr w14:paraId="54D6D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2" w:hRule="atLeast"/>
                <w:jc w:val="center"/>
              </w:trPr>
              <w:tc>
                <w:tcPr>
                  <w:tcW w:w="165" w:type="pct"/>
                  <w:vMerge w:val="continue"/>
                  <w:vAlign w:val="center"/>
                </w:tcPr>
                <w:p w14:paraId="6BDC865A">
                  <w:pPr>
                    <w:autoSpaceDE w:val="0"/>
                    <w:autoSpaceDN w:val="0"/>
                    <w:snapToGrid w:val="0"/>
                    <w:jc w:val="center"/>
                    <w:rPr>
                      <w:rFonts w:eastAsia="仿宋"/>
                      <w:b/>
                      <w:bCs/>
                      <w:color w:val="000000" w:themeColor="text1"/>
                      <w:szCs w:val="22"/>
                      <w14:textFill>
                        <w14:solidFill>
                          <w14:schemeClr w14:val="tx1"/>
                        </w14:solidFill>
                      </w14:textFill>
                    </w:rPr>
                  </w:pPr>
                </w:p>
              </w:tc>
              <w:tc>
                <w:tcPr>
                  <w:tcW w:w="357" w:type="pct"/>
                  <w:vMerge w:val="continue"/>
                  <w:vAlign w:val="center"/>
                </w:tcPr>
                <w:p w14:paraId="061B2030">
                  <w:pPr>
                    <w:autoSpaceDE w:val="0"/>
                    <w:autoSpaceDN w:val="0"/>
                    <w:snapToGrid w:val="0"/>
                    <w:jc w:val="center"/>
                    <w:rPr>
                      <w:rFonts w:eastAsia="仿宋"/>
                      <w:b/>
                      <w:bCs/>
                      <w:color w:val="000000" w:themeColor="text1"/>
                      <w:szCs w:val="22"/>
                      <w14:textFill>
                        <w14:solidFill>
                          <w14:schemeClr w14:val="tx1"/>
                        </w14:solidFill>
                      </w14:textFill>
                    </w:rPr>
                  </w:pPr>
                </w:p>
              </w:tc>
              <w:tc>
                <w:tcPr>
                  <w:tcW w:w="314" w:type="pct"/>
                  <w:vMerge w:val="continue"/>
                  <w:vAlign w:val="center"/>
                </w:tcPr>
                <w:p w14:paraId="59AE7DB8">
                  <w:pPr>
                    <w:autoSpaceDE w:val="0"/>
                    <w:autoSpaceDN w:val="0"/>
                    <w:snapToGrid w:val="0"/>
                    <w:jc w:val="center"/>
                    <w:rPr>
                      <w:rFonts w:eastAsia="仿宋"/>
                      <w:b/>
                      <w:bCs/>
                      <w:color w:val="000000" w:themeColor="text1"/>
                      <w:szCs w:val="22"/>
                      <w14:textFill>
                        <w14:solidFill>
                          <w14:schemeClr w14:val="tx1"/>
                        </w14:solidFill>
                      </w14:textFill>
                    </w:rPr>
                  </w:pPr>
                </w:p>
              </w:tc>
              <w:tc>
                <w:tcPr>
                  <w:tcW w:w="350" w:type="pct"/>
                  <w:vAlign w:val="center"/>
                </w:tcPr>
                <w:p w14:paraId="1619E319">
                  <w:pPr>
                    <w:autoSpaceDE w:val="0"/>
                    <w:autoSpaceDN w:val="0"/>
                    <w:snapToGrid w:val="0"/>
                    <w:jc w:val="center"/>
                    <w:rPr>
                      <w:rFonts w:eastAsia="仿宋"/>
                      <w:b/>
                      <w:bCs/>
                      <w:color w:val="000000" w:themeColor="text1"/>
                      <w:szCs w:val="22"/>
                      <w14:textFill>
                        <w14:solidFill>
                          <w14:schemeClr w14:val="tx1"/>
                        </w14:solidFill>
                      </w14:textFill>
                    </w:rPr>
                  </w:pPr>
                  <w:r>
                    <w:rPr>
                      <w:rFonts w:hint="eastAsia" w:eastAsia="仿宋"/>
                      <w:b/>
                      <w:bCs/>
                      <w:color w:val="000000" w:themeColor="text1"/>
                      <w:szCs w:val="22"/>
                      <w14:textFill>
                        <w14:solidFill>
                          <w14:schemeClr w14:val="tx1"/>
                        </w14:solidFill>
                      </w14:textFill>
                    </w:rPr>
                    <w:t>最大</w:t>
                  </w:r>
                  <w:r>
                    <w:rPr>
                      <w:rFonts w:eastAsia="仿宋"/>
                      <w:b/>
                      <w:bCs/>
                      <w:color w:val="000000" w:themeColor="text1"/>
                      <w:szCs w:val="22"/>
                      <w14:textFill>
                        <w14:solidFill>
                          <w14:schemeClr w14:val="tx1"/>
                        </w14:solidFill>
                      </w14:textFill>
                    </w:rPr>
                    <w:t>浓度mg/m</w:t>
                  </w:r>
                  <w:r>
                    <w:rPr>
                      <w:rFonts w:eastAsia="仿宋"/>
                      <w:b/>
                      <w:bCs/>
                      <w:color w:val="000000" w:themeColor="text1"/>
                      <w:szCs w:val="22"/>
                      <w:vertAlign w:val="superscript"/>
                      <w14:textFill>
                        <w14:solidFill>
                          <w14:schemeClr w14:val="tx1"/>
                        </w14:solidFill>
                      </w14:textFill>
                    </w:rPr>
                    <w:t>3</w:t>
                  </w:r>
                </w:p>
              </w:tc>
              <w:tc>
                <w:tcPr>
                  <w:tcW w:w="307" w:type="pct"/>
                  <w:vAlign w:val="center"/>
                </w:tcPr>
                <w:p w14:paraId="7A29F518">
                  <w:pPr>
                    <w:autoSpaceDE w:val="0"/>
                    <w:autoSpaceDN w:val="0"/>
                    <w:snapToGrid w:val="0"/>
                    <w:jc w:val="center"/>
                    <w:rPr>
                      <w:rFonts w:eastAsia="仿宋"/>
                      <w:b/>
                      <w:bCs/>
                      <w:color w:val="000000" w:themeColor="text1"/>
                      <w:szCs w:val="22"/>
                      <w14:textFill>
                        <w14:solidFill>
                          <w14:schemeClr w14:val="tx1"/>
                        </w14:solidFill>
                      </w14:textFill>
                    </w:rPr>
                  </w:pPr>
                  <w:r>
                    <w:rPr>
                      <w:rFonts w:hint="eastAsia" w:eastAsia="仿宋"/>
                      <w:b/>
                      <w:bCs/>
                      <w:color w:val="000000" w:themeColor="text1"/>
                      <w:szCs w:val="22"/>
                      <w14:textFill>
                        <w14:solidFill>
                          <w14:schemeClr w14:val="tx1"/>
                        </w14:solidFill>
                      </w14:textFill>
                    </w:rPr>
                    <w:t>最大产生</w:t>
                  </w:r>
                  <w:r>
                    <w:rPr>
                      <w:rFonts w:eastAsia="仿宋"/>
                      <w:b/>
                      <w:bCs/>
                      <w:color w:val="000000" w:themeColor="text1"/>
                      <w:szCs w:val="22"/>
                      <w14:textFill>
                        <w14:solidFill>
                          <w14:schemeClr w14:val="tx1"/>
                        </w14:solidFill>
                      </w14:textFill>
                    </w:rPr>
                    <w:t>kg/h</w:t>
                  </w:r>
                </w:p>
              </w:tc>
              <w:tc>
                <w:tcPr>
                  <w:tcW w:w="312" w:type="pct"/>
                  <w:vAlign w:val="center"/>
                </w:tcPr>
                <w:p w14:paraId="36AC90B5">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产生量t/a</w:t>
                  </w:r>
                </w:p>
              </w:tc>
              <w:tc>
                <w:tcPr>
                  <w:tcW w:w="254" w:type="pct"/>
                  <w:vMerge w:val="continue"/>
                  <w:vAlign w:val="center"/>
                </w:tcPr>
                <w:p w14:paraId="15383451">
                  <w:pPr>
                    <w:autoSpaceDE w:val="0"/>
                    <w:autoSpaceDN w:val="0"/>
                    <w:snapToGrid w:val="0"/>
                    <w:jc w:val="center"/>
                    <w:rPr>
                      <w:rFonts w:eastAsia="仿宋"/>
                      <w:b/>
                      <w:bCs/>
                      <w:color w:val="000000" w:themeColor="text1"/>
                      <w:szCs w:val="22"/>
                      <w14:textFill>
                        <w14:solidFill>
                          <w14:schemeClr w14:val="tx1"/>
                        </w14:solidFill>
                      </w14:textFill>
                    </w:rPr>
                  </w:pPr>
                </w:p>
              </w:tc>
              <w:tc>
                <w:tcPr>
                  <w:tcW w:w="254" w:type="pct"/>
                  <w:vMerge w:val="continue"/>
                  <w:vAlign w:val="center"/>
                </w:tcPr>
                <w:p w14:paraId="283BC29F">
                  <w:pPr>
                    <w:autoSpaceDE w:val="0"/>
                    <w:autoSpaceDN w:val="0"/>
                    <w:snapToGrid w:val="0"/>
                    <w:jc w:val="center"/>
                    <w:rPr>
                      <w:rFonts w:eastAsia="仿宋"/>
                      <w:b/>
                      <w:bCs/>
                      <w:color w:val="000000" w:themeColor="text1"/>
                      <w:szCs w:val="22"/>
                      <w14:textFill>
                        <w14:solidFill>
                          <w14:schemeClr w14:val="tx1"/>
                        </w14:solidFill>
                      </w14:textFill>
                    </w:rPr>
                  </w:pPr>
                </w:p>
              </w:tc>
              <w:tc>
                <w:tcPr>
                  <w:tcW w:w="206" w:type="pct"/>
                  <w:vMerge w:val="continue"/>
                  <w:vAlign w:val="center"/>
                </w:tcPr>
                <w:p w14:paraId="17A61446">
                  <w:pPr>
                    <w:autoSpaceDE w:val="0"/>
                    <w:autoSpaceDN w:val="0"/>
                    <w:snapToGrid w:val="0"/>
                    <w:jc w:val="center"/>
                    <w:rPr>
                      <w:rFonts w:eastAsia="仿宋"/>
                      <w:b/>
                      <w:bCs/>
                      <w:color w:val="000000" w:themeColor="text1"/>
                      <w:szCs w:val="22"/>
                      <w14:textFill>
                        <w14:solidFill>
                          <w14:schemeClr w14:val="tx1"/>
                        </w14:solidFill>
                      </w14:textFill>
                    </w:rPr>
                  </w:pPr>
                </w:p>
              </w:tc>
              <w:tc>
                <w:tcPr>
                  <w:tcW w:w="306" w:type="pct"/>
                  <w:vAlign w:val="center"/>
                </w:tcPr>
                <w:p w14:paraId="596471FB">
                  <w:pPr>
                    <w:autoSpaceDE w:val="0"/>
                    <w:autoSpaceDN w:val="0"/>
                    <w:snapToGrid w:val="0"/>
                    <w:jc w:val="center"/>
                    <w:rPr>
                      <w:rFonts w:eastAsia="仿宋"/>
                      <w:b/>
                      <w:bCs/>
                      <w:color w:val="000000" w:themeColor="text1"/>
                      <w:szCs w:val="22"/>
                      <w14:textFill>
                        <w14:solidFill>
                          <w14:schemeClr w14:val="tx1"/>
                        </w14:solidFill>
                      </w14:textFill>
                    </w:rPr>
                  </w:pPr>
                  <w:r>
                    <w:rPr>
                      <w:rFonts w:hint="eastAsia" w:eastAsia="仿宋"/>
                      <w:b/>
                      <w:bCs/>
                      <w:color w:val="000000" w:themeColor="text1"/>
                      <w:szCs w:val="22"/>
                      <w14:textFill>
                        <w14:solidFill>
                          <w14:schemeClr w14:val="tx1"/>
                        </w14:solidFill>
                      </w14:textFill>
                    </w:rPr>
                    <w:t>最大</w:t>
                  </w:r>
                  <w:r>
                    <w:rPr>
                      <w:rFonts w:eastAsia="仿宋"/>
                      <w:b/>
                      <w:bCs/>
                      <w:color w:val="000000" w:themeColor="text1"/>
                      <w:szCs w:val="22"/>
                      <w14:textFill>
                        <w14:solidFill>
                          <w14:schemeClr w14:val="tx1"/>
                        </w14:solidFill>
                      </w14:textFill>
                    </w:rPr>
                    <w:t>浓度mg/m</w:t>
                  </w:r>
                  <w:r>
                    <w:rPr>
                      <w:rFonts w:eastAsia="仿宋"/>
                      <w:b/>
                      <w:bCs/>
                      <w:color w:val="000000" w:themeColor="text1"/>
                      <w:szCs w:val="22"/>
                      <w:vertAlign w:val="superscript"/>
                      <w14:textFill>
                        <w14:solidFill>
                          <w14:schemeClr w14:val="tx1"/>
                        </w14:solidFill>
                      </w14:textFill>
                    </w:rPr>
                    <w:t>3</w:t>
                  </w:r>
                </w:p>
              </w:tc>
              <w:tc>
                <w:tcPr>
                  <w:tcW w:w="306" w:type="pct"/>
                  <w:vAlign w:val="center"/>
                </w:tcPr>
                <w:p w14:paraId="7D759EFE">
                  <w:pPr>
                    <w:autoSpaceDE w:val="0"/>
                    <w:autoSpaceDN w:val="0"/>
                    <w:snapToGrid w:val="0"/>
                    <w:jc w:val="center"/>
                    <w:rPr>
                      <w:rFonts w:eastAsia="仿宋"/>
                      <w:b/>
                      <w:bCs/>
                      <w:color w:val="000000" w:themeColor="text1"/>
                      <w:szCs w:val="22"/>
                      <w14:textFill>
                        <w14:solidFill>
                          <w14:schemeClr w14:val="tx1"/>
                        </w14:solidFill>
                      </w14:textFill>
                    </w:rPr>
                  </w:pPr>
                  <w:r>
                    <w:rPr>
                      <w:rFonts w:hint="eastAsia" w:eastAsia="仿宋"/>
                      <w:b/>
                      <w:bCs/>
                      <w:color w:val="000000" w:themeColor="text1"/>
                      <w:szCs w:val="22"/>
                      <w14:textFill>
                        <w14:solidFill>
                          <w14:schemeClr w14:val="tx1"/>
                        </w14:solidFill>
                      </w14:textFill>
                    </w:rPr>
                    <w:t>最大</w:t>
                  </w:r>
                  <w:r>
                    <w:rPr>
                      <w:rFonts w:eastAsia="仿宋"/>
                      <w:b/>
                      <w:bCs/>
                      <w:color w:val="000000" w:themeColor="text1"/>
                      <w:szCs w:val="22"/>
                      <w14:textFill>
                        <w14:solidFill>
                          <w14:schemeClr w14:val="tx1"/>
                        </w14:solidFill>
                      </w14:textFill>
                    </w:rPr>
                    <w:t>速率kg/h</w:t>
                  </w:r>
                </w:p>
              </w:tc>
              <w:tc>
                <w:tcPr>
                  <w:tcW w:w="278" w:type="pct"/>
                  <w:vAlign w:val="center"/>
                </w:tcPr>
                <w:p w14:paraId="24617D4C">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排放量t/a</w:t>
                  </w:r>
                </w:p>
              </w:tc>
              <w:tc>
                <w:tcPr>
                  <w:tcW w:w="277" w:type="pct"/>
                  <w:vAlign w:val="center"/>
                </w:tcPr>
                <w:p w14:paraId="4B108C5F">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浓度mg/m</w:t>
                  </w:r>
                  <w:r>
                    <w:rPr>
                      <w:rFonts w:eastAsia="仿宋"/>
                      <w:b/>
                      <w:bCs/>
                      <w:color w:val="000000" w:themeColor="text1"/>
                      <w:szCs w:val="22"/>
                      <w:vertAlign w:val="superscript"/>
                      <w14:textFill>
                        <w14:solidFill>
                          <w14:schemeClr w14:val="tx1"/>
                        </w14:solidFill>
                      </w14:textFill>
                    </w:rPr>
                    <w:t>3</w:t>
                  </w:r>
                </w:p>
              </w:tc>
              <w:tc>
                <w:tcPr>
                  <w:tcW w:w="229" w:type="pct"/>
                  <w:vAlign w:val="center"/>
                </w:tcPr>
                <w:p w14:paraId="54E60874">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速率kg/h</w:t>
                  </w:r>
                </w:p>
              </w:tc>
              <w:tc>
                <w:tcPr>
                  <w:tcW w:w="180" w:type="pct"/>
                  <w:vAlign w:val="center"/>
                </w:tcPr>
                <w:p w14:paraId="17DF3238">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排放</w:t>
                  </w:r>
                </w:p>
                <w:p w14:paraId="68964D48">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高度</w:t>
                  </w:r>
                </w:p>
                <w:p w14:paraId="691FB32C">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m</w:t>
                  </w:r>
                </w:p>
              </w:tc>
              <w:tc>
                <w:tcPr>
                  <w:tcW w:w="216" w:type="pct"/>
                  <w:vAlign w:val="center"/>
                </w:tcPr>
                <w:p w14:paraId="00298E08">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直径m</w:t>
                  </w:r>
                </w:p>
              </w:tc>
              <w:tc>
                <w:tcPr>
                  <w:tcW w:w="260" w:type="pct"/>
                  <w:vAlign w:val="center"/>
                </w:tcPr>
                <w:p w14:paraId="553A83B9">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烟气出</w:t>
                  </w:r>
                </w:p>
                <w:p w14:paraId="40DC409A">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口温度</w:t>
                  </w:r>
                </w:p>
                <w:p w14:paraId="5CA7277D">
                  <w:pPr>
                    <w:autoSpaceDE w:val="0"/>
                    <w:autoSpaceDN w:val="0"/>
                    <w:snapToGrid w:val="0"/>
                    <w:jc w:val="center"/>
                    <w:rPr>
                      <w:rFonts w:eastAsia="仿宋"/>
                      <w:b/>
                      <w:bCs/>
                      <w:color w:val="000000" w:themeColor="text1"/>
                      <w:szCs w:val="22"/>
                      <w14:textFill>
                        <w14:solidFill>
                          <w14:schemeClr w14:val="tx1"/>
                        </w14:solidFill>
                      </w14:textFill>
                    </w:rPr>
                  </w:pPr>
                  <w:r>
                    <w:rPr>
                      <w:rFonts w:hint="eastAsia" w:ascii="宋体" w:hAnsi="宋体" w:cs="宋体"/>
                      <w:b/>
                      <w:bCs/>
                      <w:color w:val="000000" w:themeColor="text1"/>
                      <w:szCs w:val="22"/>
                      <w14:textFill>
                        <w14:solidFill>
                          <w14:schemeClr w14:val="tx1"/>
                        </w14:solidFill>
                      </w14:textFill>
                    </w:rPr>
                    <w:t>℃</w:t>
                  </w:r>
                </w:p>
              </w:tc>
              <w:tc>
                <w:tcPr>
                  <w:tcW w:w="205" w:type="pct"/>
                  <w:vMerge w:val="continue"/>
                  <w:vAlign w:val="center"/>
                </w:tcPr>
                <w:p w14:paraId="13A2D48F">
                  <w:pPr>
                    <w:autoSpaceDE w:val="0"/>
                    <w:autoSpaceDN w:val="0"/>
                    <w:snapToGrid w:val="0"/>
                    <w:jc w:val="center"/>
                    <w:rPr>
                      <w:rFonts w:eastAsia="仿宋"/>
                      <w:color w:val="000000" w:themeColor="text1"/>
                      <w:szCs w:val="22"/>
                      <w14:textFill>
                        <w14:solidFill>
                          <w14:schemeClr w14:val="tx1"/>
                        </w14:solidFill>
                      </w14:textFill>
                    </w:rPr>
                  </w:pPr>
                </w:p>
              </w:tc>
              <w:tc>
                <w:tcPr>
                  <w:tcW w:w="224" w:type="pct"/>
                  <w:vMerge w:val="continue"/>
                  <w:vAlign w:val="center"/>
                </w:tcPr>
                <w:p w14:paraId="68C125DF">
                  <w:pPr>
                    <w:autoSpaceDE w:val="0"/>
                    <w:autoSpaceDN w:val="0"/>
                    <w:snapToGrid w:val="0"/>
                    <w:jc w:val="center"/>
                    <w:rPr>
                      <w:rFonts w:eastAsia="仿宋"/>
                      <w:color w:val="000000" w:themeColor="text1"/>
                      <w:szCs w:val="22"/>
                      <w14:textFill>
                        <w14:solidFill>
                          <w14:schemeClr w14:val="tx1"/>
                        </w14:solidFill>
                      </w14:textFill>
                    </w:rPr>
                  </w:pPr>
                </w:p>
              </w:tc>
            </w:tr>
            <w:tr w14:paraId="05ED2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165" w:type="pct"/>
                  <w:vMerge w:val="restart"/>
                  <w:vAlign w:val="center"/>
                </w:tcPr>
                <w:p w14:paraId="5115E3CD">
                  <w:pPr>
                    <w:autoSpaceDE w:val="0"/>
                    <w:autoSpaceDN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1#</w:t>
                  </w:r>
                </w:p>
              </w:tc>
              <w:tc>
                <w:tcPr>
                  <w:tcW w:w="357" w:type="pct"/>
                  <w:vMerge w:val="restart"/>
                  <w:vAlign w:val="center"/>
                </w:tcPr>
                <w:p w14:paraId="4FD0FFF2">
                  <w:pPr>
                    <w:autoSpaceDE w:val="0"/>
                    <w:autoSpaceDN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Q</w:t>
                  </w:r>
                  <w:r>
                    <w:rPr>
                      <w:rFonts w:eastAsia="仿宋"/>
                      <w:color w:val="000000" w:themeColor="text1"/>
                      <w:szCs w:val="22"/>
                      <w14:textFill>
                        <w14:solidFill>
                          <w14:schemeClr w14:val="tx1"/>
                        </w14:solidFill>
                      </w14:textFill>
                    </w:rPr>
                    <w:t>C</w:t>
                  </w:r>
                  <w:r>
                    <w:rPr>
                      <w:rFonts w:hint="eastAsia" w:eastAsia="仿宋"/>
                      <w:color w:val="000000" w:themeColor="text1"/>
                      <w:szCs w:val="22"/>
                      <w14:textFill>
                        <w14:solidFill>
                          <w14:schemeClr w14:val="tx1"/>
                        </w14:solidFill>
                      </w14:textFill>
                    </w:rPr>
                    <w:t>取样废气、Q</w:t>
                  </w:r>
                  <w:r>
                    <w:rPr>
                      <w:rFonts w:eastAsia="仿宋"/>
                      <w:color w:val="000000" w:themeColor="text1"/>
                      <w:szCs w:val="22"/>
                      <w14:textFill>
                        <w14:solidFill>
                          <w14:schemeClr w14:val="tx1"/>
                        </w14:solidFill>
                      </w14:textFill>
                    </w:rPr>
                    <w:t>C</w:t>
                  </w:r>
                  <w:r>
                    <w:rPr>
                      <w:rFonts w:hint="eastAsia" w:eastAsia="仿宋"/>
                      <w:color w:val="000000" w:themeColor="text1"/>
                      <w:szCs w:val="22"/>
                      <w14:textFill>
                        <w14:solidFill>
                          <w14:schemeClr w14:val="tx1"/>
                        </w14:solidFill>
                      </w14:textFill>
                    </w:rPr>
                    <w:t>检验废气、危险废物仓库</w:t>
                  </w:r>
                </w:p>
              </w:tc>
              <w:tc>
                <w:tcPr>
                  <w:tcW w:w="314" w:type="pct"/>
                  <w:vMerge w:val="restart"/>
                  <w:vAlign w:val="center"/>
                </w:tcPr>
                <w:p w14:paraId="1FF7C3E7">
                  <w:pPr>
                    <w:widowControl/>
                    <w:jc w:val="center"/>
                    <w:textAlignment w:val="center"/>
                    <w:rPr>
                      <w:rFonts w:eastAsia="仿宋"/>
                      <w:color w:val="000000" w:themeColor="text1"/>
                      <w:szCs w:val="22"/>
                      <w14:textFill>
                        <w14:solidFill>
                          <w14:schemeClr w14:val="tx1"/>
                        </w14:solidFill>
                      </w14:textFill>
                    </w:rPr>
                  </w:pPr>
                  <w:r>
                    <w:rPr>
                      <w:color w:val="000000" w:themeColor="text1"/>
                      <w:kern w:val="0"/>
                      <w:szCs w:val="21"/>
                      <w:lang w:bidi="ar"/>
                      <w14:textFill>
                        <w14:solidFill>
                          <w14:schemeClr w14:val="tx1"/>
                        </w14:solidFill>
                      </w14:textFill>
                    </w:rPr>
                    <w:t>4000</w:t>
                  </w:r>
                </w:p>
              </w:tc>
              <w:tc>
                <w:tcPr>
                  <w:tcW w:w="350" w:type="pct"/>
                  <w:tcBorders>
                    <w:top w:val="nil"/>
                    <w:left w:val="nil"/>
                    <w:bottom w:val="single" w:color="000000" w:sz="8" w:space="0"/>
                    <w:right w:val="single" w:color="000000" w:sz="8" w:space="0"/>
                  </w:tcBorders>
                  <w:shd w:val="clear" w:color="auto" w:fill="auto"/>
                  <w:vAlign w:val="center"/>
                </w:tcPr>
                <w:p w14:paraId="7F23385A">
                  <w:pPr>
                    <w:widowControl/>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11.11</w:t>
                  </w:r>
                </w:p>
              </w:tc>
              <w:tc>
                <w:tcPr>
                  <w:tcW w:w="307" w:type="pct"/>
                  <w:shd w:val="clear" w:color="auto" w:fill="auto"/>
                  <w:vAlign w:val="center"/>
                </w:tcPr>
                <w:p w14:paraId="0535C0D2">
                  <w:pPr>
                    <w:widowControl/>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0.03</w:t>
                  </w:r>
                </w:p>
              </w:tc>
              <w:tc>
                <w:tcPr>
                  <w:tcW w:w="312" w:type="pct"/>
                  <w:shd w:val="clear" w:color="auto" w:fill="auto"/>
                  <w:vAlign w:val="center"/>
                </w:tcPr>
                <w:p w14:paraId="7A32EFF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0.006</w:t>
                  </w:r>
                </w:p>
              </w:tc>
              <w:tc>
                <w:tcPr>
                  <w:tcW w:w="254" w:type="pct"/>
                  <w:vMerge w:val="restart"/>
                  <w:vAlign w:val="center"/>
                </w:tcPr>
                <w:p w14:paraId="0F2C88A3">
                  <w:pPr>
                    <w:widowControl/>
                    <w:jc w:val="center"/>
                    <w:textAlignment w:val="center"/>
                    <w:rPr>
                      <w:rFonts w:eastAsia="仿宋"/>
                      <w:color w:val="000000" w:themeColor="text1"/>
                      <w:szCs w:val="22"/>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两级活性炭吸附</w:t>
                  </w:r>
                </w:p>
              </w:tc>
              <w:tc>
                <w:tcPr>
                  <w:tcW w:w="254" w:type="pct"/>
                  <w:vAlign w:val="center"/>
                </w:tcPr>
                <w:p w14:paraId="3A8287CB">
                  <w:pPr>
                    <w:widowControl/>
                    <w:jc w:val="center"/>
                    <w:textAlignment w:val="center"/>
                    <w:rPr>
                      <w:rFonts w:eastAsia="仿宋"/>
                      <w:color w:val="000000" w:themeColor="text1"/>
                      <w:szCs w:val="22"/>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甲醇</w:t>
                  </w:r>
                </w:p>
              </w:tc>
              <w:tc>
                <w:tcPr>
                  <w:tcW w:w="206" w:type="pct"/>
                  <w:vAlign w:val="center"/>
                </w:tcPr>
                <w:p w14:paraId="3CA04186">
                  <w:pPr>
                    <w:widowControl/>
                    <w:jc w:val="center"/>
                    <w:textAlignment w:val="center"/>
                    <w:rPr>
                      <w:rFonts w:eastAsia="仿宋"/>
                      <w:color w:val="000000" w:themeColor="text1"/>
                      <w:szCs w:val="22"/>
                      <w14:textFill>
                        <w14:solidFill>
                          <w14:schemeClr w14:val="tx1"/>
                        </w14:solidFill>
                      </w14:textFill>
                    </w:rPr>
                  </w:pPr>
                  <w:r>
                    <w:rPr>
                      <w:color w:val="000000" w:themeColor="text1"/>
                      <w:kern w:val="0"/>
                      <w:szCs w:val="21"/>
                      <w:lang w:bidi="ar"/>
                      <w14:textFill>
                        <w14:solidFill>
                          <w14:schemeClr w14:val="tx1"/>
                        </w14:solidFill>
                      </w14:textFill>
                    </w:rPr>
                    <w:t>75</w:t>
                  </w:r>
                </w:p>
              </w:tc>
              <w:tc>
                <w:tcPr>
                  <w:tcW w:w="306" w:type="pct"/>
                  <w:vAlign w:val="center"/>
                </w:tcPr>
                <w:p w14:paraId="6AFE9628">
                  <w:pPr>
                    <w:jc w:val="center"/>
                    <w:rPr>
                      <w:color w:val="000000" w:themeColor="text1"/>
                      <w14:textFill>
                        <w14:solidFill>
                          <w14:schemeClr w14:val="tx1"/>
                        </w14:solidFill>
                      </w14:textFill>
                    </w:rPr>
                  </w:pPr>
                  <w:r>
                    <w:rPr>
                      <w:color w:val="000000" w:themeColor="text1"/>
                      <w14:textFill>
                        <w14:solidFill>
                          <w14:schemeClr w14:val="tx1"/>
                        </w14:solidFill>
                      </w14:textFill>
                    </w:rPr>
                    <w:t>2.5</w:t>
                  </w:r>
                </w:p>
              </w:tc>
              <w:tc>
                <w:tcPr>
                  <w:tcW w:w="306" w:type="pct"/>
                  <w:vAlign w:val="center"/>
                </w:tcPr>
                <w:p w14:paraId="43D36CA0">
                  <w:pPr>
                    <w:widowControl/>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0.01</w:t>
                  </w:r>
                </w:p>
              </w:tc>
              <w:tc>
                <w:tcPr>
                  <w:tcW w:w="278" w:type="pct"/>
                  <w:vAlign w:val="center"/>
                </w:tcPr>
                <w:p w14:paraId="20FB05C7">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0.002</w:t>
                  </w:r>
                </w:p>
              </w:tc>
              <w:tc>
                <w:tcPr>
                  <w:tcW w:w="277" w:type="pct"/>
                  <w:vAlign w:val="center"/>
                </w:tcPr>
                <w:p w14:paraId="591959FD">
                  <w:pPr>
                    <w:widowControl/>
                    <w:jc w:val="center"/>
                    <w:textAlignment w:val="center"/>
                    <w:rPr>
                      <w:rFonts w:eastAsia="仿宋"/>
                      <w:color w:val="000000" w:themeColor="text1"/>
                      <w:szCs w:val="22"/>
                      <w14:textFill>
                        <w14:solidFill>
                          <w14:schemeClr w14:val="tx1"/>
                        </w14:solidFill>
                      </w14:textFill>
                    </w:rPr>
                  </w:pPr>
                  <w:r>
                    <w:rPr>
                      <w:color w:val="000000" w:themeColor="text1"/>
                      <w:kern w:val="0"/>
                      <w:szCs w:val="21"/>
                      <w:lang w:bidi="ar"/>
                      <w14:textFill>
                        <w14:solidFill>
                          <w14:schemeClr w14:val="tx1"/>
                        </w14:solidFill>
                      </w14:textFill>
                    </w:rPr>
                    <w:t>50</w:t>
                  </w:r>
                </w:p>
              </w:tc>
              <w:tc>
                <w:tcPr>
                  <w:tcW w:w="229" w:type="pct"/>
                  <w:vAlign w:val="center"/>
                </w:tcPr>
                <w:p w14:paraId="3C9E2FAE">
                  <w:pPr>
                    <w:widowControl/>
                    <w:jc w:val="center"/>
                    <w:textAlignment w:val="center"/>
                    <w:rPr>
                      <w:rFonts w:eastAsia="仿宋"/>
                      <w:color w:val="000000" w:themeColor="text1"/>
                      <w:szCs w:val="22"/>
                      <w14:textFill>
                        <w14:solidFill>
                          <w14:schemeClr w14:val="tx1"/>
                        </w14:solidFill>
                      </w14:textFill>
                    </w:rPr>
                  </w:pPr>
                  <w:r>
                    <w:rPr>
                      <w:color w:val="000000" w:themeColor="text1"/>
                      <w:kern w:val="0"/>
                      <w:szCs w:val="21"/>
                      <w:lang w:bidi="ar"/>
                      <w14:textFill>
                        <w14:solidFill>
                          <w14:schemeClr w14:val="tx1"/>
                        </w14:solidFill>
                      </w14:textFill>
                    </w:rPr>
                    <w:t>1.5</w:t>
                  </w:r>
                </w:p>
              </w:tc>
              <w:tc>
                <w:tcPr>
                  <w:tcW w:w="180" w:type="pct"/>
                  <w:vMerge w:val="restart"/>
                  <w:vAlign w:val="center"/>
                </w:tcPr>
                <w:p w14:paraId="1B97E7D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28</w:t>
                  </w:r>
                </w:p>
              </w:tc>
              <w:tc>
                <w:tcPr>
                  <w:tcW w:w="216" w:type="pct"/>
                  <w:vMerge w:val="restart"/>
                  <w:vAlign w:val="center"/>
                </w:tcPr>
                <w:p w14:paraId="2DA64E2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0.35</w:t>
                  </w:r>
                </w:p>
              </w:tc>
              <w:tc>
                <w:tcPr>
                  <w:tcW w:w="260" w:type="pct"/>
                  <w:vMerge w:val="restart"/>
                  <w:vAlign w:val="center"/>
                </w:tcPr>
                <w:p w14:paraId="6011956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20</w:t>
                  </w:r>
                </w:p>
              </w:tc>
              <w:tc>
                <w:tcPr>
                  <w:tcW w:w="205" w:type="pct"/>
                  <w:vMerge w:val="restart"/>
                  <w:vAlign w:val="center"/>
                </w:tcPr>
                <w:p w14:paraId="1D9D325D">
                  <w:pPr>
                    <w:autoSpaceDE w:val="0"/>
                    <w:autoSpaceDN w:val="0"/>
                    <w:snapToGrid w:val="0"/>
                    <w:jc w:val="center"/>
                    <w:rPr>
                      <w:rFonts w:eastAsia="仿宋"/>
                      <w:color w:val="000000" w:themeColor="text1"/>
                      <w:szCs w:val="22"/>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间歇</w:t>
                  </w:r>
                </w:p>
              </w:tc>
              <w:tc>
                <w:tcPr>
                  <w:tcW w:w="224" w:type="pct"/>
                  <w:vMerge w:val="restart"/>
                  <w:vAlign w:val="center"/>
                </w:tcPr>
                <w:p w14:paraId="32A1D82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200h</w:t>
                  </w:r>
                </w:p>
              </w:tc>
            </w:tr>
            <w:tr w14:paraId="161EC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165" w:type="pct"/>
                  <w:vMerge w:val="continue"/>
                  <w:vAlign w:val="center"/>
                </w:tcPr>
                <w:p w14:paraId="7548279F">
                  <w:pPr>
                    <w:autoSpaceDE w:val="0"/>
                    <w:autoSpaceDN w:val="0"/>
                    <w:snapToGrid w:val="0"/>
                    <w:jc w:val="center"/>
                    <w:rPr>
                      <w:rFonts w:eastAsia="仿宋"/>
                      <w:color w:val="000000" w:themeColor="text1"/>
                      <w:szCs w:val="22"/>
                      <w14:textFill>
                        <w14:solidFill>
                          <w14:schemeClr w14:val="tx1"/>
                        </w14:solidFill>
                      </w14:textFill>
                    </w:rPr>
                  </w:pPr>
                </w:p>
              </w:tc>
              <w:tc>
                <w:tcPr>
                  <w:tcW w:w="357" w:type="pct"/>
                  <w:vMerge w:val="continue"/>
                  <w:vAlign w:val="center"/>
                </w:tcPr>
                <w:p w14:paraId="6C25034F">
                  <w:pPr>
                    <w:autoSpaceDE w:val="0"/>
                    <w:autoSpaceDN w:val="0"/>
                    <w:snapToGrid w:val="0"/>
                    <w:jc w:val="center"/>
                    <w:rPr>
                      <w:rFonts w:eastAsia="仿宋"/>
                      <w:color w:val="000000" w:themeColor="text1"/>
                      <w:szCs w:val="22"/>
                      <w14:textFill>
                        <w14:solidFill>
                          <w14:schemeClr w14:val="tx1"/>
                        </w14:solidFill>
                      </w14:textFill>
                    </w:rPr>
                  </w:pPr>
                </w:p>
              </w:tc>
              <w:tc>
                <w:tcPr>
                  <w:tcW w:w="314" w:type="pct"/>
                  <w:vMerge w:val="continue"/>
                  <w:vAlign w:val="center"/>
                </w:tcPr>
                <w:p w14:paraId="62FCD3F9">
                  <w:pPr>
                    <w:widowControl/>
                    <w:jc w:val="center"/>
                    <w:textAlignment w:val="center"/>
                    <w:rPr>
                      <w:color w:val="000000" w:themeColor="text1"/>
                      <w:kern w:val="0"/>
                      <w:szCs w:val="21"/>
                      <w:lang w:bidi="ar"/>
                      <w14:textFill>
                        <w14:solidFill>
                          <w14:schemeClr w14:val="tx1"/>
                        </w14:solidFill>
                      </w14:textFill>
                    </w:rPr>
                  </w:pPr>
                </w:p>
              </w:tc>
              <w:tc>
                <w:tcPr>
                  <w:tcW w:w="350" w:type="pct"/>
                  <w:tcBorders>
                    <w:top w:val="nil"/>
                    <w:left w:val="nil"/>
                    <w:bottom w:val="single" w:color="000000" w:sz="8" w:space="0"/>
                    <w:right w:val="single" w:color="000000" w:sz="8" w:space="0"/>
                  </w:tcBorders>
                  <w:shd w:val="clear" w:color="auto" w:fill="auto"/>
                  <w:vAlign w:val="center"/>
                </w:tcPr>
                <w:p w14:paraId="185CF56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27.78</w:t>
                  </w:r>
                </w:p>
              </w:tc>
              <w:tc>
                <w:tcPr>
                  <w:tcW w:w="307" w:type="pct"/>
                  <w:shd w:val="clear" w:color="auto" w:fill="auto"/>
                  <w:vAlign w:val="center"/>
                </w:tcPr>
                <w:p w14:paraId="413FA3F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0.075</w:t>
                  </w:r>
                </w:p>
              </w:tc>
              <w:tc>
                <w:tcPr>
                  <w:tcW w:w="312" w:type="pct"/>
                  <w:shd w:val="clear" w:color="auto" w:fill="auto"/>
                  <w:vAlign w:val="center"/>
                </w:tcPr>
                <w:p w14:paraId="41815CD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0.015</w:t>
                  </w:r>
                </w:p>
              </w:tc>
              <w:tc>
                <w:tcPr>
                  <w:tcW w:w="254" w:type="pct"/>
                  <w:vMerge w:val="continue"/>
                  <w:vAlign w:val="center"/>
                </w:tcPr>
                <w:p w14:paraId="1AD3B3D2">
                  <w:pPr>
                    <w:widowControl/>
                    <w:jc w:val="center"/>
                    <w:textAlignment w:val="center"/>
                    <w:rPr>
                      <w:rFonts w:ascii="仿宋" w:hAnsi="仿宋" w:eastAsia="仿宋" w:cs="仿宋"/>
                      <w:color w:val="000000" w:themeColor="text1"/>
                      <w:kern w:val="0"/>
                      <w:szCs w:val="21"/>
                      <w:lang w:bidi="ar"/>
                      <w14:textFill>
                        <w14:solidFill>
                          <w14:schemeClr w14:val="tx1"/>
                        </w14:solidFill>
                      </w14:textFill>
                    </w:rPr>
                  </w:pPr>
                </w:p>
              </w:tc>
              <w:tc>
                <w:tcPr>
                  <w:tcW w:w="254" w:type="pct"/>
                  <w:vAlign w:val="center"/>
                </w:tcPr>
                <w:p w14:paraId="46A6419A">
                  <w:pPr>
                    <w:widowControl/>
                    <w:jc w:val="center"/>
                    <w:textAlignment w:val="center"/>
                    <w:rPr>
                      <w:rFonts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非甲烷总烃</w:t>
                  </w:r>
                </w:p>
              </w:tc>
              <w:tc>
                <w:tcPr>
                  <w:tcW w:w="206" w:type="pct"/>
                  <w:vAlign w:val="center"/>
                </w:tcPr>
                <w:p w14:paraId="732F8144">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75</w:t>
                  </w:r>
                </w:p>
              </w:tc>
              <w:tc>
                <w:tcPr>
                  <w:tcW w:w="306" w:type="pct"/>
                  <w:vAlign w:val="center"/>
                </w:tcPr>
                <w:p w14:paraId="23A761A7">
                  <w:pPr>
                    <w:jc w:val="center"/>
                    <w:rPr>
                      <w:color w:val="000000" w:themeColor="text1"/>
                      <w14:textFill>
                        <w14:solidFill>
                          <w14:schemeClr w14:val="tx1"/>
                        </w14:solidFill>
                      </w14:textFill>
                    </w:rPr>
                  </w:pPr>
                  <w:r>
                    <w:rPr>
                      <w:color w:val="000000" w:themeColor="text1"/>
                      <w14:textFill>
                        <w14:solidFill>
                          <w14:schemeClr w14:val="tx1"/>
                        </w14:solidFill>
                      </w14:textFill>
                    </w:rPr>
                    <w:t>5</w:t>
                  </w:r>
                </w:p>
              </w:tc>
              <w:tc>
                <w:tcPr>
                  <w:tcW w:w="306" w:type="pct"/>
                  <w:vAlign w:val="center"/>
                </w:tcPr>
                <w:p w14:paraId="675A0FA5">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0.02</w:t>
                  </w:r>
                </w:p>
              </w:tc>
              <w:tc>
                <w:tcPr>
                  <w:tcW w:w="278" w:type="pct"/>
                  <w:vAlign w:val="center"/>
                </w:tcPr>
                <w:p w14:paraId="05171954">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0.004</w:t>
                  </w:r>
                </w:p>
              </w:tc>
              <w:tc>
                <w:tcPr>
                  <w:tcW w:w="277" w:type="pct"/>
                  <w:vAlign w:val="center"/>
                </w:tcPr>
                <w:p w14:paraId="6233685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6</w:t>
                  </w:r>
                  <w:r>
                    <w:rPr>
                      <w:color w:val="000000" w:themeColor="text1"/>
                      <w:kern w:val="0"/>
                      <w:szCs w:val="21"/>
                      <w:lang w:bidi="ar"/>
                      <w14:textFill>
                        <w14:solidFill>
                          <w14:schemeClr w14:val="tx1"/>
                        </w14:solidFill>
                      </w14:textFill>
                    </w:rPr>
                    <w:t>0</w:t>
                  </w:r>
                </w:p>
              </w:tc>
              <w:tc>
                <w:tcPr>
                  <w:tcW w:w="229" w:type="pct"/>
                  <w:vAlign w:val="center"/>
                </w:tcPr>
                <w:p w14:paraId="693757C7">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w:t>
                  </w:r>
                </w:p>
              </w:tc>
              <w:tc>
                <w:tcPr>
                  <w:tcW w:w="180" w:type="pct"/>
                  <w:vMerge w:val="continue"/>
                  <w:vAlign w:val="center"/>
                </w:tcPr>
                <w:p w14:paraId="0B2F5CA4">
                  <w:pPr>
                    <w:autoSpaceDE w:val="0"/>
                    <w:autoSpaceDN w:val="0"/>
                    <w:snapToGrid w:val="0"/>
                    <w:jc w:val="center"/>
                    <w:rPr>
                      <w:rFonts w:eastAsia="仿宋"/>
                      <w:color w:val="000000" w:themeColor="text1"/>
                      <w:szCs w:val="22"/>
                      <w14:textFill>
                        <w14:solidFill>
                          <w14:schemeClr w14:val="tx1"/>
                        </w14:solidFill>
                      </w14:textFill>
                    </w:rPr>
                  </w:pPr>
                </w:p>
              </w:tc>
              <w:tc>
                <w:tcPr>
                  <w:tcW w:w="216" w:type="pct"/>
                  <w:vMerge w:val="continue"/>
                  <w:vAlign w:val="center"/>
                </w:tcPr>
                <w:p w14:paraId="3301AFE8">
                  <w:pPr>
                    <w:autoSpaceDE w:val="0"/>
                    <w:autoSpaceDN w:val="0"/>
                    <w:snapToGrid w:val="0"/>
                    <w:jc w:val="center"/>
                    <w:rPr>
                      <w:rFonts w:eastAsia="仿宋"/>
                      <w:color w:val="000000" w:themeColor="text1"/>
                      <w:szCs w:val="22"/>
                      <w14:textFill>
                        <w14:solidFill>
                          <w14:schemeClr w14:val="tx1"/>
                        </w14:solidFill>
                      </w14:textFill>
                    </w:rPr>
                  </w:pPr>
                </w:p>
              </w:tc>
              <w:tc>
                <w:tcPr>
                  <w:tcW w:w="260" w:type="pct"/>
                  <w:vMerge w:val="continue"/>
                  <w:vAlign w:val="center"/>
                </w:tcPr>
                <w:p w14:paraId="62C63730">
                  <w:pPr>
                    <w:autoSpaceDE w:val="0"/>
                    <w:autoSpaceDN w:val="0"/>
                    <w:snapToGrid w:val="0"/>
                    <w:jc w:val="center"/>
                    <w:rPr>
                      <w:rFonts w:eastAsia="仿宋"/>
                      <w:color w:val="000000" w:themeColor="text1"/>
                      <w:szCs w:val="22"/>
                      <w14:textFill>
                        <w14:solidFill>
                          <w14:schemeClr w14:val="tx1"/>
                        </w14:solidFill>
                      </w14:textFill>
                    </w:rPr>
                  </w:pPr>
                </w:p>
              </w:tc>
              <w:tc>
                <w:tcPr>
                  <w:tcW w:w="205" w:type="pct"/>
                  <w:vMerge w:val="continue"/>
                  <w:vAlign w:val="center"/>
                </w:tcPr>
                <w:p w14:paraId="69401975">
                  <w:pPr>
                    <w:autoSpaceDE w:val="0"/>
                    <w:autoSpaceDN w:val="0"/>
                    <w:snapToGrid w:val="0"/>
                    <w:jc w:val="center"/>
                    <w:rPr>
                      <w:rFonts w:ascii="仿宋" w:hAnsi="仿宋" w:eastAsia="仿宋" w:cs="仿宋"/>
                      <w:color w:val="000000" w:themeColor="text1"/>
                      <w:kern w:val="0"/>
                      <w:szCs w:val="21"/>
                      <w:lang w:bidi="ar"/>
                      <w14:textFill>
                        <w14:solidFill>
                          <w14:schemeClr w14:val="tx1"/>
                        </w14:solidFill>
                      </w14:textFill>
                    </w:rPr>
                  </w:pPr>
                </w:p>
              </w:tc>
              <w:tc>
                <w:tcPr>
                  <w:tcW w:w="224" w:type="pct"/>
                  <w:vMerge w:val="continue"/>
                  <w:vAlign w:val="center"/>
                </w:tcPr>
                <w:p w14:paraId="5B1D825B">
                  <w:pPr>
                    <w:autoSpaceDE w:val="0"/>
                    <w:autoSpaceDN w:val="0"/>
                    <w:snapToGrid w:val="0"/>
                    <w:jc w:val="center"/>
                    <w:rPr>
                      <w:rFonts w:eastAsia="仿宋"/>
                      <w:color w:val="000000" w:themeColor="text1"/>
                      <w:szCs w:val="22"/>
                      <w14:textFill>
                        <w14:solidFill>
                          <w14:schemeClr w14:val="tx1"/>
                        </w14:solidFill>
                      </w14:textFill>
                    </w:rPr>
                  </w:pPr>
                </w:p>
              </w:tc>
            </w:tr>
            <w:tr w14:paraId="28E2F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165" w:type="pct"/>
                  <w:vMerge w:val="restart"/>
                  <w:vAlign w:val="center"/>
                </w:tcPr>
                <w:p w14:paraId="253BF66D">
                  <w:pPr>
                    <w:autoSpaceDE w:val="0"/>
                    <w:autoSpaceDN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2</w:t>
                  </w:r>
                  <w:r>
                    <w:rPr>
                      <w:rFonts w:eastAsia="仿宋"/>
                      <w:color w:val="000000" w:themeColor="text1"/>
                      <w:szCs w:val="22"/>
                      <w14:textFill>
                        <w14:solidFill>
                          <w14:schemeClr w14:val="tx1"/>
                        </w14:solidFill>
                      </w14:textFill>
                    </w:rPr>
                    <w:t>#</w:t>
                  </w:r>
                </w:p>
              </w:tc>
              <w:tc>
                <w:tcPr>
                  <w:tcW w:w="357" w:type="pct"/>
                  <w:vMerge w:val="restart"/>
                  <w:vAlign w:val="center"/>
                </w:tcPr>
                <w:p w14:paraId="08697B02">
                  <w:pPr>
                    <w:autoSpaceDE w:val="0"/>
                    <w:autoSpaceDN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天然气燃烧废气</w:t>
                  </w:r>
                </w:p>
              </w:tc>
              <w:tc>
                <w:tcPr>
                  <w:tcW w:w="314" w:type="pct"/>
                  <w:vMerge w:val="restart"/>
                  <w:vAlign w:val="center"/>
                </w:tcPr>
                <w:p w14:paraId="51A0B32C">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2803</w:t>
                  </w:r>
                </w:p>
              </w:tc>
              <w:tc>
                <w:tcPr>
                  <w:tcW w:w="350" w:type="pct"/>
                  <w:shd w:val="clear" w:color="auto" w:fill="auto"/>
                  <w:vAlign w:val="center"/>
                </w:tcPr>
                <w:p w14:paraId="1D0688B6">
                  <w:pPr>
                    <w:widowControl/>
                    <w:jc w:val="center"/>
                    <w:rPr>
                      <w:color w:val="000000" w:themeColor="text1"/>
                      <w:szCs w:val="21"/>
                      <w14:textFill>
                        <w14:solidFill>
                          <w14:schemeClr w14:val="tx1"/>
                        </w14:solidFill>
                      </w14:textFill>
                    </w:rPr>
                  </w:pPr>
                  <w:r>
                    <w:rPr>
                      <w:rFonts w:eastAsia="等线"/>
                      <w:color w:val="000000" w:themeColor="text1"/>
                      <w:kern w:val="0"/>
                      <w14:textFill>
                        <w14:solidFill>
                          <w14:schemeClr w14:val="tx1"/>
                        </w14:solidFill>
                      </w14:textFill>
                    </w:rPr>
                    <w:t>31.038</w:t>
                  </w:r>
                </w:p>
              </w:tc>
              <w:tc>
                <w:tcPr>
                  <w:tcW w:w="307" w:type="pct"/>
                  <w:shd w:val="clear" w:color="auto" w:fill="auto"/>
                  <w:vAlign w:val="center"/>
                </w:tcPr>
                <w:p w14:paraId="1EB76CE9">
                  <w:pPr>
                    <w:jc w:val="center"/>
                    <w:rPr>
                      <w:color w:val="000000" w:themeColor="text1"/>
                      <w:szCs w:val="21"/>
                      <w14:textFill>
                        <w14:solidFill>
                          <w14:schemeClr w14:val="tx1"/>
                        </w14:solidFill>
                      </w14:textFill>
                    </w:rPr>
                  </w:pPr>
                  <w:r>
                    <w:rPr>
                      <w:rFonts w:eastAsia="等线"/>
                      <w:color w:val="000000" w:themeColor="text1"/>
                      <w:kern w:val="0"/>
                      <w14:textFill>
                        <w14:solidFill>
                          <w14:schemeClr w14:val="tx1"/>
                        </w14:solidFill>
                      </w14:textFill>
                    </w:rPr>
                    <w:t>0.087</w:t>
                  </w:r>
                </w:p>
              </w:tc>
              <w:tc>
                <w:tcPr>
                  <w:tcW w:w="312" w:type="pct"/>
                  <w:shd w:val="clear" w:color="auto" w:fill="auto"/>
                  <w:vAlign w:val="center"/>
                </w:tcPr>
                <w:p w14:paraId="7DD9E25C">
                  <w:pPr>
                    <w:jc w:val="center"/>
                    <w:rPr>
                      <w:color w:val="000000" w:themeColor="text1"/>
                      <w:szCs w:val="21"/>
                      <w14:textFill>
                        <w14:solidFill>
                          <w14:schemeClr w14:val="tx1"/>
                        </w14:solidFill>
                      </w14:textFill>
                    </w:rPr>
                  </w:pPr>
                  <w:r>
                    <w:rPr>
                      <w:rFonts w:eastAsia="等线"/>
                      <w:color w:val="000000" w:themeColor="text1"/>
                      <w:kern w:val="0"/>
                      <w14:textFill>
                        <w14:solidFill>
                          <w14:schemeClr w14:val="tx1"/>
                        </w14:solidFill>
                      </w14:textFill>
                    </w:rPr>
                    <w:t>0.312</w:t>
                  </w:r>
                </w:p>
              </w:tc>
              <w:tc>
                <w:tcPr>
                  <w:tcW w:w="254" w:type="pct"/>
                  <w:vMerge w:val="restart"/>
                  <w:vAlign w:val="center"/>
                </w:tcPr>
                <w:p w14:paraId="2ACDDAB6">
                  <w:pPr>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w:t>
                  </w:r>
                </w:p>
              </w:tc>
              <w:tc>
                <w:tcPr>
                  <w:tcW w:w="254" w:type="pct"/>
                  <w:vAlign w:val="center"/>
                </w:tcPr>
                <w:p w14:paraId="364C3230">
                  <w:pPr>
                    <w:widowControl/>
                    <w:jc w:val="center"/>
                    <w:textAlignment w:val="center"/>
                    <w:rPr>
                      <w:rFonts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氮氧化物</w:t>
                  </w:r>
                </w:p>
              </w:tc>
              <w:tc>
                <w:tcPr>
                  <w:tcW w:w="206" w:type="pct"/>
                  <w:vMerge w:val="restart"/>
                  <w:vAlign w:val="center"/>
                </w:tcPr>
                <w:p w14:paraId="242E2C8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306" w:type="pct"/>
                  <w:vAlign w:val="center"/>
                </w:tcPr>
                <w:p w14:paraId="1A6E6599">
                  <w:pPr>
                    <w:widowControl/>
                    <w:jc w:val="center"/>
                    <w:rPr>
                      <w:color w:val="000000" w:themeColor="text1"/>
                      <w:szCs w:val="21"/>
                      <w14:textFill>
                        <w14:solidFill>
                          <w14:schemeClr w14:val="tx1"/>
                        </w14:solidFill>
                      </w14:textFill>
                    </w:rPr>
                  </w:pPr>
                  <w:r>
                    <w:rPr>
                      <w:rFonts w:eastAsia="等线"/>
                      <w:color w:val="000000" w:themeColor="text1"/>
                      <w:kern w:val="0"/>
                      <w14:textFill>
                        <w14:solidFill>
                          <w14:schemeClr w14:val="tx1"/>
                        </w14:solidFill>
                      </w14:textFill>
                    </w:rPr>
                    <w:t>31.038</w:t>
                  </w:r>
                </w:p>
              </w:tc>
              <w:tc>
                <w:tcPr>
                  <w:tcW w:w="306" w:type="pct"/>
                  <w:vAlign w:val="center"/>
                </w:tcPr>
                <w:p w14:paraId="183C676A">
                  <w:pPr>
                    <w:jc w:val="center"/>
                    <w:rPr>
                      <w:color w:val="000000" w:themeColor="text1"/>
                      <w:szCs w:val="21"/>
                      <w14:textFill>
                        <w14:solidFill>
                          <w14:schemeClr w14:val="tx1"/>
                        </w14:solidFill>
                      </w14:textFill>
                    </w:rPr>
                  </w:pPr>
                  <w:r>
                    <w:rPr>
                      <w:rFonts w:eastAsia="等线"/>
                      <w:color w:val="000000" w:themeColor="text1"/>
                      <w:kern w:val="0"/>
                      <w14:textFill>
                        <w14:solidFill>
                          <w14:schemeClr w14:val="tx1"/>
                        </w14:solidFill>
                      </w14:textFill>
                    </w:rPr>
                    <w:t>0.087</w:t>
                  </w:r>
                </w:p>
              </w:tc>
              <w:tc>
                <w:tcPr>
                  <w:tcW w:w="278" w:type="pct"/>
                  <w:vAlign w:val="center"/>
                </w:tcPr>
                <w:p w14:paraId="60581643">
                  <w:pPr>
                    <w:jc w:val="center"/>
                    <w:rPr>
                      <w:color w:val="000000" w:themeColor="text1"/>
                      <w:szCs w:val="21"/>
                      <w14:textFill>
                        <w14:solidFill>
                          <w14:schemeClr w14:val="tx1"/>
                        </w14:solidFill>
                      </w14:textFill>
                    </w:rPr>
                  </w:pPr>
                  <w:r>
                    <w:rPr>
                      <w:rFonts w:eastAsia="等线"/>
                      <w:color w:val="000000" w:themeColor="text1"/>
                      <w:kern w:val="0"/>
                      <w14:textFill>
                        <w14:solidFill>
                          <w14:schemeClr w14:val="tx1"/>
                        </w14:solidFill>
                      </w14:textFill>
                    </w:rPr>
                    <w:t>0.312</w:t>
                  </w:r>
                </w:p>
              </w:tc>
              <w:tc>
                <w:tcPr>
                  <w:tcW w:w="277" w:type="pct"/>
                  <w:vAlign w:val="center"/>
                </w:tcPr>
                <w:p w14:paraId="2E5AF07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5</w:t>
                  </w:r>
                  <w:r>
                    <w:rPr>
                      <w:color w:val="000000" w:themeColor="text1"/>
                      <w:kern w:val="0"/>
                      <w:szCs w:val="21"/>
                      <w:lang w:bidi="ar"/>
                      <w14:textFill>
                        <w14:solidFill>
                          <w14:schemeClr w14:val="tx1"/>
                        </w14:solidFill>
                      </w14:textFill>
                    </w:rPr>
                    <w:t>0</w:t>
                  </w:r>
                </w:p>
              </w:tc>
              <w:tc>
                <w:tcPr>
                  <w:tcW w:w="229" w:type="pct"/>
                  <w:vAlign w:val="center"/>
                </w:tcPr>
                <w:p w14:paraId="71C8D7AE">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180" w:type="pct"/>
                  <w:vMerge w:val="restart"/>
                  <w:vAlign w:val="center"/>
                </w:tcPr>
                <w:p w14:paraId="41071A1C">
                  <w:pPr>
                    <w:autoSpaceDE w:val="0"/>
                    <w:autoSpaceDN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2</w:t>
                  </w:r>
                  <w:r>
                    <w:rPr>
                      <w:rFonts w:eastAsia="仿宋"/>
                      <w:color w:val="000000" w:themeColor="text1"/>
                      <w:szCs w:val="22"/>
                      <w14:textFill>
                        <w14:solidFill>
                          <w14:schemeClr w14:val="tx1"/>
                        </w14:solidFill>
                      </w14:textFill>
                    </w:rPr>
                    <w:t>8</w:t>
                  </w:r>
                </w:p>
              </w:tc>
              <w:tc>
                <w:tcPr>
                  <w:tcW w:w="216" w:type="pct"/>
                  <w:vMerge w:val="restart"/>
                  <w:vAlign w:val="center"/>
                </w:tcPr>
                <w:p w14:paraId="48816D3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0.5</w:t>
                  </w:r>
                </w:p>
              </w:tc>
              <w:tc>
                <w:tcPr>
                  <w:tcW w:w="260" w:type="pct"/>
                  <w:vMerge w:val="restart"/>
                  <w:vAlign w:val="center"/>
                </w:tcPr>
                <w:p w14:paraId="284827BC">
                  <w:pPr>
                    <w:autoSpaceDE w:val="0"/>
                    <w:autoSpaceDN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＜6</w:t>
                  </w:r>
                  <w:r>
                    <w:rPr>
                      <w:rFonts w:eastAsia="仿宋"/>
                      <w:color w:val="000000" w:themeColor="text1"/>
                      <w:szCs w:val="22"/>
                      <w14:textFill>
                        <w14:solidFill>
                          <w14:schemeClr w14:val="tx1"/>
                        </w14:solidFill>
                      </w14:textFill>
                    </w:rPr>
                    <w:t>0</w:t>
                  </w:r>
                </w:p>
              </w:tc>
              <w:tc>
                <w:tcPr>
                  <w:tcW w:w="205" w:type="pct"/>
                  <w:vMerge w:val="restart"/>
                  <w:vAlign w:val="center"/>
                </w:tcPr>
                <w:p w14:paraId="73290CB8">
                  <w:pPr>
                    <w:autoSpaceDE w:val="0"/>
                    <w:autoSpaceDN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连续</w:t>
                  </w:r>
                </w:p>
              </w:tc>
              <w:tc>
                <w:tcPr>
                  <w:tcW w:w="224" w:type="pct"/>
                  <w:vMerge w:val="restart"/>
                  <w:vAlign w:val="center"/>
                </w:tcPr>
                <w:p w14:paraId="08D9DC3E">
                  <w:pPr>
                    <w:autoSpaceDE w:val="0"/>
                    <w:autoSpaceDN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3</w:t>
                  </w:r>
                  <w:r>
                    <w:rPr>
                      <w:rFonts w:eastAsia="仿宋"/>
                      <w:color w:val="000000" w:themeColor="text1"/>
                      <w:szCs w:val="22"/>
                      <w14:textFill>
                        <w14:solidFill>
                          <w14:schemeClr w14:val="tx1"/>
                        </w14:solidFill>
                      </w14:textFill>
                    </w:rPr>
                    <w:t>600h</w:t>
                  </w:r>
                </w:p>
              </w:tc>
            </w:tr>
            <w:tr w14:paraId="26270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165" w:type="pct"/>
                  <w:vMerge w:val="continue"/>
                  <w:vAlign w:val="center"/>
                </w:tcPr>
                <w:p w14:paraId="255746BE">
                  <w:pPr>
                    <w:autoSpaceDE w:val="0"/>
                    <w:autoSpaceDN w:val="0"/>
                    <w:snapToGrid w:val="0"/>
                    <w:jc w:val="center"/>
                    <w:rPr>
                      <w:rFonts w:eastAsia="仿宋"/>
                      <w:color w:val="000000" w:themeColor="text1"/>
                      <w:szCs w:val="22"/>
                      <w14:textFill>
                        <w14:solidFill>
                          <w14:schemeClr w14:val="tx1"/>
                        </w14:solidFill>
                      </w14:textFill>
                    </w:rPr>
                  </w:pPr>
                </w:p>
              </w:tc>
              <w:tc>
                <w:tcPr>
                  <w:tcW w:w="357" w:type="pct"/>
                  <w:vMerge w:val="continue"/>
                  <w:vAlign w:val="center"/>
                </w:tcPr>
                <w:p w14:paraId="2041A3F1">
                  <w:pPr>
                    <w:autoSpaceDE w:val="0"/>
                    <w:autoSpaceDN w:val="0"/>
                    <w:snapToGrid w:val="0"/>
                    <w:jc w:val="center"/>
                    <w:rPr>
                      <w:rFonts w:eastAsia="仿宋"/>
                      <w:color w:val="000000" w:themeColor="text1"/>
                      <w:szCs w:val="22"/>
                      <w14:textFill>
                        <w14:solidFill>
                          <w14:schemeClr w14:val="tx1"/>
                        </w14:solidFill>
                      </w14:textFill>
                    </w:rPr>
                  </w:pPr>
                </w:p>
              </w:tc>
              <w:tc>
                <w:tcPr>
                  <w:tcW w:w="314" w:type="pct"/>
                  <w:vMerge w:val="continue"/>
                  <w:vAlign w:val="center"/>
                </w:tcPr>
                <w:p w14:paraId="113B21E1">
                  <w:pPr>
                    <w:jc w:val="center"/>
                    <w:rPr>
                      <w:rFonts w:eastAsia="仿宋"/>
                      <w:color w:val="000000" w:themeColor="text1"/>
                      <w:szCs w:val="22"/>
                      <w14:textFill>
                        <w14:solidFill>
                          <w14:schemeClr w14:val="tx1"/>
                        </w14:solidFill>
                      </w14:textFill>
                    </w:rPr>
                  </w:pPr>
                </w:p>
              </w:tc>
              <w:tc>
                <w:tcPr>
                  <w:tcW w:w="350" w:type="pct"/>
                  <w:shd w:val="clear" w:color="auto" w:fill="auto"/>
                  <w:vAlign w:val="center"/>
                </w:tcPr>
                <w:p w14:paraId="248F7999">
                  <w:pPr>
                    <w:widowControl/>
                    <w:jc w:val="center"/>
                    <w:rPr>
                      <w:color w:val="000000" w:themeColor="text1"/>
                      <w:szCs w:val="21"/>
                      <w14:textFill>
                        <w14:solidFill>
                          <w14:schemeClr w14:val="tx1"/>
                        </w14:solidFill>
                      </w14:textFill>
                    </w:rPr>
                  </w:pPr>
                  <w:r>
                    <w:rPr>
                      <w:rFonts w:eastAsia="等线"/>
                      <w:color w:val="000000" w:themeColor="text1"/>
                      <w:kern w:val="0"/>
                      <w14:textFill>
                        <w14:solidFill>
                          <w14:schemeClr w14:val="tx1"/>
                        </w14:solidFill>
                      </w14:textFill>
                    </w:rPr>
                    <w:t>18.552</w:t>
                  </w:r>
                </w:p>
              </w:tc>
              <w:tc>
                <w:tcPr>
                  <w:tcW w:w="307" w:type="pct"/>
                  <w:shd w:val="clear" w:color="auto" w:fill="auto"/>
                  <w:vAlign w:val="center"/>
                </w:tcPr>
                <w:p w14:paraId="2F38B9A6">
                  <w:pPr>
                    <w:jc w:val="center"/>
                    <w:rPr>
                      <w:color w:val="000000" w:themeColor="text1"/>
                      <w:szCs w:val="21"/>
                      <w14:textFill>
                        <w14:solidFill>
                          <w14:schemeClr w14:val="tx1"/>
                        </w14:solidFill>
                      </w14:textFill>
                    </w:rPr>
                  </w:pPr>
                  <w:r>
                    <w:rPr>
                      <w:rFonts w:eastAsia="等线"/>
                      <w:color w:val="000000" w:themeColor="text1"/>
                      <w:kern w:val="0"/>
                      <w14:textFill>
                        <w14:solidFill>
                          <w14:schemeClr w14:val="tx1"/>
                        </w14:solidFill>
                      </w14:textFill>
                    </w:rPr>
                    <w:t>0.052</w:t>
                  </w:r>
                </w:p>
              </w:tc>
              <w:tc>
                <w:tcPr>
                  <w:tcW w:w="312" w:type="pct"/>
                  <w:shd w:val="clear" w:color="auto" w:fill="auto"/>
                  <w:vAlign w:val="center"/>
                </w:tcPr>
                <w:p w14:paraId="2E36F1B1">
                  <w:pPr>
                    <w:jc w:val="center"/>
                    <w:rPr>
                      <w:color w:val="000000" w:themeColor="text1"/>
                      <w:szCs w:val="21"/>
                      <w14:textFill>
                        <w14:solidFill>
                          <w14:schemeClr w14:val="tx1"/>
                        </w14:solidFill>
                      </w14:textFill>
                    </w:rPr>
                  </w:pPr>
                  <w:r>
                    <w:rPr>
                      <w:rFonts w:eastAsia="等线"/>
                      <w:color w:val="000000" w:themeColor="text1"/>
                      <w:kern w:val="0"/>
                      <w14:textFill>
                        <w14:solidFill>
                          <w14:schemeClr w14:val="tx1"/>
                        </w14:solidFill>
                      </w14:textFill>
                    </w:rPr>
                    <w:t>0.187</w:t>
                  </w:r>
                </w:p>
              </w:tc>
              <w:tc>
                <w:tcPr>
                  <w:tcW w:w="254" w:type="pct"/>
                  <w:vMerge w:val="continue"/>
                  <w:vAlign w:val="center"/>
                </w:tcPr>
                <w:p w14:paraId="0CE2EBB8">
                  <w:pPr>
                    <w:jc w:val="center"/>
                    <w:rPr>
                      <w:rFonts w:eastAsia="仿宋"/>
                      <w:color w:val="000000" w:themeColor="text1"/>
                      <w:szCs w:val="22"/>
                      <w14:textFill>
                        <w14:solidFill>
                          <w14:schemeClr w14:val="tx1"/>
                        </w14:solidFill>
                      </w14:textFill>
                    </w:rPr>
                  </w:pPr>
                </w:p>
              </w:tc>
              <w:tc>
                <w:tcPr>
                  <w:tcW w:w="254" w:type="pct"/>
                  <w:vAlign w:val="center"/>
                </w:tcPr>
                <w:p w14:paraId="7879B234">
                  <w:pPr>
                    <w:widowControl/>
                    <w:jc w:val="center"/>
                    <w:textAlignment w:val="center"/>
                    <w:rPr>
                      <w:rFonts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二氧化硫</w:t>
                  </w:r>
                </w:p>
              </w:tc>
              <w:tc>
                <w:tcPr>
                  <w:tcW w:w="206" w:type="pct"/>
                  <w:vMerge w:val="continue"/>
                  <w:vAlign w:val="center"/>
                </w:tcPr>
                <w:p w14:paraId="6FB67637">
                  <w:pPr>
                    <w:widowControl/>
                    <w:jc w:val="center"/>
                    <w:textAlignment w:val="center"/>
                    <w:rPr>
                      <w:color w:val="000000" w:themeColor="text1"/>
                      <w:kern w:val="0"/>
                      <w:szCs w:val="21"/>
                      <w:lang w:bidi="ar"/>
                      <w14:textFill>
                        <w14:solidFill>
                          <w14:schemeClr w14:val="tx1"/>
                        </w14:solidFill>
                      </w14:textFill>
                    </w:rPr>
                  </w:pPr>
                </w:p>
              </w:tc>
              <w:tc>
                <w:tcPr>
                  <w:tcW w:w="306" w:type="pct"/>
                  <w:vAlign w:val="center"/>
                </w:tcPr>
                <w:p w14:paraId="45E2099A">
                  <w:pPr>
                    <w:widowControl/>
                    <w:jc w:val="center"/>
                    <w:rPr>
                      <w:color w:val="000000" w:themeColor="text1"/>
                      <w:szCs w:val="21"/>
                      <w14:textFill>
                        <w14:solidFill>
                          <w14:schemeClr w14:val="tx1"/>
                        </w14:solidFill>
                      </w14:textFill>
                    </w:rPr>
                  </w:pPr>
                  <w:r>
                    <w:rPr>
                      <w:rFonts w:eastAsia="等线"/>
                      <w:color w:val="000000" w:themeColor="text1"/>
                      <w:kern w:val="0"/>
                      <w14:textFill>
                        <w14:solidFill>
                          <w14:schemeClr w14:val="tx1"/>
                        </w14:solidFill>
                      </w14:textFill>
                    </w:rPr>
                    <w:t>18.552</w:t>
                  </w:r>
                </w:p>
              </w:tc>
              <w:tc>
                <w:tcPr>
                  <w:tcW w:w="306" w:type="pct"/>
                  <w:vAlign w:val="center"/>
                </w:tcPr>
                <w:p w14:paraId="0B9728E6">
                  <w:pPr>
                    <w:jc w:val="center"/>
                    <w:rPr>
                      <w:color w:val="000000" w:themeColor="text1"/>
                      <w:szCs w:val="21"/>
                      <w14:textFill>
                        <w14:solidFill>
                          <w14:schemeClr w14:val="tx1"/>
                        </w14:solidFill>
                      </w14:textFill>
                    </w:rPr>
                  </w:pPr>
                  <w:r>
                    <w:rPr>
                      <w:rFonts w:eastAsia="等线"/>
                      <w:color w:val="000000" w:themeColor="text1"/>
                      <w:kern w:val="0"/>
                      <w14:textFill>
                        <w14:solidFill>
                          <w14:schemeClr w14:val="tx1"/>
                        </w14:solidFill>
                      </w14:textFill>
                    </w:rPr>
                    <w:t>0.052</w:t>
                  </w:r>
                </w:p>
              </w:tc>
              <w:tc>
                <w:tcPr>
                  <w:tcW w:w="278" w:type="pct"/>
                  <w:vAlign w:val="center"/>
                </w:tcPr>
                <w:p w14:paraId="4108ABC3">
                  <w:pPr>
                    <w:jc w:val="center"/>
                    <w:rPr>
                      <w:color w:val="000000" w:themeColor="text1"/>
                      <w:szCs w:val="21"/>
                      <w14:textFill>
                        <w14:solidFill>
                          <w14:schemeClr w14:val="tx1"/>
                        </w14:solidFill>
                      </w14:textFill>
                    </w:rPr>
                  </w:pPr>
                  <w:r>
                    <w:rPr>
                      <w:rFonts w:eastAsia="等线"/>
                      <w:color w:val="000000" w:themeColor="text1"/>
                      <w:kern w:val="0"/>
                      <w14:textFill>
                        <w14:solidFill>
                          <w14:schemeClr w14:val="tx1"/>
                        </w14:solidFill>
                      </w14:textFill>
                    </w:rPr>
                    <w:t>0.187</w:t>
                  </w:r>
                </w:p>
              </w:tc>
              <w:tc>
                <w:tcPr>
                  <w:tcW w:w="277" w:type="pct"/>
                  <w:vAlign w:val="center"/>
                </w:tcPr>
                <w:p w14:paraId="04B23820">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3</w:t>
                  </w:r>
                  <w:r>
                    <w:rPr>
                      <w:color w:val="000000" w:themeColor="text1"/>
                      <w:kern w:val="0"/>
                      <w:szCs w:val="21"/>
                      <w:lang w:bidi="ar"/>
                      <w14:textFill>
                        <w14:solidFill>
                          <w14:schemeClr w14:val="tx1"/>
                        </w14:solidFill>
                      </w14:textFill>
                    </w:rPr>
                    <w:t>5</w:t>
                  </w:r>
                </w:p>
              </w:tc>
              <w:tc>
                <w:tcPr>
                  <w:tcW w:w="229" w:type="pct"/>
                  <w:vAlign w:val="center"/>
                </w:tcPr>
                <w:p w14:paraId="441FE6C3">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180" w:type="pct"/>
                  <w:vMerge w:val="continue"/>
                  <w:vAlign w:val="center"/>
                </w:tcPr>
                <w:p w14:paraId="16E49717">
                  <w:pPr>
                    <w:autoSpaceDE w:val="0"/>
                    <w:autoSpaceDN w:val="0"/>
                    <w:snapToGrid w:val="0"/>
                    <w:jc w:val="center"/>
                    <w:rPr>
                      <w:rFonts w:eastAsia="仿宋"/>
                      <w:color w:val="000000" w:themeColor="text1"/>
                      <w:szCs w:val="22"/>
                      <w14:textFill>
                        <w14:solidFill>
                          <w14:schemeClr w14:val="tx1"/>
                        </w14:solidFill>
                      </w14:textFill>
                    </w:rPr>
                  </w:pPr>
                </w:p>
              </w:tc>
              <w:tc>
                <w:tcPr>
                  <w:tcW w:w="216" w:type="pct"/>
                  <w:vMerge w:val="continue"/>
                  <w:vAlign w:val="center"/>
                </w:tcPr>
                <w:p w14:paraId="5A85156F">
                  <w:pPr>
                    <w:autoSpaceDE w:val="0"/>
                    <w:autoSpaceDN w:val="0"/>
                    <w:snapToGrid w:val="0"/>
                    <w:jc w:val="center"/>
                    <w:rPr>
                      <w:rFonts w:eastAsia="仿宋"/>
                      <w:color w:val="000000" w:themeColor="text1"/>
                      <w:szCs w:val="22"/>
                      <w14:textFill>
                        <w14:solidFill>
                          <w14:schemeClr w14:val="tx1"/>
                        </w14:solidFill>
                      </w14:textFill>
                    </w:rPr>
                  </w:pPr>
                </w:p>
              </w:tc>
              <w:tc>
                <w:tcPr>
                  <w:tcW w:w="260" w:type="pct"/>
                  <w:vMerge w:val="continue"/>
                  <w:vAlign w:val="center"/>
                </w:tcPr>
                <w:p w14:paraId="3E94397D">
                  <w:pPr>
                    <w:autoSpaceDE w:val="0"/>
                    <w:autoSpaceDN w:val="0"/>
                    <w:snapToGrid w:val="0"/>
                    <w:jc w:val="center"/>
                    <w:rPr>
                      <w:rFonts w:eastAsia="仿宋"/>
                      <w:color w:val="000000" w:themeColor="text1"/>
                      <w:szCs w:val="22"/>
                      <w14:textFill>
                        <w14:solidFill>
                          <w14:schemeClr w14:val="tx1"/>
                        </w14:solidFill>
                      </w14:textFill>
                    </w:rPr>
                  </w:pPr>
                </w:p>
              </w:tc>
              <w:tc>
                <w:tcPr>
                  <w:tcW w:w="205" w:type="pct"/>
                  <w:vMerge w:val="continue"/>
                  <w:vAlign w:val="center"/>
                </w:tcPr>
                <w:p w14:paraId="576E350B">
                  <w:pPr>
                    <w:autoSpaceDE w:val="0"/>
                    <w:autoSpaceDN w:val="0"/>
                    <w:snapToGrid w:val="0"/>
                    <w:jc w:val="center"/>
                    <w:rPr>
                      <w:rFonts w:eastAsia="仿宋"/>
                      <w:color w:val="000000" w:themeColor="text1"/>
                      <w:szCs w:val="22"/>
                      <w14:textFill>
                        <w14:solidFill>
                          <w14:schemeClr w14:val="tx1"/>
                        </w14:solidFill>
                      </w14:textFill>
                    </w:rPr>
                  </w:pPr>
                </w:p>
              </w:tc>
              <w:tc>
                <w:tcPr>
                  <w:tcW w:w="224" w:type="pct"/>
                  <w:vMerge w:val="continue"/>
                  <w:vAlign w:val="center"/>
                </w:tcPr>
                <w:p w14:paraId="39F5CF86">
                  <w:pPr>
                    <w:autoSpaceDE w:val="0"/>
                    <w:autoSpaceDN w:val="0"/>
                    <w:snapToGrid w:val="0"/>
                    <w:jc w:val="center"/>
                    <w:rPr>
                      <w:rFonts w:eastAsia="仿宋"/>
                      <w:color w:val="000000" w:themeColor="text1"/>
                      <w:szCs w:val="22"/>
                      <w14:textFill>
                        <w14:solidFill>
                          <w14:schemeClr w14:val="tx1"/>
                        </w14:solidFill>
                      </w14:textFill>
                    </w:rPr>
                  </w:pPr>
                </w:p>
              </w:tc>
            </w:tr>
            <w:tr w14:paraId="459F3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165" w:type="pct"/>
                  <w:vMerge w:val="continue"/>
                  <w:vAlign w:val="center"/>
                </w:tcPr>
                <w:p w14:paraId="42BA0578">
                  <w:pPr>
                    <w:autoSpaceDE w:val="0"/>
                    <w:autoSpaceDN w:val="0"/>
                    <w:snapToGrid w:val="0"/>
                    <w:jc w:val="center"/>
                    <w:rPr>
                      <w:rFonts w:eastAsia="仿宋"/>
                      <w:color w:val="000000" w:themeColor="text1"/>
                      <w:szCs w:val="22"/>
                      <w14:textFill>
                        <w14:solidFill>
                          <w14:schemeClr w14:val="tx1"/>
                        </w14:solidFill>
                      </w14:textFill>
                    </w:rPr>
                  </w:pPr>
                </w:p>
              </w:tc>
              <w:tc>
                <w:tcPr>
                  <w:tcW w:w="357" w:type="pct"/>
                  <w:vMerge w:val="continue"/>
                  <w:vAlign w:val="center"/>
                </w:tcPr>
                <w:p w14:paraId="75709785">
                  <w:pPr>
                    <w:autoSpaceDE w:val="0"/>
                    <w:autoSpaceDN w:val="0"/>
                    <w:snapToGrid w:val="0"/>
                    <w:jc w:val="center"/>
                    <w:rPr>
                      <w:rFonts w:eastAsia="仿宋"/>
                      <w:color w:val="000000" w:themeColor="text1"/>
                      <w:szCs w:val="22"/>
                      <w14:textFill>
                        <w14:solidFill>
                          <w14:schemeClr w14:val="tx1"/>
                        </w14:solidFill>
                      </w14:textFill>
                    </w:rPr>
                  </w:pPr>
                </w:p>
              </w:tc>
              <w:tc>
                <w:tcPr>
                  <w:tcW w:w="314" w:type="pct"/>
                  <w:vMerge w:val="continue"/>
                  <w:vAlign w:val="center"/>
                </w:tcPr>
                <w:p w14:paraId="7B71BBBB">
                  <w:pPr>
                    <w:jc w:val="center"/>
                    <w:rPr>
                      <w:rFonts w:eastAsia="仿宋"/>
                      <w:color w:val="000000" w:themeColor="text1"/>
                      <w:szCs w:val="22"/>
                      <w14:textFill>
                        <w14:solidFill>
                          <w14:schemeClr w14:val="tx1"/>
                        </w14:solidFill>
                      </w14:textFill>
                    </w:rPr>
                  </w:pPr>
                </w:p>
              </w:tc>
              <w:tc>
                <w:tcPr>
                  <w:tcW w:w="350" w:type="pct"/>
                  <w:shd w:val="clear" w:color="auto" w:fill="auto"/>
                  <w:vAlign w:val="center"/>
                </w:tcPr>
                <w:p w14:paraId="553BDCDC">
                  <w:pPr>
                    <w:widowControl/>
                    <w:jc w:val="center"/>
                    <w:rPr>
                      <w:color w:val="000000" w:themeColor="text1"/>
                      <w:szCs w:val="21"/>
                      <w14:textFill>
                        <w14:solidFill>
                          <w14:schemeClr w14:val="tx1"/>
                        </w14:solidFill>
                      </w14:textFill>
                    </w:rPr>
                  </w:pPr>
                  <w:r>
                    <w:rPr>
                      <w:rFonts w:eastAsia="等线"/>
                      <w:color w:val="000000" w:themeColor="text1"/>
                      <w:kern w:val="0"/>
                      <w14:textFill>
                        <w14:solidFill>
                          <w14:schemeClr w14:val="tx1"/>
                        </w14:solidFill>
                      </w14:textFill>
                    </w:rPr>
                    <w:t>7.492</w:t>
                  </w:r>
                </w:p>
              </w:tc>
              <w:tc>
                <w:tcPr>
                  <w:tcW w:w="307" w:type="pct"/>
                  <w:shd w:val="clear" w:color="auto" w:fill="auto"/>
                  <w:vAlign w:val="center"/>
                </w:tcPr>
                <w:p w14:paraId="7494BB5C">
                  <w:pPr>
                    <w:jc w:val="center"/>
                    <w:rPr>
                      <w:color w:val="000000" w:themeColor="text1"/>
                      <w:szCs w:val="21"/>
                      <w14:textFill>
                        <w14:solidFill>
                          <w14:schemeClr w14:val="tx1"/>
                        </w14:solidFill>
                      </w14:textFill>
                    </w:rPr>
                  </w:pPr>
                  <w:r>
                    <w:rPr>
                      <w:rFonts w:eastAsia="等线"/>
                      <w:color w:val="000000" w:themeColor="text1"/>
                      <w:kern w:val="0"/>
                      <w14:textFill>
                        <w14:solidFill>
                          <w14:schemeClr w14:val="tx1"/>
                        </w14:solidFill>
                      </w14:textFill>
                    </w:rPr>
                    <w:t>0.021</w:t>
                  </w:r>
                </w:p>
              </w:tc>
              <w:tc>
                <w:tcPr>
                  <w:tcW w:w="312" w:type="pct"/>
                  <w:shd w:val="clear" w:color="auto" w:fill="auto"/>
                  <w:vAlign w:val="center"/>
                </w:tcPr>
                <w:p w14:paraId="08E4B7A7">
                  <w:pPr>
                    <w:jc w:val="center"/>
                    <w:rPr>
                      <w:color w:val="000000" w:themeColor="text1"/>
                      <w:szCs w:val="21"/>
                      <w14:textFill>
                        <w14:solidFill>
                          <w14:schemeClr w14:val="tx1"/>
                        </w14:solidFill>
                      </w14:textFill>
                    </w:rPr>
                  </w:pPr>
                  <w:r>
                    <w:rPr>
                      <w:rFonts w:eastAsia="等线"/>
                      <w:color w:val="000000" w:themeColor="text1"/>
                      <w:kern w:val="0"/>
                      <w14:textFill>
                        <w14:solidFill>
                          <w14:schemeClr w14:val="tx1"/>
                        </w14:solidFill>
                      </w14:textFill>
                    </w:rPr>
                    <w:t>0.075</w:t>
                  </w:r>
                </w:p>
              </w:tc>
              <w:tc>
                <w:tcPr>
                  <w:tcW w:w="254" w:type="pct"/>
                  <w:vMerge w:val="continue"/>
                  <w:vAlign w:val="center"/>
                </w:tcPr>
                <w:p w14:paraId="496645A1">
                  <w:pPr>
                    <w:jc w:val="center"/>
                    <w:rPr>
                      <w:rFonts w:eastAsia="仿宋"/>
                      <w:color w:val="000000" w:themeColor="text1"/>
                      <w:szCs w:val="22"/>
                      <w14:textFill>
                        <w14:solidFill>
                          <w14:schemeClr w14:val="tx1"/>
                        </w14:solidFill>
                      </w14:textFill>
                    </w:rPr>
                  </w:pPr>
                </w:p>
              </w:tc>
              <w:tc>
                <w:tcPr>
                  <w:tcW w:w="254" w:type="pct"/>
                  <w:vAlign w:val="center"/>
                </w:tcPr>
                <w:p w14:paraId="738A01A9">
                  <w:pPr>
                    <w:widowControl/>
                    <w:jc w:val="center"/>
                    <w:textAlignment w:val="center"/>
                    <w:rPr>
                      <w:rFonts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颗粒物</w:t>
                  </w:r>
                </w:p>
              </w:tc>
              <w:tc>
                <w:tcPr>
                  <w:tcW w:w="206" w:type="pct"/>
                  <w:vMerge w:val="continue"/>
                  <w:vAlign w:val="center"/>
                </w:tcPr>
                <w:p w14:paraId="106E97E0">
                  <w:pPr>
                    <w:widowControl/>
                    <w:jc w:val="center"/>
                    <w:textAlignment w:val="center"/>
                    <w:rPr>
                      <w:color w:val="000000" w:themeColor="text1"/>
                      <w:kern w:val="0"/>
                      <w:szCs w:val="21"/>
                      <w:lang w:bidi="ar"/>
                      <w14:textFill>
                        <w14:solidFill>
                          <w14:schemeClr w14:val="tx1"/>
                        </w14:solidFill>
                      </w14:textFill>
                    </w:rPr>
                  </w:pPr>
                </w:p>
              </w:tc>
              <w:tc>
                <w:tcPr>
                  <w:tcW w:w="306" w:type="pct"/>
                  <w:vAlign w:val="center"/>
                </w:tcPr>
                <w:p w14:paraId="7DC51A01">
                  <w:pPr>
                    <w:widowControl/>
                    <w:jc w:val="center"/>
                    <w:rPr>
                      <w:color w:val="000000" w:themeColor="text1"/>
                      <w:szCs w:val="21"/>
                      <w14:textFill>
                        <w14:solidFill>
                          <w14:schemeClr w14:val="tx1"/>
                        </w14:solidFill>
                      </w14:textFill>
                    </w:rPr>
                  </w:pPr>
                  <w:r>
                    <w:rPr>
                      <w:rFonts w:eastAsia="等线"/>
                      <w:color w:val="000000" w:themeColor="text1"/>
                      <w:kern w:val="0"/>
                      <w14:textFill>
                        <w14:solidFill>
                          <w14:schemeClr w14:val="tx1"/>
                        </w14:solidFill>
                      </w14:textFill>
                    </w:rPr>
                    <w:t>7.492</w:t>
                  </w:r>
                </w:p>
              </w:tc>
              <w:tc>
                <w:tcPr>
                  <w:tcW w:w="306" w:type="pct"/>
                  <w:vAlign w:val="center"/>
                </w:tcPr>
                <w:p w14:paraId="0D8389F5">
                  <w:pPr>
                    <w:jc w:val="center"/>
                    <w:rPr>
                      <w:color w:val="000000" w:themeColor="text1"/>
                      <w:szCs w:val="21"/>
                      <w14:textFill>
                        <w14:solidFill>
                          <w14:schemeClr w14:val="tx1"/>
                        </w14:solidFill>
                      </w14:textFill>
                    </w:rPr>
                  </w:pPr>
                  <w:r>
                    <w:rPr>
                      <w:rFonts w:eastAsia="等线"/>
                      <w:color w:val="000000" w:themeColor="text1"/>
                      <w:kern w:val="0"/>
                      <w14:textFill>
                        <w14:solidFill>
                          <w14:schemeClr w14:val="tx1"/>
                        </w14:solidFill>
                      </w14:textFill>
                    </w:rPr>
                    <w:t>0.021</w:t>
                  </w:r>
                </w:p>
              </w:tc>
              <w:tc>
                <w:tcPr>
                  <w:tcW w:w="278" w:type="pct"/>
                  <w:vAlign w:val="center"/>
                </w:tcPr>
                <w:p w14:paraId="0A503D92">
                  <w:pPr>
                    <w:jc w:val="center"/>
                    <w:rPr>
                      <w:color w:val="000000" w:themeColor="text1"/>
                      <w:szCs w:val="21"/>
                      <w14:textFill>
                        <w14:solidFill>
                          <w14:schemeClr w14:val="tx1"/>
                        </w14:solidFill>
                      </w14:textFill>
                    </w:rPr>
                  </w:pPr>
                  <w:r>
                    <w:rPr>
                      <w:rFonts w:eastAsia="等线"/>
                      <w:color w:val="000000" w:themeColor="text1"/>
                      <w:kern w:val="0"/>
                      <w14:textFill>
                        <w14:solidFill>
                          <w14:schemeClr w14:val="tx1"/>
                        </w14:solidFill>
                      </w14:textFill>
                    </w:rPr>
                    <w:t>0.075</w:t>
                  </w:r>
                </w:p>
              </w:tc>
              <w:tc>
                <w:tcPr>
                  <w:tcW w:w="277" w:type="pct"/>
                  <w:vAlign w:val="center"/>
                </w:tcPr>
                <w:p w14:paraId="4356BB0B">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r>
                    <w:rPr>
                      <w:color w:val="000000" w:themeColor="text1"/>
                      <w:kern w:val="0"/>
                      <w:szCs w:val="21"/>
                      <w:lang w:bidi="ar"/>
                      <w14:textFill>
                        <w14:solidFill>
                          <w14:schemeClr w14:val="tx1"/>
                        </w14:solidFill>
                      </w14:textFill>
                    </w:rPr>
                    <w:t>0</w:t>
                  </w:r>
                </w:p>
              </w:tc>
              <w:tc>
                <w:tcPr>
                  <w:tcW w:w="229" w:type="pct"/>
                  <w:vAlign w:val="center"/>
                </w:tcPr>
                <w:p w14:paraId="715266E4">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180" w:type="pct"/>
                  <w:vMerge w:val="continue"/>
                  <w:vAlign w:val="center"/>
                </w:tcPr>
                <w:p w14:paraId="01422720">
                  <w:pPr>
                    <w:autoSpaceDE w:val="0"/>
                    <w:autoSpaceDN w:val="0"/>
                    <w:snapToGrid w:val="0"/>
                    <w:jc w:val="center"/>
                    <w:rPr>
                      <w:rFonts w:eastAsia="仿宋"/>
                      <w:color w:val="000000" w:themeColor="text1"/>
                      <w:szCs w:val="22"/>
                      <w14:textFill>
                        <w14:solidFill>
                          <w14:schemeClr w14:val="tx1"/>
                        </w14:solidFill>
                      </w14:textFill>
                    </w:rPr>
                  </w:pPr>
                </w:p>
              </w:tc>
              <w:tc>
                <w:tcPr>
                  <w:tcW w:w="216" w:type="pct"/>
                  <w:vMerge w:val="continue"/>
                  <w:vAlign w:val="center"/>
                </w:tcPr>
                <w:p w14:paraId="61E3B87C">
                  <w:pPr>
                    <w:autoSpaceDE w:val="0"/>
                    <w:autoSpaceDN w:val="0"/>
                    <w:snapToGrid w:val="0"/>
                    <w:jc w:val="center"/>
                    <w:rPr>
                      <w:rFonts w:eastAsia="仿宋"/>
                      <w:color w:val="000000" w:themeColor="text1"/>
                      <w:szCs w:val="22"/>
                      <w14:textFill>
                        <w14:solidFill>
                          <w14:schemeClr w14:val="tx1"/>
                        </w14:solidFill>
                      </w14:textFill>
                    </w:rPr>
                  </w:pPr>
                </w:p>
              </w:tc>
              <w:tc>
                <w:tcPr>
                  <w:tcW w:w="260" w:type="pct"/>
                  <w:vMerge w:val="continue"/>
                  <w:vAlign w:val="center"/>
                </w:tcPr>
                <w:p w14:paraId="78296049">
                  <w:pPr>
                    <w:autoSpaceDE w:val="0"/>
                    <w:autoSpaceDN w:val="0"/>
                    <w:snapToGrid w:val="0"/>
                    <w:jc w:val="center"/>
                    <w:rPr>
                      <w:rFonts w:eastAsia="仿宋"/>
                      <w:color w:val="000000" w:themeColor="text1"/>
                      <w:szCs w:val="22"/>
                      <w14:textFill>
                        <w14:solidFill>
                          <w14:schemeClr w14:val="tx1"/>
                        </w14:solidFill>
                      </w14:textFill>
                    </w:rPr>
                  </w:pPr>
                </w:p>
              </w:tc>
              <w:tc>
                <w:tcPr>
                  <w:tcW w:w="205" w:type="pct"/>
                  <w:vMerge w:val="continue"/>
                  <w:vAlign w:val="center"/>
                </w:tcPr>
                <w:p w14:paraId="665FC3C2">
                  <w:pPr>
                    <w:autoSpaceDE w:val="0"/>
                    <w:autoSpaceDN w:val="0"/>
                    <w:snapToGrid w:val="0"/>
                    <w:jc w:val="center"/>
                    <w:rPr>
                      <w:rFonts w:eastAsia="仿宋"/>
                      <w:color w:val="000000" w:themeColor="text1"/>
                      <w:szCs w:val="22"/>
                      <w14:textFill>
                        <w14:solidFill>
                          <w14:schemeClr w14:val="tx1"/>
                        </w14:solidFill>
                      </w14:textFill>
                    </w:rPr>
                  </w:pPr>
                </w:p>
              </w:tc>
              <w:tc>
                <w:tcPr>
                  <w:tcW w:w="224" w:type="pct"/>
                  <w:vMerge w:val="continue"/>
                  <w:vAlign w:val="center"/>
                </w:tcPr>
                <w:p w14:paraId="02E5D168">
                  <w:pPr>
                    <w:autoSpaceDE w:val="0"/>
                    <w:autoSpaceDN w:val="0"/>
                    <w:snapToGrid w:val="0"/>
                    <w:jc w:val="center"/>
                    <w:rPr>
                      <w:rFonts w:eastAsia="仿宋"/>
                      <w:color w:val="000000" w:themeColor="text1"/>
                      <w:szCs w:val="22"/>
                      <w14:textFill>
                        <w14:solidFill>
                          <w14:schemeClr w14:val="tx1"/>
                        </w14:solidFill>
                      </w14:textFill>
                    </w:rPr>
                  </w:pPr>
                </w:p>
              </w:tc>
            </w:tr>
            <w:bookmarkEnd w:id="38"/>
          </w:tbl>
          <w:p w14:paraId="5B7B8ACB">
            <w:pPr>
              <w:pStyle w:val="7"/>
              <w:rPr>
                <w:color w:val="000000" w:themeColor="text1"/>
                <w14:textFill>
                  <w14:solidFill>
                    <w14:schemeClr w14:val="tx1"/>
                  </w14:solidFill>
                </w14:textFill>
              </w:rPr>
            </w:pPr>
          </w:p>
        </w:tc>
      </w:tr>
    </w:tbl>
    <w:p w14:paraId="6733DD8E">
      <w:pPr>
        <w:adjustRightInd w:val="0"/>
        <w:snapToGrid w:val="0"/>
        <w:jc w:val="center"/>
        <w:rPr>
          <w:rFonts w:eastAsia="仿宋"/>
          <w:bCs/>
          <w:color w:val="000000" w:themeColor="text1"/>
          <w:sz w:val="24"/>
          <w14:textFill>
            <w14:solidFill>
              <w14:schemeClr w14:val="tx1"/>
            </w14:solidFill>
          </w14:textFill>
        </w:rPr>
        <w:sectPr>
          <w:pgSz w:w="16838" w:h="11906" w:orient="landscape"/>
          <w:pgMar w:top="1701" w:right="1531" w:bottom="1701" w:left="1531" w:header="851" w:footer="851" w:gutter="0"/>
          <w:cols w:space="720" w:num="1"/>
          <w:docGrid w:linePitch="312" w:charSpace="0"/>
        </w:sectPr>
      </w:pPr>
    </w:p>
    <w:tbl>
      <w:tblPr>
        <w:tblStyle w:val="24"/>
        <w:tblW w:w="553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2"/>
        <w:gridCol w:w="9232"/>
      </w:tblGrid>
      <w:tr w14:paraId="7AEA5F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13" w:hRule="atLeast"/>
          <w:jc w:val="center"/>
        </w:trPr>
        <w:tc>
          <w:tcPr>
            <w:tcW w:w="358" w:type="pct"/>
            <w:tcMar>
              <w:left w:w="28" w:type="dxa"/>
              <w:right w:w="28" w:type="dxa"/>
            </w:tcMar>
            <w:vAlign w:val="center"/>
          </w:tcPr>
          <w:p w14:paraId="4BC78600">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运营期环境影响和保护措施</w:t>
            </w:r>
          </w:p>
        </w:tc>
        <w:tc>
          <w:tcPr>
            <w:tcW w:w="4642" w:type="pct"/>
            <w:vAlign w:val="center"/>
          </w:tcPr>
          <w:p w14:paraId="406C79AE">
            <w:pPr>
              <w:spacing w:line="480" w:lineRule="exact"/>
              <w:ind w:firstLine="480" w:firstLineChars="200"/>
              <w:rPr>
                <w:rFonts w:eastAsia="仿宋"/>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无组织废气</w:t>
            </w:r>
          </w:p>
          <w:p w14:paraId="1C84CD39">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本项目废气无组织排放情况见下表。</w:t>
            </w:r>
          </w:p>
          <w:p w14:paraId="2DC1C259">
            <w:pPr>
              <w:keepNext/>
              <w:spacing w:line="480" w:lineRule="exact"/>
              <w:jc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表4</w:t>
            </w:r>
            <w:r>
              <w:rPr>
                <w:rFonts w:eastAsia="仿宋"/>
                <w:b/>
                <w:color w:val="000000" w:themeColor="text1"/>
                <w:szCs w:val="21"/>
                <w14:textFill>
                  <w14:solidFill>
                    <w14:schemeClr w14:val="tx1"/>
                  </w14:solidFill>
                </w14:textFill>
              </w:rPr>
              <w:t>-11 本项目建成后</w:t>
            </w:r>
            <w:r>
              <w:rPr>
                <w:rFonts w:hint="eastAsia" w:eastAsia="仿宋"/>
                <w:b/>
                <w:color w:val="000000" w:themeColor="text1"/>
                <w:szCs w:val="21"/>
                <w14:textFill>
                  <w14:solidFill>
                    <w14:schemeClr w14:val="tx1"/>
                  </w14:solidFill>
                </w14:textFill>
              </w:rPr>
              <w:t>实验室</w:t>
            </w:r>
            <w:r>
              <w:rPr>
                <w:rFonts w:eastAsia="仿宋"/>
                <w:b/>
                <w:color w:val="000000" w:themeColor="text1"/>
                <w:szCs w:val="21"/>
                <w14:textFill>
                  <w14:solidFill>
                    <w14:schemeClr w14:val="tx1"/>
                  </w14:solidFill>
                </w14:textFill>
              </w:rPr>
              <w:t>无组织废气排放情况表</w:t>
            </w:r>
          </w:p>
          <w:tbl>
            <w:tblPr>
              <w:tblStyle w:val="24"/>
              <w:tblW w:w="87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1286"/>
              <w:gridCol w:w="1411"/>
              <w:gridCol w:w="1276"/>
              <w:gridCol w:w="1274"/>
              <w:gridCol w:w="1135"/>
              <w:gridCol w:w="1135"/>
            </w:tblGrid>
            <w:tr w14:paraId="3E3D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722" w:type="pct"/>
                  <w:vMerge w:val="restart"/>
                  <w:vAlign w:val="center"/>
                </w:tcPr>
                <w:p w14:paraId="7D49A479">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污染源位置</w:t>
                  </w:r>
                </w:p>
              </w:tc>
              <w:tc>
                <w:tcPr>
                  <w:tcW w:w="732" w:type="pct"/>
                  <w:vMerge w:val="restart"/>
                  <w:vAlign w:val="center"/>
                </w:tcPr>
                <w:p w14:paraId="0D37B57D">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产生工段</w:t>
                  </w:r>
                </w:p>
              </w:tc>
              <w:tc>
                <w:tcPr>
                  <w:tcW w:w="1529" w:type="pct"/>
                  <w:gridSpan w:val="2"/>
                  <w:vMerge w:val="restart"/>
                  <w:vAlign w:val="center"/>
                </w:tcPr>
                <w:p w14:paraId="2D3A35E2">
                  <w:pPr>
                    <w:widowControl/>
                    <w:jc w:val="center"/>
                    <w:textAlignment w:val="center"/>
                    <w:rPr>
                      <w:rFonts w:eastAsia="仿宋"/>
                      <w:b/>
                      <w:bCs/>
                      <w:color w:val="000000" w:themeColor="text1"/>
                      <w:szCs w:val="22"/>
                      <w14:textFill>
                        <w14:solidFill>
                          <w14:schemeClr w14:val="tx1"/>
                        </w14:solidFill>
                      </w14:textFill>
                    </w:rPr>
                  </w:pPr>
                  <w:r>
                    <w:rPr>
                      <w:rStyle w:val="103"/>
                      <w:rFonts w:hint="default"/>
                      <w:b/>
                      <w:bCs/>
                      <w:color w:val="000000" w:themeColor="text1"/>
                      <w:lang w:bidi="ar"/>
                      <w14:textFill>
                        <w14:solidFill>
                          <w14:schemeClr w14:val="tx1"/>
                        </w14:solidFill>
                      </w14:textFill>
                    </w:rPr>
                    <w:t>污染物排放量（</w:t>
                  </w:r>
                  <w:r>
                    <w:rPr>
                      <w:rStyle w:val="107"/>
                      <w:rFonts w:eastAsia="仿宋"/>
                      <w:b/>
                      <w:bCs/>
                      <w:color w:val="000000" w:themeColor="text1"/>
                      <w:lang w:bidi="ar"/>
                      <w14:textFill>
                        <w14:solidFill>
                          <w14:schemeClr w14:val="tx1"/>
                        </w14:solidFill>
                      </w14:textFill>
                    </w:rPr>
                    <w:t>t/a</w:t>
                  </w:r>
                  <w:r>
                    <w:rPr>
                      <w:rStyle w:val="103"/>
                      <w:rFonts w:hint="default"/>
                      <w:b/>
                      <w:bCs/>
                      <w:color w:val="000000" w:themeColor="text1"/>
                      <w:lang w:bidi="ar"/>
                      <w14:textFill>
                        <w14:solidFill>
                          <w14:schemeClr w14:val="tx1"/>
                        </w14:solidFill>
                      </w14:textFill>
                    </w:rPr>
                    <w:t>）</w:t>
                  </w:r>
                </w:p>
              </w:tc>
              <w:tc>
                <w:tcPr>
                  <w:tcW w:w="2017" w:type="pct"/>
                  <w:gridSpan w:val="3"/>
                  <w:vAlign w:val="center"/>
                </w:tcPr>
                <w:p w14:paraId="2D31DECB">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面源</w:t>
                  </w:r>
                  <w:r>
                    <w:rPr>
                      <w:rFonts w:hint="eastAsia" w:eastAsia="仿宋"/>
                      <w:b/>
                      <w:bCs/>
                      <w:color w:val="000000" w:themeColor="text1"/>
                      <w:szCs w:val="22"/>
                      <w14:textFill>
                        <w14:solidFill>
                          <w14:schemeClr w14:val="tx1"/>
                        </w14:solidFill>
                      </w14:textFill>
                    </w:rPr>
                    <w:t>参数</w:t>
                  </w:r>
                </w:p>
              </w:tc>
            </w:tr>
            <w:tr w14:paraId="188E5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722" w:type="pct"/>
                  <w:vMerge w:val="continue"/>
                  <w:vAlign w:val="center"/>
                </w:tcPr>
                <w:p w14:paraId="649286FC">
                  <w:pPr>
                    <w:autoSpaceDE w:val="0"/>
                    <w:autoSpaceDN w:val="0"/>
                    <w:snapToGrid w:val="0"/>
                    <w:jc w:val="center"/>
                    <w:rPr>
                      <w:rFonts w:eastAsia="仿宋"/>
                      <w:b/>
                      <w:bCs/>
                      <w:color w:val="000000" w:themeColor="text1"/>
                      <w:szCs w:val="22"/>
                      <w14:textFill>
                        <w14:solidFill>
                          <w14:schemeClr w14:val="tx1"/>
                        </w14:solidFill>
                      </w14:textFill>
                    </w:rPr>
                  </w:pPr>
                </w:p>
              </w:tc>
              <w:tc>
                <w:tcPr>
                  <w:tcW w:w="732" w:type="pct"/>
                  <w:vMerge w:val="continue"/>
                  <w:vAlign w:val="center"/>
                </w:tcPr>
                <w:p w14:paraId="64514B75">
                  <w:pPr>
                    <w:autoSpaceDE w:val="0"/>
                    <w:autoSpaceDN w:val="0"/>
                    <w:snapToGrid w:val="0"/>
                    <w:jc w:val="center"/>
                    <w:rPr>
                      <w:rFonts w:eastAsia="仿宋"/>
                      <w:b/>
                      <w:bCs/>
                      <w:color w:val="000000" w:themeColor="text1"/>
                      <w:szCs w:val="22"/>
                      <w14:textFill>
                        <w14:solidFill>
                          <w14:schemeClr w14:val="tx1"/>
                        </w14:solidFill>
                      </w14:textFill>
                    </w:rPr>
                  </w:pPr>
                </w:p>
              </w:tc>
              <w:tc>
                <w:tcPr>
                  <w:tcW w:w="1529" w:type="pct"/>
                  <w:gridSpan w:val="2"/>
                  <w:vMerge w:val="continue"/>
                  <w:vAlign w:val="center"/>
                </w:tcPr>
                <w:p w14:paraId="1DC8C683">
                  <w:pPr>
                    <w:widowControl/>
                    <w:jc w:val="center"/>
                    <w:textAlignment w:val="center"/>
                    <w:rPr>
                      <w:rStyle w:val="103"/>
                      <w:rFonts w:hint="default"/>
                      <w:b/>
                      <w:bCs/>
                      <w:color w:val="000000" w:themeColor="text1"/>
                      <w:lang w:bidi="ar"/>
                      <w14:textFill>
                        <w14:solidFill>
                          <w14:schemeClr w14:val="tx1"/>
                        </w14:solidFill>
                      </w14:textFill>
                    </w:rPr>
                  </w:pPr>
                </w:p>
              </w:tc>
              <w:tc>
                <w:tcPr>
                  <w:tcW w:w="725" w:type="pct"/>
                  <w:vAlign w:val="center"/>
                </w:tcPr>
                <w:p w14:paraId="4C6DB02C">
                  <w:pPr>
                    <w:autoSpaceDE w:val="0"/>
                    <w:autoSpaceDN w:val="0"/>
                    <w:snapToGrid w:val="0"/>
                    <w:jc w:val="center"/>
                    <w:rPr>
                      <w:rFonts w:eastAsia="仿宋"/>
                      <w:b/>
                      <w:bCs/>
                      <w:color w:val="000000" w:themeColor="text1"/>
                      <w:szCs w:val="22"/>
                      <w14:textFill>
                        <w14:solidFill>
                          <w14:schemeClr w14:val="tx1"/>
                        </w14:solidFill>
                      </w14:textFill>
                    </w:rPr>
                  </w:pPr>
                  <w:r>
                    <w:rPr>
                      <w:rFonts w:hint="eastAsia" w:eastAsia="仿宋"/>
                      <w:b/>
                      <w:bCs/>
                      <w:color w:val="000000" w:themeColor="text1"/>
                      <w:szCs w:val="22"/>
                      <w14:textFill>
                        <w14:solidFill>
                          <w14:schemeClr w14:val="tx1"/>
                        </w14:solidFill>
                      </w14:textFill>
                    </w:rPr>
                    <w:t>长（m）</w:t>
                  </w:r>
                </w:p>
              </w:tc>
              <w:tc>
                <w:tcPr>
                  <w:tcW w:w="646" w:type="pct"/>
                  <w:vAlign w:val="center"/>
                </w:tcPr>
                <w:p w14:paraId="270C5430">
                  <w:pPr>
                    <w:autoSpaceDE w:val="0"/>
                    <w:autoSpaceDN w:val="0"/>
                    <w:snapToGrid w:val="0"/>
                    <w:jc w:val="center"/>
                    <w:rPr>
                      <w:rFonts w:eastAsia="仿宋"/>
                      <w:b/>
                      <w:bCs/>
                      <w:color w:val="000000" w:themeColor="text1"/>
                      <w:szCs w:val="22"/>
                      <w14:textFill>
                        <w14:solidFill>
                          <w14:schemeClr w14:val="tx1"/>
                        </w14:solidFill>
                      </w14:textFill>
                    </w:rPr>
                  </w:pPr>
                  <w:r>
                    <w:rPr>
                      <w:rFonts w:hint="eastAsia" w:eastAsia="仿宋"/>
                      <w:b/>
                      <w:bCs/>
                      <w:color w:val="000000" w:themeColor="text1"/>
                      <w:szCs w:val="22"/>
                      <w14:textFill>
                        <w14:solidFill>
                          <w14:schemeClr w14:val="tx1"/>
                        </w14:solidFill>
                      </w14:textFill>
                    </w:rPr>
                    <w:t>宽（m）</w:t>
                  </w:r>
                </w:p>
              </w:tc>
              <w:tc>
                <w:tcPr>
                  <w:tcW w:w="645" w:type="pct"/>
                  <w:vAlign w:val="center"/>
                </w:tcPr>
                <w:p w14:paraId="3A743E7F">
                  <w:pPr>
                    <w:autoSpaceDE w:val="0"/>
                    <w:autoSpaceDN w:val="0"/>
                    <w:snapToGrid w:val="0"/>
                    <w:jc w:val="center"/>
                    <w:rPr>
                      <w:rFonts w:eastAsia="仿宋"/>
                      <w:b/>
                      <w:bCs/>
                      <w:color w:val="000000" w:themeColor="text1"/>
                      <w:szCs w:val="22"/>
                      <w14:textFill>
                        <w14:solidFill>
                          <w14:schemeClr w14:val="tx1"/>
                        </w14:solidFill>
                      </w14:textFill>
                    </w:rPr>
                  </w:pPr>
                  <w:r>
                    <w:rPr>
                      <w:rFonts w:hint="eastAsia" w:eastAsia="仿宋"/>
                      <w:b/>
                      <w:bCs/>
                      <w:color w:val="000000" w:themeColor="text1"/>
                      <w:szCs w:val="22"/>
                      <w14:textFill>
                        <w14:solidFill>
                          <w14:schemeClr w14:val="tx1"/>
                        </w14:solidFill>
                      </w14:textFill>
                    </w:rPr>
                    <w:t>高（m）</w:t>
                  </w:r>
                </w:p>
              </w:tc>
            </w:tr>
            <w:tr w14:paraId="7A86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722" w:type="pct"/>
                  <w:vMerge w:val="restart"/>
                  <w:vAlign w:val="center"/>
                </w:tcPr>
                <w:p w14:paraId="46A3E6AC">
                  <w:pPr>
                    <w:widowControl/>
                    <w:jc w:val="center"/>
                    <w:textAlignment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实验室（2</w:t>
                  </w:r>
                  <w:r>
                    <w:rPr>
                      <w:rFonts w:eastAsia="仿宋"/>
                      <w:color w:val="000000" w:themeColor="text1"/>
                      <w:szCs w:val="22"/>
                      <w14:textFill>
                        <w14:solidFill>
                          <w14:schemeClr w14:val="tx1"/>
                        </w14:solidFill>
                      </w14:textFill>
                    </w:rPr>
                    <w:t>F</w:t>
                  </w:r>
                  <w:r>
                    <w:rPr>
                      <w:rFonts w:hint="eastAsia" w:eastAsia="仿宋"/>
                      <w:color w:val="000000" w:themeColor="text1"/>
                      <w:szCs w:val="22"/>
                      <w14:textFill>
                        <w14:solidFill>
                          <w14:schemeClr w14:val="tx1"/>
                        </w14:solidFill>
                      </w14:textFill>
                    </w:rPr>
                    <w:t>）</w:t>
                  </w:r>
                </w:p>
              </w:tc>
              <w:tc>
                <w:tcPr>
                  <w:tcW w:w="732" w:type="pct"/>
                  <w:vMerge w:val="restart"/>
                  <w:vAlign w:val="center"/>
                </w:tcPr>
                <w:p w14:paraId="18D531C6">
                  <w:pPr>
                    <w:autoSpaceDE w:val="0"/>
                    <w:autoSpaceDN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QC取样、QC检验</w:t>
                  </w:r>
                </w:p>
              </w:tc>
              <w:tc>
                <w:tcPr>
                  <w:tcW w:w="803" w:type="pct"/>
                  <w:vAlign w:val="center"/>
                </w:tcPr>
                <w:p w14:paraId="45E331E0">
                  <w:pPr>
                    <w:widowControl/>
                    <w:jc w:val="center"/>
                    <w:textAlignment w:val="center"/>
                    <w:rPr>
                      <w:rFonts w:ascii="仿宋_GB2312" w:hAnsi="宋体" w:eastAsia="仿宋_GB2312" w:cs="仿宋_GB2312"/>
                      <w:color w:val="000000" w:themeColor="text1"/>
                      <w:kern w:val="0"/>
                      <w:szCs w:val="21"/>
                      <w:lang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甲醇</w:t>
                  </w:r>
                </w:p>
              </w:tc>
              <w:tc>
                <w:tcPr>
                  <w:tcW w:w="726" w:type="pct"/>
                  <w:vAlign w:val="center"/>
                </w:tcPr>
                <w:p w14:paraId="37FD3A03">
                  <w:pPr>
                    <w:widowControl/>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0.0003</w:t>
                  </w:r>
                </w:p>
              </w:tc>
              <w:tc>
                <w:tcPr>
                  <w:tcW w:w="725" w:type="pct"/>
                  <w:vMerge w:val="restart"/>
                  <w:vAlign w:val="center"/>
                </w:tcPr>
                <w:p w14:paraId="4BC6267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7.4</w:t>
                  </w:r>
                </w:p>
              </w:tc>
              <w:tc>
                <w:tcPr>
                  <w:tcW w:w="646" w:type="pct"/>
                  <w:vMerge w:val="restart"/>
                  <w:vAlign w:val="center"/>
                </w:tcPr>
                <w:p w14:paraId="0BBEDDE1">
                  <w:pPr>
                    <w:autoSpaceDE w:val="0"/>
                    <w:autoSpaceDN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5</w:t>
                  </w:r>
                  <w:r>
                    <w:rPr>
                      <w:rFonts w:eastAsia="仿宋"/>
                      <w:color w:val="000000" w:themeColor="text1"/>
                      <w:szCs w:val="22"/>
                      <w14:textFill>
                        <w14:solidFill>
                          <w14:schemeClr w14:val="tx1"/>
                        </w14:solidFill>
                      </w14:textFill>
                    </w:rPr>
                    <w:t>.7</w:t>
                  </w:r>
                </w:p>
              </w:tc>
              <w:tc>
                <w:tcPr>
                  <w:tcW w:w="645" w:type="pct"/>
                  <w:vMerge w:val="restart"/>
                  <w:vAlign w:val="center"/>
                </w:tcPr>
                <w:p w14:paraId="08A7648D">
                  <w:pPr>
                    <w:autoSpaceDE w:val="0"/>
                    <w:autoSpaceDN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2</w:t>
                  </w:r>
                  <w:r>
                    <w:rPr>
                      <w:rFonts w:eastAsia="仿宋"/>
                      <w:color w:val="000000" w:themeColor="text1"/>
                      <w:szCs w:val="22"/>
                      <w14:textFill>
                        <w14:solidFill>
                          <w14:schemeClr w14:val="tx1"/>
                        </w14:solidFill>
                      </w14:textFill>
                    </w:rPr>
                    <w:t>.7</w:t>
                  </w:r>
                </w:p>
              </w:tc>
            </w:tr>
            <w:tr w14:paraId="45037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722" w:type="pct"/>
                  <w:vMerge w:val="continue"/>
                  <w:vAlign w:val="center"/>
                </w:tcPr>
                <w:p w14:paraId="21218575">
                  <w:pPr>
                    <w:jc w:val="center"/>
                    <w:rPr>
                      <w:color w:val="000000" w:themeColor="text1"/>
                      <w14:textFill>
                        <w14:solidFill>
                          <w14:schemeClr w14:val="tx1"/>
                        </w14:solidFill>
                      </w14:textFill>
                    </w:rPr>
                  </w:pPr>
                </w:p>
              </w:tc>
              <w:tc>
                <w:tcPr>
                  <w:tcW w:w="732" w:type="pct"/>
                  <w:vMerge w:val="continue"/>
                  <w:vAlign w:val="center"/>
                </w:tcPr>
                <w:p w14:paraId="1E09A9C1">
                  <w:pPr>
                    <w:autoSpaceDE w:val="0"/>
                    <w:autoSpaceDN w:val="0"/>
                    <w:snapToGrid w:val="0"/>
                    <w:jc w:val="center"/>
                    <w:rPr>
                      <w:rFonts w:eastAsia="仿宋"/>
                      <w:color w:val="000000" w:themeColor="text1"/>
                      <w:szCs w:val="22"/>
                      <w14:textFill>
                        <w14:solidFill>
                          <w14:schemeClr w14:val="tx1"/>
                        </w14:solidFill>
                      </w14:textFill>
                    </w:rPr>
                  </w:pPr>
                </w:p>
              </w:tc>
              <w:tc>
                <w:tcPr>
                  <w:tcW w:w="803" w:type="pct"/>
                  <w:vAlign w:val="center"/>
                </w:tcPr>
                <w:p w14:paraId="73C21931">
                  <w:pPr>
                    <w:widowControl/>
                    <w:jc w:val="center"/>
                    <w:textAlignment w:val="center"/>
                    <w:rPr>
                      <w:rFonts w:ascii="仿宋_GB2312" w:hAnsi="宋体" w:eastAsia="仿宋_GB2312" w:cs="仿宋_GB2312"/>
                      <w:color w:val="000000" w:themeColor="text1"/>
                      <w:kern w:val="0"/>
                      <w:szCs w:val="21"/>
                      <w:lang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非甲烷总烃</w:t>
                  </w:r>
                </w:p>
              </w:tc>
              <w:tc>
                <w:tcPr>
                  <w:tcW w:w="726" w:type="pct"/>
                  <w:vAlign w:val="center"/>
                </w:tcPr>
                <w:p w14:paraId="784D62F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0.0008</w:t>
                  </w:r>
                </w:p>
              </w:tc>
              <w:tc>
                <w:tcPr>
                  <w:tcW w:w="725" w:type="pct"/>
                  <w:vMerge w:val="continue"/>
                  <w:vAlign w:val="center"/>
                </w:tcPr>
                <w:p w14:paraId="5A342214">
                  <w:pPr>
                    <w:autoSpaceDE w:val="0"/>
                    <w:autoSpaceDN w:val="0"/>
                    <w:snapToGrid w:val="0"/>
                    <w:jc w:val="center"/>
                    <w:rPr>
                      <w:rFonts w:eastAsia="仿宋"/>
                      <w:color w:val="000000" w:themeColor="text1"/>
                      <w:szCs w:val="22"/>
                      <w14:textFill>
                        <w14:solidFill>
                          <w14:schemeClr w14:val="tx1"/>
                        </w14:solidFill>
                      </w14:textFill>
                    </w:rPr>
                  </w:pPr>
                </w:p>
              </w:tc>
              <w:tc>
                <w:tcPr>
                  <w:tcW w:w="646" w:type="pct"/>
                  <w:vMerge w:val="continue"/>
                  <w:vAlign w:val="center"/>
                </w:tcPr>
                <w:p w14:paraId="1D0C48C3">
                  <w:pPr>
                    <w:autoSpaceDE w:val="0"/>
                    <w:autoSpaceDN w:val="0"/>
                    <w:snapToGrid w:val="0"/>
                    <w:jc w:val="center"/>
                    <w:rPr>
                      <w:rFonts w:eastAsia="仿宋"/>
                      <w:color w:val="000000" w:themeColor="text1"/>
                      <w:szCs w:val="22"/>
                      <w14:textFill>
                        <w14:solidFill>
                          <w14:schemeClr w14:val="tx1"/>
                        </w14:solidFill>
                      </w14:textFill>
                    </w:rPr>
                  </w:pPr>
                </w:p>
              </w:tc>
              <w:tc>
                <w:tcPr>
                  <w:tcW w:w="645" w:type="pct"/>
                  <w:vMerge w:val="continue"/>
                  <w:vAlign w:val="center"/>
                </w:tcPr>
                <w:p w14:paraId="4BDA6270">
                  <w:pPr>
                    <w:autoSpaceDE w:val="0"/>
                    <w:autoSpaceDN w:val="0"/>
                    <w:snapToGrid w:val="0"/>
                    <w:jc w:val="center"/>
                    <w:rPr>
                      <w:rFonts w:eastAsia="仿宋"/>
                      <w:color w:val="000000" w:themeColor="text1"/>
                      <w:szCs w:val="22"/>
                      <w14:textFill>
                        <w14:solidFill>
                          <w14:schemeClr w14:val="tx1"/>
                        </w14:solidFill>
                      </w14:textFill>
                    </w:rPr>
                  </w:pPr>
                </w:p>
              </w:tc>
            </w:tr>
          </w:tbl>
          <w:p w14:paraId="2ABF6C35">
            <w:pPr>
              <w:spacing w:line="480" w:lineRule="exact"/>
              <w:ind w:firstLine="480" w:firstLineChars="200"/>
              <w:rPr>
                <w:rFonts w:eastAsia="仿宋"/>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③</w:t>
            </w:r>
            <w:r>
              <w:rPr>
                <w:rFonts w:eastAsia="仿宋"/>
                <w:bCs/>
                <w:color w:val="000000" w:themeColor="text1"/>
                <w:sz w:val="24"/>
                <w14:textFill>
                  <w14:solidFill>
                    <w14:schemeClr w14:val="tx1"/>
                  </w14:solidFill>
                </w14:textFill>
              </w:rPr>
              <w:t>非正常工况</w:t>
            </w:r>
          </w:p>
          <w:p w14:paraId="0CA6EAC6">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非正常排放主要包括设备开停车、检修状况及废气处理设施发生故障导致污染物排放达不到应有的效率。</w:t>
            </w:r>
            <w:r>
              <w:rPr>
                <w:rFonts w:hint="eastAsia" w:eastAsia="仿宋"/>
                <w:bCs/>
                <w:color w:val="000000" w:themeColor="text1"/>
                <w:sz w:val="24"/>
                <w14:textFill>
                  <w14:solidFill>
                    <w14:schemeClr w14:val="tx1"/>
                  </w14:solidFill>
                </w14:textFill>
              </w:rPr>
              <w:t>实验室</w:t>
            </w:r>
            <w:r>
              <w:rPr>
                <w:rFonts w:eastAsia="仿宋"/>
                <w:bCs/>
                <w:color w:val="000000" w:themeColor="text1"/>
                <w:sz w:val="24"/>
                <w14:textFill>
                  <w14:solidFill>
                    <w14:schemeClr w14:val="tx1"/>
                  </w14:solidFill>
                </w14:textFill>
              </w:rPr>
              <w:t>开工时，需要首先运行废气处理设施；</w:t>
            </w:r>
            <w:r>
              <w:rPr>
                <w:rFonts w:hint="eastAsia" w:eastAsia="仿宋"/>
                <w:bCs/>
                <w:color w:val="000000" w:themeColor="text1"/>
                <w:sz w:val="24"/>
                <w14:textFill>
                  <w14:solidFill>
                    <w14:schemeClr w14:val="tx1"/>
                  </w14:solidFill>
                </w14:textFill>
              </w:rPr>
              <w:t>实验室</w:t>
            </w:r>
            <w:r>
              <w:rPr>
                <w:rFonts w:eastAsia="仿宋"/>
                <w:bCs/>
                <w:color w:val="000000" w:themeColor="text1"/>
                <w:sz w:val="24"/>
                <w14:textFill>
                  <w14:solidFill>
                    <w14:schemeClr w14:val="tx1"/>
                  </w14:solidFill>
                </w14:textFill>
              </w:rPr>
              <w:t>停工时，废气处理设施需要继续运行，待工艺废气没有排出后再关闭。这样，</w:t>
            </w:r>
            <w:r>
              <w:rPr>
                <w:rFonts w:hint="eastAsia" w:eastAsia="仿宋"/>
                <w:bCs/>
                <w:color w:val="000000" w:themeColor="text1"/>
                <w:sz w:val="24"/>
                <w14:textFill>
                  <w14:solidFill>
                    <w14:schemeClr w14:val="tx1"/>
                  </w14:solidFill>
                </w14:textFill>
              </w:rPr>
              <w:t>实验室</w:t>
            </w:r>
            <w:r>
              <w:rPr>
                <w:rFonts w:eastAsia="仿宋"/>
                <w:bCs/>
                <w:color w:val="000000" w:themeColor="text1"/>
                <w:sz w:val="24"/>
                <w14:textFill>
                  <w14:solidFill>
                    <w14:schemeClr w14:val="tx1"/>
                  </w14:solidFill>
                </w14:textFill>
              </w:rPr>
              <w:t>在开、停车时排出的污染物均得到有效处理，经排气筒排出的污染物浓度和正常生产时基本一致。同时企业电气、排风等系统均设置了备用系统，同时每年检修一次，基本上能保障无故障运行。</w:t>
            </w:r>
          </w:p>
          <w:p w14:paraId="7A896646">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非正常工况排放指生产过程中设备检修、工艺设备运转异常等非正常工况下的污染物排放，以及污染物排放控制达不到应有效率等情况下的排放。本次评价废气非正常工况排放为主要考虑项目废气治理措施完全失效状态下的排放，即去除效率为0%的排放，事故时间估算约1h。本项目非正常工况大气污染物排放情况见下表。</w:t>
            </w:r>
          </w:p>
          <w:p w14:paraId="2D14B280">
            <w:pPr>
              <w:keepNext/>
              <w:spacing w:line="480" w:lineRule="exact"/>
              <w:jc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表4</w:t>
            </w:r>
            <w:r>
              <w:rPr>
                <w:rFonts w:eastAsia="仿宋"/>
                <w:b/>
                <w:color w:val="000000" w:themeColor="text1"/>
                <w:szCs w:val="21"/>
                <w14:textFill>
                  <w14:solidFill>
                    <w14:schemeClr w14:val="tx1"/>
                  </w14:solidFill>
                </w14:textFill>
              </w:rPr>
              <w:t>-12 非正常工况有组织废气源强表</w:t>
            </w:r>
          </w:p>
          <w:tbl>
            <w:tblPr>
              <w:tblStyle w:val="24"/>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50"/>
              <w:gridCol w:w="1157"/>
              <w:gridCol w:w="1153"/>
              <w:gridCol w:w="1297"/>
              <w:gridCol w:w="1444"/>
              <w:gridCol w:w="1322"/>
              <w:gridCol w:w="885"/>
              <w:gridCol w:w="1002"/>
            </w:tblGrid>
            <w:tr w14:paraId="62A87E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16" w:type="pct"/>
                  <w:tcBorders>
                    <w:tl2br w:val="nil"/>
                    <w:tr2bl w:val="nil"/>
                  </w:tcBorders>
                  <w:vAlign w:val="center"/>
                </w:tcPr>
                <w:p w14:paraId="0E109FAF">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污染源</w:t>
                  </w:r>
                </w:p>
              </w:tc>
              <w:tc>
                <w:tcPr>
                  <w:tcW w:w="642" w:type="pct"/>
                  <w:tcBorders>
                    <w:tl2br w:val="nil"/>
                    <w:tr2bl w:val="nil"/>
                  </w:tcBorders>
                  <w:vAlign w:val="center"/>
                </w:tcPr>
                <w:p w14:paraId="2ECAC57B">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非正常排放原因</w:t>
                  </w:r>
                </w:p>
              </w:tc>
              <w:tc>
                <w:tcPr>
                  <w:tcW w:w="640" w:type="pct"/>
                  <w:tcBorders>
                    <w:tl2br w:val="nil"/>
                    <w:tr2bl w:val="nil"/>
                  </w:tcBorders>
                  <w:vAlign w:val="center"/>
                </w:tcPr>
                <w:p w14:paraId="3406CF69">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污染物</w:t>
                  </w:r>
                </w:p>
              </w:tc>
              <w:tc>
                <w:tcPr>
                  <w:tcW w:w="720" w:type="pct"/>
                  <w:tcBorders>
                    <w:tl2br w:val="nil"/>
                    <w:tr2bl w:val="nil"/>
                  </w:tcBorders>
                  <w:vAlign w:val="center"/>
                </w:tcPr>
                <w:p w14:paraId="044FACD1">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非正常排放浓度（mg/m</w:t>
                  </w:r>
                  <w:r>
                    <w:rPr>
                      <w:rFonts w:eastAsia="仿宋"/>
                      <w:b/>
                      <w:bCs/>
                      <w:color w:val="000000" w:themeColor="text1"/>
                      <w:szCs w:val="22"/>
                      <w:vertAlign w:val="superscript"/>
                      <w14:textFill>
                        <w14:solidFill>
                          <w14:schemeClr w14:val="tx1"/>
                        </w14:solidFill>
                      </w14:textFill>
                    </w:rPr>
                    <w:t>3</w:t>
                  </w:r>
                  <w:r>
                    <w:rPr>
                      <w:rFonts w:eastAsia="仿宋"/>
                      <w:b/>
                      <w:bCs/>
                      <w:color w:val="000000" w:themeColor="text1"/>
                      <w:szCs w:val="22"/>
                      <w14:textFill>
                        <w14:solidFill>
                          <w14:schemeClr w14:val="tx1"/>
                        </w14:solidFill>
                      </w14:textFill>
                    </w:rPr>
                    <w:t>）</w:t>
                  </w:r>
                </w:p>
              </w:tc>
              <w:tc>
                <w:tcPr>
                  <w:tcW w:w="801" w:type="pct"/>
                  <w:tcBorders>
                    <w:tl2br w:val="nil"/>
                    <w:tr2bl w:val="nil"/>
                  </w:tcBorders>
                  <w:vAlign w:val="center"/>
                </w:tcPr>
                <w:p w14:paraId="7FA56DD7">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非正常排放速率（kg/h）</w:t>
                  </w:r>
                </w:p>
              </w:tc>
              <w:tc>
                <w:tcPr>
                  <w:tcW w:w="734" w:type="pct"/>
                  <w:tcBorders>
                    <w:tl2br w:val="nil"/>
                    <w:tr2bl w:val="nil"/>
                  </w:tcBorders>
                  <w:vAlign w:val="center"/>
                </w:tcPr>
                <w:p w14:paraId="0873DFD9">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非正常排放量（t/a）</w:t>
                  </w:r>
                </w:p>
              </w:tc>
              <w:tc>
                <w:tcPr>
                  <w:tcW w:w="491" w:type="pct"/>
                  <w:tcBorders>
                    <w:tl2br w:val="nil"/>
                    <w:tr2bl w:val="nil"/>
                  </w:tcBorders>
                  <w:vAlign w:val="center"/>
                </w:tcPr>
                <w:p w14:paraId="605F3C5B">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单次持续时间</w:t>
                  </w:r>
                </w:p>
                <w:p w14:paraId="409B5590">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（h）</w:t>
                  </w:r>
                </w:p>
              </w:tc>
              <w:tc>
                <w:tcPr>
                  <w:tcW w:w="556" w:type="pct"/>
                  <w:tcBorders>
                    <w:tl2br w:val="nil"/>
                    <w:tr2bl w:val="nil"/>
                  </w:tcBorders>
                  <w:vAlign w:val="center"/>
                </w:tcPr>
                <w:p w14:paraId="222E3B5F">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年发生频次（次）</w:t>
                  </w:r>
                </w:p>
              </w:tc>
            </w:tr>
            <w:tr w14:paraId="5739AB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16" w:type="pct"/>
                  <w:vMerge w:val="restart"/>
                  <w:tcBorders>
                    <w:tl2br w:val="nil"/>
                    <w:tr2bl w:val="nil"/>
                  </w:tcBorders>
                  <w:vAlign w:val="center"/>
                </w:tcPr>
                <w:p w14:paraId="751C4A5B">
                  <w:pPr>
                    <w:autoSpaceDE w:val="0"/>
                    <w:autoSpaceDN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1</w:t>
                  </w:r>
                  <w:r>
                    <w:rPr>
                      <w:rFonts w:eastAsia="仿宋"/>
                      <w:color w:val="000000" w:themeColor="text1"/>
                      <w:szCs w:val="22"/>
                      <w14:textFill>
                        <w14:solidFill>
                          <w14:schemeClr w14:val="tx1"/>
                        </w14:solidFill>
                      </w14:textFill>
                    </w:rPr>
                    <w:t>#排气筒</w:t>
                  </w:r>
                </w:p>
              </w:tc>
              <w:tc>
                <w:tcPr>
                  <w:tcW w:w="642" w:type="pct"/>
                  <w:vMerge w:val="restart"/>
                  <w:tcBorders>
                    <w:tl2br w:val="nil"/>
                    <w:tr2bl w:val="nil"/>
                  </w:tcBorders>
                  <w:vAlign w:val="center"/>
                </w:tcPr>
                <w:p w14:paraId="595D89D5">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废气处理装置出现故障</w:t>
                  </w:r>
                </w:p>
              </w:tc>
              <w:tc>
                <w:tcPr>
                  <w:tcW w:w="640" w:type="pct"/>
                  <w:tcBorders>
                    <w:tl2br w:val="nil"/>
                    <w:tr2bl w:val="nil"/>
                  </w:tcBorders>
                  <w:vAlign w:val="center"/>
                </w:tcPr>
                <w:p w14:paraId="747D851F">
                  <w:pPr>
                    <w:autoSpaceDE w:val="0"/>
                    <w:autoSpaceDN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甲醇</w:t>
                  </w:r>
                </w:p>
              </w:tc>
              <w:tc>
                <w:tcPr>
                  <w:tcW w:w="720" w:type="pct"/>
                  <w:shd w:val="clear" w:color="auto" w:fill="auto"/>
                  <w:vAlign w:val="center"/>
                </w:tcPr>
                <w:p w14:paraId="0E68E0D0">
                  <w:pPr>
                    <w:widowControl/>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11.11</w:t>
                  </w:r>
                </w:p>
              </w:tc>
              <w:tc>
                <w:tcPr>
                  <w:tcW w:w="801" w:type="pct"/>
                  <w:shd w:val="clear" w:color="auto" w:fill="auto"/>
                  <w:vAlign w:val="center"/>
                </w:tcPr>
                <w:p w14:paraId="68854A6D">
                  <w:pPr>
                    <w:widowControl/>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0.03</w:t>
                  </w:r>
                </w:p>
              </w:tc>
              <w:tc>
                <w:tcPr>
                  <w:tcW w:w="734" w:type="pct"/>
                  <w:tcBorders>
                    <w:tl2br w:val="nil"/>
                    <w:tr2bl w:val="nil"/>
                  </w:tcBorders>
                  <w:vAlign w:val="center"/>
                </w:tcPr>
                <w:p w14:paraId="5C8520A5">
                  <w:pPr>
                    <w:widowControl/>
                    <w:jc w:val="center"/>
                    <w:textAlignment w:val="center"/>
                    <w:rPr>
                      <w:rFonts w:eastAsia="仿宋"/>
                      <w:color w:val="000000" w:themeColor="text1"/>
                      <w:szCs w:val="22"/>
                      <w14:textFill>
                        <w14:solidFill>
                          <w14:schemeClr w14:val="tx1"/>
                        </w14:solidFill>
                      </w14:textFill>
                    </w:rPr>
                  </w:pPr>
                  <w:r>
                    <w:rPr>
                      <w:color w:val="000000" w:themeColor="text1"/>
                      <w:kern w:val="0"/>
                      <w:szCs w:val="21"/>
                      <w:lang w:bidi="ar"/>
                      <w14:textFill>
                        <w14:solidFill>
                          <w14:schemeClr w14:val="tx1"/>
                        </w14:solidFill>
                      </w14:textFill>
                    </w:rPr>
                    <w:t>0.00003</w:t>
                  </w:r>
                </w:p>
              </w:tc>
              <w:tc>
                <w:tcPr>
                  <w:tcW w:w="491" w:type="pct"/>
                  <w:tcBorders>
                    <w:tl2br w:val="nil"/>
                    <w:tr2bl w:val="nil"/>
                  </w:tcBorders>
                  <w:vAlign w:val="center"/>
                </w:tcPr>
                <w:p w14:paraId="7A424D1A">
                  <w:pPr>
                    <w:widowControl/>
                    <w:jc w:val="center"/>
                    <w:textAlignment w:val="center"/>
                    <w:rPr>
                      <w:rFonts w:eastAsia="仿宋"/>
                      <w:color w:val="000000" w:themeColor="text1"/>
                      <w:szCs w:val="22"/>
                      <w14:textFill>
                        <w14:solidFill>
                          <w14:schemeClr w14:val="tx1"/>
                        </w14:solidFill>
                      </w14:textFill>
                    </w:rPr>
                  </w:pPr>
                  <w:r>
                    <w:rPr>
                      <w:color w:val="000000" w:themeColor="text1"/>
                      <w:kern w:val="0"/>
                      <w:szCs w:val="21"/>
                      <w:lang w:bidi="ar"/>
                      <w14:textFill>
                        <w14:solidFill>
                          <w14:schemeClr w14:val="tx1"/>
                        </w14:solidFill>
                      </w14:textFill>
                    </w:rPr>
                    <w:t>1</w:t>
                  </w:r>
                </w:p>
              </w:tc>
              <w:tc>
                <w:tcPr>
                  <w:tcW w:w="556" w:type="pct"/>
                  <w:tcBorders>
                    <w:tl2br w:val="nil"/>
                    <w:tr2bl w:val="nil"/>
                  </w:tcBorders>
                  <w:vAlign w:val="center"/>
                </w:tcPr>
                <w:p w14:paraId="5C94E59D">
                  <w:pPr>
                    <w:widowControl/>
                    <w:jc w:val="center"/>
                    <w:textAlignment w:val="center"/>
                    <w:rPr>
                      <w:rFonts w:eastAsia="仿宋"/>
                      <w:color w:val="000000" w:themeColor="text1"/>
                      <w:szCs w:val="22"/>
                      <w14:textFill>
                        <w14:solidFill>
                          <w14:schemeClr w14:val="tx1"/>
                        </w14:solidFill>
                      </w14:textFill>
                    </w:rPr>
                  </w:pPr>
                  <w:r>
                    <w:rPr>
                      <w:color w:val="000000" w:themeColor="text1"/>
                      <w:kern w:val="0"/>
                      <w:szCs w:val="21"/>
                      <w:lang w:bidi="ar"/>
                      <w14:textFill>
                        <w14:solidFill>
                          <w14:schemeClr w14:val="tx1"/>
                        </w14:solidFill>
                      </w14:textFill>
                    </w:rPr>
                    <w:t>1</w:t>
                  </w:r>
                </w:p>
              </w:tc>
            </w:tr>
            <w:tr w14:paraId="3F4184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16" w:type="pct"/>
                  <w:vMerge w:val="continue"/>
                  <w:tcBorders>
                    <w:tl2br w:val="nil"/>
                    <w:tr2bl w:val="nil"/>
                  </w:tcBorders>
                  <w:vAlign w:val="center"/>
                </w:tcPr>
                <w:p w14:paraId="5A86630A">
                  <w:pPr>
                    <w:autoSpaceDE w:val="0"/>
                    <w:autoSpaceDN w:val="0"/>
                    <w:jc w:val="center"/>
                    <w:rPr>
                      <w:rFonts w:eastAsia="仿宋"/>
                      <w:color w:val="000000" w:themeColor="text1"/>
                      <w:szCs w:val="22"/>
                      <w14:textFill>
                        <w14:solidFill>
                          <w14:schemeClr w14:val="tx1"/>
                        </w14:solidFill>
                      </w14:textFill>
                    </w:rPr>
                  </w:pPr>
                </w:p>
              </w:tc>
              <w:tc>
                <w:tcPr>
                  <w:tcW w:w="642" w:type="pct"/>
                  <w:vMerge w:val="continue"/>
                  <w:tcBorders>
                    <w:tl2br w:val="nil"/>
                    <w:tr2bl w:val="nil"/>
                  </w:tcBorders>
                  <w:vAlign w:val="center"/>
                </w:tcPr>
                <w:p w14:paraId="709267B2">
                  <w:pPr>
                    <w:autoSpaceDE w:val="0"/>
                    <w:autoSpaceDN w:val="0"/>
                    <w:jc w:val="center"/>
                    <w:rPr>
                      <w:rFonts w:eastAsia="仿宋"/>
                      <w:color w:val="000000" w:themeColor="text1"/>
                      <w:szCs w:val="22"/>
                      <w14:textFill>
                        <w14:solidFill>
                          <w14:schemeClr w14:val="tx1"/>
                        </w14:solidFill>
                      </w14:textFill>
                    </w:rPr>
                  </w:pPr>
                </w:p>
              </w:tc>
              <w:tc>
                <w:tcPr>
                  <w:tcW w:w="640" w:type="pct"/>
                  <w:tcBorders>
                    <w:tl2br w:val="nil"/>
                    <w:tr2bl w:val="nil"/>
                  </w:tcBorders>
                  <w:vAlign w:val="center"/>
                </w:tcPr>
                <w:p w14:paraId="3BA11B8A">
                  <w:pPr>
                    <w:autoSpaceDE w:val="0"/>
                    <w:autoSpaceDN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非甲烷总烃</w:t>
                  </w:r>
                </w:p>
              </w:tc>
              <w:tc>
                <w:tcPr>
                  <w:tcW w:w="720" w:type="pct"/>
                  <w:shd w:val="clear" w:color="auto" w:fill="auto"/>
                  <w:vAlign w:val="center"/>
                </w:tcPr>
                <w:p w14:paraId="2EAA4AFC">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27.78</w:t>
                  </w:r>
                </w:p>
              </w:tc>
              <w:tc>
                <w:tcPr>
                  <w:tcW w:w="801" w:type="pct"/>
                  <w:shd w:val="clear" w:color="auto" w:fill="auto"/>
                  <w:vAlign w:val="center"/>
                </w:tcPr>
                <w:p w14:paraId="560B74D2">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0.075</w:t>
                  </w:r>
                </w:p>
              </w:tc>
              <w:tc>
                <w:tcPr>
                  <w:tcW w:w="734" w:type="pct"/>
                  <w:tcBorders>
                    <w:tl2br w:val="nil"/>
                    <w:tr2bl w:val="nil"/>
                  </w:tcBorders>
                  <w:vAlign w:val="center"/>
                </w:tcPr>
                <w:p w14:paraId="108D7CE0">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0.000075</w:t>
                  </w:r>
                </w:p>
              </w:tc>
              <w:tc>
                <w:tcPr>
                  <w:tcW w:w="491" w:type="pct"/>
                  <w:tcBorders>
                    <w:tl2br w:val="nil"/>
                    <w:tr2bl w:val="nil"/>
                  </w:tcBorders>
                  <w:vAlign w:val="center"/>
                </w:tcPr>
                <w:p w14:paraId="1EFC5606">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w:t>
                  </w:r>
                </w:p>
              </w:tc>
              <w:tc>
                <w:tcPr>
                  <w:tcW w:w="556" w:type="pct"/>
                  <w:tcBorders>
                    <w:tl2br w:val="nil"/>
                    <w:tr2bl w:val="nil"/>
                  </w:tcBorders>
                  <w:vAlign w:val="center"/>
                </w:tcPr>
                <w:p w14:paraId="517CE3F1">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1</w:t>
                  </w:r>
                </w:p>
              </w:tc>
            </w:tr>
          </w:tbl>
          <w:p w14:paraId="1DD3CE7C">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（5）排放口基本情况</w:t>
            </w:r>
          </w:p>
          <w:p w14:paraId="61A51C0C">
            <w:pPr>
              <w:keepNext/>
              <w:spacing w:line="480" w:lineRule="exact"/>
              <w:jc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表4</w:t>
            </w:r>
            <w:r>
              <w:rPr>
                <w:rFonts w:eastAsia="仿宋"/>
                <w:b/>
                <w:color w:val="000000" w:themeColor="text1"/>
                <w:szCs w:val="21"/>
                <w14:textFill>
                  <w14:solidFill>
                    <w14:schemeClr w14:val="tx1"/>
                  </w14:solidFill>
                </w14:textFill>
              </w:rPr>
              <w:t>-13 本项目废气排放口基本情况表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13"/>
              <w:gridCol w:w="1232"/>
              <w:gridCol w:w="1299"/>
              <w:gridCol w:w="868"/>
              <w:gridCol w:w="864"/>
              <w:gridCol w:w="866"/>
              <w:gridCol w:w="864"/>
              <w:gridCol w:w="1135"/>
              <w:gridCol w:w="1063"/>
            </w:tblGrid>
            <w:tr w14:paraId="23B11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2" w:hRule="atLeast"/>
                <w:jc w:val="center"/>
              </w:trPr>
              <w:tc>
                <w:tcPr>
                  <w:tcW w:w="452" w:type="pct"/>
                  <w:vMerge w:val="restart"/>
                  <w:noWrap/>
                  <w:vAlign w:val="center"/>
                </w:tcPr>
                <w:p w14:paraId="1631F09F">
                  <w:pPr>
                    <w:autoSpaceDE w:val="0"/>
                    <w:autoSpaceDN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污染源名称</w:t>
                  </w:r>
                </w:p>
              </w:tc>
              <w:tc>
                <w:tcPr>
                  <w:tcW w:w="1405" w:type="pct"/>
                  <w:gridSpan w:val="2"/>
                  <w:noWrap/>
                  <w:vAlign w:val="center"/>
                </w:tcPr>
                <w:p w14:paraId="14E8CBB2">
                  <w:pPr>
                    <w:autoSpaceDE w:val="0"/>
                    <w:autoSpaceDN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排气筒底部中心坐标(o)</w:t>
                  </w:r>
                </w:p>
              </w:tc>
              <w:tc>
                <w:tcPr>
                  <w:tcW w:w="1923" w:type="pct"/>
                  <w:gridSpan w:val="4"/>
                  <w:noWrap/>
                  <w:vAlign w:val="center"/>
                </w:tcPr>
                <w:p w14:paraId="41DB2D87">
                  <w:pPr>
                    <w:autoSpaceDE w:val="0"/>
                    <w:autoSpaceDN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排气筒参数</w:t>
                  </w:r>
                </w:p>
              </w:tc>
              <w:tc>
                <w:tcPr>
                  <w:tcW w:w="630" w:type="pct"/>
                  <w:vMerge w:val="restart"/>
                  <w:noWrap/>
                  <w:vAlign w:val="center"/>
                </w:tcPr>
                <w:p w14:paraId="106E60EC">
                  <w:pPr>
                    <w:autoSpaceDE w:val="0"/>
                    <w:autoSpaceDN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污染物名称</w:t>
                  </w:r>
                </w:p>
              </w:tc>
              <w:tc>
                <w:tcPr>
                  <w:tcW w:w="590" w:type="pct"/>
                  <w:vMerge w:val="restart"/>
                  <w:noWrap/>
                  <w:vAlign w:val="center"/>
                </w:tcPr>
                <w:p w14:paraId="7588FF25">
                  <w:pPr>
                    <w:autoSpaceDE w:val="0"/>
                    <w:autoSpaceDN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排放速率（kg/h）</w:t>
                  </w:r>
                </w:p>
              </w:tc>
            </w:tr>
            <w:tr w14:paraId="05E46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7" w:hRule="atLeast"/>
                <w:jc w:val="center"/>
              </w:trPr>
              <w:tc>
                <w:tcPr>
                  <w:tcW w:w="452" w:type="pct"/>
                  <w:vMerge w:val="continue"/>
                  <w:noWrap/>
                  <w:vAlign w:val="center"/>
                </w:tcPr>
                <w:p w14:paraId="5CE1BDEF">
                  <w:pPr>
                    <w:autoSpaceDE w:val="0"/>
                    <w:autoSpaceDN w:val="0"/>
                    <w:jc w:val="center"/>
                    <w:rPr>
                      <w:rFonts w:eastAsia="仿宋"/>
                      <w:color w:val="000000" w:themeColor="text1"/>
                      <w:szCs w:val="22"/>
                      <w14:textFill>
                        <w14:solidFill>
                          <w14:schemeClr w14:val="tx1"/>
                        </w14:solidFill>
                      </w14:textFill>
                    </w:rPr>
                  </w:pPr>
                </w:p>
              </w:tc>
              <w:tc>
                <w:tcPr>
                  <w:tcW w:w="684" w:type="pct"/>
                  <w:noWrap/>
                  <w:vAlign w:val="center"/>
                </w:tcPr>
                <w:p w14:paraId="5B40675E">
                  <w:pPr>
                    <w:autoSpaceDE w:val="0"/>
                    <w:autoSpaceDN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经度</w:t>
                  </w:r>
                </w:p>
              </w:tc>
              <w:tc>
                <w:tcPr>
                  <w:tcW w:w="721" w:type="pct"/>
                  <w:noWrap/>
                  <w:vAlign w:val="center"/>
                </w:tcPr>
                <w:p w14:paraId="50CA706B">
                  <w:pPr>
                    <w:autoSpaceDE w:val="0"/>
                    <w:autoSpaceDN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纬度</w:t>
                  </w:r>
                </w:p>
              </w:tc>
              <w:tc>
                <w:tcPr>
                  <w:tcW w:w="482" w:type="pct"/>
                  <w:noWrap/>
                  <w:vAlign w:val="center"/>
                </w:tcPr>
                <w:p w14:paraId="01478899">
                  <w:pPr>
                    <w:autoSpaceDE w:val="0"/>
                    <w:autoSpaceDN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高度（m）</w:t>
                  </w:r>
                </w:p>
              </w:tc>
              <w:tc>
                <w:tcPr>
                  <w:tcW w:w="480" w:type="pct"/>
                  <w:noWrap/>
                  <w:vAlign w:val="center"/>
                </w:tcPr>
                <w:p w14:paraId="30501340">
                  <w:pPr>
                    <w:autoSpaceDE w:val="0"/>
                    <w:autoSpaceDN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内径（m）</w:t>
                  </w:r>
                </w:p>
              </w:tc>
              <w:tc>
                <w:tcPr>
                  <w:tcW w:w="481" w:type="pct"/>
                  <w:noWrap/>
                  <w:vAlign w:val="center"/>
                </w:tcPr>
                <w:p w14:paraId="0AFF448A">
                  <w:pPr>
                    <w:autoSpaceDE w:val="0"/>
                    <w:autoSpaceDN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温度（</w:t>
                  </w:r>
                  <w:r>
                    <w:rPr>
                      <w:rFonts w:hint="eastAsia" w:ascii="宋体" w:hAnsi="宋体" w:cs="宋体"/>
                      <w:b/>
                      <w:bCs/>
                      <w:color w:val="000000" w:themeColor="text1"/>
                      <w:szCs w:val="22"/>
                      <w14:textFill>
                        <w14:solidFill>
                          <w14:schemeClr w14:val="tx1"/>
                        </w14:solidFill>
                      </w14:textFill>
                    </w:rPr>
                    <w:t>℃</w:t>
                  </w:r>
                  <w:r>
                    <w:rPr>
                      <w:rFonts w:eastAsia="仿宋"/>
                      <w:b/>
                      <w:bCs/>
                      <w:color w:val="000000" w:themeColor="text1"/>
                      <w:szCs w:val="22"/>
                      <w14:textFill>
                        <w14:solidFill>
                          <w14:schemeClr w14:val="tx1"/>
                        </w14:solidFill>
                      </w14:textFill>
                    </w:rPr>
                    <w:t>）</w:t>
                  </w:r>
                </w:p>
              </w:tc>
              <w:tc>
                <w:tcPr>
                  <w:tcW w:w="480" w:type="pct"/>
                  <w:noWrap/>
                  <w:vAlign w:val="center"/>
                </w:tcPr>
                <w:p w14:paraId="7DF50948">
                  <w:pPr>
                    <w:autoSpaceDE w:val="0"/>
                    <w:autoSpaceDN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流速（m/s）</w:t>
                  </w:r>
                </w:p>
              </w:tc>
              <w:tc>
                <w:tcPr>
                  <w:tcW w:w="630" w:type="pct"/>
                  <w:vMerge w:val="continue"/>
                  <w:noWrap/>
                  <w:vAlign w:val="center"/>
                </w:tcPr>
                <w:p w14:paraId="3C71F89E">
                  <w:pPr>
                    <w:autoSpaceDE w:val="0"/>
                    <w:autoSpaceDN w:val="0"/>
                    <w:jc w:val="center"/>
                    <w:rPr>
                      <w:rFonts w:eastAsia="仿宋"/>
                      <w:color w:val="000000" w:themeColor="text1"/>
                      <w:szCs w:val="22"/>
                      <w14:textFill>
                        <w14:solidFill>
                          <w14:schemeClr w14:val="tx1"/>
                        </w14:solidFill>
                      </w14:textFill>
                    </w:rPr>
                  </w:pPr>
                </w:p>
              </w:tc>
              <w:tc>
                <w:tcPr>
                  <w:tcW w:w="590" w:type="pct"/>
                  <w:vMerge w:val="continue"/>
                  <w:noWrap/>
                  <w:vAlign w:val="center"/>
                </w:tcPr>
                <w:p w14:paraId="7B5BA561">
                  <w:pPr>
                    <w:autoSpaceDE w:val="0"/>
                    <w:autoSpaceDN w:val="0"/>
                    <w:jc w:val="center"/>
                    <w:rPr>
                      <w:rFonts w:eastAsia="仿宋"/>
                      <w:color w:val="000000" w:themeColor="text1"/>
                      <w:szCs w:val="22"/>
                      <w14:textFill>
                        <w14:solidFill>
                          <w14:schemeClr w14:val="tx1"/>
                        </w14:solidFill>
                      </w14:textFill>
                    </w:rPr>
                  </w:pPr>
                </w:p>
              </w:tc>
            </w:tr>
            <w:tr w14:paraId="2A5A2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1" w:hRule="atLeast"/>
                <w:jc w:val="center"/>
              </w:trPr>
              <w:tc>
                <w:tcPr>
                  <w:tcW w:w="452" w:type="pct"/>
                  <w:vMerge w:val="restart"/>
                  <w:noWrap/>
                  <w:vAlign w:val="center"/>
                </w:tcPr>
                <w:p w14:paraId="276587CE">
                  <w:pPr>
                    <w:autoSpaceDE w:val="0"/>
                    <w:autoSpaceDN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1</w:t>
                  </w:r>
                  <w:r>
                    <w:rPr>
                      <w:rFonts w:eastAsia="仿宋"/>
                      <w:color w:val="000000" w:themeColor="text1"/>
                      <w:szCs w:val="22"/>
                      <w14:textFill>
                        <w14:solidFill>
                          <w14:schemeClr w14:val="tx1"/>
                        </w14:solidFill>
                      </w14:textFill>
                    </w:rPr>
                    <w:t>#排气筒</w:t>
                  </w:r>
                </w:p>
              </w:tc>
              <w:tc>
                <w:tcPr>
                  <w:tcW w:w="684" w:type="pct"/>
                  <w:vMerge w:val="restart"/>
                  <w:shd w:val="clear" w:color="auto" w:fill="auto"/>
                  <w:noWrap/>
                  <w:vAlign w:val="center"/>
                </w:tcPr>
                <w:p w14:paraId="7D17B06A">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119.647721</w:t>
                  </w:r>
                </w:p>
              </w:tc>
              <w:tc>
                <w:tcPr>
                  <w:tcW w:w="721" w:type="pct"/>
                  <w:vMerge w:val="restart"/>
                  <w:shd w:val="clear" w:color="auto" w:fill="auto"/>
                  <w:noWrap/>
                  <w:vAlign w:val="center"/>
                </w:tcPr>
                <w:p w14:paraId="10D7D6C2">
                  <w:pPr>
                    <w:autoSpaceDE w:val="0"/>
                    <w:autoSpaceDN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31.730443</w:t>
                  </w:r>
                </w:p>
              </w:tc>
              <w:tc>
                <w:tcPr>
                  <w:tcW w:w="482" w:type="pct"/>
                  <w:vMerge w:val="restart"/>
                  <w:noWrap/>
                  <w:vAlign w:val="center"/>
                </w:tcPr>
                <w:p w14:paraId="43569AE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28</w:t>
                  </w:r>
                </w:p>
              </w:tc>
              <w:tc>
                <w:tcPr>
                  <w:tcW w:w="480" w:type="pct"/>
                  <w:vMerge w:val="restart"/>
                  <w:noWrap/>
                  <w:vAlign w:val="center"/>
                </w:tcPr>
                <w:p w14:paraId="6C8091B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0.35</w:t>
                  </w:r>
                </w:p>
              </w:tc>
              <w:tc>
                <w:tcPr>
                  <w:tcW w:w="481" w:type="pct"/>
                  <w:vMerge w:val="restart"/>
                  <w:noWrap/>
                  <w:vAlign w:val="center"/>
                </w:tcPr>
                <w:p w14:paraId="1B63DDF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25</w:t>
                  </w:r>
                </w:p>
              </w:tc>
              <w:tc>
                <w:tcPr>
                  <w:tcW w:w="480" w:type="pct"/>
                  <w:vMerge w:val="restart"/>
                  <w:noWrap/>
                  <w:vAlign w:val="center"/>
                </w:tcPr>
                <w:p w14:paraId="61484D7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11.55</w:t>
                  </w:r>
                </w:p>
              </w:tc>
              <w:tc>
                <w:tcPr>
                  <w:tcW w:w="630" w:type="pct"/>
                  <w:noWrap/>
                  <w:vAlign w:val="center"/>
                </w:tcPr>
                <w:p w14:paraId="2DD183B0">
                  <w:pPr>
                    <w:autoSpaceDE w:val="0"/>
                    <w:autoSpaceDN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甲醇</w:t>
                  </w:r>
                </w:p>
              </w:tc>
              <w:tc>
                <w:tcPr>
                  <w:tcW w:w="590" w:type="pct"/>
                  <w:tcBorders>
                    <w:top w:val="nil"/>
                    <w:left w:val="nil"/>
                    <w:bottom w:val="single" w:color="000000" w:sz="8" w:space="0"/>
                    <w:right w:val="single" w:color="000000" w:sz="8" w:space="0"/>
                  </w:tcBorders>
                  <w:shd w:val="clear" w:color="auto" w:fill="auto"/>
                  <w:noWrap/>
                  <w:vAlign w:val="center"/>
                </w:tcPr>
                <w:p w14:paraId="59B5B128">
                  <w:pPr>
                    <w:widowControl/>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0.01</w:t>
                  </w:r>
                </w:p>
              </w:tc>
            </w:tr>
            <w:tr w14:paraId="7754C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4" w:hRule="atLeast"/>
                <w:jc w:val="center"/>
              </w:trPr>
              <w:tc>
                <w:tcPr>
                  <w:tcW w:w="452" w:type="pct"/>
                  <w:vMerge w:val="continue"/>
                  <w:noWrap/>
                  <w:vAlign w:val="center"/>
                </w:tcPr>
                <w:p w14:paraId="601ED642">
                  <w:pPr>
                    <w:autoSpaceDE w:val="0"/>
                    <w:autoSpaceDN w:val="0"/>
                    <w:jc w:val="center"/>
                    <w:rPr>
                      <w:rFonts w:eastAsia="仿宋"/>
                      <w:color w:val="000000" w:themeColor="text1"/>
                      <w:szCs w:val="22"/>
                      <w14:textFill>
                        <w14:solidFill>
                          <w14:schemeClr w14:val="tx1"/>
                        </w14:solidFill>
                      </w14:textFill>
                    </w:rPr>
                  </w:pPr>
                </w:p>
              </w:tc>
              <w:tc>
                <w:tcPr>
                  <w:tcW w:w="684" w:type="pct"/>
                  <w:vMerge w:val="continue"/>
                  <w:shd w:val="clear" w:color="auto" w:fill="auto"/>
                  <w:noWrap/>
                  <w:vAlign w:val="center"/>
                </w:tcPr>
                <w:p w14:paraId="1A0E91EC">
                  <w:pPr>
                    <w:autoSpaceDE w:val="0"/>
                    <w:autoSpaceDN w:val="0"/>
                    <w:jc w:val="center"/>
                    <w:rPr>
                      <w:rFonts w:eastAsia="仿宋"/>
                      <w:color w:val="000000" w:themeColor="text1"/>
                      <w:szCs w:val="22"/>
                      <w14:textFill>
                        <w14:solidFill>
                          <w14:schemeClr w14:val="tx1"/>
                        </w14:solidFill>
                      </w14:textFill>
                    </w:rPr>
                  </w:pPr>
                </w:p>
              </w:tc>
              <w:tc>
                <w:tcPr>
                  <w:tcW w:w="721" w:type="pct"/>
                  <w:vMerge w:val="continue"/>
                  <w:shd w:val="clear" w:color="auto" w:fill="auto"/>
                  <w:noWrap/>
                  <w:vAlign w:val="center"/>
                </w:tcPr>
                <w:p w14:paraId="3C00CC72">
                  <w:pPr>
                    <w:autoSpaceDE w:val="0"/>
                    <w:autoSpaceDN w:val="0"/>
                    <w:jc w:val="center"/>
                    <w:rPr>
                      <w:rFonts w:eastAsia="仿宋"/>
                      <w:color w:val="000000" w:themeColor="text1"/>
                      <w:szCs w:val="22"/>
                      <w14:textFill>
                        <w14:solidFill>
                          <w14:schemeClr w14:val="tx1"/>
                        </w14:solidFill>
                      </w14:textFill>
                    </w:rPr>
                  </w:pPr>
                </w:p>
              </w:tc>
              <w:tc>
                <w:tcPr>
                  <w:tcW w:w="482" w:type="pct"/>
                  <w:vMerge w:val="continue"/>
                  <w:noWrap/>
                  <w:vAlign w:val="center"/>
                </w:tcPr>
                <w:p w14:paraId="05B016B9">
                  <w:pPr>
                    <w:autoSpaceDE w:val="0"/>
                    <w:autoSpaceDN w:val="0"/>
                    <w:jc w:val="center"/>
                    <w:rPr>
                      <w:rFonts w:eastAsia="仿宋"/>
                      <w:color w:val="000000" w:themeColor="text1"/>
                      <w:szCs w:val="22"/>
                      <w14:textFill>
                        <w14:solidFill>
                          <w14:schemeClr w14:val="tx1"/>
                        </w14:solidFill>
                      </w14:textFill>
                    </w:rPr>
                  </w:pPr>
                </w:p>
              </w:tc>
              <w:tc>
                <w:tcPr>
                  <w:tcW w:w="480" w:type="pct"/>
                  <w:vMerge w:val="continue"/>
                  <w:noWrap/>
                  <w:vAlign w:val="center"/>
                </w:tcPr>
                <w:p w14:paraId="4F645A7F">
                  <w:pPr>
                    <w:autoSpaceDE w:val="0"/>
                    <w:autoSpaceDN w:val="0"/>
                    <w:jc w:val="center"/>
                    <w:rPr>
                      <w:rFonts w:eastAsia="仿宋"/>
                      <w:color w:val="000000" w:themeColor="text1"/>
                      <w:szCs w:val="22"/>
                      <w14:textFill>
                        <w14:solidFill>
                          <w14:schemeClr w14:val="tx1"/>
                        </w14:solidFill>
                      </w14:textFill>
                    </w:rPr>
                  </w:pPr>
                </w:p>
              </w:tc>
              <w:tc>
                <w:tcPr>
                  <w:tcW w:w="481" w:type="pct"/>
                  <w:vMerge w:val="continue"/>
                  <w:noWrap/>
                  <w:vAlign w:val="center"/>
                </w:tcPr>
                <w:p w14:paraId="57F0A92E">
                  <w:pPr>
                    <w:autoSpaceDE w:val="0"/>
                    <w:autoSpaceDN w:val="0"/>
                    <w:jc w:val="center"/>
                    <w:rPr>
                      <w:rFonts w:eastAsia="仿宋"/>
                      <w:color w:val="000000" w:themeColor="text1"/>
                      <w:szCs w:val="22"/>
                      <w14:textFill>
                        <w14:solidFill>
                          <w14:schemeClr w14:val="tx1"/>
                        </w14:solidFill>
                      </w14:textFill>
                    </w:rPr>
                  </w:pPr>
                </w:p>
              </w:tc>
              <w:tc>
                <w:tcPr>
                  <w:tcW w:w="480" w:type="pct"/>
                  <w:vMerge w:val="continue"/>
                  <w:noWrap/>
                  <w:vAlign w:val="center"/>
                </w:tcPr>
                <w:p w14:paraId="46972AE5">
                  <w:pPr>
                    <w:autoSpaceDE w:val="0"/>
                    <w:autoSpaceDN w:val="0"/>
                    <w:jc w:val="center"/>
                    <w:rPr>
                      <w:rFonts w:eastAsia="仿宋"/>
                      <w:color w:val="000000" w:themeColor="text1"/>
                      <w:szCs w:val="22"/>
                      <w14:textFill>
                        <w14:solidFill>
                          <w14:schemeClr w14:val="tx1"/>
                        </w14:solidFill>
                      </w14:textFill>
                    </w:rPr>
                  </w:pPr>
                </w:p>
              </w:tc>
              <w:tc>
                <w:tcPr>
                  <w:tcW w:w="630" w:type="pct"/>
                  <w:noWrap/>
                  <w:vAlign w:val="center"/>
                </w:tcPr>
                <w:p w14:paraId="30555D39">
                  <w:pPr>
                    <w:autoSpaceDE w:val="0"/>
                    <w:autoSpaceDN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非甲烷总烃</w:t>
                  </w:r>
                </w:p>
              </w:tc>
              <w:tc>
                <w:tcPr>
                  <w:tcW w:w="590" w:type="pct"/>
                  <w:tcBorders>
                    <w:top w:val="nil"/>
                    <w:left w:val="nil"/>
                    <w:bottom w:val="single" w:color="000000" w:sz="8" w:space="0"/>
                    <w:right w:val="single" w:color="000000" w:sz="8" w:space="0"/>
                  </w:tcBorders>
                  <w:shd w:val="clear" w:color="auto" w:fill="auto"/>
                  <w:noWrap/>
                  <w:vAlign w:val="center"/>
                </w:tcPr>
                <w:p w14:paraId="55E618D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0.02</w:t>
                  </w:r>
                </w:p>
              </w:tc>
            </w:tr>
            <w:tr w14:paraId="5FC81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2" w:hRule="atLeast"/>
                <w:jc w:val="center"/>
              </w:trPr>
              <w:tc>
                <w:tcPr>
                  <w:tcW w:w="452" w:type="pct"/>
                  <w:vMerge w:val="restart"/>
                  <w:noWrap/>
                  <w:vAlign w:val="center"/>
                </w:tcPr>
                <w:p w14:paraId="0B1C07A1">
                  <w:pPr>
                    <w:autoSpaceDE w:val="0"/>
                    <w:autoSpaceDN w:val="0"/>
                    <w:jc w:val="center"/>
                    <w:rPr>
                      <w:color w:val="000000" w:themeColor="text1"/>
                      <w14:textFill>
                        <w14:solidFill>
                          <w14:schemeClr w14:val="tx1"/>
                        </w14:solidFill>
                      </w14:textFill>
                    </w:rPr>
                  </w:pPr>
                  <w:r>
                    <w:rPr>
                      <w:rFonts w:hint="eastAsia" w:eastAsia="仿宋"/>
                      <w:color w:val="000000" w:themeColor="text1"/>
                      <w:szCs w:val="22"/>
                      <w14:textFill>
                        <w14:solidFill>
                          <w14:schemeClr w14:val="tx1"/>
                        </w14:solidFill>
                      </w14:textFill>
                    </w:rPr>
                    <w:t>2</w:t>
                  </w:r>
                  <w:r>
                    <w:rPr>
                      <w:rFonts w:eastAsia="仿宋"/>
                      <w:color w:val="000000" w:themeColor="text1"/>
                      <w:szCs w:val="22"/>
                      <w14:textFill>
                        <w14:solidFill>
                          <w14:schemeClr w14:val="tx1"/>
                        </w14:solidFill>
                      </w14:textFill>
                    </w:rPr>
                    <w:t>#</w:t>
                  </w:r>
                  <w:r>
                    <w:rPr>
                      <w:rFonts w:hint="eastAsia" w:eastAsia="仿宋"/>
                      <w:color w:val="000000" w:themeColor="text1"/>
                      <w:szCs w:val="22"/>
                      <w14:textFill>
                        <w14:solidFill>
                          <w14:schemeClr w14:val="tx1"/>
                        </w14:solidFill>
                      </w14:textFill>
                    </w:rPr>
                    <w:t>排气筒</w:t>
                  </w:r>
                </w:p>
              </w:tc>
              <w:tc>
                <w:tcPr>
                  <w:tcW w:w="684" w:type="pct"/>
                  <w:vMerge w:val="restart"/>
                  <w:shd w:val="clear" w:color="auto" w:fill="auto"/>
                  <w:noWrap/>
                  <w:vAlign w:val="center"/>
                </w:tcPr>
                <w:p w14:paraId="4D5D6F39">
                  <w:pPr>
                    <w:autoSpaceDE w:val="0"/>
                    <w:autoSpaceDN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19.647617</w:t>
                  </w:r>
                </w:p>
              </w:tc>
              <w:tc>
                <w:tcPr>
                  <w:tcW w:w="721" w:type="pct"/>
                  <w:vMerge w:val="restart"/>
                  <w:shd w:val="clear" w:color="auto" w:fill="auto"/>
                  <w:noWrap/>
                  <w:vAlign w:val="center"/>
                </w:tcPr>
                <w:p w14:paraId="1480BF57">
                  <w:pPr>
                    <w:autoSpaceDE w:val="0"/>
                    <w:autoSpaceDN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1.730240</w:t>
                  </w:r>
                </w:p>
              </w:tc>
              <w:tc>
                <w:tcPr>
                  <w:tcW w:w="482" w:type="pct"/>
                  <w:vMerge w:val="restart"/>
                  <w:noWrap/>
                  <w:vAlign w:val="center"/>
                </w:tcPr>
                <w:p w14:paraId="2A393A1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28</w:t>
                  </w:r>
                </w:p>
              </w:tc>
              <w:tc>
                <w:tcPr>
                  <w:tcW w:w="480" w:type="pct"/>
                  <w:vMerge w:val="restart"/>
                  <w:noWrap/>
                  <w:vAlign w:val="center"/>
                </w:tcPr>
                <w:p w14:paraId="70760A6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0.5</w:t>
                  </w:r>
                </w:p>
              </w:tc>
              <w:tc>
                <w:tcPr>
                  <w:tcW w:w="481" w:type="pct"/>
                  <w:vMerge w:val="restart"/>
                  <w:noWrap/>
                  <w:vAlign w:val="center"/>
                </w:tcPr>
                <w:p w14:paraId="7B7AC66B">
                  <w:pPr>
                    <w:autoSpaceDE w:val="0"/>
                    <w:autoSpaceDN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＜60</w:t>
                  </w:r>
                </w:p>
              </w:tc>
              <w:tc>
                <w:tcPr>
                  <w:tcW w:w="480" w:type="pct"/>
                  <w:vMerge w:val="restart"/>
                  <w:noWrap/>
                  <w:vAlign w:val="center"/>
                </w:tcPr>
                <w:p w14:paraId="301AFA5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3.97</w:t>
                  </w:r>
                </w:p>
              </w:tc>
              <w:tc>
                <w:tcPr>
                  <w:tcW w:w="630" w:type="pct"/>
                  <w:noWrap/>
                  <w:vAlign w:val="center"/>
                </w:tcPr>
                <w:p w14:paraId="1603DFF6">
                  <w:pPr>
                    <w:autoSpaceDE w:val="0"/>
                    <w:autoSpaceDN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氮氧化物</w:t>
                  </w:r>
                </w:p>
              </w:tc>
              <w:tc>
                <w:tcPr>
                  <w:tcW w:w="590" w:type="pct"/>
                  <w:noWrap/>
                  <w:vAlign w:val="center"/>
                </w:tcPr>
                <w:p w14:paraId="2DB3A4DA">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0.312</w:t>
                  </w:r>
                </w:p>
              </w:tc>
            </w:tr>
            <w:tr w14:paraId="5FFC1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452" w:type="pct"/>
                  <w:vMerge w:val="continue"/>
                  <w:noWrap/>
                  <w:vAlign w:val="center"/>
                </w:tcPr>
                <w:p w14:paraId="1A91FEA7">
                  <w:pPr>
                    <w:autoSpaceDE w:val="0"/>
                    <w:autoSpaceDN w:val="0"/>
                    <w:snapToGrid w:val="0"/>
                    <w:jc w:val="center"/>
                    <w:rPr>
                      <w:color w:val="000000" w:themeColor="text1"/>
                      <w14:textFill>
                        <w14:solidFill>
                          <w14:schemeClr w14:val="tx1"/>
                        </w14:solidFill>
                      </w14:textFill>
                    </w:rPr>
                  </w:pPr>
                </w:p>
              </w:tc>
              <w:tc>
                <w:tcPr>
                  <w:tcW w:w="684" w:type="pct"/>
                  <w:vMerge w:val="continue"/>
                  <w:shd w:val="clear" w:color="auto" w:fill="auto"/>
                  <w:noWrap/>
                  <w:vAlign w:val="center"/>
                </w:tcPr>
                <w:p w14:paraId="6DE2FCD8">
                  <w:pPr>
                    <w:autoSpaceDE w:val="0"/>
                    <w:autoSpaceDN w:val="0"/>
                    <w:snapToGrid w:val="0"/>
                    <w:jc w:val="center"/>
                    <w:rPr>
                      <w:color w:val="000000" w:themeColor="text1"/>
                      <w14:textFill>
                        <w14:solidFill>
                          <w14:schemeClr w14:val="tx1"/>
                        </w14:solidFill>
                      </w14:textFill>
                    </w:rPr>
                  </w:pPr>
                </w:p>
              </w:tc>
              <w:tc>
                <w:tcPr>
                  <w:tcW w:w="721" w:type="pct"/>
                  <w:vMerge w:val="continue"/>
                  <w:shd w:val="clear" w:color="auto" w:fill="auto"/>
                  <w:noWrap/>
                  <w:vAlign w:val="center"/>
                </w:tcPr>
                <w:p w14:paraId="380AE2CE">
                  <w:pPr>
                    <w:autoSpaceDE w:val="0"/>
                    <w:autoSpaceDN w:val="0"/>
                    <w:snapToGrid w:val="0"/>
                    <w:jc w:val="center"/>
                    <w:rPr>
                      <w:color w:val="000000" w:themeColor="text1"/>
                      <w14:textFill>
                        <w14:solidFill>
                          <w14:schemeClr w14:val="tx1"/>
                        </w14:solidFill>
                      </w14:textFill>
                    </w:rPr>
                  </w:pPr>
                </w:p>
              </w:tc>
              <w:tc>
                <w:tcPr>
                  <w:tcW w:w="482" w:type="pct"/>
                  <w:vMerge w:val="continue"/>
                  <w:noWrap/>
                  <w:vAlign w:val="center"/>
                </w:tcPr>
                <w:p w14:paraId="14ABC7E3">
                  <w:pPr>
                    <w:autoSpaceDE w:val="0"/>
                    <w:autoSpaceDN w:val="0"/>
                    <w:snapToGrid w:val="0"/>
                    <w:jc w:val="center"/>
                    <w:rPr>
                      <w:color w:val="000000" w:themeColor="text1"/>
                      <w14:textFill>
                        <w14:solidFill>
                          <w14:schemeClr w14:val="tx1"/>
                        </w14:solidFill>
                      </w14:textFill>
                    </w:rPr>
                  </w:pPr>
                </w:p>
              </w:tc>
              <w:tc>
                <w:tcPr>
                  <w:tcW w:w="480" w:type="pct"/>
                  <w:vMerge w:val="continue"/>
                  <w:noWrap/>
                  <w:vAlign w:val="center"/>
                </w:tcPr>
                <w:p w14:paraId="1D201B25">
                  <w:pPr>
                    <w:autoSpaceDE w:val="0"/>
                    <w:autoSpaceDN w:val="0"/>
                    <w:snapToGrid w:val="0"/>
                    <w:jc w:val="center"/>
                    <w:rPr>
                      <w:color w:val="000000" w:themeColor="text1"/>
                      <w14:textFill>
                        <w14:solidFill>
                          <w14:schemeClr w14:val="tx1"/>
                        </w14:solidFill>
                      </w14:textFill>
                    </w:rPr>
                  </w:pPr>
                </w:p>
              </w:tc>
              <w:tc>
                <w:tcPr>
                  <w:tcW w:w="481" w:type="pct"/>
                  <w:vMerge w:val="continue"/>
                  <w:noWrap/>
                  <w:vAlign w:val="center"/>
                </w:tcPr>
                <w:p w14:paraId="73BE1F73">
                  <w:pPr>
                    <w:autoSpaceDE w:val="0"/>
                    <w:autoSpaceDN w:val="0"/>
                    <w:snapToGrid w:val="0"/>
                    <w:jc w:val="center"/>
                    <w:rPr>
                      <w:color w:val="000000" w:themeColor="text1"/>
                      <w14:textFill>
                        <w14:solidFill>
                          <w14:schemeClr w14:val="tx1"/>
                        </w14:solidFill>
                      </w14:textFill>
                    </w:rPr>
                  </w:pPr>
                </w:p>
              </w:tc>
              <w:tc>
                <w:tcPr>
                  <w:tcW w:w="480" w:type="pct"/>
                  <w:vMerge w:val="continue"/>
                  <w:noWrap/>
                  <w:vAlign w:val="center"/>
                </w:tcPr>
                <w:p w14:paraId="5FC963C7">
                  <w:pPr>
                    <w:autoSpaceDE w:val="0"/>
                    <w:autoSpaceDN w:val="0"/>
                    <w:snapToGrid w:val="0"/>
                    <w:jc w:val="center"/>
                    <w:rPr>
                      <w:color w:val="000000" w:themeColor="text1"/>
                      <w14:textFill>
                        <w14:solidFill>
                          <w14:schemeClr w14:val="tx1"/>
                        </w14:solidFill>
                      </w14:textFill>
                    </w:rPr>
                  </w:pPr>
                </w:p>
              </w:tc>
              <w:tc>
                <w:tcPr>
                  <w:tcW w:w="630" w:type="pct"/>
                  <w:noWrap/>
                  <w:vAlign w:val="center"/>
                </w:tcPr>
                <w:p w14:paraId="4C05C3CD">
                  <w:pPr>
                    <w:autoSpaceDE w:val="0"/>
                    <w:autoSpaceDN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二氧化硫</w:t>
                  </w:r>
                </w:p>
              </w:tc>
              <w:tc>
                <w:tcPr>
                  <w:tcW w:w="590" w:type="pct"/>
                  <w:noWrap/>
                  <w:vAlign w:val="center"/>
                </w:tcPr>
                <w:p w14:paraId="143568A4">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0.187</w:t>
                  </w:r>
                </w:p>
              </w:tc>
            </w:tr>
            <w:tr w14:paraId="6144E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452" w:type="pct"/>
                  <w:vMerge w:val="continue"/>
                  <w:noWrap/>
                  <w:vAlign w:val="center"/>
                </w:tcPr>
                <w:p w14:paraId="64BA93AB">
                  <w:pPr>
                    <w:autoSpaceDE w:val="0"/>
                    <w:autoSpaceDN w:val="0"/>
                    <w:snapToGrid w:val="0"/>
                    <w:jc w:val="center"/>
                    <w:rPr>
                      <w:color w:val="000000" w:themeColor="text1"/>
                      <w14:textFill>
                        <w14:solidFill>
                          <w14:schemeClr w14:val="tx1"/>
                        </w14:solidFill>
                      </w14:textFill>
                    </w:rPr>
                  </w:pPr>
                </w:p>
              </w:tc>
              <w:tc>
                <w:tcPr>
                  <w:tcW w:w="684" w:type="pct"/>
                  <w:vMerge w:val="continue"/>
                  <w:shd w:val="clear" w:color="auto" w:fill="auto"/>
                  <w:noWrap/>
                  <w:vAlign w:val="center"/>
                </w:tcPr>
                <w:p w14:paraId="64BFF856">
                  <w:pPr>
                    <w:autoSpaceDE w:val="0"/>
                    <w:autoSpaceDN w:val="0"/>
                    <w:snapToGrid w:val="0"/>
                    <w:jc w:val="center"/>
                    <w:rPr>
                      <w:color w:val="000000" w:themeColor="text1"/>
                      <w14:textFill>
                        <w14:solidFill>
                          <w14:schemeClr w14:val="tx1"/>
                        </w14:solidFill>
                      </w14:textFill>
                    </w:rPr>
                  </w:pPr>
                </w:p>
              </w:tc>
              <w:tc>
                <w:tcPr>
                  <w:tcW w:w="721" w:type="pct"/>
                  <w:vMerge w:val="continue"/>
                  <w:shd w:val="clear" w:color="auto" w:fill="auto"/>
                  <w:noWrap/>
                  <w:vAlign w:val="center"/>
                </w:tcPr>
                <w:p w14:paraId="33A6E6B1">
                  <w:pPr>
                    <w:autoSpaceDE w:val="0"/>
                    <w:autoSpaceDN w:val="0"/>
                    <w:snapToGrid w:val="0"/>
                    <w:jc w:val="center"/>
                    <w:rPr>
                      <w:color w:val="000000" w:themeColor="text1"/>
                      <w14:textFill>
                        <w14:solidFill>
                          <w14:schemeClr w14:val="tx1"/>
                        </w14:solidFill>
                      </w14:textFill>
                    </w:rPr>
                  </w:pPr>
                </w:p>
              </w:tc>
              <w:tc>
                <w:tcPr>
                  <w:tcW w:w="482" w:type="pct"/>
                  <w:vMerge w:val="continue"/>
                  <w:noWrap/>
                  <w:vAlign w:val="center"/>
                </w:tcPr>
                <w:p w14:paraId="24ECD9E9">
                  <w:pPr>
                    <w:autoSpaceDE w:val="0"/>
                    <w:autoSpaceDN w:val="0"/>
                    <w:snapToGrid w:val="0"/>
                    <w:jc w:val="center"/>
                    <w:rPr>
                      <w:color w:val="000000" w:themeColor="text1"/>
                      <w14:textFill>
                        <w14:solidFill>
                          <w14:schemeClr w14:val="tx1"/>
                        </w14:solidFill>
                      </w14:textFill>
                    </w:rPr>
                  </w:pPr>
                </w:p>
              </w:tc>
              <w:tc>
                <w:tcPr>
                  <w:tcW w:w="480" w:type="pct"/>
                  <w:vMerge w:val="continue"/>
                  <w:noWrap/>
                  <w:vAlign w:val="center"/>
                </w:tcPr>
                <w:p w14:paraId="2D708FAB">
                  <w:pPr>
                    <w:autoSpaceDE w:val="0"/>
                    <w:autoSpaceDN w:val="0"/>
                    <w:snapToGrid w:val="0"/>
                    <w:jc w:val="center"/>
                    <w:rPr>
                      <w:color w:val="000000" w:themeColor="text1"/>
                      <w14:textFill>
                        <w14:solidFill>
                          <w14:schemeClr w14:val="tx1"/>
                        </w14:solidFill>
                      </w14:textFill>
                    </w:rPr>
                  </w:pPr>
                </w:p>
              </w:tc>
              <w:tc>
                <w:tcPr>
                  <w:tcW w:w="481" w:type="pct"/>
                  <w:vMerge w:val="continue"/>
                  <w:noWrap/>
                  <w:vAlign w:val="center"/>
                </w:tcPr>
                <w:p w14:paraId="52446CA9">
                  <w:pPr>
                    <w:autoSpaceDE w:val="0"/>
                    <w:autoSpaceDN w:val="0"/>
                    <w:snapToGrid w:val="0"/>
                    <w:jc w:val="center"/>
                    <w:rPr>
                      <w:color w:val="000000" w:themeColor="text1"/>
                      <w14:textFill>
                        <w14:solidFill>
                          <w14:schemeClr w14:val="tx1"/>
                        </w14:solidFill>
                      </w14:textFill>
                    </w:rPr>
                  </w:pPr>
                </w:p>
              </w:tc>
              <w:tc>
                <w:tcPr>
                  <w:tcW w:w="480" w:type="pct"/>
                  <w:vMerge w:val="continue"/>
                  <w:noWrap/>
                  <w:vAlign w:val="center"/>
                </w:tcPr>
                <w:p w14:paraId="26096B8F">
                  <w:pPr>
                    <w:autoSpaceDE w:val="0"/>
                    <w:autoSpaceDN w:val="0"/>
                    <w:snapToGrid w:val="0"/>
                    <w:jc w:val="center"/>
                    <w:rPr>
                      <w:color w:val="000000" w:themeColor="text1"/>
                      <w14:textFill>
                        <w14:solidFill>
                          <w14:schemeClr w14:val="tx1"/>
                        </w14:solidFill>
                      </w14:textFill>
                    </w:rPr>
                  </w:pPr>
                </w:p>
              </w:tc>
              <w:tc>
                <w:tcPr>
                  <w:tcW w:w="630" w:type="pct"/>
                  <w:noWrap/>
                  <w:vAlign w:val="center"/>
                </w:tcPr>
                <w:p w14:paraId="52701075">
                  <w:pPr>
                    <w:autoSpaceDE w:val="0"/>
                    <w:autoSpaceDN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颗粒物</w:t>
                  </w:r>
                </w:p>
              </w:tc>
              <w:tc>
                <w:tcPr>
                  <w:tcW w:w="590" w:type="pct"/>
                  <w:noWrap/>
                  <w:vAlign w:val="center"/>
                </w:tcPr>
                <w:p w14:paraId="30344B98">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0.021</w:t>
                  </w:r>
                </w:p>
              </w:tc>
            </w:tr>
          </w:tbl>
          <w:p w14:paraId="64B1F47E">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（6）监测要求</w:t>
            </w:r>
          </w:p>
          <w:p w14:paraId="19FD8514">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根据《排污许可证申请与核发技术规范 总则》（HJ942-2018）</w:t>
            </w:r>
            <w:r>
              <w:rPr>
                <w:rFonts w:hint="eastAsia" w:eastAsia="仿宋"/>
                <w:color w:val="000000" w:themeColor="text1"/>
                <w:sz w:val="24"/>
                <w14:textFill>
                  <w14:solidFill>
                    <w14:schemeClr w14:val="tx1"/>
                  </w14:solidFill>
                </w14:textFill>
              </w:rPr>
              <w:t>及《</w:t>
            </w:r>
            <w:r>
              <w:rPr>
                <w:rFonts w:eastAsia="仿宋"/>
                <w:color w:val="000000" w:themeColor="text1"/>
                <w:sz w:val="24"/>
                <w14:textFill>
                  <w14:solidFill>
                    <w14:schemeClr w14:val="tx1"/>
                  </w14:solidFill>
                </w14:textFill>
              </w:rPr>
              <w:t>排污单位自行监测技术指南 总则</w:t>
            </w:r>
            <w:r>
              <w:rPr>
                <w:rFonts w:hint="eastAsia" w:eastAsia="仿宋"/>
                <w:color w:val="000000" w:themeColor="text1"/>
                <w:sz w:val="24"/>
                <w14:textFill>
                  <w14:solidFill>
                    <w14:schemeClr w14:val="tx1"/>
                  </w14:solidFill>
                </w14:textFill>
              </w:rPr>
              <w:t>》</w:t>
            </w:r>
            <w:r>
              <w:rPr>
                <w:rFonts w:eastAsia="仿宋"/>
                <w:color w:val="000000" w:themeColor="text1"/>
                <w:sz w:val="24"/>
                <w14:textFill>
                  <w14:solidFill>
                    <w14:schemeClr w14:val="tx1"/>
                  </w14:solidFill>
                </w14:textFill>
              </w:rPr>
              <w:t>（HJ 819-2017）</w:t>
            </w:r>
            <w:r>
              <w:rPr>
                <w:rFonts w:hint="eastAsia" w:eastAsia="仿宋"/>
                <w:color w:val="000000" w:themeColor="text1"/>
                <w:sz w:val="24"/>
                <w14:textFill>
                  <w14:solidFill>
                    <w14:schemeClr w14:val="tx1"/>
                  </w14:solidFill>
                </w14:textFill>
              </w:rPr>
              <w:t>《排污单位自行监测技术指南 火力发电及锅炉》（HJ820-2017）</w:t>
            </w:r>
            <w:r>
              <w:rPr>
                <w:rFonts w:eastAsia="仿宋"/>
                <w:color w:val="000000" w:themeColor="text1"/>
                <w:sz w:val="24"/>
                <w14:textFill>
                  <w14:solidFill>
                    <w14:schemeClr w14:val="tx1"/>
                  </w14:solidFill>
                </w14:textFill>
              </w:rPr>
              <w:t>，本项目建成后环境监测要求见下表。</w:t>
            </w:r>
          </w:p>
          <w:p w14:paraId="2DE71B0C">
            <w:pPr>
              <w:keepNext/>
              <w:spacing w:line="480" w:lineRule="exact"/>
              <w:jc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表4</w:t>
            </w:r>
            <w:r>
              <w:rPr>
                <w:rFonts w:eastAsia="仿宋"/>
                <w:b/>
                <w:color w:val="000000" w:themeColor="text1"/>
                <w:szCs w:val="21"/>
                <w14:textFill>
                  <w14:solidFill>
                    <w14:schemeClr w14:val="tx1"/>
                  </w14:solidFill>
                </w14:textFill>
              </w:rPr>
              <w:t xml:space="preserve">-14 </w:t>
            </w:r>
            <w:r>
              <w:rPr>
                <w:rFonts w:hint="eastAsia" w:eastAsia="仿宋"/>
                <w:b/>
                <w:color w:val="000000" w:themeColor="text1"/>
                <w:szCs w:val="21"/>
                <w14:textFill>
                  <w14:solidFill>
                    <w14:schemeClr w14:val="tx1"/>
                  </w14:solidFill>
                </w14:textFill>
              </w:rPr>
              <w:t>废气</w:t>
            </w:r>
            <w:r>
              <w:rPr>
                <w:rFonts w:eastAsia="仿宋"/>
                <w:b/>
                <w:color w:val="000000" w:themeColor="text1"/>
                <w:szCs w:val="21"/>
                <w14:textFill>
                  <w14:solidFill>
                    <w14:schemeClr w14:val="tx1"/>
                  </w14:solidFill>
                </w14:textFill>
              </w:rPr>
              <w:t>环境监测计划</w:t>
            </w:r>
          </w:p>
          <w:tbl>
            <w:tblPr>
              <w:tblStyle w:val="24"/>
              <w:tblW w:w="8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93"/>
              <w:gridCol w:w="1135"/>
              <w:gridCol w:w="1699"/>
              <w:gridCol w:w="1135"/>
              <w:gridCol w:w="2983"/>
              <w:gridCol w:w="1306"/>
            </w:tblGrid>
            <w:tr w14:paraId="65163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noWrap/>
                  <w:vAlign w:val="center"/>
                </w:tcPr>
                <w:p w14:paraId="1605597A">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类别</w:t>
                  </w:r>
                </w:p>
              </w:tc>
              <w:tc>
                <w:tcPr>
                  <w:tcW w:w="641" w:type="pct"/>
                  <w:noWrap/>
                  <w:vAlign w:val="center"/>
                </w:tcPr>
                <w:p w14:paraId="6646670C">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监测位置</w:t>
                  </w:r>
                </w:p>
              </w:tc>
              <w:tc>
                <w:tcPr>
                  <w:tcW w:w="960" w:type="pct"/>
                  <w:vAlign w:val="center"/>
                </w:tcPr>
                <w:p w14:paraId="35EC2D5F">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监测指标</w:t>
                  </w:r>
                </w:p>
              </w:tc>
              <w:tc>
                <w:tcPr>
                  <w:tcW w:w="641" w:type="pct"/>
                  <w:vAlign w:val="center"/>
                </w:tcPr>
                <w:p w14:paraId="40957293">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监测频率</w:t>
                  </w:r>
                </w:p>
              </w:tc>
              <w:tc>
                <w:tcPr>
                  <w:tcW w:w="1685" w:type="pct"/>
                  <w:vAlign w:val="center"/>
                </w:tcPr>
                <w:p w14:paraId="40593BCE">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排放标准</w:t>
                  </w:r>
                </w:p>
              </w:tc>
              <w:tc>
                <w:tcPr>
                  <w:tcW w:w="738" w:type="pct"/>
                  <w:vAlign w:val="center"/>
                </w:tcPr>
                <w:p w14:paraId="3A5835D6">
                  <w:pPr>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监测单位</w:t>
                  </w:r>
                </w:p>
              </w:tc>
            </w:tr>
            <w:tr w14:paraId="3BB61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restart"/>
                  <w:noWrap/>
                  <w:vAlign w:val="center"/>
                </w:tcPr>
                <w:p w14:paraId="1F659A0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废气</w:t>
                  </w:r>
                </w:p>
              </w:tc>
              <w:tc>
                <w:tcPr>
                  <w:tcW w:w="641" w:type="pct"/>
                  <w:noWrap/>
                  <w:vAlign w:val="center"/>
                </w:tcPr>
                <w:p w14:paraId="17D3604E">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1</w:t>
                  </w:r>
                  <w:r>
                    <w:rPr>
                      <w:rFonts w:eastAsia="仿宋"/>
                      <w:color w:val="000000" w:themeColor="text1"/>
                      <w:szCs w:val="21"/>
                      <w14:textFill>
                        <w14:solidFill>
                          <w14:schemeClr w14:val="tx1"/>
                        </w14:solidFill>
                      </w14:textFill>
                    </w:rPr>
                    <w:t>#排气筒</w:t>
                  </w:r>
                </w:p>
              </w:tc>
              <w:tc>
                <w:tcPr>
                  <w:tcW w:w="960" w:type="pct"/>
                  <w:vAlign w:val="center"/>
                </w:tcPr>
                <w:p w14:paraId="23224EAE">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甲醇、非甲烷总烃</w:t>
                  </w:r>
                </w:p>
              </w:tc>
              <w:tc>
                <w:tcPr>
                  <w:tcW w:w="641" w:type="pct"/>
                  <w:vAlign w:val="center"/>
                </w:tcPr>
                <w:p w14:paraId="7631217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1次/年</w:t>
                  </w:r>
                </w:p>
              </w:tc>
              <w:tc>
                <w:tcPr>
                  <w:tcW w:w="1685" w:type="pct"/>
                  <w:vAlign w:val="center"/>
                </w:tcPr>
                <w:p w14:paraId="55DE5555">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《大气污染物综合排放标准》（DB32/4041-2021）</w:t>
                  </w:r>
                </w:p>
              </w:tc>
              <w:tc>
                <w:tcPr>
                  <w:tcW w:w="738" w:type="pct"/>
                  <w:vMerge w:val="restart"/>
                  <w:vAlign w:val="center"/>
                </w:tcPr>
                <w:p w14:paraId="4D7C7C3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有资质的环境监测机构</w:t>
                  </w:r>
                </w:p>
              </w:tc>
            </w:tr>
            <w:tr w14:paraId="4B132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noWrap/>
                  <w:vAlign w:val="center"/>
                </w:tcPr>
                <w:p w14:paraId="53BA35C8">
                  <w:pPr>
                    <w:jc w:val="center"/>
                    <w:rPr>
                      <w:rFonts w:eastAsia="仿宋"/>
                      <w:color w:val="000000" w:themeColor="text1"/>
                      <w:szCs w:val="21"/>
                      <w14:textFill>
                        <w14:solidFill>
                          <w14:schemeClr w14:val="tx1"/>
                        </w14:solidFill>
                      </w14:textFill>
                    </w:rPr>
                  </w:pPr>
                </w:p>
              </w:tc>
              <w:tc>
                <w:tcPr>
                  <w:tcW w:w="641" w:type="pct"/>
                  <w:vMerge w:val="restart"/>
                  <w:noWrap/>
                  <w:vAlign w:val="center"/>
                </w:tcPr>
                <w:p w14:paraId="29AE1E5D">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2</w:t>
                  </w:r>
                  <w:r>
                    <w:rPr>
                      <w:rFonts w:eastAsia="仿宋"/>
                      <w:color w:val="000000" w:themeColor="text1"/>
                      <w:szCs w:val="21"/>
                      <w14:textFill>
                        <w14:solidFill>
                          <w14:schemeClr w14:val="tx1"/>
                        </w14:solidFill>
                      </w14:textFill>
                    </w:rPr>
                    <w:t>#</w:t>
                  </w:r>
                  <w:r>
                    <w:rPr>
                      <w:rFonts w:hint="eastAsia" w:eastAsia="仿宋"/>
                      <w:color w:val="000000" w:themeColor="text1"/>
                      <w:szCs w:val="21"/>
                      <w14:textFill>
                        <w14:solidFill>
                          <w14:schemeClr w14:val="tx1"/>
                        </w14:solidFill>
                      </w14:textFill>
                    </w:rPr>
                    <w:t>排气筒</w:t>
                  </w:r>
                </w:p>
              </w:tc>
              <w:tc>
                <w:tcPr>
                  <w:tcW w:w="960" w:type="pct"/>
                  <w:vAlign w:val="center"/>
                </w:tcPr>
                <w:p w14:paraId="17CF8E0F">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氮氧化物</w:t>
                  </w:r>
                </w:p>
              </w:tc>
              <w:tc>
                <w:tcPr>
                  <w:tcW w:w="641" w:type="pct"/>
                  <w:vAlign w:val="center"/>
                </w:tcPr>
                <w:p w14:paraId="108998BD">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1次/月</w:t>
                  </w:r>
                </w:p>
              </w:tc>
              <w:tc>
                <w:tcPr>
                  <w:tcW w:w="1685" w:type="pct"/>
                  <w:vMerge w:val="restart"/>
                  <w:vAlign w:val="center"/>
                </w:tcPr>
                <w:p w14:paraId="09B5427C">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《锅炉大气污染物排放标准》（DB32/4385-2022）</w:t>
                  </w:r>
                </w:p>
              </w:tc>
              <w:tc>
                <w:tcPr>
                  <w:tcW w:w="738" w:type="pct"/>
                  <w:vMerge w:val="continue"/>
                  <w:vAlign w:val="center"/>
                </w:tcPr>
                <w:p w14:paraId="09C44EE4">
                  <w:pPr>
                    <w:jc w:val="center"/>
                    <w:rPr>
                      <w:rFonts w:eastAsia="仿宋"/>
                      <w:color w:val="000000" w:themeColor="text1"/>
                      <w:szCs w:val="21"/>
                      <w14:textFill>
                        <w14:solidFill>
                          <w14:schemeClr w14:val="tx1"/>
                        </w14:solidFill>
                      </w14:textFill>
                    </w:rPr>
                  </w:pPr>
                </w:p>
              </w:tc>
            </w:tr>
            <w:tr w14:paraId="27591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noWrap/>
                  <w:vAlign w:val="center"/>
                </w:tcPr>
                <w:p w14:paraId="3965F60B">
                  <w:pPr>
                    <w:jc w:val="center"/>
                    <w:rPr>
                      <w:rFonts w:eastAsia="仿宋"/>
                      <w:color w:val="000000" w:themeColor="text1"/>
                      <w:szCs w:val="21"/>
                      <w14:textFill>
                        <w14:solidFill>
                          <w14:schemeClr w14:val="tx1"/>
                        </w14:solidFill>
                      </w14:textFill>
                    </w:rPr>
                  </w:pPr>
                </w:p>
              </w:tc>
              <w:tc>
                <w:tcPr>
                  <w:tcW w:w="641" w:type="pct"/>
                  <w:vMerge w:val="continue"/>
                  <w:noWrap/>
                  <w:vAlign w:val="center"/>
                </w:tcPr>
                <w:p w14:paraId="179CE9AD">
                  <w:pPr>
                    <w:jc w:val="center"/>
                    <w:rPr>
                      <w:rFonts w:eastAsia="仿宋"/>
                      <w:color w:val="000000" w:themeColor="text1"/>
                      <w:szCs w:val="21"/>
                      <w14:textFill>
                        <w14:solidFill>
                          <w14:schemeClr w14:val="tx1"/>
                        </w14:solidFill>
                      </w14:textFill>
                    </w:rPr>
                  </w:pPr>
                </w:p>
              </w:tc>
              <w:tc>
                <w:tcPr>
                  <w:tcW w:w="960" w:type="pct"/>
                  <w:vAlign w:val="center"/>
                </w:tcPr>
                <w:p w14:paraId="79BD57FA">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二氧化硫、颗粒物、林格曼黑度</w:t>
                  </w:r>
                </w:p>
              </w:tc>
              <w:tc>
                <w:tcPr>
                  <w:tcW w:w="641" w:type="pct"/>
                  <w:vAlign w:val="center"/>
                </w:tcPr>
                <w:p w14:paraId="6FE5129F">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1次/年</w:t>
                  </w:r>
                </w:p>
              </w:tc>
              <w:tc>
                <w:tcPr>
                  <w:tcW w:w="1685" w:type="pct"/>
                  <w:vMerge w:val="continue"/>
                  <w:vAlign w:val="center"/>
                </w:tcPr>
                <w:p w14:paraId="420840E4">
                  <w:pPr>
                    <w:jc w:val="center"/>
                    <w:rPr>
                      <w:rFonts w:eastAsia="仿宋"/>
                      <w:color w:val="000000" w:themeColor="text1"/>
                      <w:szCs w:val="21"/>
                      <w14:textFill>
                        <w14:solidFill>
                          <w14:schemeClr w14:val="tx1"/>
                        </w14:solidFill>
                      </w14:textFill>
                    </w:rPr>
                  </w:pPr>
                </w:p>
              </w:tc>
              <w:tc>
                <w:tcPr>
                  <w:tcW w:w="738" w:type="pct"/>
                  <w:vMerge w:val="continue"/>
                  <w:vAlign w:val="center"/>
                </w:tcPr>
                <w:p w14:paraId="51AE50A8">
                  <w:pPr>
                    <w:jc w:val="center"/>
                    <w:rPr>
                      <w:rFonts w:eastAsia="仿宋"/>
                      <w:color w:val="000000" w:themeColor="text1"/>
                      <w:szCs w:val="21"/>
                      <w14:textFill>
                        <w14:solidFill>
                          <w14:schemeClr w14:val="tx1"/>
                        </w14:solidFill>
                      </w14:textFill>
                    </w:rPr>
                  </w:pPr>
                </w:p>
              </w:tc>
            </w:tr>
            <w:tr w14:paraId="43757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noWrap/>
                  <w:vAlign w:val="center"/>
                </w:tcPr>
                <w:p w14:paraId="166E6A77">
                  <w:pPr>
                    <w:jc w:val="center"/>
                    <w:rPr>
                      <w:rFonts w:eastAsia="仿宋"/>
                      <w:color w:val="000000" w:themeColor="text1"/>
                      <w:szCs w:val="21"/>
                      <w14:textFill>
                        <w14:solidFill>
                          <w14:schemeClr w14:val="tx1"/>
                        </w14:solidFill>
                      </w14:textFill>
                    </w:rPr>
                  </w:pPr>
                </w:p>
              </w:tc>
              <w:tc>
                <w:tcPr>
                  <w:tcW w:w="641" w:type="pct"/>
                  <w:noWrap/>
                  <w:vAlign w:val="center"/>
                </w:tcPr>
                <w:p w14:paraId="24F71ABE">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厂区内</w:t>
                  </w:r>
                </w:p>
              </w:tc>
              <w:tc>
                <w:tcPr>
                  <w:tcW w:w="960" w:type="pct"/>
                  <w:vAlign w:val="center"/>
                </w:tcPr>
                <w:p w14:paraId="36C9B7C0">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非甲烷</w:t>
                  </w:r>
                  <w:r>
                    <w:rPr>
                      <w:rFonts w:eastAsia="仿宋"/>
                      <w:color w:val="000000" w:themeColor="text1"/>
                      <w:szCs w:val="21"/>
                      <w14:textFill>
                        <w14:solidFill>
                          <w14:schemeClr w14:val="tx1"/>
                        </w14:solidFill>
                      </w14:textFill>
                    </w:rPr>
                    <w:t>总烃</w:t>
                  </w:r>
                </w:p>
              </w:tc>
              <w:tc>
                <w:tcPr>
                  <w:tcW w:w="641" w:type="pct"/>
                  <w:vAlign w:val="center"/>
                </w:tcPr>
                <w:p w14:paraId="739B1A9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1次/年</w:t>
                  </w:r>
                </w:p>
              </w:tc>
              <w:tc>
                <w:tcPr>
                  <w:tcW w:w="1685" w:type="pct"/>
                  <w:vAlign w:val="center"/>
                </w:tcPr>
                <w:p w14:paraId="2057E48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《大气污染物综合排放标准》（DB32/4041-2021）</w:t>
                  </w:r>
                </w:p>
              </w:tc>
              <w:tc>
                <w:tcPr>
                  <w:tcW w:w="738" w:type="pct"/>
                  <w:vMerge w:val="continue"/>
                  <w:vAlign w:val="center"/>
                </w:tcPr>
                <w:p w14:paraId="66E6E895">
                  <w:pPr>
                    <w:jc w:val="center"/>
                    <w:rPr>
                      <w:rFonts w:eastAsia="仿宋"/>
                      <w:color w:val="000000" w:themeColor="text1"/>
                      <w:szCs w:val="21"/>
                      <w14:textFill>
                        <w14:solidFill>
                          <w14:schemeClr w14:val="tx1"/>
                        </w14:solidFill>
                      </w14:textFill>
                    </w:rPr>
                  </w:pPr>
                </w:p>
              </w:tc>
            </w:tr>
            <w:tr w14:paraId="6CE05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5" w:type="pct"/>
                  <w:vMerge w:val="continue"/>
                  <w:noWrap/>
                  <w:vAlign w:val="center"/>
                </w:tcPr>
                <w:p w14:paraId="0C9498C3">
                  <w:pPr>
                    <w:jc w:val="center"/>
                    <w:rPr>
                      <w:rFonts w:eastAsia="仿宋"/>
                      <w:color w:val="000000" w:themeColor="text1"/>
                      <w:szCs w:val="21"/>
                      <w14:textFill>
                        <w14:solidFill>
                          <w14:schemeClr w14:val="tx1"/>
                        </w14:solidFill>
                      </w14:textFill>
                    </w:rPr>
                  </w:pPr>
                </w:p>
              </w:tc>
              <w:tc>
                <w:tcPr>
                  <w:tcW w:w="641" w:type="pct"/>
                  <w:noWrap/>
                  <w:vAlign w:val="center"/>
                </w:tcPr>
                <w:p w14:paraId="3BB5173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厂界</w:t>
                  </w:r>
                </w:p>
              </w:tc>
              <w:tc>
                <w:tcPr>
                  <w:tcW w:w="960" w:type="pct"/>
                  <w:vAlign w:val="center"/>
                </w:tcPr>
                <w:p w14:paraId="2D47FFBB">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非甲烷总烃、甲醇</w:t>
                  </w:r>
                </w:p>
              </w:tc>
              <w:tc>
                <w:tcPr>
                  <w:tcW w:w="641" w:type="pct"/>
                  <w:vAlign w:val="center"/>
                </w:tcPr>
                <w:p w14:paraId="3E2A7A9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1次/年</w:t>
                  </w:r>
                </w:p>
              </w:tc>
              <w:tc>
                <w:tcPr>
                  <w:tcW w:w="1685" w:type="pct"/>
                  <w:vAlign w:val="center"/>
                </w:tcPr>
                <w:p w14:paraId="7EAE65B2">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《大气污染物综合排放标准》（DB32/4041-2021）</w:t>
                  </w:r>
                </w:p>
              </w:tc>
              <w:tc>
                <w:tcPr>
                  <w:tcW w:w="738" w:type="pct"/>
                  <w:vMerge w:val="continue"/>
                  <w:vAlign w:val="center"/>
                </w:tcPr>
                <w:p w14:paraId="03805242">
                  <w:pPr>
                    <w:jc w:val="center"/>
                    <w:rPr>
                      <w:rFonts w:eastAsia="仿宋"/>
                      <w:color w:val="000000" w:themeColor="text1"/>
                      <w:szCs w:val="21"/>
                      <w14:textFill>
                        <w14:solidFill>
                          <w14:schemeClr w14:val="tx1"/>
                        </w14:solidFill>
                      </w14:textFill>
                    </w:rPr>
                  </w:pPr>
                </w:p>
              </w:tc>
            </w:tr>
          </w:tbl>
          <w:p w14:paraId="74EB091F">
            <w:pPr>
              <w:tabs>
                <w:tab w:val="left" w:pos="2130"/>
              </w:tabs>
              <w:spacing w:line="480" w:lineRule="exact"/>
              <w:ind w:firstLine="480" w:firstLineChars="200"/>
              <w:rPr>
                <w:rFonts w:eastAsia="仿宋"/>
                <w:bCs/>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3、卫生防护距离</w:t>
            </w:r>
          </w:p>
          <w:p w14:paraId="77C9F1A7">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卫生防护距离是指产生有害因素的部门的边界至居住区边界的最小距离。对根据《制定地方大气污染物排放标准的技术方法》（GB/T3840-91），凡不通过排气筒或通过15m高度以下排气筒的有害气体排放，均属无组织排放。无组织排放的有害气体进入呼吸带大气层时，其浓度如超过《环境空气质量标准》（GB3095.2-2012）与《工业企业设计卫生标准》（GBZ1-2010）规定的居住区允许浓度限值，则应在产生排放部门的周围区域设置卫生防护距离。</w:t>
            </w:r>
          </w:p>
          <w:p w14:paraId="19489C91">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卫生防护距离的计算公式：</w:t>
            </w:r>
          </w:p>
          <w:p w14:paraId="11AB14C3">
            <w:pPr>
              <w:adjustRightInd w:val="0"/>
              <w:snapToGrid w:val="0"/>
              <w:ind w:firstLine="480" w:firstLineChars="200"/>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object>
                <v:shape id="_x0000_i1028" o:spt="75" type="#_x0000_t75" style="height:43.8pt;width:164.75pt;" o:ole="t" filled="f" o:preferrelative="t" stroked="f" coordsize="21600,21600">
                  <v:path/>
                  <v:fill on="f" focussize="0,0"/>
                  <v:stroke on="f" joinstyle="miter"/>
                  <v:imagedata r:id="rId20" o:title=""/>
                  <o:lock v:ext="edit" aspectratio="f"/>
                  <w10:wrap type="none"/>
                  <w10:anchorlock/>
                </v:shape>
                <o:OLEObject Type="Embed" ProgID="Equation.3" ShapeID="_x0000_i1028" DrawAspect="Content" ObjectID="_1468075728" r:id="rId19">
                  <o:LockedField>false</o:LockedField>
                </o:OLEObject>
              </w:object>
            </w:r>
          </w:p>
          <w:p w14:paraId="56C39082">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式中：Cm——标准浓度限值（mg/m</w:t>
            </w:r>
            <w:r>
              <w:rPr>
                <w:rFonts w:eastAsia="仿宋"/>
                <w:bCs/>
                <w:color w:val="000000" w:themeColor="text1"/>
                <w:sz w:val="24"/>
                <w:vertAlign w:val="superscript"/>
                <w14:textFill>
                  <w14:solidFill>
                    <w14:schemeClr w14:val="tx1"/>
                  </w14:solidFill>
                </w14:textFill>
              </w:rPr>
              <w:t>3</w:t>
            </w:r>
            <w:r>
              <w:rPr>
                <w:rFonts w:eastAsia="仿宋"/>
                <w:bCs/>
                <w:color w:val="000000" w:themeColor="text1"/>
                <w:sz w:val="24"/>
                <w14:textFill>
                  <w14:solidFill>
                    <w14:schemeClr w14:val="tx1"/>
                  </w14:solidFill>
                </w14:textFill>
              </w:rPr>
              <w:t>）；</w:t>
            </w:r>
          </w:p>
          <w:p w14:paraId="278BC07E">
            <w:pPr>
              <w:spacing w:line="480" w:lineRule="exact"/>
              <w:ind w:firstLine="1200" w:firstLineChars="5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Qc——工业企业有害气体无组织排放量可以达到的控制水平（kg/h）；</w:t>
            </w:r>
          </w:p>
          <w:p w14:paraId="37645F84">
            <w:pPr>
              <w:spacing w:line="480" w:lineRule="exact"/>
              <w:ind w:firstLine="1200" w:firstLineChars="5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r——有害气体无组织排放源所在生产单元的等效半径（m）；</w:t>
            </w:r>
          </w:p>
          <w:p w14:paraId="20B11835">
            <w:pPr>
              <w:spacing w:line="480" w:lineRule="exact"/>
              <w:ind w:firstLine="1200" w:firstLineChars="5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L——工业企业所需的卫生防护距离</w:t>
            </w:r>
            <w:r>
              <w:rPr>
                <w:rFonts w:hint="eastAsia"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指无组织排放源所在的生产单元</w:t>
            </w:r>
            <w:r>
              <w:rPr>
                <w:rFonts w:hint="eastAsia" w:eastAsia="仿宋"/>
                <w:bCs/>
                <w:color w:val="000000" w:themeColor="text1"/>
                <w:sz w:val="24"/>
                <w14:textFill>
                  <w14:solidFill>
                    <w14:schemeClr w14:val="tx1"/>
                  </w14:solidFill>
                </w14:textFill>
              </w:rPr>
              <w:t>（生产区、车间或工段）与居住区之间的距离</w:t>
            </w:r>
            <w:r>
              <w:rPr>
                <w:rFonts w:eastAsia="仿宋"/>
                <w:bCs/>
                <w:color w:val="000000" w:themeColor="text1"/>
                <w:sz w:val="24"/>
                <w14:textFill>
                  <w14:solidFill>
                    <w14:schemeClr w14:val="tx1"/>
                  </w14:solidFill>
                </w14:textFill>
              </w:rPr>
              <w:t>（m）；</w:t>
            </w:r>
          </w:p>
          <w:p w14:paraId="44FA6725">
            <w:pPr>
              <w:spacing w:line="480" w:lineRule="exact"/>
              <w:ind w:firstLine="1200" w:firstLineChars="5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A、B、C、D——</w:t>
            </w:r>
            <w:r>
              <w:rPr>
                <w:rFonts w:hint="eastAsia" w:eastAsia="仿宋"/>
                <w:bCs/>
                <w:color w:val="000000" w:themeColor="text1"/>
                <w:sz w:val="24"/>
                <w14:textFill>
                  <w14:solidFill>
                    <w14:schemeClr w14:val="tx1"/>
                  </w14:solidFill>
                </w14:textFill>
              </w:rPr>
              <w:t>卫生防护距离计算系数，无因次，根据工业企业所在地区近五年平均风速及工业企业大气污染物构成类别从《大气有害物质无组织排放卫生防护距离推导技术导则（GB/T39499-2020）》表1中查取</w:t>
            </w:r>
            <w:r>
              <w:rPr>
                <w:rFonts w:eastAsia="仿宋"/>
                <w:bCs/>
                <w:color w:val="000000" w:themeColor="text1"/>
                <w:sz w:val="24"/>
                <w14:textFill>
                  <w14:solidFill>
                    <w14:schemeClr w14:val="tx1"/>
                  </w14:solidFill>
                </w14:textFill>
              </w:rPr>
              <w:t>，见下表。</w:t>
            </w:r>
          </w:p>
          <w:p w14:paraId="5553D1A1">
            <w:pPr>
              <w:keepNext/>
              <w:spacing w:line="480" w:lineRule="exact"/>
              <w:jc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表4</w:t>
            </w:r>
            <w:r>
              <w:rPr>
                <w:rFonts w:eastAsia="仿宋"/>
                <w:b/>
                <w:color w:val="000000" w:themeColor="text1"/>
                <w:szCs w:val="21"/>
                <w14:textFill>
                  <w14:solidFill>
                    <w14:schemeClr w14:val="tx1"/>
                  </w14:solidFill>
                </w14:textFill>
              </w:rPr>
              <w:t>-15 卫生防护距离计算系数</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018"/>
              <w:gridCol w:w="850"/>
              <w:gridCol w:w="868"/>
              <w:gridCol w:w="832"/>
              <w:gridCol w:w="19"/>
              <w:gridCol w:w="679"/>
              <w:gridCol w:w="850"/>
              <w:gridCol w:w="852"/>
              <w:gridCol w:w="679"/>
              <w:gridCol w:w="831"/>
              <w:gridCol w:w="681"/>
            </w:tblGrid>
            <w:tr w14:paraId="59095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restart"/>
                  <w:vAlign w:val="center"/>
                </w:tcPr>
                <w:p w14:paraId="0B9DE981">
                  <w:pPr>
                    <w:spacing w:line="28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计算</w:t>
                  </w:r>
                </w:p>
                <w:p w14:paraId="4413AF70">
                  <w:pPr>
                    <w:spacing w:line="28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系数</w:t>
                  </w:r>
                </w:p>
              </w:tc>
              <w:tc>
                <w:tcPr>
                  <w:tcW w:w="565" w:type="pct"/>
                  <w:vMerge w:val="restart"/>
                  <w:vAlign w:val="center"/>
                </w:tcPr>
                <w:p w14:paraId="423E30A8">
                  <w:pPr>
                    <w:spacing w:line="28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5年平均风速(m/s)</w:t>
                  </w:r>
                </w:p>
              </w:tc>
              <w:tc>
                <w:tcPr>
                  <w:tcW w:w="3964" w:type="pct"/>
                  <w:gridSpan w:val="10"/>
                  <w:vAlign w:val="center"/>
                </w:tcPr>
                <w:p w14:paraId="66DD761E">
                  <w:pPr>
                    <w:spacing w:line="280" w:lineRule="exact"/>
                    <w:ind w:firstLine="42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卫生防护距离L(m)</w:t>
                  </w:r>
                </w:p>
              </w:tc>
            </w:tr>
            <w:tr w14:paraId="59ACF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continue"/>
                  <w:vAlign w:val="center"/>
                </w:tcPr>
                <w:p w14:paraId="571A620E">
                  <w:pPr>
                    <w:spacing w:line="280" w:lineRule="exact"/>
                    <w:ind w:firstLine="420"/>
                    <w:jc w:val="center"/>
                    <w:rPr>
                      <w:rFonts w:eastAsia="仿宋"/>
                      <w:color w:val="000000" w:themeColor="text1"/>
                      <w:szCs w:val="21"/>
                      <w14:textFill>
                        <w14:solidFill>
                          <w14:schemeClr w14:val="tx1"/>
                        </w14:solidFill>
                      </w14:textFill>
                    </w:rPr>
                  </w:pPr>
                </w:p>
              </w:tc>
              <w:tc>
                <w:tcPr>
                  <w:tcW w:w="565" w:type="pct"/>
                  <w:vMerge w:val="continue"/>
                  <w:vAlign w:val="center"/>
                </w:tcPr>
                <w:p w14:paraId="2A30A3EE">
                  <w:pPr>
                    <w:spacing w:line="280" w:lineRule="exact"/>
                    <w:ind w:firstLine="420"/>
                    <w:jc w:val="center"/>
                    <w:rPr>
                      <w:rFonts w:eastAsia="仿宋"/>
                      <w:color w:val="000000" w:themeColor="text1"/>
                      <w:szCs w:val="21"/>
                      <w14:textFill>
                        <w14:solidFill>
                          <w14:schemeClr w14:val="tx1"/>
                        </w14:solidFill>
                      </w14:textFill>
                    </w:rPr>
                  </w:pPr>
                </w:p>
              </w:tc>
              <w:tc>
                <w:tcPr>
                  <w:tcW w:w="1416" w:type="pct"/>
                  <w:gridSpan w:val="3"/>
                  <w:vAlign w:val="center"/>
                </w:tcPr>
                <w:p w14:paraId="270DAA11">
                  <w:pPr>
                    <w:spacing w:line="280" w:lineRule="exact"/>
                    <w:ind w:firstLine="42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L≤1000</w:t>
                  </w:r>
                </w:p>
              </w:tc>
              <w:tc>
                <w:tcPr>
                  <w:tcW w:w="1333" w:type="pct"/>
                  <w:gridSpan w:val="4"/>
                  <w:vAlign w:val="center"/>
                </w:tcPr>
                <w:p w14:paraId="52422863">
                  <w:pPr>
                    <w:spacing w:line="280" w:lineRule="exact"/>
                    <w:ind w:firstLine="42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1000＜L≤2000</w:t>
                  </w:r>
                </w:p>
              </w:tc>
              <w:tc>
                <w:tcPr>
                  <w:tcW w:w="1216" w:type="pct"/>
                  <w:gridSpan w:val="3"/>
                  <w:vAlign w:val="center"/>
                </w:tcPr>
                <w:p w14:paraId="4F14527A">
                  <w:pPr>
                    <w:spacing w:line="280" w:lineRule="exact"/>
                    <w:ind w:firstLine="42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L＞2000</w:t>
                  </w:r>
                </w:p>
              </w:tc>
            </w:tr>
            <w:tr w14:paraId="5647F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continue"/>
                  <w:vAlign w:val="center"/>
                </w:tcPr>
                <w:p w14:paraId="5C84B4B1">
                  <w:pPr>
                    <w:spacing w:line="280" w:lineRule="exact"/>
                    <w:ind w:firstLine="420"/>
                    <w:jc w:val="center"/>
                    <w:rPr>
                      <w:rFonts w:eastAsia="仿宋"/>
                      <w:color w:val="000000" w:themeColor="text1"/>
                      <w:szCs w:val="21"/>
                      <w14:textFill>
                        <w14:solidFill>
                          <w14:schemeClr w14:val="tx1"/>
                        </w14:solidFill>
                      </w14:textFill>
                    </w:rPr>
                  </w:pPr>
                </w:p>
              </w:tc>
              <w:tc>
                <w:tcPr>
                  <w:tcW w:w="565" w:type="pct"/>
                  <w:vMerge w:val="continue"/>
                  <w:vAlign w:val="center"/>
                </w:tcPr>
                <w:p w14:paraId="6A14CACE">
                  <w:pPr>
                    <w:spacing w:line="280" w:lineRule="exact"/>
                    <w:ind w:firstLine="420"/>
                    <w:jc w:val="center"/>
                    <w:rPr>
                      <w:rFonts w:eastAsia="仿宋"/>
                      <w:color w:val="000000" w:themeColor="text1"/>
                      <w:szCs w:val="21"/>
                      <w14:textFill>
                        <w14:solidFill>
                          <w14:schemeClr w14:val="tx1"/>
                        </w14:solidFill>
                      </w14:textFill>
                    </w:rPr>
                  </w:pPr>
                </w:p>
              </w:tc>
              <w:tc>
                <w:tcPr>
                  <w:tcW w:w="3964" w:type="pct"/>
                  <w:gridSpan w:val="10"/>
                  <w:vAlign w:val="center"/>
                </w:tcPr>
                <w:p w14:paraId="3AB53F3E">
                  <w:pPr>
                    <w:spacing w:line="280" w:lineRule="exact"/>
                    <w:ind w:firstLine="42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工业大气污染源构成类别</w:t>
                  </w:r>
                </w:p>
              </w:tc>
            </w:tr>
            <w:tr w14:paraId="0C1B9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continue"/>
                  <w:vAlign w:val="center"/>
                </w:tcPr>
                <w:p w14:paraId="2105125A">
                  <w:pPr>
                    <w:spacing w:line="280" w:lineRule="exact"/>
                    <w:ind w:firstLine="420"/>
                    <w:jc w:val="center"/>
                    <w:rPr>
                      <w:rFonts w:eastAsia="仿宋"/>
                      <w:color w:val="000000" w:themeColor="text1"/>
                      <w:szCs w:val="21"/>
                      <w14:textFill>
                        <w14:solidFill>
                          <w14:schemeClr w14:val="tx1"/>
                        </w14:solidFill>
                      </w14:textFill>
                    </w:rPr>
                  </w:pPr>
                </w:p>
              </w:tc>
              <w:tc>
                <w:tcPr>
                  <w:tcW w:w="565" w:type="pct"/>
                  <w:vMerge w:val="continue"/>
                  <w:vAlign w:val="center"/>
                </w:tcPr>
                <w:p w14:paraId="5A9DCBEE">
                  <w:pPr>
                    <w:spacing w:line="280" w:lineRule="exact"/>
                    <w:ind w:firstLine="420"/>
                    <w:jc w:val="center"/>
                    <w:rPr>
                      <w:rFonts w:eastAsia="仿宋"/>
                      <w:color w:val="000000" w:themeColor="text1"/>
                      <w:szCs w:val="21"/>
                      <w14:textFill>
                        <w14:solidFill>
                          <w14:schemeClr w14:val="tx1"/>
                        </w14:solidFill>
                      </w14:textFill>
                    </w:rPr>
                  </w:pPr>
                </w:p>
              </w:tc>
              <w:tc>
                <w:tcPr>
                  <w:tcW w:w="472" w:type="pct"/>
                  <w:vAlign w:val="center"/>
                </w:tcPr>
                <w:p w14:paraId="72A53D01">
                  <w:pPr>
                    <w:spacing w:line="280" w:lineRule="exact"/>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Ⅰ</w:t>
                  </w:r>
                </w:p>
              </w:tc>
              <w:tc>
                <w:tcPr>
                  <w:tcW w:w="482" w:type="pct"/>
                  <w:vAlign w:val="center"/>
                </w:tcPr>
                <w:p w14:paraId="48223D82">
                  <w:pPr>
                    <w:spacing w:line="280" w:lineRule="exact"/>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Ⅱ</w:t>
                  </w:r>
                </w:p>
              </w:tc>
              <w:tc>
                <w:tcPr>
                  <w:tcW w:w="472" w:type="pct"/>
                  <w:gridSpan w:val="2"/>
                  <w:vAlign w:val="center"/>
                </w:tcPr>
                <w:p w14:paraId="649E7EAA">
                  <w:pPr>
                    <w:spacing w:line="280" w:lineRule="exact"/>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Ⅲ</w:t>
                  </w:r>
                </w:p>
              </w:tc>
              <w:tc>
                <w:tcPr>
                  <w:tcW w:w="377" w:type="pct"/>
                  <w:vAlign w:val="center"/>
                </w:tcPr>
                <w:p w14:paraId="2F6E22D0">
                  <w:pPr>
                    <w:spacing w:line="280" w:lineRule="exact"/>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Ⅰ</w:t>
                  </w:r>
                </w:p>
              </w:tc>
              <w:tc>
                <w:tcPr>
                  <w:tcW w:w="472" w:type="pct"/>
                  <w:vAlign w:val="center"/>
                </w:tcPr>
                <w:p w14:paraId="2F3A6459">
                  <w:pPr>
                    <w:spacing w:line="280" w:lineRule="exact"/>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Ⅱ</w:t>
                  </w:r>
                </w:p>
              </w:tc>
              <w:tc>
                <w:tcPr>
                  <w:tcW w:w="472" w:type="pct"/>
                  <w:vAlign w:val="center"/>
                </w:tcPr>
                <w:p w14:paraId="6E287B8D">
                  <w:pPr>
                    <w:spacing w:line="280" w:lineRule="exact"/>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Ⅲ</w:t>
                  </w:r>
                </w:p>
              </w:tc>
              <w:tc>
                <w:tcPr>
                  <w:tcW w:w="377" w:type="pct"/>
                  <w:vAlign w:val="center"/>
                </w:tcPr>
                <w:p w14:paraId="2218CC88">
                  <w:pPr>
                    <w:spacing w:line="280" w:lineRule="exact"/>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Ⅰ</w:t>
                  </w:r>
                </w:p>
              </w:tc>
              <w:tc>
                <w:tcPr>
                  <w:tcW w:w="461" w:type="pct"/>
                  <w:vAlign w:val="center"/>
                </w:tcPr>
                <w:p w14:paraId="2C6B3E12">
                  <w:pPr>
                    <w:spacing w:line="280" w:lineRule="exact"/>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Ⅱ</w:t>
                  </w:r>
                </w:p>
              </w:tc>
              <w:tc>
                <w:tcPr>
                  <w:tcW w:w="378" w:type="pct"/>
                  <w:vAlign w:val="center"/>
                </w:tcPr>
                <w:p w14:paraId="29390904">
                  <w:pPr>
                    <w:spacing w:line="280" w:lineRule="exact"/>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Ⅲ</w:t>
                  </w:r>
                </w:p>
              </w:tc>
            </w:tr>
            <w:tr w14:paraId="7C06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restart"/>
                  <w:vAlign w:val="center"/>
                </w:tcPr>
                <w:p w14:paraId="1932E3B4">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A</w:t>
                  </w:r>
                </w:p>
              </w:tc>
              <w:tc>
                <w:tcPr>
                  <w:tcW w:w="565" w:type="pct"/>
                  <w:vAlign w:val="center"/>
                </w:tcPr>
                <w:p w14:paraId="50563626">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472" w:type="pct"/>
                  <w:vAlign w:val="center"/>
                </w:tcPr>
                <w:p w14:paraId="16682DC5">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w:t>
                  </w:r>
                </w:p>
              </w:tc>
              <w:tc>
                <w:tcPr>
                  <w:tcW w:w="482" w:type="pct"/>
                  <w:vAlign w:val="center"/>
                </w:tcPr>
                <w:p w14:paraId="35B08980">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w:t>
                  </w:r>
                </w:p>
              </w:tc>
              <w:tc>
                <w:tcPr>
                  <w:tcW w:w="472" w:type="pct"/>
                  <w:gridSpan w:val="2"/>
                  <w:vAlign w:val="center"/>
                </w:tcPr>
                <w:p w14:paraId="5097D069">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w:t>
                  </w:r>
                </w:p>
              </w:tc>
              <w:tc>
                <w:tcPr>
                  <w:tcW w:w="377" w:type="pct"/>
                  <w:vAlign w:val="center"/>
                </w:tcPr>
                <w:p w14:paraId="6B232EF9">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w:t>
                  </w:r>
                </w:p>
              </w:tc>
              <w:tc>
                <w:tcPr>
                  <w:tcW w:w="472" w:type="pct"/>
                  <w:vAlign w:val="center"/>
                </w:tcPr>
                <w:p w14:paraId="3FCDF6B3">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w:t>
                  </w:r>
                </w:p>
              </w:tc>
              <w:tc>
                <w:tcPr>
                  <w:tcW w:w="472" w:type="pct"/>
                  <w:vAlign w:val="center"/>
                </w:tcPr>
                <w:p w14:paraId="5B7E0EC3">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w:t>
                  </w:r>
                </w:p>
              </w:tc>
              <w:tc>
                <w:tcPr>
                  <w:tcW w:w="377" w:type="pct"/>
                  <w:vAlign w:val="center"/>
                </w:tcPr>
                <w:p w14:paraId="0E093199">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w:t>
                  </w:r>
                </w:p>
              </w:tc>
              <w:tc>
                <w:tcPr>
                  <w:tcW w:w="461" w:type="pct"/>
                  <w:vAlign w:val="center"/>
                </w:tcPr>
                <w:p w14:paraId="11C07D7F">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w:t>
                  </w:r>
                </w:p>
              </w:tc>
              <w:tc>
                <w:tcPr>
                  <w:tcW w:w="378" w:type="pct"/>
                  <w:vAlign w:val="center"/>
                </w:tcPr>
                <w:p w14:paraId="209B2C7B">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w:t>
                  </w:r>
                </w:p>
              </w:tc>
            </w:tr>
            <w:tr w14:paraId="6CF95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continue"/>
                  <w:shd w:val="clear" w:color="auto" w:fill="auto"/>
                  <w:vAlign w:val="center"/>
                </w:tcPr>
                <w:p w14:paraId="16B0A3AA">
                  <w:pPr>
                    <w:spacing w:line="280" w:lineRule="exact"/>
                    <w:jc w:val="center"/>
                    <w:rPr>
                      <w:color w:val="000000" w:themeColor="text1"/>
                      <w:szCs w:val="21"/>
                      <w14:textFill>
                        <w14:solidFill>
                          <w14:schemeClr w14:val="tx1"/>
                        </w14:solidFill>
                      </w14:textFill>
                    </w:rPr>
                  </w:pPr>
                </w:p>
              </w:tc>
              <w:tc>
                <w:tcPr>
                  <w:tcW w:w="565" w:type="pct"/>
                  <w:shd w:val="clear" w:color="auto" w:fill="auto"/>
                  <w:vAlign w:val="center"/>
                </w:tcPr>
                <w:p w14:paraId="1183801C">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w:t>
                  </w:r>
                </w:p>
              </w:tc>
              <w:tc>
                <w:tcPr>
                  <w:tcW w:w="472" w:type="pct"/>
                  <w:shd w:val="clear" w:color="auto" w:fill="auto"/>
                  <w:vAlign w:val="center"/>
                </w:tcPr>
                <w:p w14:paraId="7CD6735B">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700</w:t>
                  </w:r>
                </w:p>
              </w:tc>
              <w:tc>
                <w:tcPr>
                  <w:tcW w:w="482" w:type="pct"/>
                  <w:shd w:val="clear" w:color="auto" w:fill="E0E0E0"/>
                  <w:vAlign w:val="center"/>
                </w:tcPr>
                <w:p w14:paraId="4A146B4F">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470</w:t>
                  </w:r>
                </w:p>
              </w:tc>
              <w:tc>
                <w:tcPr>
                  <w:tcW w:w="472" w:type="pct"/>
                  <w:gridSpan w:val="2"/>
                  <w:vAlign w:val="center"/>
                </w:tcPr>
                <w:p w14:paraId="0C659C48">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350</w:t>
                  </w:r>
                </w:p>
              </w:tc>
              <w:tc>
                <w:tcPr>
                  <w:tcW w:w="377" w:type="pct"/>
                  <w:vAlign w:val="center"/>
                </w:tcPr>
                <w:p w14:paraId="31291CD2">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700</w:t>
                  </w:r>
                </w:p>
              </w:tc>
              <w:tc>
                <w:tcPr>
                  <w:tcW w:w="472" w:type="pct"/>
                  <w:vAlign w:val="center"/>
                </w:tcPr>
                <w:p w14:paraId="114373A4">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470</w:t>
                  </w:r>
                </w:p>
              </w:tc>
              <w:tc>
                <w:tcPr>
                  <w:tcW w:w="472" w:type="pct"/>
                  <w:vAlign w:val="center"/>
                </w:tcPr>
                <w:p w14:paraId="63B81BC4">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350</w:t>
                  </w:r>
                </w:p>
              </w:tc>
              <w:tc>
                <w:tcPr>
                  <w:tcW w:w="377" w:type="pct"/>
                  <w:vAlign w:val="center"/>
                </w:tcPr>
                <w:p w14:paraId="290E0918">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380</w:t>
                  </w:r>
                </w:p>
              </w:tc>
              <w:tc>
                <w:tcPr>
                  <w:tcW w:w="461" w:type="pct"/>
                  <w:vAlign w:val="center"/>
                </w:tcPr>
                <w:p w14:paraId="1A7F9DDC">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250</w:t>
                  </w:r>
                </w:p>
              </w:tc>
              <w:tc>
                <w:tcPr>
                  <w:tcW w:w="378" w:type="pct"/>
                  <w:vAlign w:val="center"/>
                </w:tcPr>
                <w:p w14:paraId="2CD7C6FB">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190</w:t>
                  </w:r>
                </w:p>
              </w:tc>
            </w:tr>
            <w:tr w14:paraId="60CAA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continue"/>
                  <w:vAlign w:val="center"/>
                </w:tcPr>
                <w:p w14:paraId="35B113D8">
                  <w:pPr>
                    <w:spacing w:line="280" w:lineRule="exact"/>
                    <w:jc w:val="center"/>
                    <w:rPr>
                      <w:color w:val="000000" w:themeColor="text1"/>
                      <w:szCs w:val="21"/>
                      <w14:textFill>
                        <w14:solidFill>
                          <w14:schemeClr w14:val="tx1"/>
                        </w14:solidFill>
                      </w14:textFill>
                    </w:rPr>
                  </w:pPr>
                </w:p>
              </w:tc>
              <w:tc>
                <w:tcPr>
                  <w:tcW w:w="565" w:type="pct"/>
                  <w:vAlign w:val="center"/>
                </w:tcPr>
                <w:p w14:paraId="655323F4">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472" w:type="pct"/>
                  <w:vAlign w:val="center"/>
                </w:tcPr>
                <w:p w14:paraId="4197235A">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530</w:t>
                  </w:r>
                </w:p>
              </w:tc>
              <w:tc>
                <w:tcPr>
                  <w:tcW w:w="482" w:type="pct"/>
                  <w:vAlign w:val="center"/>
                </w:tcPr>
                <w:p w14:paraId="5E341A1F">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350</w:t>
                  </w:r>
                </w:p>
              </w:tc>
              <w:tc>
                <w:tcPr>
                  <w:tcW w:w="472" w:type="pct"/>
                  <w:gridSpan w:val="2"/>
                  <w:vAlign w:val="center"/>
                </w:tcPr>
                <w:p w14:paraId="0FDAFCB8">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260</w:t>
                  </w:r>
                </w:p>
              </w:tc>
              <w:tc>
                <w:tcPr>
                  <w:tcW w:w="377" w:type="pct"/>
                  <w:vAlign w:val="center"/>
                </w:tcPr>
                <w:p w14:paraId="5F1DD012">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530</w:t>
                  </w:r>
                </w:p>
              </w:tc>
              <w:tc>
                <w:tcPr>
                  <w:tcW w:w="472" w:type="pct"/>
                  <w:vAlign w:val="center"/>
                </w:tcPr>
                <w:p w14:paraId="15C42958">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350</w:t>
                  </w:r>
                </w:p>
              </w:tc>
              <w:tc>
                <w:tcPr>
                  <w:tcW w:w="472" w:type="pct"/>
                  <w:vAlign w:val="center"/>
                </w:tcPr>
                <w:p w14:paraId="2172D08A">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260</w:t>
                  </w:r>
                </w:p>
              </w:tc>
              <w:tc>
                <w:tcPr>
                  <w:tcW w:w="377" w:type="pct"/>
                  <w:vAlign w:val="center"/>
                </w:tcPr>
                <w:p w14:paraId="4CB7011E">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290</w:t>
                  </w:r>
                </w:p>
              </w:tc>
              <w:tc>
                <w:tcPr>
                  <w:tcW w:w="461" w:type="pct"/>
                  <w:vAlign w:val="center"/>
                </w:tcPr>
                <w:p w14:paraId="23B2C493">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190</w:t>
                  </w:r>
                </w:p>
              </w:tc>
              <w:tc>
                <w:tcPr>
                  <w:tcW w:w="378" w:type="pct"/>
                  <w:vAlign w:val="center"/>
                </w:tcPr>
                <w:p w14:paraId="1C2C0BBA">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140</w:t>
                  </w:r>
                </w:p>
              </w:tc>
            </w:tr>
            <w:tr w14:paraId="14554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restart"/>
                  <w:vAlign w:val="center"/>
                </w:tcPr>
                <w:p w14:paraId="5A737870">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w:t>
                  </w:r>
                </w:p>
              </w:tc>
              <w:tc>
                <w:tcPr>
                  <w:tcW w:w="565" w:type="pct"/>
                  <w:vAlign w:val="center"/>
                </w:tcPr>
                <w:p w14:paraId="1AE04C10">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427" w:type="pct"/>
                  <w:gridSpan w:val="4"/>
                  <w:vAlign w:val="center"/>
                </w:tcPr>
                <w:p w14:paraId="29D2C074">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p>
              </w:tc>
              <w:tc>
                <w:tcPr>
                  <w:tcW w:w="1321" w:type="pct"/>
                  <w:gridSpan w:val="3"/>
                  <w:vAlign w:val="center"/>
                </w:tcPr>
                <w:p w14:paraId="152DF64A">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0.015</w:t>
                  </w:r>
                </w:p>
              </w:tc>
              <w:tc>
                <w:tcPr>
                  <w:tcW w:w="1216" w:type="pct"/>
                  <w:gridSpan w:val="3"/>
                  <w:vAlign w:val="center"/>
                </w:tcPr>
                <w:p w14:paraId="1F4E27B0">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0.015</w:t>
                  </w:r>
                </w:p>
              </w:tc>
            </w:tr>
            <w:tr w14:paraId="2CCD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continue"/>
                  <w:shd w:val="clear" w:color="auto" w:fill="auto"/>
                  <w:vAlign w:val="center"/>
                </w:tcPr>
                <w:p w14:paraId="26287018">
                  <w:pPr>
                    <w:spacing w:line="280" w:lineRule="exact"/>
                    <w:jc w:val="center"/>
                    <w:rPr>
                      <w:color w:val="000000" w:themeColor="text1"/>
                      <w:szCs w:val="21"/>
                      <w14:textFill>
                        <w14:solidFill>
                          <w14:schemeClr w14:val="tx1"/>
                        </w14:solidFill>
                      </w14:textFill>
                    </w:rPr>
                  </w:pPr>
                </w:p>
              </w:tc>
              <w:tc>
                <w:tcPr>
                  <w:tcW w:w="565" w:type="pct"/>
                  <w:shd w:val="clear" w:color="auto" w:fill="auto"/>
                  <w:vAlign w:val="center"/>
                </w:tcPr>
                <w:p w14:paraId="78611392">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427" w:type="pct"/>
                  <w:gridSpan w:val="4"/>
                  <w:shd w:val="clear" w:color="auto" w:fill="E0E0E0"/>
                  <w:vAlign w:val="center"/>
                </w:tcPr>
                <w:p w14:paraId="3F38B37D">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0.021</w:t>
                  </w:r>
                </w:p>
              </w:tc>
              <w:tc>
                <w:tcPr>
                  <w:tcW w:w="1321" w:type="pct"/>
                  <w:gridSpan w:val="3"/>
                  <w:vAlign w:val="center"/>
                </w:tcPr>
                <w:p w14:paraId="7D4A882A">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0.036</w:t>
                  </w:r>
                </w:p>
              </w:tc>
              <w:tc>
                <w:tcPr>
                  <w:tcW w:w="1216" w:type="pct"/>
                  <w:gridSpan w:val="3"/>
                  <w:vAlign w:val="center"/>
                </w:tcPr>
                <w:p w14:paraId="2F56B795">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0.036</w:t>
                  </w:r>
                </w:p>
              </w:tc>
            </w:tr>
            <w:tr w14:paraId="38686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restart"/>
                  <w:vAlign w:val="center"/>
                </w:tcPr>
                <w:p w14:paraId="6796123F">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w:t>
                  </w:r>
                </w:p>
              </w:tc>
              <w:tc>
                <w:tcPr>
                  <w:tcW w:w="565" w:type="pct"/>
                  <w:vAlign w:val="center"/>
                </w:tcPr>
                <w:p w14:paraId="0346FBD8">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427" w:type="pct"/>
                  <w:gridSpan w:val="4"/>
                  <w:vAlign w:val="center"/>
                </w:tcPr>
                <w:p w14:paraId="553831BC">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1.85</w:t>
                  </w:r>
                </w:p>
              </w:tc>
              <w:tc>
                <w:tcPr>
                  <w:tcW w:w="1321" w:type="pct"/>
                  <w:gridSpan w:val="3"/>
                  <w:vAlign w:val="center"/>
                </w:tcPr>
                <w:p w14:paraId="67D8CFD7">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1.79</w:t>
                  </w:r>
                </w:p>
              </w:tc>
              <w:tc>
                <w:tcPr>
                  <w:tcW w:w="1216" w:type="pct"/>
                  <w:gridSpan w:val="3"/>
                  <w:vAlign w:val="center"/>
                </w:tcPr>
                <w:p w14:paraId="03AA5416">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1.79</w:t>
                  </w:r>
                </w:p>
              </w:tc>
            </w:tr>
            <w:tr w14:paraId="278CF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continue"/>
                  <w:shd w:val="clear" w:color="auto" w:fill="auto"/>
                  <w:vAlign w:val="center"/>
                </w:tcPr>
                <w:p w14:paraId="1988E6CC">
                  <w:pPr>
                    <w:spacing w:line="280" w:lineRule="exact"/>
                    <w:jc w:val="center"/>
                    <w:rPr>
                      <w:color w:val="000000" w:themeColor="text1"/>
                      <w:szCs w:val="21"/>
                      <w14:textFill>
                        <w14:solidFill>
                          <w14:schemeClr w14:val="tx1"/>
                        </w14:solidFill>
                      </w14:textFill>
                    </w:rPr>
                  </w:pPr>
                </w:p>
              </w:tc>
              <w:tc>
                <w:tcPr>
                  <w:tcW w:w="565" w:type="pct"/>
                  <w:shd w:val="clear" w:color="auto" w:fill="auto"/>
                  <w:vAlign w:val="center"/>
                </w:tcPr>
                <w:p w14:paraId="340AED49">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427" w:type="pct"/>
                  <w:gridSpan w:val="4"/>
                  <w:shd w:val="clear" w:color="auto" w:fill="E0E0E0"/>
                  <w:vAlign w:val="center"/>
                </w:tcPr>
                <w:p w14:paraId="223DE6CF">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1.85</w:t>
                  </w:r>
                </w:p>
              </w:tc>
              <w:tc>
                <w:tcPr>
                  <w:tcW w:w="1321" w:type="pct"/>
                  <w:gridSpan w:val="3"/>
                  <w:vAlign w:val="center"/>
                </w:tcPr>
                <w:p w14:paraId="3BCC4C25">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1.77</w:t>
                  </w:r>
                </w:p>
              </w:tc>
              <w:tc>
                <w:tcPr>
                  <w:tcW w:w="1216" w:type="pct"/>
                  <w:gridSpan w:val="3"/>
                  <w:vAlign w:val="center"/>
                </w:tcPr>
                <w:p w14:paraId="27920315">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1.77</w:t>
                  </w:r>
                </w:p>
              </w:tc>
            </w:tr>
            <w:tr w14:paraId="5CC7B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restart"/>
                  <w:vAlign w:val="center"/>
                </w:tcPr>
                <w:p w14:paraId="65BBA3C7">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D</w:t>
                  </w:r>
                </w:p>
              </w:tc>
              <w:tc>
                <w:tcPr>
                  <w:tcW w:w="565" w:type="pct"/>
                  <w:vAlign w:val="center"/>
                </w:tcPr>
                <w:p w14:paraId="6A8706DF">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427" w:type="pct"/>
                  <w:gridSpan w:val="4"/>
                  <w:vAlign w:val="center"/>
                </w:tcPr>
                <w:p w14:paraId="591F8355">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0.78</w:t>
                  </w:r>
                </w:p>
              </w:tc>
              <w:tc>
                <w:tcPr>
                  <w:tcW w:w="1321" w:type="pct"/>
                  <w:gridSpan w:val="3"/>
                  <w:vAlign w:val="center"/>
                </w:tcPr>
                <w:p w14:paraId="28FE4A6B">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0.78</w:t>
                  </w:r>
                </w:p>
              </w:tc>
              <w:tc>
                <w:tcPr>
                  <w:tcW w:w="1216" w:type="pct"/>
                  <w:gridSpan w:val="3"/>
                  <w:vAlign w:val="center"/>
                </w:tcPr>
                <w:p w14:paraId="3E79ABFC">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0.57</w:t>
                  </w:r>
                </w:p>
              </w:tc>
            </w:tr>
            <w:tr w14:paraId="53053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continue"/>
                  <w:shd w:val="clear" w:color="auto" w:fill="auto"/>
                  <w:vAlign w:val="center"/>
                </w:tcPr>
                <w:p w14:paraId="74AFDDDA">
                  <w:pPr>
                    <w:spacing w:line="280" w:lineRule="exact"/>
                    <w:ind w:firstLine="420"/>
                    <w:jc w:val="center"/>
                    <w:rPr>
                      <w:rFonts w:eastAsia="仿宋"/>
                      <w:color w:val="000000" w:themeColor="text1"/>
                      <w:szCs w:val="21"/>
                      <w14:textFill>
                        <w14:solidFill>
                          <w14:schemeClr w14:val="tx1"/>
                        </w14:solidFill>
                      </w14:textFill>
                    </w:rPr>
                  </w:pPr>
                </w:p>
              </w:tc>
              <w:tc>
                <w:tcPr>
                  <w:tcW w:w="565" w:type="pct"/>
                  <w:shd w:val="clear" w:color="auto" w:fill="auto"/>
                  <w:vAlign w:val="center"/>
                </w:tcPr>
                <w:p w14:paraId="19DEE03F">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427" w:type="pct"/>
                  <w:gridSpan w:val="4"/>
                  <w:shd w:val="clear" w:color="auto" w:fill="E0E0E0"/>
                  <w:vAlign w:val="center"/>
                </w:tcPr>
                <w:p w14:paraId="164D81AB">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0.84</w:t>
                  </w:r>
                </w:p>
              </w:tc>
              <w:tc>
                <w:tcPr>
                  <w:tcW w:w="1321" w:type="pct"/>
                  <w:gridSpan w:val="3"/>
                  <w:vAlign w:val="center"/>
                </w:tcPr>
                <w:p w14:paraId="36743A1D">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0.84</w:t>
                  </w:r>
                </w:p>
              </w:tc>
              <w:tc>
                <w:tcPr>
                  <w:tcW w:w="1216" w:type="pct"/>
                  <w:gridSpan w:val="3"/>
                  <w:vAlign w:val="center"/>
                </w:tcPr>
                <w:p w14:paraId="23E63ED5">
                  <w:pPr>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0.76</w:t>
                  </w:r>
                </w:p>
              </w:tc>
            </w:tr>
          </w:tbl>
          <w:p w14:paraId="09608058">
            <w:pPr>
              <w:spacing w:line="480" w:lineRule="exact"/>
              <w:ind w:firstLine="480" w:firstLineChars="200"/>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根据《大气有害物质无组织排放卫生防护距离推导技术导则》（GB/T39499-2020），卫生防护距离初值小于50m时，级差为50m；初值大于或等于50m，但小于100m时，级差为50m；初值大于或等于100m，但小于1000m时，级差为100m；初值大于或等于10000m时，级差为200m。当企业某生产单元的无组织排放存在多种特种大气有害物质时，如果分别推导出的卫生防护距离初值在同一级别时，则该企业的卫生防护距离终值应提高一级；卫生防护距离初值不在同级别的，以卫生防护距离终值较大者为准。</w:t>
            </w:r>
          </w:p>
          <w:p w14:paraId="56286278">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经计算，本项目建成后全厂卫生防护距离计算结果见下表。</w:t>
            </w:r>
          </w:p>
          <w:p w14:paraId="66567FC4">
            <w:pPr>
              <w:keepNext/>
              <w:spacing w:line="480" w:lineRule="exact"/>
              <w:jc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表4</w:t>
            </w:r>
            <w:r>
              <w:rPr>
                <w:rFonts w:eastAsia="仿宋"/>
                <w:b/>
                <w:color w:val="000000" w:themeColor="text1"/>
                <w:szCs w:val="21"/>
                <w14:textFill>
                  <w14:solidFill>
                    <w14:schemeClr w14:val="tx1"/>
                  </w14:solidFill>
                </w14:textFill>
              </w:rPr>
              <w:t>-16 本项目建成后卫生防护距离计算结果</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1322"/>
              <w:gridCol w:w="1620"/>
              <w:gridCol w:w="1318"/>
              <w:gridCol w:w="1042"/>
              <w:gridCol w:w="1028"/>
              <w:gridCol w:w="1283"/>
            </w:tblGrid>
            <w:tr w14:paraId="5543D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vMerge w:val="restart"/>
                  <w:shd w:val="clear" w:color="auto" w:fill="auto"/>
                  <w:vAlign w:val="center"/>
                </w:tcPr>
                <w:p w14:paraId="1F706AC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污染源位置</w:t>
                  </w:r>
                </w:p>
              </w:tc>
              <w:tc>
                <w:tcPr>
                  <w:tcW w:w="734" w:type="pct"/>
                  <w:vMerge w:val="restart"/>
                  <w:shd w:val="clear" w:color="auto" w:fill="auto"/>
                  <w:vAlign w:val="center"/>
                </w:tcPr>
                <w:p w14:paraId="36BE2A3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污染物名称</w:t>
                  </w:r>
                </w:p>
              </w:tc>
              <w:tc>
                <w:tcPr>
                  <w:tcW w:w="899" w:type="pct"/>
                  <w:vMerge w:val="restart"/>
                  <w:shd w:val="clear" w:color="auto" w:fill="auto"/>
                  <w:vAlign w:val="center"/>
                </w:tcPr>
                <w:p w14:paraId="38656CF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污染物</w:t>
                  </w:r>
                  <w:r>
                    <w:rPr>
                      <w:rFonts w:hint="eastAsia" w:eastAsia="仿宋"/>
                      <w:color w:val="000000" w:themeColor="text1"/>
                      <w:szCs w:val="21"/>
                      <w14:textFill>
                        <w14:solidFill>
                          <w14:schemeClr w14:val="tx1"/>
                        </w14:solidFill>
                      </w14:textFill>
                    </w:rPr>
                    <w:t>排放</w:t>
                  </w:r>
                  <w:r>
                    <w:rPr>
                      <w:rFonts w:eastAsia="仿宋"/>
                      <w:color w:val="000000" w:themeColor="text1"/>
                      <w:szCs w:val="21"/>
                      <w14:textFill>
                        <w14:solidFill>
                          <w14:schemeClr w14:val="tx1"/>
                        </w14:solidFill>
                      </w14:textFill>
                    </w:rPr>
                    <w:t>量（t/a）</w:t>
                  </w:r>
                </w:p>
              </w:tc>
              <w:tc>
                <w:tcPr>
                  <w:tcW w:w="1310" w:type="pct"/>
                  <w:gridSpan w:val="2"/>
                  <w:shd w:val="clear" w:color="auto" w:fill="auto"/>
                  <w:vAlign w:val="center"/>
                </w:tcPr>
                <w:p w14:paraId="261257C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面源排放源参数</w:t>
                  </w:r>
                </w:p>
              </w:tc>
              <w:tc>
                <w:tcPr>
                  <w:tcW w:w="571" w:type="pct"/>
                  <w:vMerge w:val="restart"/>
                  <w:shd w:val="clear" w:color="auto" w:fill="auto"/>
                  <w:vAlign w:val="center"/>
                </w:tcPr>
                <w:p w14:paraId="28BD9C5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计算值</w:t>
                  </w:r>
                </w:p>
              </w:tc>
              <w:tc>
                <w:tcPr>
                  <w:tcW w:w="712" w:type="pct"/>
                  <w:vMerge w:val="restart"/>
                  <w:shd w:val="clear" w:color="auto" w:fill="auto"/>
                  <w:vAlign w:val="center"/>
                </w:tcPr>
                <w:p w14:paraId="0D24BBC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卫生防护距离（m）</w:t>
                  </w:r>
                </w:p>
              </w:tc>
            </w:tr>
            <w:tr w14:paraId="4046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vMerge w:val="continue"/>
                  <w:shd w:val="clear" w:color="auto" w:fill="auto"/>
                  <w:vAlign w:val="center"/>
                </w:tcPr>
                <w:p w14:paraId="261F3129">
                  <w:pPr>
                    <w:jc w:val="center"/>
                    <w:rPr>
                      <w:rFonts w:eastAsia="仿宋"/>
                      <w:color w:val="000000" w:themeColor="text1"/>
                      <w:szCs w:val="21"/>
                      <w14:textFill>
                        <w14:solidFill>
                          <w14:schemeClr w14:val="tx1"/>
                        </w14:solidFill>
                      </w14:textFill>
                    </w:rPr>
                  </w:pPr>
                </w:p>
              </w:tc>
              <w:tc>
                <w:tcPr>
                  <w:tcW w:w="734" w:type="pct"/>
                  <w:vMerge w:val="continue"/>
                  <w:shd w:val="clear" w:color="auto" w:fill="auto"/>
                  <w:vAlign w:val="center"/>
                </w:tcPr>
                <w:p w14:paraId="15ADC584">
                  <w:pPr>
                    <w:jc w:val="center"/>
                    <w:rPr>
                      <w:rFonts w:eastAsia="仿宋"/>
                      <w:color w:val="000000" w:themeColor="text1"/>
                      <w:szCs w:val="21"/>
                      <w14:textFill>
                        <w14:solidFill>
                          <w14:schemeClr w14:val="tx1"/>
                        </w14:solidFill>
                      </w14:textFill>
                    </w:rPr>
                  </w:pPr>
                </w:p>
              </w:tc>
              <w:tc>
                <w:tcPr>
                  <w:tcW w:w="899" w:type="pct"/>
                  <w:vMerge w:val="continue"/>
                  <w:shd w:val="clear" w:color="auto" w:fill="auto"/>
                  <w:vAlign w:val="center"/>
                </w:tcPr>
                <w:p w14:paraId="467F27B4">
                  <w:pPr>
                    <w:jc w:val="center"/>
                    <w:rPr>
                      <w:rFonts w:eastAsia="仿宋"/>
                      <w:color w:val="000000" w:themeColor="text1"/>
                      <w:szCs w:val="21"/>
                      <w14:textFill>
                        <w14:solidFill>
                          <w14:schemeClr w14:val="tx1"/>
                        </w14:solidFill>
                      </w14:textFill>
                    </w:rPr>
                  </w:pPr>
                </w:p>
              </w:tc>
              <w:tc>
                <w:tcPr>
                  <w:tcW w:w="732" w:type="pct"/>
                  <w:shd w:val="clear" w:color="auto" w:fill="auto"/>
                  <w:vAlign w:val="center"/>
                </w:tcPr>
                <w:p w14:paraId="1722FA9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面积（m</w:t>
                  </w:r>
                  <w:r>
                    <w:rPr>
                      <w:rFonts w:eastAsia="仿宋"/>
                      <w:color w:val="000000" w:themeColor="text1"/>
                      <w:szCs w:val="21"/>
                      <w:vertAlign w:val="superscript"/>
                      <w14:textFill>
                        <w14:solidFill>
                          <w14:schemeClr w14:val="tx1"/>
                        </w14:solidFill>
                      </w14:textFill>
                    </w:rPr>
                    <w:t>2</w:t>
                  </w:r>
                  <w:r>
                    <w:rPr>
                      <w:rFonts w:eastAsia="仿宋"/>
                      <w:color w:val="000000" w:themeColor="text1"/>
                      <w:szCs w:val="21"/>
                      <w14:textFill>
                        <w14:solidFill>
                          <w14:schemeClr w14:val="tx1"/>
                        </w14:solidFill>
                      </w14:textFill>
                    </w:rPr>
                    <w:t>）</w:t>
                  </w:r>
                </w:p>
              </w:tc>
              <w:tc>
                <w:tcPr>
                  <w:tcW w:w="578" w:type="pct"/>
                  <w:shd w:val="clear" w:color="auto" w:fill="auto"/>
                  <w:vAlign w:val="center"/>
                </w:tcPr>
                <w:p w14:paraId="33F3157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高（m）</w:t>
                  </w:r>
                </w:p>
              </w:tc>
              <w:tc>
                <w:tcPr>
                  <w:tcW w:w="571" w:type="pct"/>
                  <w:vMerge w:val="continue"/>
                  <w:shd w:val="clear" w:color="auto" w:fill="auto"/>
                  <w:vAlign w:val="center"/>
                </w:tcPr>
                <w:p w14:paraId="0F8A738F">
                  <w:pPr>
                    <w:jc w:val="center"/>
                    <w:rPr>
                      <w:rFonts w:eastAsia="仿宋"/>
                      <w:color w:val="000000" w:themeColor="text1"/>
                      <w:szCs w:val="21"/>
                      <w14:textFill>
                        <w14:solidFill>
                          <w14:schemeClr w14:val="tx1"/>
                        </w14:solidFill>
                      </w14:textFill>
                    </w:rPr>
                  </w:pPr>
                </w:p>
              </w:tc>
              <w:tc>
                <w:tcPr>
                  <w:tcW w:w="712" w:type="pct"/>
                  <w:vMerge w:val="continue"/>
                  <w:shd w:val="clear" w:color="auto" w:fill="auto"/>
                  <w:vAlign w:val="center"/>
                </w:tcPr>
                <w:p w14:paraId="4D7FF0D1">
                  <w:pPr>
                    <w:jc w:val="center"/>
                    <w:rPr>
                      <w:rFonts w:eastAsia="仿宋"/>
                      <w:color w:val="000000" w:themeColor="text1"/>
                      <w:szCs w:val="21"/>
                      <w14:textFill>
                        <w14:solidFill>
                          <w14:schemeClr w14:val="tx1"/>
                        </w14:solidFill>
                      </w14:textFill>
                    </w:rPr>
                  </w:pPr>
                </w:p>
              </w:tc>
            </w:tr>
            <w:tr w14:paraId="3B2BF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vMerge w:val="restart"/>
                  <w:shd w:val="clear" w:color="auto" w:fill="auto"/>
                  <w:vAlign w:val="center"/>
                </w:tcPr>
                <w:p w14:paraId="66FBD735">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实验室（</w:t>
                  </w:r>
                  <w:r>
                    <w:rPr>
                      <w:rFonts w:eastAsia="仿宋"/>
                      <w:color w:val="000000" w:themeColor="text1"/>
                      <w:szCs w:val="21"/>
                      <w14:textFill>
                        <w14:solidFill>
                          <w14:schemeClr w14:val="tx1"/>
                        </w14:solidFill>
                      </w14:textFill>
                    </w:rPr>
                    <w:t>2</w:t>
                  </w:r>
                  <w:r>
                    <w:rPr>
                      <w:rFonts w:hint="eastAsia" w:eastAsia="仿宋"/>
                      <w:color w:val="000000" w:themeColor="text1"/>
                      <w:szCs w:val="21"/>
                      <w14:textFill>
                        <w14:solidFill>
                          <w14:schemeClr w14:val="tx1"/>
                        </w14:solidFill>
                      </w14:textFill>
                    </w:rPr>
                    <w:t>F）</w:t>
                  </w:r>
                </w:p>
              </w:tc>
              <w:tc>
                <w:tcPr>
                  <w:tcW w:w="734" w:type="pct"/>
                  <w:vAlign w:val="center"/>
                </w:tcPr>
                <w:p w14:paraId="667C0470">
                  <w:pPr>
                    <w:autoSpaceDE w:val="0"/>
                    <w:autoSpaceDN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甲醇</w:t>
                  </w:r>
                </w:p>
              </w:tc>
              <w:tc>
                <w:tcPr>
                  <w:tcW w:w="899" w:type="pct"/>
                  <w:vAlign w:val="center"/>
                </w:tcPr>
                <w:p w14:paraId="3EC3240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0.0003</w:t>
                  </w:r>
                </w:p>
              </w:tc>
              <w:tc>
                <w:tcPr>
                  <w:tcW w:w="732" w:type="pct"/>
                  <w:vMerge w:val="restart"/>
                  <w:vAlign w:val="center"/>
                </w:tcPr>
                <w:p w14:paraId="5F49736F">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440</w:t>
                  </w:r>
                </w:p>
              </w:tc>
              <w:tc>
                <w:tcPr>
                  <w:tcW w:w="578" w:type="pct"/>
                  <w:vMerge w:val="restart"/>
                  <w:vAlign w:val="center"/>
                </w:tcPr>
                <w:p w14:paraId="1FDE5C3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10</w:t>
                  </w:r>
                </w:p>
              </w:tc>
              <w:tc>
                <w:tcPr>
                  <w:tcW w:w="571" w:type="pct"/>
                  <w:shd w:val="clear" w:color="auto" w:fill="auto"/>
                  <w:vAlign w:val="center"/>
                </w:tcPr>
                <w:p w14:paraId="308388B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712" w:type="pct"/>
                  <w:shd w:val="clear" w:color="auto" w:fill="auto"/>
                  <w:vAlign w:val="center"/>
                </w:tcPr>
                <w:p w14:paraId="4121725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w:t>
                  </w:r>
                </w:p>
              </w:tc>
            </w:tr>
            <w:tr w14:paraId="4DAB9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pct"/>
                  <w:vMerge w:val="continue"/>
                  <w:shd w:val="clear" w:color="auto" w:fill="auto"/>
                  <w:vAlign w:val="center"/>
                </w:tcPr>
                <w:p w14:paraId="21E8073C">
                  <w:pPr>
                    <w:jc w:val="center"/>
                    <w:rPr>
                      <w:rFonts w:eastAsia="仿宋"/>
                      <w:color w:val="000000" w:themeColor="text1"/>
                      <w:szCs w:val="21"/>
                      <w14:textFill>
                        <w14:solidFill>
                          <w14:schemeClr w14:val="tx1"/>
                        </w14:solidFill>
                      </w14:textFill>
                    </w:rPr>
                  </w:pPr>
                </w:p>
              </w:tc>
              <w:tc>
                <w:tcPr>
                  <w:tcW w:w="734" w:type="pct"/>
                  <w:vAlign w:val="center"/>
                </w:tcPr>
                <w:p w14:paraId="5D6A45A3">
                  <w:pPr>
                    <w:autoSpaceDE w:val="0"/>
                    <w:autoSpaceDN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非甲烷总烃</w:t>
                  </w:r>
                </w:p>
              </w:tc>
              <w:tc>
                <w:tcPr>
                  <w:tcW w:w="899" w:type="pct"/>
                  <w:vAlign w:val="center"/>
                </w:tcPr>
                <w:p w14:paraId="50FE6AE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0.0008</w:t>
                  </w:r>
                </w:p>
              </w:tc>
              <w:tc>
                <w:tcPr>
                  <w:tcW w:w="732" w:type="pct"/>
                  <w:vMerge w:val="continue"/>
                  <w:vAlign w:val="center"/>
                </w:tcPr>
                <w:p w14:paraId="4B59422B">
                  <w:pPr>
                    <w:autoSpaceDE w:val="0"/>
                    <w:autoSpaceDN w:val="0"/>
                    <w:snapToGrid w:val="0"/>
                    <w:jc w:val="center"/>
                    <w:rPr>
                      <w:rFonts w:eastAsia="仿宋"/>
                      <w:color w:val="000000" w:themeColor="text1"/>
                      <w:szCs w:val="22"/>
                      <w14:textFill>
                        <w14:solidFill>
                          <w14:schemeClr w14:val="tx1"/>
                        </w14:solidFill>
                      </w14:textFill>
                    </w:rPr>
                  </w:pPr>
                </w:p>
              </w:tc>
              <w:tc>
                <w:tcPr>
                  <w:tcW w:w="578" w:type="pct"/>
                  <w:vMerge w:val="continue"/>
                  <w:vAlign w:val="center"/>
                </w:tcPr>
                <w:p w14:paraId="3A4C4250">
                  <w:pPr>
                    <w:autoSpaceDE w:val="0"/>
                    <w:autoSpaceDN w:val="0"/>
                    <w:snapToGrid w:val="0"/>
                    <w:jc w:val="center"/>
                    <w:rPr>
                      <w:rFonts w:eastAsia="仿宋"/>
                      <w:color w:val="000000" w:themeColor="text1"/>
                      <w:szCs w:val="22"/>
                      <w14:textFill>
                        <w14:solidFill>
                          <w14:schemeClr w14:val="tx1"/>
                        </w14:solidFill>
                      </w14:textFill>
                    </w:rPr>
                  </w:pPr>
                </w:p>
              </w:tc>
              <w:tc>
                <w:tcPr>
                  <w:tcW w:w="571" w:type="pct"/>
                  <w:shd w:val="clear" w:color="auto" w:fill="auto"/>
                  <w:vAlign w:val="center"/>
                </w:tcPr>
                <w:p w14:paraId="1A98D6F9">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＜1</w:t>
                  </w:r>
                </w:p>
              </w:tc>
              <w:tc>
                <w:tcPr>
                  <w:tcW w:w="712" w:type="pct"/>
                  <w:shd w:val="clear" w:color="auto" w:fill="auto"/>
                  <w:vAlign w:val="center"/>
                </w:tcPr>
                <w:p w14:paraId="747BD51D">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5</w:t>
                  </w:r>
                  <w:r>
                    <w:rPr>
                      <w:rFonts w:eastAsia="仿宋"/>
                      <w:color w:val="000000" w:themeColor="text1"/>
                      <w:szCs w:val="21"/>
                      <w14:textFill>
                        <w14:solidFill>
                          <w14:schemeClr w14:val="tx1"/>
                        </w14:solidFill>
                      </w14:textFill>
                    </w:rPr>
                    <w:t>0</w:t>
                  </w:r>
                </w:p>
              </w:tc>
            </w:tr>
          </w:tbl>
          <w:p w14:paraId="2C30C63A">
            <w:pPr>
              <w:tabs>
                <w:tab w:val="left" w:pos="2130"/>
              </w:tabs>
              <w:spacing w:line="480" w:lineRule="exact"/>
              <w:ind w:firstLine="480" w:firstLineChars="200"/>
              <w:rPr>
                <w:rFonts w:eastAsia="仿宋"/>
                <w:bCs/>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结合上表可知，本项目卫生防护距离为</w:t>
            </w:r>
            <w:r>
              <w:rPr>
                <w:rFonts w:hint="eastAsia" w:eastAsia="仿宋"/>
                <w:color w:val="000000" w:themeColor="text1"/>
                <w:sz w:val="24"/>
                <w14:textFill>
                  <w14:solidFill>
                    <w14:schemeClr w14:val="tx1"/>
                  </w14:solidFill>
                </w14:textFill>
              </w:rPr>
              <w:t>实验室</w:t>
            </w:r>
            <w:r>
              <w:rPr>
                <w:rFonts w:eastAsia="仿宋"/>
                <w:color w:val="000000" w:themeColor="text1"/>
                <w:sz w:val="24"/>
                <w14:textFill>
                  <w14:solidFill>
                    <w14:schemeClr w14:val="tx1"/>
                  </w14:solidFill>
                </w14:textFill>
              </w:rPr>
              <w:t>外扩</w:t>
            </w:r>
            <w:r>
              <w:rPr>
                <w:rFonts w:hint="eastAsia" w:eastAsia="仿宋"/>
                <w:color w:val="000000" w:themeColor="text1"/>
                <w:sz w:val="24"/>
                <w14:textFill>
                  <w14:solidFill>
                    <w14:schemeClr w14:val="tx1"/>
                  </w14:solidFill>
                </w14:textFill>
              </w:rPr>
              <w:t>100</w:t>
            </w:r>
            <w:r>
              <w:rPr>
                <w:rFonts w:eastAsia="仿宋"/>
                <w:color w:val="000000" w:themeColor="text1"/>
                <w:sz w:val="24"/>
                <w14:textFill>
                  <w14:solidFill>
                    <w14:schemeClr w14:val="tx1"/>
                  </w14:solidFill>
                </w14:textFill>
              </w:rPr>
              <w:t>米范围</w:t>
            </w:r>
            <w:r>
              <w:rPr>
                <w:rFonts w:hint="eastAsia" w:eastAsia="仿宋"/>
                <w:color w:val="000000" w:themeColor="text1"/>
                <w:sz w:val="24"/>
                <w14:textFill>
                  <w14:solidFill>
                    <w14:schemeClr w14:val="tx1"/>
                  </w14:solidFill>
                </w14:textFill>
              </w:rPr>
              <w:t>形成</w:t>
            </w:r>
            <w:r>
              <w:rPr>
                <w:rFonts w:eastAsia="仿宋"/>
                <w:color w:val="000000" w:themeColor="text1"/>
                <w:sz w:val="24"/>
                <w14:textFill>
                  <w14:solidFill>
                    <w14:schemeClr w14:val="tx1"/>
                  </w14:solidFill>
                </w14:textFill>
              </w:rPr>
              <w:t>的包络线。在此范围内无居民区等敏感点。</w:t>
            </w:r>
            <w:r>
              <w:rPr>
                <w:rFonts w:hint="eastAsia" w:eastAsia="仿宋"/>
                <w:color w:val="000000" w:themeColor="text1"/>
                <w:sz w:val="24"/>
                <w14:textFill>
                  <w14:solidFill>
                    <w14:schemeClr w14:val="tx1"/>
                  </w14:solidFill>
                </w14:textFill>
              </w:rPr>
              <w:t>本项目建成后全厂</w:t>
            </w:r>
            <w:r>
              <w:rPr>
                <w:rFonts w:eastAsia="仿宋"/>
                <w:color w:val="000000" w:themeColor="text1"/>
                <w:sz w:val="24"/>
                <w14:textFill>
                  <w14:solidFill>
                    <w14:schemeClr w14:val="tx1"/>
                  </w14:solidFill>
                </w14:textFill>
              </w:rPr>
              <w:t>卫生防护距离为</w:t>
            </w:r>
            <w:r>
              <w:rPr>
                <w:rFonts w:hint="eastAsia" w:eastAsia="仿宋"/>
                <w:color w:val="000000" w:themeColor="text1"/>
                <w:sz w:val="24"/>
                <w14:textFill>
                  <w14:solidFill>
                    <w14:schemeClr w14:val="tx1"/>
                  </w14:solidFill>
                </w14:textFill>
              </w:rPr>
              <w:t>以联合厂房（由于实验室包含在联合厂房内，故不再针对本项目单独设置卫生防护距离）边界外扩100米范围形成的包络区。</w:t>
            </w:r>
          </w:p>
          <w:p w14:paraId="66317A68">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4、大气影响分析结论</w:t>
            </w:r>
          </w:p>
          <w:p w14:paraId="1331D1BC">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本项目所在区域环境空气质量为不达标区，本项目产生的废气均通过可行的污染防治措施处理后达标排放，对周边敏感点影响较小。</w:t>
            </w:r>
          </w:p>
          <w:p w14:paraId="7947C6A0">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根据治理措施可行性论证情况，本项目排放的有组织</w:t>
            </w:r>
            <w:r>
              <w:rPr>
                <w:rFonts w:hint="eastAsia" w:eastAsia="仿宋"/>
                <w:bCs/>
                <w:color w:val="000000" w:themeColor="text1"/>
                <w:sz w:val="24"/>
                <w14:textFill>
                  <w14:solidFill>
                    <w14:schemeClr w14:val="tx1"/>
                  </w14:solidFill>
                </w14:textFill>
              </w:rPr>
              <w:t>非甲烷总烃、甲醇等污染物执行《大气污染物综合排放标准》（DB32/4041-2021）表1限值</w:t>
            </w:r>
            <w:r>
              <w:rPr>
                <w:rFonts w:eastAsia="仿宋"/>
                <w:bCs/>
                <w:color w:val="000000" w:themeColor="text1"/>
                <w:sz w:val="24"/>
                <w14:textFill>
                  <w14:solidFill>
                    <w14:schemeClr w14:val="tx1"/>
                  </w14:solidFill>
                </w14:textFill>
              </w:rPr>
              <w:t>，</w:t>
            </w:r>
            <w:r>
              <w:rPr>
                <w:rFonts w:hint="eastAsia" w:eastAsia="仿宋"/>
                <w:bCs/>
                <w:color w:val="000000" w:themeColor="text1"/>
                <w:sz w:val="24"/>
                <w14:textFill>
                  <w14:solidFill>
                    <w14:schemeClr w14:val="tx1"/>
                  </w14:solidFill>
                </w14:textFill>
              </w:rPr>
              <w:t>本项目燃气锅炉、蒸汽发生器天然气燃烧产生的氮氧化物、二氧化硫、颗粒物、林格曼黑度执行《锅炉大气污染物排放标准》（DB32/4385-2022）中表1中标准限值。</w:t>
            </w:r>
            <w:r>
              <w:rPr>
                <w:rFonts w:eastAsia="仿宋"/>
                <w:bCs/>
                <w:color w:val="000000" w:themeColor="text1"/>
                <w:sz w:val="24"/>
                <w14:textFill>
                  <w14:solidFill>
                    <w14:schemeClr w14:val="tx1"/>
                  </w14:solidFill>
                </w14:textFill>
              </w:rPr>
              <w:t>厂界无组织排放的</w:t>
            </w:r>
            <w:r>
              <w:rPr>
                <w:rFonts w:hint="eastAsia" w:eastAsia="仿宋"/>
                <w:bCs/>
                <w:color w:val="000000" w:themeColor="text1"/>
                <w:sz w:val="24"/>
                <w14:textFill>
                  <w14:solidFill>
                    <w14:schemeClr w14:val="tx1"/>
                  </w14:solidFill>
                </w14:textFill>
              </w:rPr>
              <w:t>非甲烷总烃、甲醇无组织排放浓度执行《大气污染物综合排放标准》(DB32/4041-2021)表3中排放监控浓度限值，厂区内排放的非甲烷总烃无组织排放浓度执行《大气污染物综合排放标准》（DB32/4041-2021）表2中厂区内VOCs无组织排放限值及《挥发性有机物无组织排放控制标准》（GB37822-2019）表A.1限值</w:t>
            </w:r>
            <w:r>
              <w:rPr>
                <w:rFonts w:eastAsia="仿宋"/>
                <w:bCs/>
                <w:color w:val="000000" w:themeColor="text1"/>
                <w:sz w:val="24"/>
                <w14:textFill>
                  <w14:solidFill>
                    <w14:schemeClr w14:val="tx1"/>
                  </w14:solidFill>
                </w14:textFill>
              </w:rPr>
              <w:t>。因此本项目建成后各污染物对大气评价范围内的影响较小，本项目卫生防护距离范围内无居民等环境保护目标，对环境质量影响较小，也不会降低项目所在地的环境功能。</w:t>
            </w:r>
          </w:p>
          <w:p w14:paraId="519BE435">
            <w:pPr>
              <w:adjustRightInd w:val="0"/>
              <w:snapToGrid w:val="0"/>
              <w:spacing w:line="48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（二）废水</w:t>
            </w:r>
          </w:p>
          <w:p w14:paraId="648E974C">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1、污染物产生情况</w:t>
            </w:r>
          </w:p>
          <w:p w14:paraId="4D4F3AD7">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（1）生活污水</w:t>
            </w:r>
          </w:p>
          <w:p w14:paraId="73912A16">
            <w:pPr>
              <w:tabs>
                <w:tab w:val="left" w:pos="2130"/>
              </w:tabs>
              <w:spacing w:line="480" w:lineRule="exact"/>
              <w:ind w:firstLine="480" w:firstLineChars="200"/>
              <w:rPr>
                <w:rFonts w:eastAsia="仿宋"/>
                <w:bCs/>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w:t>
            </w:r>
            <w:r>
              <w:rPr>
                <w:rFonts w:hint="eastAsia" w:eastAsia="仿宋"/>
                <w:color w:val="000000" w:themeColor="text1"/>
                <w:sz w:val="24"/>
                <w14:textFill>
                  <w14:solidFill>
                    <w14:schemeClr w14:val="tx1"/>
                  </w14:solidFill>
                </w14:textFill>
              </w:rPr>
              <w:t>新增员工</w:t>
            </w:r>
            <w:r>
              <w:rPr>
                <w:rFonts w:eastAsia="仿宋"/>
                <w:color w:val="000000" w:themeColor="text1"/>
                <w:sz w:val="24"/>
                <w14:textFill>
                  <w14:solidFill>
                    <w14:schemeClr w14:val="tx1"/>
                  </w14:solidFill>
                </w14:textFill>
              </w:rPr>
              <w:t>40</w:t>
            </w:r>
            <w:r>
              <w:rPr>
                <w:rFonts w:hint="eastAsia" w:eastAsia="仿宋"/>
                <w:color w:val="000000" w:themeColor="text1"/>
                <w:sz w:val="24"/>
                <w14:textFill>
                  <w14:solidFill>
                    <w14:schemeClr w14:val="tx1"/>
                  </w14:solidFill>
                </w14:textFill>
              </w:rPr>
              <w:t>人，年工作日300天，根据《江苏省城市生活与公共用水定额（2</w:t>
            </w:r>
            <w:r>
              <w:rPr>
                <w:rFonts w:eastAsia="仿宋"/>
                <w:color w:val="000000" w:themeColor="text1"/>
                <w:sz w:val="24"/>
                <w14:textFill>
                  <w14:solidFill>
                    <w14:schemeClr w14:val="tx1"/>
                  </w14:solidFill>
                </w14:textFill>
              </w:rPr>
              <w:t>019</w:t>
            </w:r>
            <w:r>
              <w:rPr>
                <w:rFonts w:hint="eastAsia" w:eastAsia="仿宋"/>
                <w:color w:val="000000" w:themeColor="text1"/>
                <w:sz w:val="24"/>
                <w14:textFill>
                  <w14:solidFill>
                    <w14:schemeClr w14:val="tx1"/>
                  </w14:solidFill>
                </w14:textFill>
              </w:rPr>
              <w:t>年修订）》，生活用水量按</w:t>
            </w:r>
            <w:r>
              <w:rPr>
                <w:rFonts w:eastAsia="仿宋"/>
                <w:color w:val="000000" w:themeColor="text1"/>
                <w:sz w:val="24"/>
                <w14:textFill>
                  <w14:solidFill>
                    <w14:schemeClr w14:val="tx1"/>
                  </w14:solidFill>
                </w14:textFill>
              </w:rPr>
              <w:t>120</w:t>
            </w:r>
            <w:r>
              <w:rPr>
                <w:rFonts w:hint="eastAsia" w:eastAsia="仿宋"/>
                <w:color w:val="000000" w:themeColor="text1"/>
                <w:sz w:val="24"/>
                <w14:textFill>
                  <w14:solidFill>
                    <w14:schemeClr w14:val="tx1"/>
                  </w14:solidFill>
                </w14:textFill>
              </w:rPr>
              <w:t>L/人/天计，则用水量为</w:t>
            </w:r>
            <w:r>
              <w:rPr>
                <w:rFonts w:eastAsia="仿宋"/>
                <w:color w:val="000000" w:themeColor="text1"/>
                <w:sz w:val="24"/>
                <w14:textFill>
                  <w14:solidFill>
                    <w14:schemeClr w14:val="tx1"/>
                  </w14:solidFill>
                </w14:textFill>
              </w:rPr>
              <w:t>1440</w:t>
            </w:r>
            <w:r>
              <w:rPr>
                <w:rFonts w:hint="eastAsia" w:eastAsia="仿宋"/>
                <w:color w:val="000000" w:themeColor="text1"/>
                <w:sz w:val="24"/>
                <w14:textFill>
                  <w14:solidFill>
                    <w14:schemeClr w14:val="tx1"/>
                  </w14:solidFill>
                </w14:textFill>
              </w:rPr>
              <w:t>t/a。污水量按用水量90%计算，则生活污水产生量为</w:t>
            </w:r>
            <w:r>
              <w:rPr>
                <w:rFonts w:eastAsia="仿宋"/>
                <w:color w:val="000000" w:themeColor="text1"/>
                <w:sz w:val="24"/>
                <w14:textFill>
                  <w14:solidFill>
                    <w14:schemeClr w14:val="tx1"/>
                  </w14:solidFill>
                </w14:textFill>
              </w:rPr>
              <w:t>1296</w:t>
            </w:r>
            <w:r>
              <w:rPr>
                <w:rFonts w:hint="eastAsia" w:eastAsia="仿宋"/>
                <w:color w:val="000000" w:themeColor="text1"/>
                <w:sz w:val="24"/>
                <w14:textFill>
                  <w14:solidFill>
                    <w14:schemeClr w14:val="tx1"/>
                  </w14:solidFill>
                </w14:textFill>
              </w:rPr>
              <w:t>t/a。其中COD、SS、NH</w:t>
            </w:r>
            <w:r>
              <w:rPr>
                <w:rFonts w:hint="eastAsia" w:eastAsia="仿宋"/>
                <w:color w:val="000000" w:themeColor="text1"/>
                <w:sz w:val="24"/>
                <w:vertAlign w:val="subscript"/>
                <w14:textFill>
                  <w14:solidFill>
                    <w14:schemeClr w14:val="tx1"/>
                  </w14:solidFill>
                </w14:textFill>
              </w:rPr>
              <w:t>3</w:t>
            </w:r>
            <w:r>
              <w:rPr>
                <w:rFonts w:hint="eastAsia" w:eastAsia="仿宋"/>
                <w:color w:val="000000" w:themeColor="text1"/>
                <w:sz w:val="24"/>
                <w14:textFill>
                  <w14:solidFill>
                    <w14:schemeClr w14:val="tx1"/>
                  </w14:solidFill>
                </w14:textFill>
              </w:rPr>
              <w:t>-N、TP、TN的产生浓度分别为400mg/L、200mg/L、30mg/L、3mg/L、45mg/L，产生量分别为</w:t>
            </w:r>
            <w:r>
              <w:rPr>
                <w:rFonts w:eastAsia="仿宋"/>
                <w:color w:val="000000" w:themeColor="text1"/>
                <w:sz w:val="24"/>
                <w14:textFill>
                  <w14:solidFill>
                    <w14:schemeClr w14:val="tx1"/>
                  </w14:solidFill>
                </w14:textFill>
              </w:rPr>
              <w:t>0.518</w:t>
            </w:r>
            <w:r>
              <w:rPr>
                <w:rFonts w:hint="eastAsia" w:eastAsia="仿宋"/>
                <w:color w:val="000000" w:themeColor="text1"/>
                <w:sz w:val="24"/>
                <w14:textFill>
                  <w14:solidFill>
                    <w14:schemeClr w14:val="tx1"/>
                  </w14:solidFill>
                </w14:textFill>
              </w:rPr>
              <w:t>t/a、</w:t>
            </w:r>
            <w:r>
              <w:rPr>
                <w:rFonts w:eastAsia="仿宋"/>
                <w:color w:val="000000" w:themeColor="text1"/>
                <w:sz w:val="24"/>
                <w14:textFill>
                  <w14:solidFill>
                    <w14:schemeClr w14:val="tx1"/>
                  </w14:solidFill>
                </w14:textFill>
              </w:rPr>
              <w:t>0.259</w:t>
            </w:r>
            <w:r>
              <w:rPr>
                <w:rFonts w:hint="eastAsia" w:eastAsia="仿宋"/>
                <w:color w:val="000000" w:themeColor="text1"/>
                <w:sz w:val="24"/>
                <w14:textFill>
                  <w14:solidFill>
                    <w14:schemeClr w14:val="tx1"/>
                  </w14:solidFill>
                </w14:textFill>
              </w:rPr>
              <w:t>t/a、</w:t>
            </w:r>
            <w:r>
              <w:rPr>
                <w:rFonts w:eastAsia="仿宋"/>
                <w:color w:val="000000" w:themeColor="text1"/>
                <w:sz w:val="24"/>
                <w14:textFill>
                  <w14:solidFill>
                    <w14:schemeClr w14:val="tx1"/>
                  </w14:solidFill>
                </w14:textFill>
              </w:rPr>
              <w:t>0.039</w:t>
            </w:r>
            <w:r>
              <w:rPr>
                <w:rFonts w:hint="eastAsia" w:eastAsia="仿宋"/>
                <w:color w:val="000000" w:themeColor="text1"/>
                <w:sz w:val="24"/>
                <w14:textFill>
                  <w14:solidFill>
                    <w14:schemeClr w14:val="tx1"/>
                  </w14:solidFill>
                </w14:textFill>
              </w:rPr>
              <w:t>t/a、</w:t>
            </w:r>
            <w:r>
              <w:rPr>
                <w:rFonts w:eastAsia="仿宋"/>
                <w:color w:val="000000" w:themeColor="text1"/>
                <w:sz w:val="24"/>
                <w14:textFill>
                  <w14:solidFill>
                    <w14:schemeClr w14:val="tx1"/>
                  </w14:solidFill>
                </w14:textFill>
              </w:rPr>
              <w:t>0.004</w:t>
            </w:r>
            <w:r>
              <w:rPr>
                <w:rFonts w:hint="eastAsia" w:eastAsia="仿宋"/>
                <w:color w:val="000000" w:themeColor="text1"/>
                <w:sz w:val="24"/>
                <w14:textFill>
                  <w14:solidFill>
                    <w14:schemeClr w14:val="tx1"/>
                  </w14:solidFill>
                </w14:textFill>
              </w:rPr>
              <w:t>t/a、</w:t>
            </w:r>
            <w:r>
              <w:rPr>
                <w:rFonts w:eastAsia="仿宋"/>
                <w:color w:val="000000" w:themeColor="text1"/>
                <w:sz w:val="24"/>
                <w14:textFill>
                  <w14:solidFill>
                    <w14:schemeClr w14:val="tx1"/>
                  </w14:solidFill>
                </w14:textFill>
              </w:rPr>
              <w:t>0.058</w:t>
            </w:r>
            <w:r>
              <w:rPr>
                <w:rFonts w:hint="eastAsia" w:eastAsia="仿宋"/>
                <w:color w:val="000000" w:themeColor="text1"/>
                <w:sz w:val="24"/>
                <w14:textFill>
                  <w14:solidFill>
                    <w14:schemeClr w14:val="tx1"/>
                  </w14:solidFill>
                </w14:textFill>
              </w:rPr>
              <w:t>t/a</w:t>
            </w:r>
            <w:r>
              <w:rPr>
                <w:rFonts w:eastAsia="仿宋"/>
                <w:bCs/>
                <w:color w:val="000000" w:themeColor="text1"/>
                <w:sz w:val="24"/>
                <w14:textFill>
                  <w14:solidFill>
                    <w14:schemeClr w14:val="tx1"/>
                  </w14:solidFill>
                </w14:textFill>
              </w:rPr>
              <w:t>。</w:t>
            </w:r>
          </w:p>
          <w:p w14:paraId="02FFAFF5">
            <w:pPr>
              <w:tabs>
                <w:tab w:val="left" w:pos="2130"/>
              </w:tabs>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（2）制纯水浓水</w:t>
            </w:r>
          </w:p>
          <w:p w14:paraId="260E0187">
            <w:pPr>
              <w:tabs>
                <w:tab w:val="left" w:pos="2130"/>
              </w:tabs>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本项目新建一套纯水制备装置（2</w:t>
            </w:r>
            <w:r>
              <w:rPr>
                <w:rFonts w:eastAsia="仿宋"/>
                <w:bCs/>
                <w:color w:val="000000" w:themeColor="text1"/>
                <w:sz w:val="24"/>
                <w14:textFill>
                  <w14:solidFill>
                    <w14:schemeClr w14:val="tx1"/>
                  </w14:solidFill>
                </w14:textFill>
              </w:rPr>
              <w:t>.5t/h</w:t>
            </w:r>
            <w:r>
              <w:rPr>
                <w:rFonts w:hint="eastAsia" w:eastAsia="仿宋"/>
                <w:bCs/>
                <w:color w:val="000000" w:themeColor="text1"/>
                <w:sz w:val="24"/>
                <w14:textFill>
                  <w14:solidFill>
                    <w14:schemeClr w14:val="tx1"/>
                  </w14:solidFill>
                </w14:textFill>
              </w:rPr>
              <w:t>）制备去离子水，用于燃气锅炉补水和蒸汽发生器用水、实验室配制溶液用水，根据提供资料，本项目纯水制备制纯率为</w:t>
            </w:r>
            <w:r>
              <w:rPr>
                <w:rFonts w:eastAsia="仿宋"/>
                <w:bCs/>
                <w:color w:val="000000" w:themeColor="text1"/>
                <w:sz w:val="24"/>
                <w14:textFill>
                  <w14:solidFill>
                    <w14:schemeClr w14:val="tx1"/>
                  </w14:solidFill>
                </w14:textFill>
              </w:rPr>
              <w:t>75%</w:t>
            </w:r>
            <w:r>
              <w:rPr>
                <w:rFonts w:hint="eastAsia" w:eastAsia="仿宋"/>
                <w:bCs/>
                <w:color w:val="000000" w:themeColor="text1"/>
                <w:sz w:val="24"/>
                <w14:textFill>
                  <w14:solidFill>
                    <w14:schemeClr w14:val="tx1"/>
                  </w14:solidFill>
                </w14:textFill>
              </w:rPr>
              <w:t>，则去离子水制备过程中产生的浓水为自来水用量的</w:t>
            </w:r>
            <w:r>
              <w:rPr>
                <w:rFonts w:eastAsia="仿宋"/>
                <w:bCs/>
                <w:color w:val="000000" w:themeColor="text1"/>
                <w:sz w:val="24"/>
                <w14:textFill>
                  <w14:solidFill>
                    <w14:schemeClr w14:val="tx1"/>
                  </w14:solidFill>
                </w14:textFill>
              </w:rPr>
              <w:t>25%</w:t>
            </w:r>
            <w:r>
              <w:rPr>
                <w:rFonts w:hint="eastAsia" w:eastAsia="仿宋"/>
                <w:bCs/>
                <w:color w:val="000000" w:themeColor="text1"/>
                <w:sz w:val="24"/>
                <w14:textFill>
                  <w14:solidFill>
                    <w14:schemeClr w14:val="tx1"/>
                  </w14:solidFill>
                </w14:textFill>
              </w:rPr>
              <w:t>，根据需要，本项目用于制备去离子水的自来水用量为</w:t>
            </w:r>
            <w:r>
              <w:rPr>
                <w:rFonts w:eastAsia="仿宋"/>
                <w:bCs/>
                <w:color w:val="000000" w:themeColor="text1"/>
                <w:sz w:val="24"/>
                <w14:textFill>
                  <w14:solidFill>
                    <w14:schemeClr w14:val="tx1"/>
                  </w14:solidFill>
                </w14:textFill>
              </w:rPr>
              <w:t>4802.4m</w:t>
            </w:r>
            <w:r>
              <w:rPr>
                <w:rFonts w:eastAsia="仿宋"/>
                <w:bCs/>
                <w:color w:val="000000" w:themeColor="text1"/>
                <w:sz w:val="24"/>
                <w:vertAlign w:val="superscript"/>
                <w14:textFill>
                  <w14:solidFill>
                    <w14:schemeClr w14:val="tx1"/>
                  </w14:solidFill>
                </w14:textFill>
              </w:rPr>
              <w:t>3</w:t>
            </w:r>
            <w:r>
              <w:rPr>
                <w:rFonts w:eastAsia="仿宋"/>
                <w:bCs/>
                <w:color w:val="000000" w:themeColor="text1"/>
                <w:sz w:val="24"/>
                <w14:textFill>
                  <w14:solidFill>
                    <w14:schemeClr w14:val="tx1"/>
                  </w14:solidFill>
                </w14:textFill>
              </w:rPr>
              <w:t>/a</w:t>
            </w:r>
            <w:r>
              <w:rPr>
                <w:rFonts w:hint="eastAsia" w:eastAsia="仿宋"/>
                <w:bCs/>
                <w:color w:val="000000" w:themeColor="text1"/>
                <w:sz w:val="24"/>
                <w14:textFill>
                  <w14:solidFill>
                    <w14:schemeClr w14:val="tx1"/>
                  </w14:solidFill>
                </w14:textFill>
              </w:rPr>
              <w:t>，则产生的制纯水浓水量为</w:t>
            </w:r>
            <w:r>
              <w:rPr>
                <w:rFonts w:eastAsia="仿宋"/>
                <w:bCs/>
                <w:color w:val="000000" w:themeColor="text1"/>
                <w:sz w:val="24"/>
                <w14:textFill>
                  <w14:solidFill>
                    <w14:schemeClr w14:val="tx1"/>
                  </w14:solidFill>
                </w14:textFill>
              </w:rPr>
              <w:t>1200.6m</w:t>
            </w:r>
            <w:r>
              <w:rPr>
                <w:rFonts w:eastAsia="仿宋"/>
                <w:bCs/>
                <w:color w:val="000000" w:themeColor="text1"/>
                <w:sz w:val="24"/>
                <w:vertAlign w:val="superscript"/>
                <w14:textFill>
                  <w14:solidFill>
                    <w14:schemeClr w14:val="tx1"/>
                  </w14:solidFill>
                </w14:textFill>
              </w:rPr>
              <w:t>3</w:t>
            </w:r>
            <w:r>
              <w:rPr>
                <w:rFonts w:eastAsia="仿宋"/>
                <w:bCs/>
                <w:color w:val="000000" w:themeColor="text1"/>
                <w:sz w:val="24"/>
                <w14:textFill>
                  <w14:solidFill>
                    <w14:schemeClr w14:val="tx1"/>
                  </w14:solidFill>
                </w14:textFill>
              </w:rPr>
              <w:t>/a</w:t>
            </w:r>
            <w:r>
              <w:rPr>
                <w:rFonts w:hint="eastAsia" w:eastAsia="仿宋"/>
                <w:bCs/>
                <w:color w:val="000000" w:themeColor="text1"/>
                <w:sz w:val="24"/>
                <w14:textFill>
                  <w14:solidFill>
                    <w14:schemeClr w14:val="tx1"/>
                  </w14:solidFill>
                </w14:textFill>
              </w:rPr>
              <w:t>。</w:t>
            </w:r>
          </w:p>
          <w:p w14:paraId="025D6261">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本项目废水中污染物的产生情况见下表。</w:t>
            </w:r>
          </w:p>
          <w:p w14:paraId="5393CE8C">
            <w:pPr>
              <w:keepNext/>
              <w:spacing w:line="48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表4-17 本项目废水产生及处置情况表</w:t>
            </w:r>
          </w:p>
          <w:tbl>
            <w:tblPr>
              <w:tblStyle w:val="24"/>
              <w:tblW w:w="8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1021"/>
              <w:gridCol w:w="1457"/>
              <w:gridCol w:w="1458"/>
              <w:gridCol w:w="1457"/>
              <w:gridCol w:w="2222"/>
            </w:tblGrid>
            <w:tr w14:paraId="62617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213" w:type="dxa"/>
                  <w:tcBorders>
                    <w:top w:val="single" w:color="auto" w:sz="4" w:space="0"/>
                    <w:left w:val="single" w:color="auto" w:sz="4" w:space="0"/>
                    <w:bottom w:val="single" w:color="auto" w:sz="4" w:space="0"/>
                    <w:right w:val="single" w:color="auto" w:sz="4" w:space="0"/>
                  </w:tcBorders>
                  <w:noWrap/>
                  <w:vAlign w:val="center"/>
                </w:tcPr>
                <w:p w14:paraId="6867AA40">
                  <w:pPr>
                    <w:autoSpaceDE w:val="0"/>
                    <w:autoSpaceDN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废水类型</w:t>
                  </w:r>
                </w:p>
              </w:tc>
              <w:tc>
                <w:tcPr>
                  <w:tcW w:w="1021" w:type="dxa"/>
                  <w:tcBorders>
                    <w:top w:val="single" w:color="auto" w:sz="4" w:space="0"/>
                    <w:left w:val="single" w:color="auto" w:sz="4" w:space="0"/>
                    <w:bottom w:val="single" w:color="auto" w:sz="4" w:space="0"/>
                    <w:right w:val="single" w:color="auto" w:sz="4" w:space="0"/>
                  </w:tcBorders>
                  <w:vAlign w:val="center"/>
                </w:tcPr>
                <w:p w14:paraId="6BFB3E7A">
                  <w:pPr>
                    <w:autoSpaceDE w:val="0"/>
                    <w:autoSpaceDN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废水量（</w:t>
                  </w:r>
                  <w:r>
                    <w:rPr>
                      <w:rFonts w:eastAsia="仿宋"/>
                      <w:b/>
                      <w:bCs/>
                      <w:color w:val="000000" w:themeColor="text1"/>
                      <w:szCs w:val="21"/>
                      <w14:textFill>
                        <w14:solidFill>
                          <w14:schemeClr w14:val="tx1"/>
                        </w14:solidFill>
                      </w14:textFill>
                    </w:rPr>
                    <w:t>t/a</w:t>
                  </w:r>
                  <w:r>
                    <w:rPr>
                      <w:rFonts w:ascii="仿宋" w:hAnsi="仿宋" w:eastAsia="仿宋"/>
                      <w:b/>
                      <w:bCs/>
                      <w:color w:val="000000" w:themeColor="text1"/>
                      <w:szCs w:val="21"/>
                      <w14:textFill>
                        <w14:solidFill>
                          <w14:schemeClr w14:val="tx1"/>
                        </w14:solidFill>
                      </w14:textFill>
                    </w:rPr>
                    <w:t>）</w:t>
                  </w:r>
                </w:p>
              </w:tc>
              <w:tc>
                <w:tcPr>
                  <w:tcW w:w="1457" w:type="dxa"/>
                  <w:tcBorders>
                    <w:top w:val="single" w:color="auto" w:sz="4" w:space="0"/>
                    <w:left w:val="single" w:color="auto" w:sz="4" w:space="0"/>
                    <w:bottom w:val="single" w:color="auto" w:sz="4" w:space="0"/>
                    <w:right w:val="single" w:color="auto" w:sz="4" w:space="0"/>
                  </w:tcBorders>
                  <w:noWrap/>
                  <w:vAlign w:val="center"/>
                </w:tcPr>
                <w:p w14:paraId="2098B75F">
                  <w:pPr>
                    <w:autoSpaceDE w:val="0"/>
                    <w:autoSpaceDN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污染物因子</w:t>
                  </w:r>
                </w:p>
              </w:tc>
              <w:tc>
                <w:tcPr>
                  <w:tcW w:w="1458" w:type="dxa"/>
                  <w:tcBorders>
                    <w:top w:val="single" w:color="auto" w:sz="4" w:space="0"/>
                    <w:left w:val="single" w:color="auto" w:sz="4" w:space="0"/>
                    <w:bottom w:val="single" w:color="auto" w:sz="4" w:space="0"/>
                    <w:right w:val="single" w:color="auto" w:sz="4" w:space="0"/>
                  </w:tcBorders>
                  <w:noWrap/>
                  <w:vAlign w:val="center"/>
                </w:tcPr>
                <w:p w14:paraId="1DBF8477">
                  <w:pPr>
                    <w:autoSpaceDE w:val="0"/>
                    <w:autoSpaceDN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产生浓度（</w:t>
                  </w:r>
                  <w:r>
                    <w:rPr>
                      <w:rFonts w:eastAsia="仿宋"/>
                      <w:b/>
                      <w:bCs/>
                      <w:color w:val="000000" w:themeColor="text1"/>
                      <w:szCs w:val="21"/>
                      <w14:textFill>
                        <w14:solidFill>
                          <w14:schemeClr w14:val="tx1"/>
                        </w14:solidFill>
                      </w14:textFill>
                    </w:rPr>
                    <w:t>mg/L</w:t>
                  </w:r>
                  <w:r>
                    <w:rPr>
                      <w:rFonts w:ascii="仿宋" w:hAnsi="仿宋" w:eastAsia="仿宋"/>
                      <w:b/>
                      <w:bCs/>
                      <w:color w:val="000000" w:themeColor="text1"/>
                      <w:szCs w:val="21"/>
                      <w14:textFill>
                        <w14:solidFill>
                          <w14:schemeClr w14:val="tx1"/>
                        </w14:solidFill>
                      </w14:textFill>
                    </w:rPr>
                    <w:t>）</w:t>
                  </w:r>
                </w:p>
              </w:tc>
              <w:tc>
                <w:tcPr>
                  <w:tcW w:w="1457" w:type="dxa"/>
                  <w:tcBorders>
                    <w:top w:val="single" w:color="auto" w:sz="4" w:space="0"/>
                    <w:left w:val="single" w:color="auto" w:sz="4" w:space="0"/>
                    <w:bottom w:val="single" w:color="auto" w:sz="4" w:space="0"/>
                    <w:right w:val="single" w:color="auto" w:sz="4" w:space="0"/>
                  </w:tcBorders>
                  <w:noWrap/>
                  <w:vAlign w:val="center"/>
                </w:tcPr>
                <w:p w14:paraId="5749919C">
                  <w:pPr>
                    <w:autoSpaceDE w:val="0"/>
                    <w:autoSpaceDN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产生量（</w:t>
                  </w:r>
                  <w:r>
                    <w:rPr>
                      <w:rFonts w:eastAsia="仿宋"/>
                      <w:b/>
                      <w:bCs/>
                      <w:color w:val="000000" w:themeColor="text1"/>
                      <w:szCs w:val="21"/>
                      <w14:textFill>
                        <w14:solidFill>
                          <w14:schemeClr w14:val="tx1"/>
                        </w14:solidFill>
                      </w14:textFill>
                    </w:rPr>
                    <w:t>t/a</w:t>
                  </w:r>
                  <w:r>
                    <w:rPr>
                      <w:rFonts w:ascii="仿宋" w:hAnsi="仿宋" w:eastAsia="仿宋"/>
                      <w:b/>
                      <w:bCs/>
                      <w:color w:val="000000" w:themeColor="text1"/>
                      <w:szCs w:val="21"/>
                      <w14:textFill>
                        <w14:solidFill>
                          <w14:schemeClr w14:val="tx1"/>
                        </w14:solidFill>
                      </w14:textFill>
                    </w:rPr>
                    <w:t>）</w:t>
                  </w:r>
                </w:p>
              </w:tc>
              <w:tc>
                <w:tcPr>
                  <w:tcW w:w="2222" w:type="dxa"/>
                  <w:tcBorders>
                    <w:top w:val="single" w:color="auto" w:sz="4" w:space="0"/>
                    <w:left w:val="single" w:color="auto" w:sz="4" w:space="0"/>
                    <w:bottom w:val="single" w:color="auto" w:sz="4" w:space="0"/>
                    <w:right w:val="single" w:color="auto" w:sz="4" w:space="0"/>
                  </w:tcBorders>
                  <w:vAlign w:val="center"/>
                </w:tcPr>
                <w:p w14:paraId="3C63F958">
                  <w:pPr>
                    <w:autoSpaceDE w:val="0"/>
                    <w:autoSpaceDN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处理措施</w:t>
                  </w:r>
                </w:p>
              </w:tc>
            </w:tr>
            <w:tr w14:paraId="341E8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213" w:type="dxa"/>
                  <w:vMerge w:val="restart"/>
                  <w:tcBorders>
                    <w:top w:val="nil"/>
                    <w:left w:val="single" w:color="auto" w:sz="4" w:space="0"/>
                    <w:bottom w:val="single" w:color="auto" w:sz="4" w:space="0"/>
                    <w:right w:val="single" w:color="auto" w:sz="4" w:space="0"/>
                  </w:tcBorders>
                  <w:noWrap/>
                  <w:vAlign w:val="center"/>
                </w:tcPr>
                <w:p w14:paraId="51647BB5">
                  <w:pPr>
                    <w:autoSpaceDE w:val="0"/>
                    <w:autoSpaceDN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生活污水</w:t>
                  </w:r>
                </w:p>
              </w:tc>
              <w:tc>
                <w:tcPr>
                  <w:tcW w:w="1021" w:type="dxa"/>
                  <w:vMerge w:val="restart"/>
                  <w:tcBorders>
                    <w:top w:val="nil"/>
                    <w:left w:val="single" w:color="auto" w:sz="4" w:space="0"/>
                    <w:bottom w:val="single" w:color="auto" w:sz="4" w:space="0"/>
                    <w:right w:val="single" w:color="auto" w:sz="4" w:space="0"/>
                  </w:tcBorders>
                  <w:vAlign w:val="center"/>
                </w:tcPr>
                <w:p w14:paraId="16EAA96C">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1296</w:t>
                  </w:r>
                </w:p>
              </w:tc>
              <w:tc>
                <w:tcPr>
                  <w:tcW w:w="1457" w:type="dxa"/>
                  <w:tcBorders>
                    <w:top w:val="single" w:color="auto" w:sz="4" w:space="0"/>
                    <w:left w:val="single" w:color="auto" w:sz="4" w:space="0"/>
                    <w:bottom w:val="single" w:color="auto" w:sz="4" w:space="0"/>
                    <w:right w:val="single" w:color="auto" w:sz="4" w:space="0"/>
                  </w:tcBorders>
                  <w:noWrap/>
                  <w:vAlign w:val="center"/>
                </w:tcPr>
                <w:p w14:paraId="43723F78">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COD</w:t>
                  </w:r>
                </w:p>
              </w:tc>
              <w:tc>
                <w:tcPr>
                  <w:tcW w:w="1458" w:type="dxa"/>
                  <w:tcBorders>
                    <w:top w:val="single" w:color="auto" w:sz="4" w:space="0"/>
                    <w:left w:val="single" w:color="auto" w:sz="4" w:space="0"/>
                    <w:bottom w:val="single" w:color="auto" w:sz="4" w:space="0"/>
                    <w:right w:val="single" w:color="auto" w:sz="4" w:space="0"/>
                  </w:tcBorders>
                  <w:noWrap/>
                  <w:vAlign w:val="center"/>
                </w:tcPr>
                <w:p w14:paraId="10F9B105">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400</w:t>
                  </w:r>
                </w:p>
              </w:tc>
              <w:tc>
                <w:tcPr>
                  <w:tcW w:w="1457" w:type="dxa"/>
                  <w:tcBorders>
                    <w:top w:val="single" w:color="auto" w:sz="4" w:space="0"/>
                    <w:left w:val="nil"/>
                    <w:bottom w:val="single" w:color="auto" w:sz="4" w:space="0"/>
                    <w:right w:val="single" w:color="auto" w:sz="4" w:space="0"/>
                  </w:tcBorders>
                  <w:noWrap/>
                  <w:vAlign w:val="center"/>
                </w:tcPr>
                <w:p w14:paraId="5608B8CC">
                  <w:pPr>
                    <w:widowControl/>
                    <w:jc w:val="center"/>
                    <w:rPr>
                      <w:color w:val="000000" w:themeColor="text1"/>
                      <w:kern w:val="0"/>
                      <w:sz w:val="22"/>
                      <w:szCs w:val="22"/>
                      <w14:textFill>
                        <w14:solidFill>
                          <w14:schemeClr w14:val="tx1"/>
                        </w14:solidFill>
                      </w14:textFill>
                    </w:rPr>
                  </w:pPr>
                  <w:r>
                    <w:rPr>
                      <w:color w:val="000000" w:themeColor="text1"/>
                      <w14:textFill>
                        <w14:solidFill>
                          <w14:schemeClr w14:val="tx1"/>
                        </w14:solidFill>
                      </w14:textFill>
                    </w:rPr>
                    <w:t>0.518</w:t>
                  </w:r>
                </w:p>
              </w:tc>
              <w:tc>
                <w:tcPr>
                  <w:tcW w:w="2222" w:type="dxa"/>
                  <w:vMerge w:val="restart"/>
                  <w:tcBorders>
                    <w:top w:val="nil"/>
                    <w:left w:val="single" w:color="auto" w:sz="4" w:space="0"/>
                    <w:bottom w:val="single" w:color="auto" w:sz="4" w:space="0"/>
                    <w:right w:val="single" w:color="auto" w:sz="4" w:space="0"/>
                  </w:tcBorders>
                  <w:vAlign w:val="center"/>
                </w:tcPr>
                <w:p w14:paraId="27A65BDA">
                  <w:pPr>
                    <w:autoSpaceDE w:val="0"/>
                    <w:autoSpaceDN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依托</w:t>
                  </w:r>
                  <w:r>
                    <w:rPr>
                      <w:rFonts w:hint="eastAsia" w:ascii="仿宋" w:hAnsi="仿宋" w:eastAsia="仿宋"/>
                      <w:color w:val="000000" w:themeColor="text1"/>
                      <w:szCs w:val="21"/>
                      <w14:textFill>
                        <w14:solidFill>
                          <w14:schemeClr w14:val="tx1"/>
                        </w14:solidFill>
                      </w14:textFill>
                    </w:rPr>
                    <w:t>厂区</w:t>
                  </w:r>
                  <w:r>
                    <w:rPr>
                      <w:rFonts w:ascii="仿宋" w:hAnsi="仿宋" w:eastAsia="仿宋"/>
                      <w:color w:val="000000" w:themeColor="text1"/>
                      <w:szCs w:val="21"/>
                      <w14:textFill>
                        <w14:solidFill>
                          <w14:schemeClr w14:val="tx1"/>
                        </w14:solidFill>
                      </w14:textFill>
                    </w:rPr>
                    <w:t>污水管网接入市政污水管网，最终排入金坛</w:t>
                  </w:r>
                  <w:r>
                    <w:rPr>
                      <w:rFonts w:hint="eastAsia" w:ascii="仿宋" w:hAnsi="仿宋" w:eastAsia="仿宋"/>
                      <w:color w:val="000000" w:themeColor="text1"/>
                      <w:szCs w:val="21"/>
                      <w14:textFill>
                        <w14:solidFill>
                          <w14:schemeClr w14:val="tx1"/>
                        </w14:solidFill>
                      </w14:textFill>
                    </w:rPr>
                    <w:t>区</w:t>
                  </w:r>
                  <w:r>
                    <w:rPr>
                      <w:rFonts w:ascii="仿宋" w:hAnsi="仿宋" w:eastAsia="仿宋"/>
                      <w:color w:val="000000" w:themeColor="text1"/>
                      <w:szCs w:val="21"/>
                      <w14:textFill>
                        <w14:solidFill>
                          <w14:schemeClr w14:val="tx1"/>
                        </w14:solidFill>
                      </w14:textFill>
                    </w:rPr>
                    <w:t>第二污水</w:t>
                  </w:r>
                  <w:r>
                    <w:rPr>
                      <w:rFonts w:hint="eastAsia" w:ascii="仿宋" w:hAnsi="仿宋" w:eastAsia="仿宋"/>
                      <w:color w:val="000000" w:themeColor="text1"/>
                      <w:szCs w:val="21"/>
                      <w14:textFill>
                        <w14:solidFill>
                          <w14:schemeClr w14:val="tx1"/>
                        </w14:solidFill>
                      </w14:textFill>
                    </w:rPr>
                    <w:t>处理</w:t>
                  </w:r>
                  <w:r>
                    <w:rPr>
                      <w:rFonts w:ascii="仿宋" w:hAnsi="仿宋" w:eastAsia="仿宋"/>
                      <w:color w:val="000000" w:themeColor="text1"/>
                      <w:szCs w:val="21"/>
                      <w14:textFill>
                        <w14:solidFill>
                          <w14:schemeClr w14:val="tx1"/>
                        </w14:solidFill>
                      </w14:textFill>
                    </w:rPr>
                    <w:t>厂集中处理，达标后尾水排入尧塘河</w:t>
                  </w:r>
                </w:p>
              </w:tc>
            </w:tr>
            <w:tr w14:paraId="4D9E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213" w:type="dxa"/>
                  <w:vMerge w:val="continue"/>
                  <w:tcBorders>
                    <w:top w:val="nil"/>
                    <w:left w:val="single" w:color="auto" w:sz="4" w:space="0"/>
                    <w:bottom w:val="single" w:color="auto" w:sz="4" w:space="0"/>
                    <w:right w:val="single" w:color="auto" w:sz="4" w:space="0"/>
                  </w:tcBorders>
                  <w:vAlign w:val="center"/>
                </w:tcPr>
                <w:p w14:paraId="129540CB">
                  <w:pPr>
                    <w:widowControl/>
                    <w:jc w:val="left"/>
                    <w:rPr>
                      <w:rFonts w:eastAsia="仿宋"/>
                      <w:color w:val="000000" w:themeColor="text1"/>
                      <w:szCs w:val="21"/>
                      <w14:textFill>
                        <w14:solidFill>
                          <w14:schemeClr w14:val="tx1"/>
                        </w14:solidFill>
                      </w14:textFill>
                    </w:rPr>
                  </w:pPr>
                </w:p>
              </w:tc>
              <w:tc>
                <w:tcPr>
                  <w:tcW w:w="1021" w:type="dxa"/>
                  <w:vMerge w:val="continue"/>
                  <w:tcBorders>
                    <w:top w:val="nil"/>
                    <w:left w:val="single" w:color="auto" w:sz="4" w:space="0"/>
                    <w:bottom w:val="single" w:color="auto" w:sz="4" w:space="0"/>
                    <w:right w:val="single" w:color="auto" w:sz="4" w:space="0"/>
                  </w:tcBorders>
                  <w:vAlign w:val="center"/>
                </w:tcPr>
                <w:p w14:paraId="02E35808">
                  <w:pPr>
                    <w:widowControl/>
                    <w:jc w:val="left"/>
                    <w:rPr>
                      <w:rFonts w:eastAsia="仿宋"/>
                      <w:color w:val="000000" w:themeColor="text1"/>
                      <w:szCs w:val="21"/>
                      <w14:textFill>
                        <w14:solidFill>
                          <w14:schemeClr w14:val="tx1"/>
                        </w14:solidFill>
                      </w14:textFill>
                    </w:rPr>
                  </w:pPr>
                </w:p>
              </w:tc>
              <w:tc>
                <w:tcPr>
                  <w:tcW w:w="1457" w:type="dxa"/>
                  <w:tcBorders>
                    <w:top w:val="single" w:color="auto" w:sz="4" w:space="0"/>
                    <w:left w:val="single" w:color="auto" w:sz="4" w:space="0"/>
                    <w:bottom w:val="single" w:color="auto" w:sz="4" w:space="0"/>
                    <w:right w:val="single" w:color="auto" w:sz="4" w:space="0"/>
                  </w:tcBorders>
                  <w:noWrap/>
                  <w:vAlign w:val="center"/>
                </w:tcPr>
                <w:p w14:paraId="66B4EBCB">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SS</w:t>
                  </w:r>
                </w:p>
              </w:tc>
              <w:tc>
                <w:tcPr>
                  <w:tcW w:w="1458" w:type="dxa"/>
                  <w:tcBorders>
                    <w:top w:val="single" w:color="auto" w:sz="4" w:space="0"/>
                    <w:left w:val="single" w:color="auto" w:sz="4" w:space="0"/>
                    <w:bottom w:val="single" w:color="auto" w:sz="4" w:space="0"/>
                    <w:right w:val="single" w:color="auto" w:sz="4" w:space="0"/>
                  </w:tcBorders>
                  <w:noWrap/>
                  <w:vAlign w:val="center"/>
                </w:tcPr>
                <w:p w14:paraId="45C6B020">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200</w:t>
                  </w:r>
                </w:p>
              </w:tc>
              <w:tc>
                <w:tcPr>
                  <w:tcW w:w="1457" w:type="dxa"/>
                  <w:tcBorders>
                    <w:top w:val="single" w:color="auto" w:sz="4" w:space="0"/>
                    <w:left w:val="nil"/>
                    <w:bottom w:val="single" w:color="auto" w:sz="4" w:space="0"/>
                    <w:right w:val="single" w:color="auto" w:sz="4" w:space="0"/>
                  </w:tcBorders>
                  <w:noWrap/>
                  <w:vAlign w:val="center"/>
                </w:tcPr>
                <w:p w14:paraId="725FA340">
                  <w:pPr>
                    <w:jc w:val="center"/>
                    <w:rPr>
                      <w:color w:val="000000" w:themeColor="text1"/>
                      <w:sz w:val="22"/>
                      <w:szCs w:val="22"/>
                      <w14:textFill>
                        <w14:solidFill>
                          <w14:schemeClr w14:val="tx1"/>
                        </w14:solidFill>
                      </w14:textFill>
                    </w:rPr>
                  </w:pPr>
                  <w:r>
                    <w:rPr>
                      <w:color w:val="000000" w:themeColor="text1"/>
                      <w14:textFill>
                        <w14:solidFill>
                          <w14:schemeClr w14:val="tx1"/>
                        </w14:solidFill>
                      </w14:textFill>
                    </w:rPr>
                    <w:t>0.259</w:t>
                  </w:r>
                </w:p>
              </w:tc>
              <w:tc>
                <w:tcPr>
                  <w:tcW w:w="2222" w:type="dxa"/>
                  <w:vMerge w:val="continue"/>
                  <w:tcBorders>
                    <w:top w:val="nil"/>
                    <w:left w:val="single" w:color="auto" w:sz="4" w:space="0"/>
                    <w:bottom w:val="single" w:color="auto" w:sz="4" w:space="0"/>
                    <w:right w:val="single" w:color="auto" w:sz="4" w:space="0"/>
                  </w:tcBorders>
                  <w:vAlign w:val="center"/>
                </w:tcPr>
                <w:p w14:paraId="5A06B01B">
                  <w:pPr>
                    <w:widowControl/>
                    <w:jc w:val="left"/>
                    <w:rPr>
                      <w:rFonts w:eastAsia="仿宋"/>
                      <w:color w:val="000000" w:themeColor="text1"/>
                      <w:szCs w:val="21"/>
                      <w14:textFill>
                        <w14:solidFill>
                          <w14:schemeClr w14:val="tx1"/>
                        </w14:solidFill>
                      </w14:textFill>
                    </w:rPr>
                  </w:pPr>
                </w:p>
              </w:tc>
            </w:tr>
            <w:tr w14:paraId="28060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213" w:type="dxa"/>
                  <w:vMerge w:val="continue"/>
                  <w:tcBorders>
                    <w:top w:val="nil"/>
                    <w:left w:val="single" w:color="auto" w:sz="4" w:space="0"/>
                    <w:bottom w:val="single" w:color="auto" w:sz="4" w:space="0"/>
                    <w:right w:val="single" w:color="auto" w:sz="4" w:space="0"/>
                  </w:tcBorders>
                  <w:vAlign w:val="center"/>
                </w:tcPr>
                <w:p w14:paraId="62C483F9">
                  <w:pPr>
                    <w:widowControl/>
                    <w:jc w:val="left"/>
                    <w:rPr>
                      <w:rFonts w:eastAsia="仿宋"/>
                      <w:color w:val="000000" w:themeColor="text1"/>
                      <w:szCs w:val="21"/>
                      <w14:textFill>
                        <w14:solidFill>
                          <w14:schemeClr w14:val="tx1"/>
                        </w14:solidFill>
                      </w14:textFill>
                    </w:rPr>
                  </w:pPr>
                </w:p>
              </w:tc>
              <w:tc>
                <w:tcPr>
                  <w:tcW w:w="1021" w:type="dxa"/>
                  <w:vMerge w:val="continue"/>
                  <w:tcBorders>
                    <w:top w:val="nil"/>
                    <w:left w:val="single" w:color="auto" w:sz="4" w:space="0"/>
                    <w:bottom w:val="single" w:color="auto" w:sz="4" w:space="0"/>
                    <w:right w:val="single" w:color="auto" w:sz="4" w:space="0"/>
                  </w:tcBorders>
                  <w:vAlign w:val="center"/>
                </w:tcPr>
                <w:p w14:paraId="2807D587">
                  <w:pPr>
                    <w:widowControl/>
                    <w:jc w:val="left"/>
                    <w:rPr>
                      <w:rFonts w:eastAsia="仿宋"/>
                      <w:color w:val="000000" w:themeColor="text1"/>
                      <w:szCs w:val="21"/>
                      <w14:textFill>
                        <w14:solidFill>
                          <w14:schemeClr w14:val="tx1"/>
                        </w14:solidFill>
                      </w14:textFill>
                    </w:rPr>
                  </w:pPr>
                </w:p>
              </w:tc>
              <w:tc>
                <w:tcPr>
                  <w:tcW w:w="1457" w:type="dxa"/>
                  <w:tcBorders>
                    <w:top w:val="single" w:color="auto" w:sz="4" w:space="0"/>
                    <w:left w:val="single" w:color="auto" w:sz="4" w:space="0"/>
                    <w:bottom w:val="single" w:color="auto" w:sz="4" w:space="0"/>
                    <w:right w:val="single" w:color="auto" w:sz="4" w:space="0"/>
                  </w:tcBorders>
                  <w:noWrap/>
                  <w:vAlign w:val="center"/>
                </w:tcPr>
                <w:p w14:paraId="4F976F5D">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NH</w:t>
                  </w:r>
                  <w:r>
                    <w:rPr>
                      <w:rFonts w:eastAsia="仿宋"/>
                      <w:color w:val="000000" w:themeColor="text1"/>
                      <w:szCs w:val="21"/>
                      <w:vertAlign w:val="subscript"/>
                      <w14:textFill>
                        <w14:solidFill>
                          <w14:schemeClr w14:val="tx1"/>
                        </w14:solidFill>
                      </w14:textFill>
                    </w:rPr>
                    <w:t>3</w:t>
                  </w:r>
                  <w:r>
                    <w:rPr>
                      <w:rFonts w:eastAsia="仿宋"/>
                      <w:color w:val="000000" w:themeColor="text1"/>
                      <w:szCs w:val="21"/>
                      <w14:textFill>
                        <w14:solidFill>
                          <w14:schemeClr w14:val="tx1"/>
                        </w14:solidFill>
                      </w14:textFill>
                    </w:rPr>
                    <w:t>-N</w:t>
                  </w:r>
                </w:p>
              </w:tc>
              <w:tc>
                <w:tcPr>
                  <w:tcW w:w="1458" w:type="dxa"/>
                  <w:tcBorders>
                    <w:top w:val="single" w:color="auto" w:sz="4" w:space="0"/>
                    <w:left w:val="single" w:color="auto" w:sz="4" w:space="0"/>
                    <w:bottom w:val="single" w:color="auto" w:sz="4" w:space="0"/>
                    <w:right w:val="single" w:color="auto" w:sz="4" w:space="0"/>
                  </w:tcBorders>
                  <w:noWrap/>
                  <w:vAlign w:val="center"/>
                </w:tcPr>
                <w:p w14:paraId="7F981C05">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30</w:t>
                  </w:r>
                </w:p>
              </w:tc>
              <w:tc>
                <w:tcPr>
                  <w:tcW w:w="1457" w:type="dxa"/>
                  <w:tcBorders>
                    <w:top w:val="single" w:color="auto" w:sz="4" w:space="0"/>
                    <w:left w:val="nil"/>
                    <w:bottom w:val="single" w:color="auto" w:sz="4" w:space="0"/>
                    <w:right w:val="single" w:color="auto" w:sz="4" w:space="0"/>
                  </w:tcBorders>
                  <w:noWrap/>
                  <w:vAlign w:val="center"/>
                </w:tcPr>
                <w:p w14:paraId="0977F8D6">
                  <w:pPr>
                    <w:jc w:val="center"/>
                    <w:rPr>
                      <w:color w:val="000000" w:themeColor="text1"/>
                      <w:sz w:val="22"/>
                      <w:szCs w:val="22"/>
                      <w14:textFill>
                        <w14:solidFill>
                          <w14:schemeClr w14:val="tx1"/>
                        </w14:solidFill>
                      </w14:textFill>
                    </w:rPr>
                  </w:pPr>
                  <w:r>
                    <w:rPr>
                      <w:color w:val="000000" w:themeColor="text1"/>
                      <w14:textFill>
                        <w14:solidFill>
                          <w14:schemeClr w14:val="tx1"/>
                        </w14:solidFill>
                      </w14:textFill>
                    </w:rPr>
                    <w:t>0.039</w:t>
                  </w:r>
                </w:p>
              </w:tc>
              <w:tc>
                <w:tcPr>
                  <w:tcW w:w="2222" w:type="dxa"/>
                  <w:vMerge w:val="continue"/>
                  <w:tcBorders>
                    <w:top w:val="nil"/>
                    <w:left w:val="single" w:color="auto" w:sz="4" w:space="0"/>
                    <w:bottom w:val="single" w:color="auto" w:sz="4" w:space="0"/>
                    <w:right w:val="single" w:color="auto" w:sz="4" w:space="0"/>
                  </w:tcBorders>
                  <w:vAlign w:val="center"/>
                </w:tcPr>
                <w:p w14:paraId="5A91D786">
                  <w:pPr>
                    <w:widowControl/>
                    <w:jc w:val="left"/>
                    <w:rPr>
                      <w:rFonts w:eastAsia="仿宋"/>
                      <w:color w:val="000000" w:themeColor="text1"/>
                      <w:szCs w:val="21"/>
                      <w14:textFill>
                        <w14:solidFill>
                          <w14:schemeClr w14:val="tx1"/>
                        </w14:solidFill>
                      </w14:textFill>
                    </w:rPr>
                  </w:pPr>
                </w:p>
              </w:tc>
            </w:tr>
            <w:tr w14:paraId="6B51E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213" w:type="dxa"/>
                  <w:vMerge w:val="continue"/>
                  <w:tcBorders>
                    <w:top w:val="nil"/>
                    <w:left w:val="single" w:color="auto" w:sz="4" w:space="0"/>
                    <w:bottom w:val="single" w:color="auto" w:sz="4" w:space="0"/>
                    <w:right w:val="single" w:color="auto" w:sz="4" w:space="0"/>
                  </w:tcBorders>
                  <w:vAlign w:val="center"/>
                </w:tcPr>
                <w:p w14:paraId="0A8E2628">
                  <w:pPr>
                    <w:widowControl/>
                    <w:jc w:val="left"/>
                    <w:rPr>
                      <w:rFonts w:eastAsia="仿宋"/>
                      <w:color w:val="000000" w:themeColor="text1"/>
                      <w:szCs w:val="21"/>
                      <w14:textFill>
                        <w14:solidFill>
                          <w14:schemeClr w14:val="tx1"/>
                        </w14:solidFill>
                      </w14:textFill>
                    </w:rPr>
                  </w:pPr>
                </w:p>
              </w:tc>
              <w:tc>
                <w:tcPr>
                  <w:tcW w:w="1021" w:type="dxa"/>
                  <w:vMerge w:val="continue"/>
                  <w:tcBorders>
                    <w:top w:val="nil"/>
                    <w:left w:val="single" w:color="auto" w:sz="4" w:space="0"/>
                    <w:bottom w:val="single" w:color="auto" w:sz="4" w:space="0"/>
                    <w:right w:val="single" w:color="auto" w:sz="4" w:space="0"/>
                  </w:tcBorders>
                  <w:vAlign w:val="center"/>
                </w:tcPr>
                <w:p w14:paraId="0A5A7E4A">
                  <w:pPr>
                    <w:widowControl/>
                    <w:jc w:val="left"/>
                    <w:rPr>
                      <w:rFonts w:eastAsia="仿宋"/>
                      <w:color w:val="000000" w:themeColor="text1"/>
                      <w:szCs w:val="21"/>
                      <w14:textFill>
                        <w14:solidFill>
                          <w14:schemeClr w14:val="tx1"/>
                        </w14:solidFill>
                      </w14:textFill>
                    </w:rPr>
                  </w:pPr>
                </w:p>
              </w:tc>
              <w:tc>
                <w:tcPr>
                  <w:tcW w:w="1457" w:type="dxa"/>
                  <w:tcBorders>
                    <w:top w:val="single" w:color="auto" w:sz="4" w:space="0"/>
                    <w:left w:val="single" w:color="auto" w:sz="4" w:space="0"/>
                    <w:bottom w:val="single" w:color="auto" w:sz="4" w:space="0"/>
                    <w:right w:val="single" w:color="auto" w:sz="4" w:space="0"/>
                  </w:tcBorders>
                  <w:noWrap/>
                  <w:vAlign w:val="center"/>
                </w:tcPr>
                <w:p w14:paraId="4CAB815F">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TP</w:t>
                  </w:r>
                </w:p>
              </w:tc>
              <w:tc>
                <w:tcPr>
                  <w:tcW w:w="1458" w:type="dxa"/>
                  <w:tcBorders>
                    <w:top w:val="single" w:color="auto" w:sz="4" w:space="0"/>
                    <w:left w:val="single" w:color="auto" w:sz="4" w:space="0"/>
                    <w:bottom w:val="single" w:color="auto" w:sz="4" w:space="0"/>
                    <w:right w:val="single" w:color="auto" w:sz="4" w:space="0"/>
                  </w:tcBorders>
                  <w:noWrap/>
                  <w:vAlign w:val="center"/>
                </w:tcPr>
                <w:p w14:paraId="6A8F04F5">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1457" w:type="dxa"/>
                  <w:tcBorders>
                    <w:top w:val="single" w:color="auto" w:sz="4" w:space="0"/>
                    <w:left w:val="nil"/>
                    <w:bottom w:val="single" w:color="auto" w:sz="4" w:space="0"/>
                    <w:right w:val="single" w:color="auto" w:sz="4" w:space="0"/>
                  </w:tcBorders>
                  <w:noWrap/>
                  <w:vAlign w:val="center"/>
                </w:tcPr>
                <w:p w14:paraId="0BBE16FB">
                  <w:pPr>
                    <w:jc w:val="center"/>
                    <w:rPr>
                      <w:color w:val="000000" w:themeColor="text1"/>
                      <w:sz w:val="22"/>
                      <w:szCs w:val="22"/>
                      <w14:textFill>
                        <w14:solidFill>
                          <w14:schemeClr w14:val="tx1"/>
                        </w14:solidFill>
                      </w14:textFill>
                    </w:rPr>
                  </w:pPr>
                  <w:r>
                    <w:rPr>
                      <w:color w:val="000000" w:themeColor="text1"/>
                      <w14:textFill>
                        <w14:solidFill>
                          <w14:schemeClr w14:val="tx1"/>
                        </w14:solidFill>
                      </w14:textFill>
                    </w:rPr>
                    <w:t>0.004</w:t>
                  </w:r>
                </w:p>
              </w:tc>
              <w:tc>
                <w:tcPr>
                  <w:tcW w:w="2222" w:type="dxa"/>
                  <w:vMerge w:val="continue"/>
                  <w:tcBorders>
                    <w:top w:val="nil"/>
                    <w:left w:val="single" w:color="auto" w:sz="4" w:space="0"/>
                    <w:bottom w:val="single" w:color="auto" w:sz="4" w:space="0"/>
                    <w:right w:val="single" w:color="auto" w:sz="4" w:space="0"/>
                  </w:tcBorders>
                  <w:vAlign w:val="center"/>
                </w:tcPr>
                <w:p w14:paraId="168444D9">
                  <w:pPr>
                    <w:widowControl/>
                    <w:jc w:val="left"/>
                    <w:rPr>
                      <w:rFonts w:eastAsia="仿宋"/>
                      <w:color w:val="000000" w:themeColor="text1"/>
                      <w:szCs w:val="21"/>
                      <w14:textFill>
                        <w14:solidFill>
                          <w14:schemeClr w14:val="tx1"/>
                        </w14:solidFill>
                      </w14:textFill>
                    </w:rPr>
                  </w:pPr>
                </w:p>
              </w:tc>
            </w:tr>
            <w:tr w14:paraId="22A2C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13" w:type="dxa"/>
                  <w:vMerge w:val="continue"/>
                  <w:tcBorders>
                    <w:top w:val="nil"/>
                    <w:left w:val="single" w:color="auto" w:sz="4" w:space="0"/>
                    <w:bottom w:val="single" w:color="auto" w:sz="4" w:space="0"/>
                    <w:right w:val="single" w:color="auto" w:sz="4" w:space="0"/>
                  </w:tcBorders>
                  <w:vAlign w:val="center"/>
                </w:tcPr>
                <w:p w14:paraId="40D7E4E3">
                  <w:pPr>
                    <w:widowControl/>
                    <w:jc w:val="left"/>
                    <w:rPr>
                      <w:rFonts w:eastAsia="仿宋"/>
                      <w:color w:val="000000" w:themeColor="text1"/>
                      <w:szCs w:val="21"/>
                      <w14:textFill>
                        <w14:solidFill>
                          <w14:schemeClr w14:val="tx1"/>
                        </w14:solidFill>
                      </w14:textFill>
                    </w:rPr>
                  </w:pPr>
                </w:p>
              </w:tc>
              <w:tc>
                <w:tcPr>
                  <w:tcW w:w="1021" w:type="dxa"/>
                  <w:vMerge w:val="continue"/>
                  <w:tcBorders>
                    <w:top w:val="nil"/>
                    <w:left w:val="single" w:color="auto" w:sz="4" w:space="0"/>
                    <w:bottom w:val="single" w:color="auto" w:sz="4" w:space="0"/>
                    <w:right w:val="single" w:color="auto" w:sz="4" w:space="0"/>
                  </w:tcBorders>
                  <w:vAlign w:val="center"/>
                </w:tcPr>
                <w:p w14:paraId="3574C27D">
                  <w:pPr>
                    <w:widowControl/>
                    <w:jc w:val="left"/>
                    <w:rPr>
                      <w:rFonts w:eastAsia="仿宋"/>
                      <w:color w:val="000000" w:themeColor="text1"/>
                      <w:szCs w:val="21"/>
                      <w14:textFill>
                        <w14:solidFill>
                          <w14:schemeClr w14:val="tx1"/>
                        </w14:solidFill>
                      </w14:textFill>
                    </w:rPr>
                  </w:pPr>
                </w:p>
              </w:tc>
              <w:tc>
                <w:tcPr>
                  <w:tcW w:w="1457" w:type="dxa"/>
                  <w:tcBorders>
                    <w:top w:val="single" w:color="auto" w:sz="4" w:space="0"/>
                    <w:left w:val="single" w:color="auto" w:sz="4" w:space="0"/>
                    <w:bottom w:val="single" w:color="auto" w:sz="4" w:space="0"/>
                    <w:right w:val="single" w:color="auto" w:sz="4" w:space="0"/>
                  </w:tcBorders>
                  <w:noWrap/>
                  <w:vAlign w:val="center"/>
                </w:tcPr>
                <w:p w14:paraId="5B561012">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TN</w:t>
                  </w:r>
                </w:p>
              </w:tc>
              <w:tc>
                <w:tcPr>
                  <w:tcW w:w="1458" w:type="dxa"/>
                  <w:tcBorders>
                    <w:top w:val="single" w:color="auto" w:sz="4" w:space="0"/>
                    <w:left w:val="single" w:color="auto" w:sz="4" w:space="0"/>
                    <w:bottom w:val="single" w:color="auto" w:sz="4" w:space="0"/>
                    <w:right w:val="single" w:color="auto" w:sz="4" w:space="0"/>
                  </w:tcBorders>
                  <w:noWrap/>
                  <w:vAlign w:val="center"/>
                </w:tcPr>
                <w:p w14:paraId="0FB37A81">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45</w:t>
                  </w:r>
                </w:p>
              </w:tc>
              <w:tc>
                <w:tcPr>
                  <w:tcW w:w="1457" w:type="dxa"/>
                  <w:tcBorders>
                    <w:top w:val="single" w:color="auto" w:sz="4" w:space="0"/>
                    <w:left w:val="nil"/>
                    <w:bottom w:val="single" w:color="auto" w:sz="4" w:space="0"/>
                    <w:right w:val="single" w:color="auto" w:sz="4" w:space="0"/>
                  </w:tcBorders>
                  <w:noWrap/>
                  <w:vAlign w:val="center"/>
                </w:tcPr>
                <w:p w14:paraId="736F52EB">
                  <w:pPr>
                    <w:jc w:val="center"/>
                    <w:rPr>
                      <w:color w:val="000000" w:themeColor="text1"/>
                      <w:sz w:val="22"/>
                      <w:szCs w:val="22"/>
                      <w14:textFill>
                        <w14:solidFill>
                          <w14:schemeClr w14:val="tx1"/>
                        </w14:solidFill>
                      </w14:textFill>
                    </w:rPr>
                  </w:pPr>
                  <w:r>
                    <w:rPr>
                      <w:color w:val="000000" w:themeColor="text1"/>
                      <w14:textFill>
                        <w14:solidFill>
                          <w14:schemeClr w14:val="tx1"/>
                        </w14:solidFill>
                      </w14:textFill>
                    </w:rPr>
                    <w:t>0.058</w:t>
                  </w:r>
                </w:p>
              </w:tc>
              <w:tc>
                <w:tcPr>
                  <w:tcW w:w="2222" w:type="dxa"/>
                  <w:vMerge w:val="continue"/>
                  <w:tcBorders>
                    <w:top w:val="nil"/>
                    <w:left w:val="single" w:color="auto" w:sz="4" w:space="0"/>
                    <w:bottom w:val="single" w:color="auto" w:sz="4" w:space="0"/>
                    <w:right w:val="single" w:color="auto" w:sz="4" w:space="0"/>
                  </w:tcBorders>
                  <w:vAlign w:val="center"/>
                </w:tcPr>
                <w:p w14:paraId="10CCFA15">
                  <w:pPr>
                    <w:widowControl/>
                    <w:jc w:val="left"/>
                    <w:rPr>
                      <w:rFonts w:eastAsia="仿宋"/>
                      <w:color w:val="000000" w:themeColor="text1"/>
                      <w:szCs w:val="21"/>
                      <w14:textFill>
                        <w14:solidFill>
                          <w14:schemeClr w14:val="tx1"/>
                        </w14:solidFill>
                      </w14:textFill>
                    </w:rPr>
                  </w:pPr>
                </w:p>
              </w:tc>
            </w:tr>
          </w:tbl>
          <w:p w14:paraId="5922D318">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2、污染防治措施</w:t>
            </w:r>
          </w:p>
          <w:p w14:paraId="28093116">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（1）防治措施</w:t>
            </w:r>
          </w:p>
          <w:p w14:paraId="03ACEC04">
            <w:pPr>
              <w:adjustRightInd w:val="0"/>
              <w:snapToGrid w:val="0"/>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本项目实行雨污分流原则；雨水经厂区雨水管道系统收集后接入市政雨水管网后排入附近河道；</w:t>
            </w:r>
            <w:r>
              <w:rPr>
                <w:rFonts w:hint="eastAsia" w:eastAsia="仿宋"/>
                <w:color w:val="000000" w:themeColor="text1"/>
                <w:sz w:val="24"/>
                <w14:textFill>
                  <w14:solidFill>
                    <w14:schemeClr w14:val="tx1"/>
                  </w14:solidFill>
                </w14:textFill>
              </w:rPr>
              <w:t>生活污水</w:t>
            </w:r>
            <w:r>
              <w:rPr>
                <w:rFonts w:eastAsia="仿宋"/>
                <w:color w:val="000000" w:themeColor="text1"/>
                <w:sz w:val="24"/>
                <w14:textFill>
                  <w14:solidFill>
                    <w14:schemeClr w14:val="tx1"/>
                  </w14:solidFill>
                </w14:textFill>
              </w:rPr>
              <w:t>通过厂区污水管网后进入市政污水管网，</w:t>
            </w:r>
            <w:r>
              <w:rPr>
                <w:rFonts w:hint="eastAsia" w:eastAsia="仿宋"/>
                <w:color w:val="000000" w:themeColor="text1"/>
                <w:sz w:val="24"/>
                <w14:textFill>
                  <w14:solidFill>
                    <w14:schemeClr w14:val="tx1"/>
                  </w14:solidFill>
                </w14:textFill>
              </w:rPr>
              <w:t>最终排入金坛第二污水厂集中处理，达标后尾水排入尧塘河；制纯水浓水全部回用于冲厕用水。</w:t>
            </w:r>
          </w:p>
          <w:p w14:paraId="1BE712D2">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（2）污水接管可行性分析</w:t>
            </w:r>
          </w:p>
          <w:p w14:paraId="0AC9D311">
            <w:pPr>
              <w:spacing w:line="480" w:lineRule="exact"/>
              <w:ind w:firstLine="480" w:firstLineChars="200"/>
              <w:rPr>
                <w:rFonts w:eastAsia="仿宋"/>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①</w:t>
            </w:r>
            <w:r>
              <w:rPr>
                <w:rFonts w:eastAsia="仿宋"/>
                <w:bCs/>
                <w:color w:val="000000" w:themeColor="text1"/>
                <w:sz w:val="24"/>
                <w14:textFill>
                  <w14:solidFill>
                    <w14:schemeClr w14:val="tx1"/>
                  </w14:solidFill>
                </w14:textFill>
              </w:rPr>
              <w:t>接管空间可行性</w:t>
            </w:r>
          </w:p>
          <w:p w14:paraId="7BB2DF4E">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金坛区第二污水处理厂主要收集服务区域内的工业废水和生活污水、尧塘镇工业园区企业、开发区河头部分企业工业废水及尧塘、汤庄、水北集镇镇区居民生活污水。本项目所在地属于该污水处理厂的服务范围内。</w:t>
            </w:r>
          </w:p>
          <w:p w14:paraId="182DB304">
            <w:pPr>
              <w:spacing w:line="480" w:lineRule="exact"/>
              <w:ind w:firstLine="480" w:firstLineChars="200"/>
              <w:rPr>
                <w:rFonts w:eastAsia="仿宋"/>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②</w:t>
            </w:r>
            <w:r>
              <w:rPr>
                <w:rFonts w:eastAsia="仿宋"/>
                <w:bCs/>
                <w:color w:val="000000" w:themeColor="text1"/>
                <w:sz w:val="24"/>
                <w14:textFill>
                  <w14:solidFill>
                    <w14:schemeClr w14:val="tx1"/>
                  </w14:solidFill>
                </w14:textFill>
              </w:rPr>
              <w:t>接管容量可行性分析</w:t>
            </w:r>
          </w:p>
          <w:p w14:paraId="2C3967B6">
            <w:pPr>
              <w:spacing w:line="480" w:lineRule="exact"/>
              <w:ind w:firstLine="480" w:firstLineChars="200"/>
              <w:rPr>
                <w:rFonts w:ascii="宋体" w:hAnsi="宋体" w:cs="宋体"/>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金坛</w:t>
            </w:r>
            <w:r>
              <w:rPr>
                <w:rFonts w:hint="eastAsia" w:eastAsia="仿宋"/>
                <w:bCs/>
                <w:color w:val="000000" w:themeColor="text1"/>
                <w:sz w:val="24"/>
                <w14:textFill>
                  <w14:solidFill>
                    <w14:schemeClr w14:val="tx1"/>
                  </w14:solidFill>
                </w14:textFill>
              </w:rPr>
              <w:t>区</w:t>
            </w:r>
            <w:r>
              <w:rPr>
                <w:rFonts w:eastAsia="仿宋"/>
                <w:bCs/>
                <w:color w:val="000000" w:themeColor="text1"/>
                <w:sz w:val="24"/>
                <w14:textFill>
                  <w14:solidFill>
                    <w14:schemeClr w14:val="tx1"/>
                  </w14:solidFill>
                </w14:textFill>
              </w:rPr>
              <w:t>第二污水处理厂一期建设规模2万m</w:t>
            </w:r>
            <w:r>
              <w:rPr>
                <w:rFonts w:eastAsia="仿宋"/>
                <w:bCs/>
                <w:color w:val="000000" w:themeColor="text1"/>
                <w:sz w:val="24"/>
                <w:vertAlign w:val="superscript"/>
                <w14:textFill>
                  <w14:solidFill>
                    <w14:schemeClr w14:val="tx1"/>
                  </w14:solidFill>
                </w14:textFill>
              </w:rPr>
              <w:t>3</w:t>
            </w:r>
            <w:r>
              <w:rPr>
                <w:rFonts w:eastAsia="仿宋"/>
                <w:bCs/>
                <w:color w:val="000000" w:themeColor="text1"/>
                <w:sz w:val="24"/>
                <w14:textFill>
                  <w14:solidFill>
                    <w14:schemeClr w14:val="tx1"/>
                  </w14:solidFill>
                </w14:textFill>
              </w:rPr>
              <w:t>/d，于2005年底建成运营；二期2万m</w:t>
            </w:r>
            <w:r>
              <w:rPr>
                <w:rFonts w:eastAsia="仿宋"/>
                <w:bCs/>
                <w:color w:val="000000" w:themeColor="text1"/>
                <w:sz w:val="24"/>
                <w:vertAlign w:val="superscript"/>
                <w14:textFill>
                  <w14:solidFill>
                    <w14:schemeClr w14:val="tx1"/>
                  </w14:solidFill>
                </w14:textFill>
              </w:rPr>
              <w:t>3</w:t>
            </w:r>
            <w:r>
              <w:rPr>
                <w:rFonts w:eastAsia="仿宋"/>
                <w:bCs/>
                <w:color w:val="000000" w:themeColor="text1"/>
                <w:sz w:val="24"/>
                <w14:textFill>
                  <w14:solidFill>
                    <w14:schemeClr w14:val="tx1"/>
                  </w14:solidFill>
                </w14:textFill>
              </w:rPr>
              <w:t>/d，已于2009年底正式投入运营；三期2万m</w:t>
            </w:r>
            <w:r>
              <w:rPr>
                <w:rFonts w:eastAsia="仿宋"/>
                <w:bCs/>
                <w:color w:val="000000" w:themeColor="text1"/>
                <w:sz w:val="24"/>
                <w:vertAlign w:val="superscript"/>
                <w14:textFill>
                  <w14:solidFill>
                    <w14:schemeClr w14:val="tx1"/>
                  </w14:solidFill>
                </w14:textFill>
              </w:rPr>
              <w:t>3</w:t>
            </w:r>
            <w:r>
              <w:rPr>
                <w:rFonts w:eastAsia="仿宋"/>
                <w:bCs/>
                <w:color w:val="000000" w:themeColor="text1"/>
                <w:sz w:val="24"/>
                <w14:textFill>
                  <w14:solidFill>
                    <w14:schemeClr w14:val="tx1"/>
                  </w14:solidFill>
                </w14:textFill>
              </w:rPr>
              <w:t>/d，已于2014年4月8日取得原金坛市环保局的环评批复。目前金坛区第二污水处理厂处理能力已达6万m</w:t>
            </w:r>
            <w:r>
              <w:rPr>
                <w:rFonts w:eastAsia="仿宋"/>
                <w:bCs/>
                <w:color w:val="000000" w:themeColor="text1"/>
                <w:sz w:val="24"/>
                <w:vertAlign w:val="superscript"/>
                <w14:textFill>
                  <w14:solidFill>
                    <w14:schemeClr w14:val="tx1"/>
                  </w14:solidFill>
                </w14:textFill>
              </w:rPr>
              <w:t>3</w:t>
            </w:r>
            <w:r>
              <w:rPr>
                <w:rFonts w:eastAsia="仿宋"/>
                <w:bCs/>
                <w:color w:val="000000" w:themeColor="text1"/>
                <w:sz w:val="24"/>
                <w14:textFill>
                  <w14:solidFill>
                    <w14:schemeClr w14:val="tx1"/>
                  </w14:solidFill>
                </w14:textFill>
              </w:rPr>
              <w:t>/d，实际污水处理量为5.5万m</w:t>
            </w:r>
            <w:r>
              <w:rPr>
                <w:rFonts w:eastAsia="仿宋"/>
                <w:bCs/>
                <w:color w:val="000000" w:themeColor="text1"/>
                <w:sz w:val="24"/>
                <w:vertAlign w:val="superscript"/>
                <w14:textFill>
                  <w14:solidFill>
                    <w14:schemeClr w14:val="tx1"/>
                  </w14:solidFill>
                </w14:textFill>
              </w:rPr>
              <w:t>3</w:t>
            </w:r>
            <w:r>
              <w:rPr>
                <w:rFonts w:eastAsia="仿宋"/>
                <w:bCs/>
                <w:color w:val="000000" w:themeColor="text1"/>
                <w:sz w:val="24"/>
                <w14:textFill>
                  <w14:solidFill>
                    <w14:schemeClr w14:val="tx1"/>
                  </w14:solidFill>
                </w14:textFill>
              </w:rPr>
              <w:t>/d，尚有0.5万m</w:t>
            </w:r>
            <w:r>
              <w:rPr>
                <w:rFonts w:eastAsia="仿宋"/>
                <w:bCs/>
                <w:color w:val="000000" w:themeColor="text1"/>
                <w:sz w:val="24"/>
                <w:vertAlign w:val="superscript"/>
                <w14:textFill>
                  <w14:solidFill>
                    <w14:schemeClr w14:val="tx1"/>
                  </w14:solidFill>
                </w14:textFill>
              </w:rPr>
              <w:t>3</w:t>
            </w:r>
            <w:r>
              <w:rPr>
                <w:rFonts w:eastAsia="仿宋"/>
                <w:bCs/>
                <w:color w:val="000000" w:themeColor="text1"/>
                <w:sz w:val="24"/>
                <w14:textFill>
                  <w14:solidFill>
                    <w14:schemeClr w14:val="tx1"/>
                  </w14:solidFill>
                </w14:textFill>
              </w:rPr>
              <w:t>/d的余量，且规划建设规模为16万m</w:t>
            </w:r>
            <w:r>
              <w:rPr>
                <w:rFonts w:eastAsia="仿宋"/>
                <w:bCs/>
                <w:color w:val="000000" w:themeColor="text1"/>
                <w:sz w:val="24"/>
                <w:vertAlign w:val="superscript"/>
                <w14:textFill>
                  <w14:solidFill>
                    <w14:schemeClr w14:val="tx1"/>
                  </w14:solidFill>
                </w14:textFill>
              </w:rPr>
              <w:t>3</w:t>
            </w:r>
            <w:r>
              <w:rPr>
                <w:rFonts w:eastAsia="仿宋"/>
                <w:bCs/>
                <w:color w:val="000000" w:themeColor="text1"/>
                <w:sz w:val="24"/>
                <w14:textFill>
                  <w14:solidFill>
                    <w14:schemeClr w14:val="tx1"/>
                  </w14:solidFill>
                </w14:textFill>
              </w:rPr>
              <w:t>/d。</w:t>
            </w:r>
          </w:p>
          <w:p w14:paraId="314C80FE">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本项目实施后，拟接管水量约为4.32 m</w:t>
            </w:r>
            <w:r>
              <w:rPr>
                <w:rFonts w:eastAsia="仿宋"/>
                <w:bCs/>
                <w:color w:val="000000" w:themeColor="text1"/>
                <w:sz w:val="24"/>
                <w:vertAlign w:val="superscript"/>
                <w14:textFill>
                  <w14:solidFill>
                    <w14:schemeClr w14:val="tx1"/>
                  </w14:solidFill>
                </w14:textFill>
              </w:rPr>
              <w:t>3</w:t>
            </w:r>
            <w:r>
              <w:rPr>
                <w:rFonts w:eastAsia="仿宋"/>
                <w:bCs/>
                <w:color w:val="000000" w:themeColor="text1"/>
                <w:sz w:val="24"/>
                <w14:textFill>
                  <w14:solidFill>
                    <w14:schemeClr w14:val="tx1"/>
                  </w14:solidFill>
                </w14:textFill>
              </w:rPr>
              <w:t>/d，占金坛区第二污水处理厂处理余量的比例较小，余量满足本项目接管要求，因此，从水量分析，金坛第二污水处理厂有容量接纳本公司的接管污水。</w:t>
            </w:r>
          </w:p>
          <w:p w14:paraId="5EFD5BE0">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③</w:t>
            </w:r>
            <w:r>
              <w:rPr>
                <w:rFonts w:ascii="仿宋" w:hAnsi="仿宋" w:eastAsia="仿宋"/>
                <w:color w:val="000000" w:themeColor="text1"/>
                <w:sz w:val="24"/>
                <w14:textFill>
                  <w14:solidFill>
                    <w14:schemeClr w14:val="tx1"/>
                  </w14:solidFill>
                </w14:textFill>
              </w:rPr>
              <w:t>接管水质可行性</w:t>
            </w:r>
          </w:p>
          <w:p w14:paraId="38BA84C8">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本项目排放的生活污水接入市政污水管网，最终排入金坛</w:t>
            </w:r>
            <w:r>
              <w:rPr>
                <w:rFonts w:hint="eastAsia" w:ascii="仿宋" w:hAnsi="仿宋" w:eastAsia="仿宋"/>
                <w:color w:val="000000" w:themeColor="text1"/>
                <w:sz w:val="24"/>
                <w14:textFill>
                  <w14:solidFill>
                    <w14:schemeClr w14:val="tx1"/>
                  </w14:solidFill>
                </w14:textFill>
              </w:rPr>
              <w:t>区</w:t>
            </w:r>
            <w:r>
              <w:rPr>
                <w:rFonts w:ascii="仿宋" w:hAnsi="仿宋" w:eastAsia="仿宋"/>
                <w:color w:val="000000" w:themeColor="text1"/>
                <w:sz w:val="24"/>
                <w14:textFill>
                  <w14:solidFill>
                    <w14:schemeClr w14:val="tx1"/>
                  </w14:solidFill>
                </w14:textFill>
              </w:rPr>
              <w:t>第二污水处理厂集中处理，尾水排入尧塘河。</w:t>
            </w:r>
          </w:p>
          <w:p w14:paraId="73BACF06">
            <w:pPr>
              <w:keepNext/>
              <w:spacing w:line="480" w:lineRule="exact"/>
              <w:jc w:val="center"/>
              <w:rPr>
                <w:rFonts w:eastAsia="仿宋"/>
                <w:b/>
                <w:color w:val="000000" w:themeColor="text1"/>
                <w:szCs w:val="21"/>
                <w14:textFill>
                  <w14:solidFill>
                    <w14:schemeClr w14:val="tx1"/>
                  </w14:solidFill>
                </w14:textFill>
              </w:rPr>
            </w:pPr>
          </w:p>
          <w:p w14:paraId="6684AF6A">
            <w:pPr>
              <w:keepNext/>
              <w:spacing w:line="48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表4-18 接管污水水质和污水处理厂接管标准的对比</w:t>
            </w:r>
          </w:p>
          <w:tbl>
            <w:tblPr>
              <w:tblStyle w:val="24"/>
              <w:tblW w:w="49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8"/>
              <w:gridCol w:w="1031"/>
              <w:gridCol w:w="1370"/>
              <w:gridCol w:w="1279"/>
              <w:gridCol w:w="1177"/>
              <w:gridCol w:w="1321"/>
              <w:gridCol w:w="1831"/>
            </w:tblGrid>
            <w:tr w14:paraId="02694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40" w:type="dxa"/>
                  <w:vMerge w:val="restart"/>
                  <w:tcBorders>
                    <w:top w:val="single" w:color="auto" w:sz="4" w:space="0"/>
                    <w:left w:val="single" w:color="auto" w:sz="4" w:space="0"/>
                    <w:bottom w:val="single" w:color="auto" w:sz="4" w:space="0"/>
                    <w:right w:val="single" w:color="auto" w:sz="4" w:space="0"/>
                  </w:tcBorders>
                  <w:vAlign w:val="center"/>
                </w:tcPr>
                <w:p w14:paraId="0B4A6FA5">
                  <w:pPr>
                    <w:autoSpaceDE w:val="0"/>
                    <w:autoSpaceDN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废水来源</w:t>
                  </w:r>
                </w:p>
              </w:tc>
              <w:tc>
                <w:tcPr>
                  <w:tcW w:w="1013" w:type="dxa"/>
                  <w:vMerge w:val="restart"/>
                  <w:tcBorders>
                    <w:top w:val="single" w:color="auto" w:sz="4" w:space="0"/>
                    <w:left w:val="single" w:color="auto" w:sz="4" w:space="0"/>
                    <w:bottom w:val="single" w:color="auto" w:sz="4" w:space="0"/>
                    <w:right w:val="single" w:color="auto" w:sz="4" w:space="0"/>
                  </w:tcBorders>
                  <w:vAlign w:val="center"/>
                </w:tcPr>
                <w:p w14:paraId="41A9C344">
                  <w:pPr>
                    <w:autoSpaceDE w:val="0"/>
                    <w:autoSpaceDN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废水量</w:t>
                  </w:r>
                </w:p>
                <w:p w14:paraId="28B4D5A1">
                  <w:pPr>
                    <w:autoSpaceDE w:val="0"/>
                    <w:autoSpaceDN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w:t>
                  </w:r>
                  <w:r>
                    <w:rPr>
                      <w:rFonts w:eastAsia="仿宋"/>
                      <w:b/>
                      <w:bCs/>
                      <w:color w:val="000000" w:themeColor="text1"/>
                      <w:szCs w:val="21"/>
                      <w14:textFill>
                        <w14:solidFill>
                          <w14:schemeClr w14:val="tx1"/>
                        </w14:solidFill>
                      </w14:textFill>
                    </w:rPr>
                    <w:t>t/a</w:t>
                  </w:r>
                  <w:r>
                    <w:rPr>
                      <w:rFonts w:ascii="仿宋" w:hAnsi="仿宋" w:eastAsia="仿宋"/>
                      <w:b/>
                      <w:bCs/>
                      <w:color w:val="000000" w:themeColor="text1"/>
                      <w:szCs w:val="21"/>
                      <w14:textFill>
                        <w14:solidFill>
                          <w14:schemeClr w14:val="tx1"/>
                        </w14:solidFill>
                      </w14:textFill>
                    </w:rPr>
                    <w:t>）</w:t>
                  </w:r>
                </w:p>
              </w:tc>
              <w:tc>
                <w:tcPr>
                  <w:tcW w:w="3758" w:type="dxa"/>
                  <w:gridSpan w:val="3"/>
                  <w:tcBorders>
                    <w:top w:val="single" w:color="auto" w:sz="4" w:space="0"/>
                    <w:left w:val="single" w:color="auto" w:sz="4" w:space="0"/>
                    <w:bottom w:val="single" w:color="auto" w:sz="4" w:space="0"/>
                    <w:right w:val="single" w:color="auto" w:sz="4" w:space="0"/>
                  </w:tcBorders>
                  <w:vAlign w:val="center"/>
                </w:tcPr>
                <w:p w14:paraId="3C7457BB">
                  <w:pPr>
                    <w:autoSpaceDE w:val="0"/>
                    <w:autoSpaceDN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污染物排放量</w:t>
                  </w:r>
                </w:p>
              </w:tc>
              <w:tc>
                <w:tcPr>
                  <w:tcW w:w="1298" w:type="dxa"/>
                  <w:vMerge w:val="restart"/>
                  <w:tcBorders>
                    <w:top w:val="single" w:color="auto" w:sz="4" w:space="0"/>
                    <w:left w:val="single" w:color="auto" w:sz="4" w:space="0"/>
                    <w:bottom w:val="single" w:color="auto" w:sz="4" w:space="0"/>
                    <w:right w:val="single" w:color="auto" w:sz="4" w:space="0"/>
                  </w:tcBorders>
                  <w:vAlign w:val="center"/>
                </w:tcPr>
                <w:p w14:paraId="56567D65">
                  <w:pPr>
                    <w:autoSpaceDE w:val="0"/>
                    <w:autoSpaceDN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接管浓度限值</w:t>
                  </w:r>
                </w:p>
                <w:p w14:paraId="4F156B13">
                  <w:pPr>
                    <w:autoSpaceDE w:val="0"/>
                    <w:autoSpaceDN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w:t>
                  </w:r>
                  <w:r>
                    <w:rPr>
                      <w:rFonts w:eastAsia="仿宋"/>
                      <w:b/>
                      <w:bCs/>
                      <w:color w:val="000000" w:themeColor="text1"/>
                      <w:szCs w:val="21"/>
                      <w14:textFill>
                        <w14:solidFill>
                          <w14:schemeClr w14:val="tx1"/>
                        </w14:solidFill>
                      </w14:textFill>
                    </w:rPr>
                    <w:t>mg/L</w:t>
                  </w:r>
                  <w:r>
                    <w:rPr>
                      <w:rFonts w:ascii="仿宋" w:hAnsi="仿宋" w:eastAsia="仿宋"/>
                      <w:b/>
                      <w:bCs/>
                      <w:color w:val="000000" w:themeColor="text1"/>
                      <w:szCs w:val="21"/>
                      <w14:textFill>
                        <w14:solidFill>
                          <w14:schemeClr w14:val="tx1"/>
                        </w14:solidFill>
                      </w14:textFill>
                    </w:rPr>
                    <w:t>）</w:t>
                  </w:r>
                </w:p>
              </w:tc>
              <w:tc>
                <w:tcPr>
                  <w:tcW w:w="1799" w:type="dxa"/>
                  <w:vMerge w:val="restart"/>
                  <w:tcBorders>
                    <w:top w:val="single" w:color="auto" w:sz="4" w:space="0"/>
                    <w:left w:val="single" w:color="auto" w:sz="4" w:space="0"/>
                    <w:bottom w:val="single" w:color="auto" w:sz="4" w:space="0"/>
                    <w:right w:val="single" w:color="auto" w:sz="4" w:space="0"/>
                  </w:tcBorders>
                  <w:vAlign w:val="center"/>
                </w:tcPr>
                <w:p w14:paraId="03B99A83">
                  <w:pPr>
                    <w:autoSpaceDE w:val="0"/>
                    <w:autoSpaceDN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排放方式与去向</w:t>
                  </w:r>
                </w:p>
              </w:tc>
            </w:tr>
            <w:tr w14:paraId="40D0A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40" w:type="dxa"/>
                  <w:vMerge w:val="continue"/>
                  <w:tcBorders>
                    <w:top w:val="single" w:color="auto" w:sz="4" w:space="0"/>
                    <w:left w:val="single" w:color="auto" w:sz="4" w:space="0"/>
                    <w:bottom w:val="single" w:color="auto" w:sz="4" w:space="0"/>
                    <w:right w:val="single" w:color="auto" w:sz="4" w:space="0"/>
                  </w:tcBorders>
                  <w:vAlign w:val="center"/>
                </w:tcPr>
                <w:p w14:paraId="1C11A643">
                  <w:pPr>
                    <w:widowControl/>
                    <w:jc w:val="left"/>
                    <w:rPr>
                      <w:rFonts w:eastAsia="仿宋"/>
                      <w:color w:val="000000" w:themeColor="text1"/>
                      <w:szCs w:val="21"/>
                      <w14:textFill>
                        <w14:solidFill>
                          <w14:schemeClr w14:val="tx1"/>
                        </w14:solidFill>
                      </w14:textFill>
                    </w:rPr>
                  </w:pPr>
                </w:p>
              </w:tc>
              <w:tc>
                <w:tcPr>
                  <w:tcW w:w="1013" w:type="dxa"/>
                  <w:vMerge w:val="continue"/>
                  <w:tcBorders>
                    <w:top w:val="single" w:color="auto" w:sz="4" w:space="0"/>
                    <w:left w:val="single" w:color="auto" w:sz="4" w:space="0"/>
                    <w:bottom w:val="single" w:color="auto" w:sz="4" w:space="0"/>
                    <w:right w:val="single" w:color="auto" w:sz="4" w:space="0"/>
                  </w:tcBorders>
                  <w:vAlign w:val="center"/>
                </w:tcPr>
                <w:p w14:paraId="6C242C09">
                  <w:pPr>
                    <w:widowControl/>
                    <w:jc w:val="left"/>
                    <w:rPr>
                      <w:rFonts w:eastAsia="仿宋"/>
                      <w:color w:val="000000" w:themeColor="text1"/>
                      <w:szCs w:val="21"/>
                      <w14:textFill>
                        <w14:solidFill>
                          <w14:schemeClr w14:val="tx1"/>
                        </w14:solidFill>
                      </w14:textFill>
                    </w:rPr>
                  </w:pPr>
                </w:p>
              </w:tc>
              <w:tc>
                <w:tcPr>
                  <w:tcW w:w="1346" w:type="dxa"/>
                  <w:tcBorders>
                    <w:top w:val="single" w:color="auto" w:sz="4" w:space="0"/>
                    <w:left w:val="single" w:color="auto" w:sz="4" w:space="0"/>
                    <w:bottom w:val="single" w:color="auto" w:sz="4" w:space="0"/>
                    <w:right w:val="single" w:color="auto" w:sz="4" w:space="0"/>
                  </w:tcBorders>
                  <w:vAlign w:val="center"/>
                </w:tcPr>
                <w:p w14:paraId="42BA41FE">
                  <w:pPr>
                    <w:autoSpaceDE w:val="0"/>
                    <w:autoSpaceDN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污染物名称</w:t>
                  </w:r>
                </w:p>
              </w:tc>
              <w:tc>
                <w:tcPr>
                  <w:tcW w:w="1256" w:type="dxa"/>
                  <w:tcBorders>
                    <w:top w:val="single" w:color="auto" w:sz="4" w:space="0"/>
                    <w:left w:val="single" w:color="auto" w:sz="4" w:space="0"/>
                    <w:bottom w:val="single" w:color="auto" w:sz="4" w:space="0"/>
                    <w:right w:val="single" w:color="auto" w:sz="4" w:space="0"/>
                  </w:tcBorders>
                  <w:vAlign w:val="center"/>
                </w:tcPr>
                <w:p w14:paraId="7E827653">
                  <w:pPr>
                    <w:autoSpaceDE w:val="0"/>
                    <w:autoSpaceDN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浓度</w:t>
                  </w:r>
                </w:p>
                <w:p w14:paraId="6E02522C">
                  <w:pPr>
                    <w:autoSpaceDE w:val="0"/>
                    <w:autoSpaceDN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w:t>
                  </w:r>
                  <w:r>
                    <w:rPr>
                      <w:rFonts w:eastAsia="仿宋"/>
                      <w:b/>
                      <w:bCs/>
                      <w:color w:val="000000" w:themeColor="text1"/>
                      <w:szCs w:val="21"/>
                      <w14:textFill>
                        <w14:solidFill>
                          <w14:schemeClr w14:val="tx1"/>
                        </w14:solidFill>
                      </w14:textFill>
                    </w:rPr>
                    <w:t>mg/L</w:t>
                  </w:r>
                  <w:r>
                    <w:rPr>
                      <w:rFonts w:ascii="仿宋" w:hAnsi="仿宋" w:eastAsia="仿宋"/>
                      <w:b/>
                      <w:bCs/>
                      <w:color w:val="000000" w:themeColor="text1"/>
                      <w:szCs w:val="21"/>
                      <w14:textFill>
                        <w14:solidFill>
                          <w14:schemeClr w14:val="tx1"/>
                        </w14:solidFill>
                      </w14:textFill>
                    </w:rPr>
                    <w:t>）</w:t>
                  </w:r>
                </w:p>
              </w:tc>
              <w:tc>
                <w:tcPr>
                  <w:tcW w:w="1156" w:type="dxa"/>
                  <w:tcBorders>
                    <w:top w:val="single" w:color="auto" w:sz="4" w:space="0"/>
                    <w:left w:val="single" w:color="auto" w:sz="4" w:space="0"/>
                    <w:bottom w:val="single" w:color="auto" w:sz="4" w:space="0"/>
                    <w:right w:val="single" w:color="auto" w:sz="4" w:space="0"/>
                  </w:tcBorders>
                  <w:vAlign w:val="center"/>
                </w:tcPr>
                <w:p w14:paraId="6A176448">
                  <w:pPr>
                    <w:autoSpaceDE w:val="0"/>
                    <w:autoSpaceDN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排放量</w:t>
                  </w:r>
                </w:p>
                <w:p w14:paraId="1E6F1991">
                  <w:pPr>
                    <w:autoSpaceDE w:val="0"/>
                    <w:autoSpaceDN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w:t>
                  </w:r>
                  <w:r>
                    <w:rPr>
                      <w:rFonts w:eastAsia="仿宋"/>
                      <w:b/>
                      <w:bCs/>
                      <w:color w:val="000000" w:themeColor="text1"/>
                      <w:szCs w:val="21"/>
                      <w14:textFill>
                        <w14:solidFill>
                          <w14:schemeClr w14:val="tx1"/>
                        </w14:solidFill>
                      </w14:textFill>
                    </w:rPr>
                    <w:t>t/a</w:t>
                  </w:r>
                  <w:r>
                    <w:rPr>
                      <w:rFonts w:ascii="仿宋" w:hAnsi="仿宋" w:eastAsia="仿宋"/>
                      <w:b/>
                      <w:bCs/>
                      <w:color w:val="000000" w:themeColor="text1"/>
                      <w:szCs w:val="21"/>
                      <w14:textFill>
                        <w14:solidFill>
                          <w14:schemeClr w14:val="tx1"/>
                        </w14:solidFill>
                      </w14:textFill>
                    </w:rPr>
                    <w:t>）</w:t>
                  </w:r>
                </w:p>
              </w:tc>
              <w:tc>
                <w:tcPr>
                  <w:tcW w:w="1298" w:type="dxa"/>
                  <w:vMerge w:val="continue"/>
                  <w:tcBorders>
                    <w:top w:val="single" w:color="auto" w:sz="4" w:space="0"/>
                    <w:left w:val="single" w:color="auto" w:sz="4" w:space="0"/>
                    <w:bottom w:val="single" w:color="auto" w:sz="4" w:space="0"/>
                    <w:right w:val="single" w:color="auto" w:sz="4" w:space="0"/>
                  </w:tcBorders>
                  <w:vAlign w:val="center"/>
                </w:tcPr>
                <w:p w14:paraId="2734895F">
                  <w:pPr>
                    <w:widowControl/>
                    <w:jc w:val="left"/>
                    <w:rPr>
                      <w:rFonts w:eastAsia="仿宋"/>
                      <w:color w:val="000000" w:themeColor="text1"/>
                      <w:szCs w:val="21"/>
                      <w14:textFill>
                        <w14:solidFill>
                          <w14:schemeClr w14:val="tx1"/>
                        </w14:solidFill>
                      </w14:textFill>
                    </w:rPr>
                  </w:pPr>
                </w:p>
              </w:tc>
              <w:tc>
                <w:tcPr>
                  <w:tcW w:w="1799" w:type="dxa"/>
                  <w:vMerge w:val="continue"/>
                  <w:tcBorders>
                    <w:top w:val="single" w:color="auto" w:sz="4" w:space="0"/>
                    <w:left w:val="single" w:color="auto" w:sz="4" w:space="0"/>
                    <w:bottom w:val="single" w:color="auto" w:sz="4" w:space="0"/>
                    <w:right w:val="single" w:color="auto" w:sz="4" w:space="0"/>
                  </w:tcBorders>
                  <w:vAlign w:val="center"/>
                </w:tcPr>
                <w:p w14:paraId="2586D61C">
                  <w:pPr>
                    <w:widowControl/>
                    <w:jc w:val="left"/>
                    <w:rPr>
                      <w:rFonts w:eastAsia="仿宋"/>
                      <w:color w:val="000000" w:themeColor="text1"/>
                      <w:szCs w:val="21"/>
                      <w14:textFill>
                        <w14:solidFill>
                          <w14:schemeClr w14:val="tx1"/>
                        </w14:solidFill>
                      </w14:textFill>
                    </w:rPr>
                  </w:pPr>
                </w:p>
              </w:tc>
            </w:tr>
            <w:tr w14:paraId="3F7EB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40" w:type="dxa"/>
                  <w:vMerge w:val="restart"/>
                  <w:tcBorders>
                    <w:top w:val="nil"/>
                    <w:left w:val="single" w:color="auto" w:sz="4" w:space="0"/>
                    <w:bottom w:val="single" w:color="auto" w:sz="4" w:space="0"/>
                    <w:right w:val="single" w:color="auto" w:sz="4" w:space="0"/>
                  </w:tcBorders>
                  <w:vAlign w:val="center"/>
                </w:tcPr>
                <w:p w14:paraId="1F8D4432">
                  <w:pPr>
                    <w:autoSpaceDE w:val="0"/>
                    <w:autoSpaceDN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生活污水</w:t>
                  </w:r>
                </w:p>
              </w:tc>
              <w:tc>
                <w:tcPr>
                  <w:tcW w:w="1013" w:type="dxa"/>
                  <w:vMerge w:val="restart"/>
                  <w:tcBorders>
                    <w:top w:val="nil"/>
                    <w:left w:val="single" w:color="auto" w:sz="4" w:space="0"/>
                    <w:bottom w:val="single" w:color="auto" w:sz="4" w:space="0"/>
                    <w:right w:val="single" w:color="auto" w:sz="4" w:space="0"/>
                  </w:tcBorders>
                  <w:vAlign w:val="center"/>
                </w:tcPr>
                <w:p w14:paraId="097DE62B">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1296</w:t>
                  </w:r>
                </w:p>
              </w:tc>
              <w:tc>
                <w:tcPr>
                  <w:tcW w:w="1346" w:type="dxa"/>
                  <w:tcBorders>
                    <w:top w:val="single" w:color="auto" w:sz="4" w:space="0"/>
                    <w:left w:val="single" w:color="auto" w:sz="4" w:space="0"/>
                    <w:bottom w:val="single" w:color="auto" w:sz="4" w:space="0"/>
                    <w:right w:val="single" w:color="auto" w:sz="4" w:space="0"/>
                  </w:tcBorders>
                  <w:vAlign w:val="center"/>
                </w:tcPr>
                <w:p w14:paraId="3DF3B558">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1"/>
                      <w14:textFill>
                        <w14:solidFill>
                          <w14:schemeClr w14:val="tx1"/>
                        </w14:solidFill>
                      </w14:textFill>
                    </w:rPr>
                    <w:t>COD</w:t>
                  </w:r>
                </w:p>
              </w:tc>
              <w:tc>
                <w:tcPr>
                  <w:tcW w:w="1256" w:type="dxa"/>
                  <w:tcBorders>
                    <w:top w:val="single" w:color="auto" w:sz="4" w:space="0"/>
                    <w:left w:val="single" w:color="auto" w:sz="4" w:space="0"/>
                    <w:bottom w:val="single" w:color="auto" w:sz="4" w:space="0"/>
                    <w:right w:val="single" w:color="auto" w:sz="4" w:space="0"/>
                  </w:tcBorders>
                  <w:vAlign w:val="center"/>
                </w:tcPr>
                <w:p w14:paraId="4980D3E0">
                  <w:pPr>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400</w:t>
                  </w:r>
                </w:p>
              </w:tc>
              <w:tc>
                <w:tcPr>
                  <w:tcW w:w="1156" w:type="dxa"/>
                  <w:tcBorders>
                    <w:top w:val="single" w:color="auto" w:sz="4" w:space="0"/>
                    <w:left w:val="single" w:color="auto" w:sz="4" w:space="0"/>
                    <w:bottom w:val="single" w:color="auto" w:sz="4" w:space="0"/>
                    <w:right w:val="single" w:color="auto" w:sz="4" w:space="0"/>
                  </w:tcBorders>
                  <w:vAlign w:val="center"/>
                </w:tcPr>
                <w:p w14:paraId="6E4D0938">
                  <w:pPr>
                    <w:widowControl/>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0.518</w:t>
                  </w:r>
                </w:p>
              </w:tc>
              <w:tc>
                <w:tcPr>
                  <w:tcW w:w="1298" w:type="dxa"/>
                  <w:tcBorders>
                    <w:top w:val="single" w:color="auto" w:sz="4" w:space="0"/>
                    <w:left w:val="single" w:color="auto" w:sz="4" w:space="0"/>
                    <w:bottom w:val="single" w:color="auto" w:sz="4" w:space="0"/>
                    <w:right w:val="single" w:color="auto" w:sz="4" w:space="0"/>
                  </w:tcBorders>
                  <w:vAlign w:val="center"/>
                </w:tcPr>
                <w:p w14:paraId="1C67A92D">
                  <w:pPr>
                    <w:autoSpaceDE w:val="0"/>
                    <w:autoSpaceDN w:val="0"/>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500</w:t>
                  </w:r>
                </w:p>
              </w:tc>
              <w:tc>
                <w:tcPr>
                  <w:tcW w:w="1799" w:type="dxa"/>
                  <w:vMerge w:val="restart"/>
                  <w:tcBorders>
                    <w:top w:val="nil"/>
                    <w:left w:val="single" w:color="auto" w:sz="4" w:space="0"/>
                    <w:bottom w:val="single" w:color="auto" w:sz="4" w:space="0"/>
                    <w:right w:val="single" w:color="auto" w:sz="4" w:space="0"/>
                  </w:tcBorders>
                  <w:vAlign w:val="center"/>
                </w:tcPr>
                <w:p w14:paraId="4FD1D254">
                  <w:pPr>
                    <w:autoSpaceDE w:val="0"/>
                    <w:autoSpaceDN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接管进入金坛</w:t>
                  </w:r>
                  <w:r>
                    <w:rPr>
                      <w:rFonts w:hint="eastAsia" w:ascii="仿宋" w:hAnsi="仿宋" w:eastAsia="仿宋"/>
                      <w:color w:val="000000" w:themeColor="text1"/>
                      <w:szCs w:val="21"/>
                      <w14:textFill>
                        <w14:solidFill>
                          <w14:schemeClr w14:val="tx1"/>
                        </w14:solidFill>
                      </w14:textFill>
                    </w:rPr>
                    <w:t>区</w:t>
                  </w:r>
                  <w:r>
                    <w:rPr>
                      <w:rFonts w:ascii="仿宋" w:hAnsi="仿宋" w:eastAsia="仿宋"/>
                      <w:color w:val="000000" w:themeColor="text1"/>
                      <w:szCs w:val="21"/>
                      <w14:textFill>
                        <w14:solidFill>
                          <w14:schemeClr w14:val="tx1"/>
                        </w14:solidFill>
                      </w14:textFill>
                    </w:rPr>
                    <w:t>第二污水处理厂</w:t>
                  </w:r>
                </w:p>
              </w:tc>
            </w:tr>
            <w:tr w14:paraId="2072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40" w:type="dxa"/>
                  <w:vMerge w:val="continue"/>
                  <w:tcBorders>
                    <w:top w:val="nil"/>
                    <w:left w:val="single" w:color="auto" w:sz="4" w:space="0"/>
                    <w:bottom w:val="single" w:color="auto" w:sz="4" w:space="0"/>
                    <w:right w:val="single" w:color="auto" w:sz="4" w:space="0"/>
                  </w:tcBorders>
                  <w:vAlign w:val="center"/>
                </w:tcPr>
                <w:p w14:paraId="7B1C2E19">
                  <w:pPr>
                    <w:widowControl/>
                    <w:jc w:val="left"/>
                    <w:rPr>
                      <w:rFonts w:eastAsia="仿宋"/>
                      <w:color w:val="000000" w:themeColor="text1"/>
                      <w:szCs w:val="21"/>
                      <w14:textFill>
                        <w14:solidFill>
                          <w14:schemeClr w14:val="tx1"/>
                        </w14:solidFill>
                      </w14:textFill>
                    </w:rPr>
                  </w:pPr>
                </w:p>
              </w:tc>
              <w:tc>
                <w:tcPr>
                  <w:tcW w:w="1013" w:type="dxa"/>
                  <w:vMerge w:val="continue"/>
                  <w:tcBorders>
                    <w:top w:val="nil"/>
                    <w:left w:val="single" w:color="auto" w:sz="4" w:space="0"/>
                    <w:bottom w:val="single" w:color="auto" w:sz="4" w:space="0"/>
                    <w:right w:val="single" w:color="auto" w:sz="4" w:space="0"/>
                  </w:tcBorders>
                  <w:vAlign w:val="center"/>
                </w:tcPr>
                <w:p w14:paraId="0321798F">
                  <w:pPr>
                    <w:widowControl/>
                    <w:jc w:val="left"/>
                    <w:rPr>
                      <w:rFonts w:eastAsia="仿宋"/>
                      <w:color w:val="000000" w:themeColor="text1"/>
                      <w:szCs w:val="21"/>
                      <w14:textFill>
                        <w14:solidFill>
                          <w14:schemeClr w14:val="tx1"/>
                        </w14:solidFill>
                      </w14:textFill>
                    </w:rPr>
                  </w:pPr>
                </w:p>
              </w:tc>
              <w:tc>
                <w:tcPr>
                  <w:tcW w:w="1346" w:type="dxa"/>
                  <w:tcBorders>
                    <w:top w:val="single" w:color="auto" w:sz="4" w:space="0"/>
                    <w:left w:val="single" w:color="auto" w:sz="4" w:space="0"/>
                    <w:bottom w:val="single" w:color="auto" w:sz="4" w:space="0"/>
                    <w:right w:val="single" w:color="auto" w:sz="4" w:space="0"/>
                  </w:tcBorders>
                  <w:vAlign w:val="center"/>
                </w:tcPr>
                <w:p w14:paraId="36411BD2">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1"/>
                      <w14:textFill>
                        <w14:solidFill>
                          <w14:schemeClr w14:val="tx1"/>
                        </w14:solidFill>
                      </w14:textFill>
                    </w:rPr>
                    <w:t>SS</w:t>
                  </w:r>
                </w:p>
              </w:tc>
              <w:tc>
                <w:tcPr>
                  <w:tcW w:w="1256" w:type="dxa"/>
                  <w:tcBorders>
                    <w:top w:val="single" w:color="auto" w:sz="4" w:space="0"/>
                    <w:left w:val="single" w:color="auto" w:sz="4" w:space="0"/>
                    <w:bottom w:val="single" w:color="auto" w:sz="4" w:space="0"/>
                    <w:right w:val="single" w:color="auto" w:sz="4" w:space="0"/>
                  </w:tcBorders>
                  <w:vAlign w:val="center"/>
                </w:tcPr>
                <w:p w14:paraId="7AD51BF5">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200</w:t>
                  </w:r>
                </w:p>
              </w:tc>
              <w:tc>
                <w:tcPr>
                  <w:tcW w:w="1156" w:type="dxa"/>
                  <w:tcBorders>
                    <w:top w:val="single" w:color="auto" w:sz="4" w:space="0"/>
                    <w:left w:val="single" w:color="auto" w:sz="4" w:space="0"/>
                    <w:bottom w:val="single" w:color="auto" w:sz="4" w:space="0"/>
                    <w:right w:val="single" w:color="auto" w:sz="4" w:space="0"/>
                  </w:tcBorders>
                  <w:vAlign w:val="center"/>
                </w:tcPr>
                <w:p w14:paraId="5C9E8096">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0.259</w:t>
                  </w:r>
                </w:p>
              </w:tc>
              <w:tc>
                <w:tcPr>
                  <w:tcW w:w="1298" w:type="dxa"/>
                  <w:tcBorders>
                    <w:top w:val="single" w:color="auto" w:sz="4" w:space="0"/>
                    <w:left w:val="single" w:color="auto" w:sz="4" w:space="0"/>
                    <w:bottom w:val="single" w:color="auto" w:sz="4" w:space="0"/>
                    <w:right w:val="single" w:color="auto" w:sz="4" w:space="0"/>
                  </w:tcBorders>
                  <w:vAlign w:val="center"/>
                </w:tcPr>
                <w:p w14:paraId="47B7DAA0">
                  <w:pPr>
                    <w:autoSpaceDE w:val="0"/>
                    <w:autoSpaceDN w:val="0"/>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250</w:t>
                  </w:r>
                </w:p>
              </w:tc>
              <w:tc>
                <w:tcPr>
                  <w:tcW w:w="1799" w:type="dxa"/>
                  <w:vMerge w:val="continue"/>
                  <w:tcBorders>
                    <w:top w:val="nil"/>
                    <w:left w:val="single" w:color="auto" w:sz="4" w:space="0"/>
                    <w:bottom w:val="single" w:color="auto" w:sz="4" w:space="0"/>
                    <w:right w:val="single" w:color="auto" w:sz="4" w:space="0"/>
                  </w:tcBorders>
                  <w:vAlign w:val="center"/>
                </w:tcPr>
                <w:p w14:paraId="734B07AF">
                  <w:pPr>
                    <w:widowControl/>
                    <w:jc w:val="left"/>
                    <w:rPr>
                      <w:rFonts w:eastAsia="仿宋"/>
                      <w:color w:val="000000" w:themeColor="text1"/>
                      <w:szCs w:val="21"/>
                      <w14:textFill>
                        <w14:solidFill>
                          <w14:schemeClr w14:val="tx1"/>
                        </w14:solidFill>
                      </w14:textFill>
                    </w:rPr>
                  </w:pPr>
                </w:p>
              </w:tc>
            </w:tr>
            <w:tr w14:paraId="2624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40" w:type="dxa"/>
                  <w:vMerge w:val="continue"/>
                  <w:tcBorders>
                    <w:top w:val="nil"/>
                    <w:left w:val="single" w:color="auto" w:sz="4" w:space="0"/>
                    <w:bottom w:val="single" w:color="auto" w:sz="4" w:space="0"/>
                    <w:right w:val="single" w:color="auto" w:sz="4" w:space="0"/>
                  </w:tcBorders>
                  <w:vAlign w:val="center"/>
                </w:tcPr>
                <w:p w14:paraId="6DC01A5D">
                  <w:pPr>
                    <w:widowControl/>
                    <w:jc w:val="left"/>
                    <w:rPr>
                      <w:rFonts w:eastAsia="仿宋"/>
                      <w:color w:val="000000" w:themeColor="text1"/>
                      <w:szCs w:val="21"/>
                      <w14:textFill>
                        <w14:solidFill>
                          <w14:schemeClr w14:val="tx1"/>
                        </w14:solidFill>
                      </w14:textFill>
                    </w:rPr>
                  </w:pPr>
                </w:p>
              </w:tc>
              <w:tc>
                <w:tcPr>
                  <w:tcW w:w="1013" w:type="dxa"/>
                  <w:vMerge w:val="continue"/>
                  <w:tcBorders>
                    <w:top w:val="nil"/>
                    <w:left w:val="single" w:color="auto" w:sz="4" w:space="0"/>
                    <w:bottom w:val="single" w:color="auto" w:sz="4" w:space="0"/>
                    <w:right w:val="single" w:color="auto" w:sz="4" w:space="0"/>
                  </w:tcBorders>
                  <w:vAlign w:val="center"/>
                </w:tcPr>
                <w:p w14:paraId="7DC065F5">
                  <w:pPr>
                    <w:widowControl/>
                    <w:jc w:val="left"/>
                    <w:rPr>
                      <w:rFonts w:eastAsia="仿宋"/>
                      <w:color w:val="000000" w:themeColor="text1"/>
                      <w:szCs w:val="21"/>
                      <w14:textFill>
                        <w14:solidFill>
                          <w14:schemeClr w14:val="tx1"/>
                        </w14:solidFill>
                      </w14:textFill>
                    </w:rPr>
                  </w:pPr>
                </w:p>
              </w:tc>
              <w:tc>
                <w:tcPr>
                  <w:tcW w:w="1346" w:type="dxa"/>
                  <w:tcBorders>
                    <w:top w:val="single" w:color="auto" w:sz="4" w:space="0"/>
                    <w:left w:val="single" w:color="auto" w:sz="4" w:space="0"/>
                    <w:bottom w:val="single" w:color="auto" w:sz="4" w:space="0"/>
                    <w:right w:val="single" w:color="auto" w:sz="4" w:space="0"/>
                  </w:tcBorders>
                  <w:vAlign w:val="center"/>
                </w:tcPr>
                <w:p w14:paraId="591451BA">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1"/>
                      <w14:textFill>
                        <w14:solidFill>
                          <w14:schemeClr w14:val="tx1"/>
                        </w14:solidFill>
                      </w14:textFill>
                    </w:rPr>
                    <w:t>NH</w:t>
                  </w:r>
                  <w:r>
                    <w:rPr>
                      <w:rFonts w:eastAsia="仿宋"/>
                      <w:color w:val="000000" w:themeColor="text1"/>
                      <w:szCs w:val="21"/>
                      <w:vertAlign w:val="subscript"/>
                      <w14:textFill>
                        <w14:solidFill>
                          <w14:schemeClr w14:val="tx1"/>
                        </w14:solidFill>
                      </w14:textFill>
                    </w:rPr>
                    <w:t>3</w:t>
                  </w:r>
                  <w:r>
                    <w:rPr>
                      <w:rFonts w:eastAsia="仿宋"/>
                      <w:color w:val="000000" w:themeColor="text1"/>
                      <w:szCs w:val="21"/>
                      <w14:textFill>
                        <w14:solidFill>
                          <w14:schemeClr w14:val="tx1"/>
                        </w14:solidFill>
                      </w14:textFill>
                    </w:rPr>
                    <w:t>-N</w:t>
                  </w:r>
                </w:p>
              </w:tc>
              <w:tc>
                <w:tcPr>
                  <w:tcW w:w="1256" w:type="dxa"/>
                  <w:tcBorders>
                    <w:top w:val="single" w:color="auto" w:sz="4" w:space="0"/>
                    <w:left w:val="single" w:color="auto" w:sz="4" w:space="0"/>
                    <w:bottom w:val="single" w:color="auto" w:sz="4" w:space="0"/>
                    <w:right w:val="single" w:color="auto" w:sz="4" w:space="0"/>
                  </w:tcBorders>
                  <w:vAlign w:val="center"/>
                </w:tcPr>
                <w:p w14:paraId="7B9031CC">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30</w:t>
                  </w:r>
                </w:p>
              </w:tc>
              <w:tc>
                <w:tcPr>
                  <w:tcW w:w="1156" w:type="dxa"/>
                  <w:tcBorders>
                    <w:top w:val="single" w:color="auto" w:sz="4" w:space="0"/>
                    <w:left w:val="single" w:color="auto" w:sz="4" w:space="0"/>
                    <w:bottom w:val="single" w:color="auto" w:sz="4" w:space="0"/>
                    <w:right w:val="single" w:color="auto" w:sz="4" w:space="0"/>
                  </w:tcBorders>
                  <w:vAlign w:val="center"/>
                </w:tcPr>
                <w:p w14:paraId="65D3482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0.039</w:t>
                  </w:r>
                </w:p>
              </w:tc>
              <w:tc>
                <w:tcPr>
                  <w:tcW w:w="1298" w:type="dxa"/>
                  <w:tcBorders>
                    <w:top w:val="single" w:color="auto" w:sz="4" w:space="0"/>
                    <w:left w:val="single" w:color="auto" w:sz="4" w:space="0"/>
                    <w:bottom w:val="single" w:color="auto" w:sz="4" w:space="0"/>
                    <w:right w:val="single" w:color="auto" w:sz="4" w:space="0"/>
                  </w:tcBorders>
                  <w:vAlign w:val="center"/>
                </w:tcPr>
                <w:p w14:paraId="758419D8">
                  <w:pPr>
                    <w:autoSpaceDE w:val="0"/>
                    <w:autoSpaceDN w:val="0"/>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35</w:t>
                  </w:r>
                </w:p>
              </w:tc>
              <w:tc>
                <w:tcPr>
                  <w:tcW w:w="1799" w:type="dxa"/>
                  <w:vMerge w:val="continue"/>
                  <w:tcBorders>
                    <w:top w:val="nil"/>
                    <w:left w:val="single" w:color="auto" w:sz="4" w:space="0"/>
                    <w:bottom w:val="single" w:color="auto" w:sz="4" w:space="0"/>
                    <w:right w:val="single" w:color="auto" w:sz="4" w:space="0"/>
                  </w:tcBorders>
                  <w:vAlign w:val="center"/>
                </w:tcPr>
                <w:p w14:paraId="67E06236">
                  <w:pPr>
                    <w:widowControl/>
                    <w:jc w:val="left"/>
                    <w:rPr>
                      <w:rFonts w:eastAsia="仿宋"/>
                      <w:color w:val="000000" w:themeColor="text1"/>
                      <w:szCs w:val="21"/>
                      <w14:textFill>
                        <w14:solidFill>
                          <w14:schemeClr w14:val="tx1"/>
                        </w14:solidFill>
                      </w14:textFill>
                    </w:rPr>
                  </w:pPr>
                </w:p>
              </w:tc>
            </w:tr>
            <w:tr w14:paraId="3E75A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40" w:type="dxa"/>
                  <w:vMerge w:val="continue"/>
                  <w:tcBorders>
                    <w:top w:val="nil"/>
                    <w:left w:val="single" w:color="auto" w:sz="4" w:space="0"/>
                    <w:bottom w:val="single" w:color="auto" w:sz="4" w:space="0"/>
                    <w:right w:val="single" w:color="auto" w:sz="4" w:space="0"/>
                  </w:tcBorders>
                  <w:vAlign w:val="center"/>
                </w:tcPr>
                <w:p w14:paraId="65B8BA23">
                  <w:pPr>
                    <w:widowControl/>
                    <w:jc w:val="left"/>
                    <w:rPr>
                      <w:rFonts w:eastAsia="仿宋"/>
                      <w:color w:val="000000" w:themeColor="text1"/>
                      <w:szCs w:val="21"/>
                      <w14:textFill>
                        <w14:solidFill>
                          <w14:schemeClr w14:val="tx1"/>
                        </w14:solidFill>
                      </w14:textFill>
                    </w:rPr>
                  </w:pPr>
                </w:p>
              </w:tc>
              <w:tc>
                <w:tcPr>
                  <w:tcW w:w="1013" w:type="dxa"/>
                  <w:vMerge w:val="continue"/>
                  <w:tcBorders>
                    <w:top w:val="nil"/>
                    <w:left w:val="single" w:color="auto" w:sz="4" w:space="0"/>
                    <w:bottom w:val="single" w:color="auto" w:sz="4" w:space="0"/>
                    <w:right w:val="single" w:color="auto" w:sz="4" w:space="0"/>
                  </w:tcBorders>
                  <w:vAlign w:val="center"/>
                </w:tcPr>
                <w:p w14:paraId="7AC9B27E">
                  <w:pPr>
                    <w:widowControl/>
                    <w:jc w:val="left"/>
                    <w:rPr>
                      <w:rFonts w:eastAsia="仿宋"/>
                      <w:color w:val="000000" w:themeColor="text1"/>
                      <w:szCs w:val="21"/>
                      <w14:textFill>
                        <w14:solidFill>
                          <w14:schemeClr w14:val="tx1"/>
                        </w14:solidFill>
                      </w14:textFill>
                    </w:rPr>
                  </w:pPr>
                </w:p>
              </w:tc>
              <w:tc>
                <w:tcPr>
                  <w:tcW w:w="1346" w:type="dxa"/>
                  <w:tcBorders>
                    <w:top w:val="single" w:color="auto" w:sz="4" w:space="0"/>
                    <w:left w:val="single" w:color="auto" w:sz="4" w:space="0"/>
                    <w:bottom w:val="single" w:color="auto" w:sz="4" w:space="0"/>
                    <w:right w:val="single" w:color="auto" w:sz="4" w:space="0"/>
                  </w:tcBorders>
                  <w:vAlign w:val="center"/>
                </w:tcPr>
                <w:p w14:paraId="26D18D8D">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1"/>
                      <w14:textFill>
                        <w14:solidFill>
                          <w14:schemeClr w14:val="tx1"/>
                        </w14:solidFill>
                      </w14:textFill>
                    </w:rPr>
                    <w:t>TP</w:t>
                  </w:r>
                </w:p>
              </w:tc>
              <w:tc>
                <w:tcPr>
                  <w:tcW w:w="1256" w:type="dxa"/>
                  <w:tcBorders>
                    <w:top w:val="single" w:color="auto" w:sz="4" w:space="0"/>
                    <w:left w:val="single" w:color="auto" w:sz="4" w:space="0"/>
                    <w:bottom w:val="single" w:color="auto" w:sz="4" w:space="0"/>
                    <w:right w:val="single" w:color="auto" w:sz="4" w:space="0"/>
                  </w:tcBorders>
                  <w:vAlign w:val="center"/>
                </w:tcPr>
                <w:p w14:paraId="503024C7">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1156" w:type="dxa"/>
                  <w:tcBorders>
                    <w:top w:val="single" w:color="auto" w:sz="4" w:space="0"/>
                    <w:left w:val="single" w:color="auto" w:sz="4" w:space="0"/>
                    <w:bottom w:val="single" w:color="auto" w:sz="4" w:space="0"/>
                    <w:right w:val="single" w:color="auto" w:sz="4" w:space="0"/>
                  </w:tcBorders>
                  <w:vAlign w:val="center"/>
                </w:tcPr>
                <w:p w14:paraId="61FFB5D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0.004</w:t>
                  </w:r>
                </w:p>
              </w:tc>
              <w:tc>
                <w:tcPr>
                  <w:tcW w:w="1298" w:type="dxa"/>
                  <w:tcBorders>
                    <w:top w:val="single" w:color="auto" w:sz="4" w:space="0"/>
                    <w:left w:val="single" w:color="auto" w:sz="4" w:space="0"/>
                    <w:bottom w:val="single" w:color="auto" w:sz="4" w:space="0"/>
                    <w:right w:val="single" w:color="auto" w:sz="4" w:space="0"/>
                  </w:tcBorders>
                  <w:vAlign w:val="center"/>
                </w:tcPr>
                <w:p w14:paraId="29F0DBBE">
                  <w:pPr>
                    <w:autoSpaceDE w:val="0"/>
                    <w:autoSpaceDN w:val="0"/>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1799" w:type="dxa"/>
                  <w:vMerge w:val="continue"/>
                  <w:tcBorders>
                    <w:top w:val="nil"/>
                    <w:left w:val="single" w:color="auto" w:sz="4" w:space="0"/>
                    <w:bottom w:val="single" w:color="auto" w:sz="4" w:space="0"/>
                    <w:right w:val="single" w:color="auto" w:sz="4" w:space="0"/>
                  </w:tcBorders>
                  <w:vAlign w:val="center"/>
                </w:tcPr>
                <w:p w14:paraId="182AD68D">
                  <w:pPr>
                    <w:widowControl/>
                    <w:jc w:val="left"/>
                    <w:rPr>
                      <w:rFonts w:eastAsia="仿宋"/>
                      <w:color w:val="000000" w:themeColor="text1"/>
                      <w:szCs w:val="21"/>
                      <w14:textFill>
                        <w14:solidFill>
                          <w14:schemeClr w14:val="tx1"/>
                        </w14:solidFill>
                      </w14:textFill>
                    </w:rPr>
                  </w:pPr>
                </w:p>
              </w:tc>
            </w:tr>
            <w:tr w14:paraId="19C33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40" w:type="dxa"/>
                  <w:vMerge w:val="continue"/>
                  <w:tcBorders>
                    <w:top w:val="nil"/>
                    <w:left w:val="single" w:color="auto" w:sz="4" w:space="0"/>
                    <w:bottom w:val="single" w:color="auto" w:sz="4" w:space="0"/>
                    <w:right w:val="single" w:color="auto" w:sz="4" w:space="0"/>
                  </w:tcBorders>
                  <w:vAlign w:val="center"/>
                </w:tcPr>
                <w:p w14:paraId="419A96E7">
                  <w:pPr>
                    <w:widowControl/>
                    <w:jc w:val="left"/>
                    <w:rPr>
                      <w:rFonts w:eastAsia="仿宋"/>
                      <w:color w:val="000000" w:themeColor="text1"/>
                      <w:szCs w:val="21"/>
                      <w14:textFill>
                        <w14:solidFill>
                          <w14:schemeClr w14:val="tx1"/>
                        </w14:solidFill>
                      </w14:textFill>
                    </w:rPr>
                  </w:pPr>
                </w:p>
              </w:tc>
              <w:tc>
                <w:tcPr>
                  <w:tcW w:w="1013" w:type="dxa"/>
                  <w:vMerge w:val="continue"/>
                  <w:tcBorders>
                    <w:top w:val="nil"/>
                    <w:left w:val="single" w:color="auto" w:sz="4" w:space="0"/>
                    <w:bottom w:val="single" w:color="auto" w:sz="4" w:space="0"/>
                    <w:right w:val="single" w:color="auto" w:sz="4" w:space="0"/>
                  </w:tcBorders>
                  <w:vAlign w:val="center"/>
                </w:tcPr>
                <w:p w14:paraId="629BFE4C">
                  <w:pPr>
                    <w:widowControl/>
                    <w:jc w:val="left"/>
                    <w:rPr>
                      <w:rFonts w:eastAsia="仿宋"/>
                      <w:color w:val="000000" w:themeColor="text1"/>
                      <w:szCs w:val="21"/>
                      <w14:textFill>
                        <w14:solidFill>
                          <w14:schemeClr w14:val="tx1"/>
                        </w14:solidFill>
                      </w14:textFill>
                    </w:rPr>
                  </w:pPr>
                </w:p>
              </w:tc>
              <w:tc>
                <w:tcPr>
                  <w:tcW w:w="1346" w:type="dxa"/>
                  <w:tcBorders>
                    <w:top w:val="single" w:color="auto" w:sz="4" w:space="0"/>
                    <w:left w:val="single" w:color="auto" w:sz="4" w:space="0"/>
                    <w:bottom w:val="single" w:color="auto" w:sz="4" w:space="0"/>
                    <w:right w:val="single" w:color="auto" w:sz="4" w:space="0"/>
                  </w:tcBorders>
                  <w:vAlign w:val="center"/>
                </w:tcPr>
                <w:p w14:paraId="15779668">
                  <w:pPr>
                    <w:widowControl/>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TN</w:t>
                  </w:r>
                </w:p>
              </w:tc>
              <w:tc>
                <w:tcPr>
                  <w:tcW w:w="1256" w:type="dxa"/>
                  <w:tcBorders>
                    <w:top w:val="single" w:color="auto" w:sz="4" w:space="0"/>
                    <w:left w:val="single" w:color="auto" w:sz="4" w:space="0"/>
                    <w:bottom w:val="single" w:color="auto" w:sz="4" w:space="0"/>
                    <w:right w:val="single" w:color="auto" w:sz="4" w:space="0"/>
                  </w:tcBorders>
                  <w:vAlign w:val="center"/>
                </w:tcPr>
                <w:p w14:paraId="27D1E3BB">
                  <w:pPr>
                    <w:widowControl/>
                    <w:autoSpaceDE w:val="0"/>
                    <w:autoSpaceDN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45</w:t>
                  </w:r>
                </w:p>
              </w:tc>
              <w:tc>
                <w:tcPr>
                  <w:tcW w:w="1156" w:type="dxa"/>
                  <w:tcBorders>
                    <w:top w:val="single" w:color="auto" w:sz="4" w:space="0"/>
                    <w:left w:val="single" w:color="auto" w:sz="4" w:space="0"/>
                    <w:bottom w:val="single" w:color="auto" w:sz="4" w:space="0"/>
                    <w:right w:val="single" w:color="auto" w:sz="4" w:space="0"/>
                  </w:tcBorders>
                  <w:vAlign w:val="center"/>
                </w:tcPr>
                <w:p w14:paraId="3A1A4F81">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0.058</w:t>
                  </w:r>
                </w:p>
              </w:tc>
              <w:tc>
                <w:tcPr>
                  <w:tcW w:w="1298" w:type="dxa"/>
                  <w:tcBorders>
                    <w:top w:val="single" w:color="auto" w:sz="4" w:space="0"/>
                    <w:left w:val="single" w:color="auto" w:sz="4" w:space="0"/>
                    <w:bottom w:val="single" w:color="auto" w:sz="4" w:space="0"/>
                    <w:right w:val="single" w:color="auto" w:sz="4" w:space="0"/>
                  </w:tcBorders>
                  <w:vAlign w:val="center"/>
                </w:tcPr>
                <w:p w14:paraId="1E68E826">
                  <w:pPr>
                    <w:autoSpaceDE w:val="0"/>
                    <w:autoSpaceDN w:val="0"/>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w:t>
                  </w:r>
                </w:p>
              </w:tc>
              <w:tc>
                <w:tcPr>
                  <w:tcW w:w="1799" w:type="dxa"/>
                  <w:vMerge w:val="continue"/>
                  <w:tcBorders>
                    <w:top w:val="nil"/>
                    <w:left w:val="single" w:color="auto" w:sz="4" w:space="0"/>
                    <w:bottom w:val="single" w:color="auto" w:sz="4" w:space="0"/>
                    <w:right w:val="single" w:color="auto" w:sz="4" w:space="0"/>
                  </w:tcBorders>
                  <w:vAlign w:val="center"/>
                </w:tcPr>
                <w:p w14:paraId="399EBCF1">
                  <w:pPr>
                    <w:widowControl/>
                    <w:jc w:val="left"/>
                    <w:rPr>
                      <w:rFonts w:eastAsia="仿宋"/>
                      <w:color w:val="000000" w:themeColor="text1"/>
                      <w:szCs w:val="21"/>
                      <w14:textFill>
                        <w14:solidFill>
                          <w14:schemeClr w14:val="tx1"/>
                        </w14:solidFill>
                      </w14:textFill>
                    </w:rPr>
                  </w:pPr>
                </w:p>
              </w:tc>
            </w:tr>
          </w:tbl>
          <w:p w14:paraId="718D358D">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由上表可得，本项目接管排放的废水中主要污染物浓度均能达到金坛第二污水处理厂接管标准，不会对污水处理厂运行产生冲击负荷。因此，本项目</w:t>
            </w:r>
            <w:r>
              <w:rPr>
                <w:rFonts w:hint="eastAsia" w:ascii="仿宋" w:hAnsi="仿宋" w:eastAsia="仿宋"/>
                <w:color w:val="000000" w:themeColor="text1"/>
                <w:sz w:val="24"/>
                <w14:textFill>
                  <w14:solidFill>
                    <w14:schemeClr w14:val="tx1"/>
                  </w14:solidFill>
                </w14:textFill>
              </w:rPr>
              <w:t>生活污水</w:t>
            </w:r>
            <w:r>
              <w:rPr>
                <w:rFonts w:ascii="仿宋" w:hAnsi="仿宋" w:eastAsia="仿宋"/>
                <w:color w:val="000000" w:themeColor="text1"/>
                <w:sz w:val="24"/>
                <w14:textFill>
                  <w14:solidFill>
                    <w14:schemeClr w14:val="tx1"/>
                  </w14:solidFill>
                </w14:textFill>
              </w:rPr>
              <w:t>接入金坛第二污水处理厂处理从水质方面分析完全可行。</w:t>
            </w:r>
          </w:p>
          <w:p w14:paraId="514C5862">
            <w:pPr>
              <w:spacing w:line="480" w:lineRule="exact"/>
              <w:ind w:firstLine="480" w:firstLineChars="200"/>
              <w:rPr>
                <w:color w:val="000000" w:themeColor="text1"/>
                <w:szCs w:val="21"/>
                <w14:textFill>
                  <w14:solidFill>
                    <w14:schemeClr w14:val="tx1"/>
                  </w14:solidFill>
                </w14:textFill>
              </w:rPr>
            </w:pPr>
            <w:r>
              <w:rPr>
                <w:rFonts w:ascii="仿宋" w:hAnsi="仿宋" w:eastAsia="仿宋"/>
                <w:color w:val="000000" w:themeColor="text1"/>
                <w:sz w:val="24"/>
                <w14:textFill>
                  <w14:solidFill>
                    <w14:schemeClr w14:val="tx1"/>
                  </w14:solidFill>
                </w14:textFill>
              </w:rPr>
              <w:t>综上所述，不论从接管时间、处理工艺、水质以及处理规模来看，本项目投产后</w:t>
            </w:r>
            <w:r>
              <w:rPr>
                <w:rFonts w:hint="eastAsia" w:ascii="仿宋" w:hAnsi="仿宋" w:eastAsia="仿宋"/>
                <w:color w:val="000000" w:themeColor="text1"/>
                <w:sz w:val="24"/>
                <w14:textFill>
                  <w14:solidFill>
                    <w14:schemeClr w14:val="tx1"/>
                  </w14:solidFill>
                </w14:textFill>
              </w:rPr>
              <w:t>生活污水</w:t>
            </w:r>
            <w:r>
              <w:rPr>
                <w:rFonts w:ascii="仿宋" w:hAnsi="仿宋" w:eastAsia="仿宋"/>
                <w:color w:val="000000" w:themeColor="text1"/>
                <w:sz w:val="24"/>
                <w14:textFill>
                  <w14:solidFill>
                    <w14:schemeClr w14:val="tx1"/>
                  </w14:solidFill>
                </w14:textFill>
              </w:rPr>
              <w:t>接入金坛第二污水处理厂集中处理是可行的。</w:t>
            </w:r>
          </w:p>
          <w:p w14:paraId="78E792AC">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3、污染物排放分析</w:t>
            </w:r>
          </w:p>
          <w:p w14:paraId="66F2BFFA">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（1）排放基本信息</w:t>
            </w:r>
          </w:p>
          <w:p w14:paraId="09BBBE74">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根据《环境影响评价技术导则 地表水环境》（HJ/T2.3-2018）相关规定，本项目地表水评价工作等级参照三级B进行。“10.2 需明确给出污染源排放量核算结果，填写建设项目污染物排放信息表。”具体信息见下表。</w:t>
            </w:r>
          </w:p>
          <w:p w14:paraId="02861973">
            <w:pPr>
              <w:tabs>
                <w:tab w:val="left" w:pos="2130"/>
              </w:tabs>
              <w:spacing w:line="500" w:lineRule="exact"/>
              <w:ind w:firstLine="480" w:firstLineChars="200"/>
              <w:rPr>
                <w:rFonts w:eastAsia="仿宋"/>
                <w:color w:val="000000" w:themeColor="text1"/>
                <w:sz w:val="24"/>
                <w14:textFill>
                  <w14:solidFill>
                    <w14:schemeClr w14:val="tx1"/>
                  </w14:solidFill>
                </w14:textFill>
              </w:rPr>
            </w:pPr>
          </w:p>
          <w:p w14:paraId="6D8AF1D1">
            <w:pPr>
              <w:tabs>
                <w:tab w:val="left" w:pos="2130"/>
              </w:tabs>
              <w:spacing w:line="500" w:lineRule="exact"/>
              <w:ind w:firstLine="480" w:firstLineChars="200"/>
              <w:rPr>
                <w:rFonts w:eastAsia="仿宋"/>
                <w:color w:val="000000" w:themeColor="text1"/>
                <w:sz w:val="24"/>
                <w14:textFill>
                  <w14:solidFill>
                    <w14:schemeClr w14:val="tx1"/>
                  </w14:solidFill>
                </w14:textFill>
              </w:rPr>
            </w:pPr>
          </w:p>
          <w:p w14:paraId="066BE31B">
            <w:pPr>
              <w:tabs>
                <w:tab w:val="left" w:pos="2130"/>
              </w:tabs>
              <w:spacing w:line="500" w:lineRule="exact"/>
              <w:ind w:firstLine="480" w:firstLineChars="200"/>
              <w:rPr>
                <w:rFonts w:eastAsia="仿宋"/>
                <w:color w:val="000000" w:themeColor="text1"/>
                <w:sz w:val="24"/>
                <w14:textFill>
                  <w14:solidFill>
                    <w14:schemeClr w14:val="tx1"/>
                  </w14:solidFill>
                </w14:textFill>
              </w:rPr>
            </w:pPr>
          </w:p>
          <w:p w14:paraId="73F436E2">
            <w:pPr>
              <w:keepNext/>
              <w:rPr>
                <w:rFonts w:eastAsia="仿宋"/>
                <w:color w:val="000000" w:themeColor="text1"/>
                <w:sz w:val="24"/>
                <w14:textFill>
                  <w14:solidFill>
                    <w14:schemeClr w14:val="tx1"/>
                  </w14:solidFill>
                </w14:textFill>
              </w:rPr>
            </w:pPr>
          </w:p>
        </w:tc>
      </w:tr>
    </w:tbl>
    <w:p w14:paraId="0C516078">
      <w:pPr>
        <w:adjustRightInd w:val="0"/>
        <w:snapToGrid w:val="0"/>
        <w:rPr>
          <w:rFonts w:eastAsia="仿宋"/>
          <w:color w:val="000000" w:themeColor="text1"/>
          <w:kern w:val="0"/>
          <w:sz w:val="24"/>
          <w14:textFill>
            <w14:solidFill>
              <w14:schemeClr w14:val="tx1"/>
            </w14:solidFill>
          </w14:textFill>
        </w:rPr>
      </w:pPr>
    </w:p>
    <w:p w14:paraId="28EE9477">
      <w:pPr>
        <w:adjustRightInd w:val="0"/>
        <w:snapToGrid w:val="0"/>
        <w:jc w:val="center"/>
        <w:rPr>
          <w:rFonts w:eastAsia="仿宋"/>
          <w:color w:val="000000" w:themeColor="text1"/>
          <w:kern w:val="0"/>
          <w:sz w:val="24"/>
          <w14:textFill>
            <w14:solidFill>
              <w14:schemeClr w14:val="tx1"/>
            </w14:solidFill>
          </w14:textFill>
        </w:rPr>
        <w:sectPr>
          <w:pgSz w:w="11906" w:h="16838"/>
          <w:pgMar w:top="1701" w:right="1531" w:bottom="1701" w:left="1531" w:header="851" w:footer="851" w:gutter="0"/>
          <w:cols w:space="720" w:num="1"/>
          <w:docGrid w:linePitch="312" w:charSpace="0"/>
        </w:sectPr>
      </w:pPr>
    </w:p>
    <w:tbl>
      <w:tblPr>
        <w:tblStyle w:val="24"/>
        <w:tblW w:w="553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4173"/>
      </w:tblGrid>
      <w:tr w14:paraId="652969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27" w:hRule="atLeast"/>
          <w:jc w:val="center"/>
        </w:trPr>
        <w:tc>
          <w:tcPr>
            <w:tcW w:w="285" w:type="pct"/>
            <w:tcMar>
              <w:left w:w="28" w:type="dxa"/>
              <w:right w:w="28" w:type="dxa"/>
            </w:tcMar>
            <w:vAlign w:val="center"/>
          </w:tcPr>
          <w:p w14:paraId="63C26DE6">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运营期环境影响和保护措施</w:t>
            </w:r>
          </w:p>
        </w:tc>
        <w:tc>
          <w:tcPr>
            <w:tcW w:w="4715" w:type="pct"/>
          </w:tcPr>
          <w:p w14:paraId="34FEF423">
            <w:pPr>
              <w:keepNext/>
              <w:spacing w:line="480" w:lineRule="exact"/>
              <w:jc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表4</w:t>
            </w:r>
            <w:r>
              <w:rPr>
                <w:rFonts w:eastAsia="仿宋"/>
                <w:b/>
                <w:color w:val="000000" w:themeColor="text1"/>
                <w:szCs w:val="21"/>
                <w14:textFill>
                  <w14:solidFill>
                    <w14:schemeClr w14:val="tx1"/>
                  </w14:solidFill>
                </w14:textFill>
              </w:rPr>
              <w:t>-19 本项目废水类别、污染物及污染治理设施信息表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1362"/>
              <w:gridCol w:w="1135"/>
              <w:gridCol w:w="1359"/>
              <w:gridCol w:w="1135"/>
              <w:gridCol w:w="1135"/>
              <w:gridCol w:w="1135"/>
              <w:gridCol w:w="1362"/>
              <w:gridCol w:w="1358"/>
              <w:gridCol w:w="2916"/>
            </w:tblGrid>
            <w:tr w14:paraId="4EE40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3" w:type="pct"/>
                  <w:vMerge w:val="restart"/>
                  <w:vAlign w:val="center"/>
                </w:tcPr>
                <w:p w14:paraId="33E8A58D">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废水类型</w:t>
                  </w:r>
                </w:p>
              </w:tc>
              <w:tc>
                <w:tcPr>
                  <w:tcW w:w="488" w:type="pct"/>
                  <w:vMerge w:val="restart"/>
                  <w:vAlign w:val="center"/>
                </w:tcPr>
                <w:p w14:paraId="7F23ECF5">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污染物种类</w:t>
                  </w:r>
                </w:p>
              </w:tc>
              <w:tc>
                <w:tcPr>
                  <w:tcW w:w="407" w:type="pct"/>
                  <w:vMerge w:val="restart"/>
                  <w:vAlign w:val="center"/>
                </w:tcPr>
                <w:p w14:paraId="204671EF">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排放</w:t>
                  </w:r>
                </w:p>
                <w:p w14:paraId="498DAC46">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去向</w:t>
                  </w:r>
                </w:p>
              </w:tc>
              <w:tc>
                <w:tcPr>
                  <w:tcW w:w="487" w:type="pct"/>
                  <w:vMerge w:val="restart"/>
                  <w:vAlign w:val="center"/>
                </w:tcPr>
                <w:p w14:paraId="5B16DA16">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排放规律</w:t>
                  </w:r>
                </w:p>
              </w:tc>
              <w:tc>
                <w:tcPr>
                  <w:tcW w:w="1221" w:type="pct"/>
                  <w:gridSpan w:val="3"/>
                  <w:vAlign w:val="center"/>
                </w:tcPr>
                <w:p w14:paraId="16B963F9">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污染治理设施</w:t>
                  </w:r>
                </w:p>
              </w:tc>
              <w:tc>
                <w:tcPr>
                  <w:tcW w:w="488" w:type="pct"/>
                  <w:vMerge w:val="restart"/>
                  <w:vAlign w:val="center"/>
                </w:tcPr>
                <w:p w14:paraId="613D0319">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排放口编号</w:t>
                  </w:r>
                </w:p>
              </w:tc>
              <w:tc>
                <w:tcPr>
                  <w:tcW w:w="487" w:type="pct"/>
                  <w:vMerge w:val="restart"/>
                  <w:vAlign w:val="center"/>
                </w:tcPr>
                <w:p w14:paraId="7CACC665">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排放口设置是否符合要求</w:t>
                  </w:r>
                </w:p>
              </w:tc>
              <w:tc>
                <w:tcPr>
                  <w:tcW w:w="1045" w:type="pct"/>
                  <w:vMerge w:val="restart"/>
                  <w:vAlign w:val="center"/>
                </w:tcPr>
                <w:p w14:paraId="0B441B9D">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排放口类型</w:t>
                  </w:r>
                </w:p>
              </w:tc>
            </w:tr>
            <w:tr w14:paraId="54DB5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3" w:type="pct"/>
                  <w:vMerge w:val="continue"/>
                  <w:vAlign w:val="center"/>
                </w:tcPr>
                <w:p w14:paraId="1BF4C7C9">
                  <w:pPr>
                    <w:autoSpaceDE w:val="0"/>
                    <w:autoSpaceDN w:val="0"/>
                    <w:snapToGrid w:val="0"/>
                    <w:jc w:val="center"/>
                    <w:rPr>
                      <w:rFonts w:eastAsia="仿宋"/>
                      <w:color w:val="000000" w:themeColor="text1"/>
                      <w:szCs w:val="22"/>
                      <w14:textFill>
                        <w14:solidFill>
                          <w14:schemeClr w14:val="tx1"/>
                        </w14:solidFill>
                      </w14:textFill>
                    </w:rPr>
                  </w:pPr>
                </w:p>
              </w:tc>
              <w:tc>
                <w:tcPr>
                  <w:tcW w:w="488" w:type="pct"/>
                  <w:vMerge w:val="continue"/>
                  <w:vAlign w:val="center"/>
                </w:tcPr>
                <w:p w14:paraId="18A118DA">
                  <w:pPr>
                    <w:autoSpaceDE w:val="0"/>
                    <w:autoSpaceDN w:val="0"/>
                    <w:snapToGrid w:val="0"/>
                    <w:jc w:val="center"/>
                    <w:rPr>
                      <w:rFonts w:eastAsia="仿宋"/>
                      <w:color w:val="000000" w:themeColor="text1"/>
                      <w:szCs w:val="22"/>
                      <w14:textFill>
                        <w14:solidFill>
                          <w14:schemeClr w14:val="tx1"/>
                        </w14:solidFill>
                      </w14:textFill>
                    </w:rPr>
                  </w:pPr>
                </w:p>
              </w:tc>
              <w:tc>
                <w:tcPr>
                  <w:tcW w:w="407" w:type="pct"/>
                  <w:vMerge w:val="continue"/>
                  <w:vAlign w:val="center"/>
                </w:tcPr>
                <w:p w14:paraId="77432AD3">
                  <w:pPr>
                    <w:autoSpaceDE w:val="0"/>
                    <w:autoSpaceDN w:val="0"/>
                    <w:snapToGrid w:val="0"/>
                    <w:jc w:val="center"/>
                    <w:rPr>
                      <w:rFonts w:eastAsia="仿宋"/>
                      <w:color w:val="000000" w:themeColor="text1"/>
                      <w:szCs w:val="22"/>
                      <w14:textFill>
                        <w14:solidFill>
                          <w14:schemeClr w14:val="tx1"/>
                        </w14:solidFill>
                      </w14:textFill>
                    </w:rPr>
                  </w:pPr>
                </w:p>
              </w:tc>
              <w:tc>
                <w:tcPr>
                  <w:tcW w:w="487" w:type="pct"/>
                  <w:vMerge w:val="continue"/>
                  <w:vAlign w:val="center"/>
                </w:tcPr>
                <w:p w14:paraId="66CED35E">
                  <w:pPr>
                    <w:autoSpaceDE w:val="0"/>
                    <w:autoSpaceDN w:val="0"/>
                    <w:snapToGrid w:val="0"/>
                    <w:jc w:val="center"/>
                    <w:rPr>
                      <w:rFonts w:eastAsia="仿宋"/>
                      <w:color w:val="000000" w:themeColor="text1"/>
                      <w:szCs w:val="22"/>
                      <w14:textFill>
                        <w14:solidFill>
                          <w14:schemeClr w14:val="tx1"/>
                        </w14:solidFill>
                      </w14:textFill>
                    </w:rPr>
                  </w:pPr>
                </w:p>
              </w:tc>
              <w:tc>
                <w:tcPr>
                  <w:tcW w:w="407" w:type="pct"/>
                  <w:vAlign w:val="center"/>
                </w:tcPr>
                <w:p w14:paraId="278F9A96">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污染治理设施编号</w:t>
                  </w:r>
                </w:p>
              </w:tc>
              <w:tc>
                <w:tcPr>
                  <w:tcW w:w="407" w:type="pct"/>
                  <w:vAlign w:val="center"/>
                </w:tcPr>
                <w:p w14:paraId="4B2A3360">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污染治理设施名称</w:t>
                  </w:r>
                </w:p>
              </w:tc>
              <w:tc>
                <w:tcPr>
                  <w:tcW w:w="407" w:type="pct"/>
                  <w:vAlign w:val="center"/>
                </w:tcPr>
                <w:p w14:paraId="2D01BD46">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污染治理设施工艺</w:t>
                  </w:r>
                </w:p>
              </w:tc>
              <w:tc>
                <w:tcPr>
                  <w:tcW w:w="488" w:type="pct"/>
                  <w:vMerge w:val="continue"/>
                  <w:vAlign w:val="center"/>
                </w:tcPr>
                <w:p w14:paraId="36C6E046">
                  <w:pPr>
                    <w:autoSpaceDE w:val="0"/>
                    <w:autoSpaceDN w:val="0"/>
                    <w:snapToGrid w:val="0"/>
                    <w:jc w:val="center"/>
                    <w:rPr>
                      <w:rFonts w:eastAsia="仿宋"/>
                      <w:color w:val="000000" w:themeColor="text1"/>
                      <w:szCs w:val="22"/>
                      <w14:textFill>
                        <w14:solidFill>
                          <w14:schemeClr w14:val="tx1"/>
                        </w14:solidFill>
                      </w14:textFill>
                    </w:rPr>
                  </w:pPr>
                </w:p>
              </w:tc>
              <w:tc>
                <w:tcPr>
                  <w:tcW w:w="487" w:type="pct"/>
                  <w:vMerge w:val="continue"/>
                  <w:vAlign w:val="center"/>
                </w:tcPr>
                <w:p w14:paraId="0696BFF7">
                  <w:pPr>
                    <w:autoSpaceDE w:val="0"/>
                    <w:autoSpaceDN w:val="0"/>
                    <w:snapToGrid w:val="0"/>
                    <w:jc w:val="center"/>
                    <w:rPr>
                      <w:rFonts w:eastAsia="仿宋"/>
                      <w:color w:val="000000" w:themeColor="text1"/>
                      <w:szCs w:val="22"/>
                      <w14:textFill>
                        <w14:solidFill>
                          <w14:schemeClr w14:val="tx1"/>
                        </w14:solidFill>
                      </w14:textFill>
                    </w:rPr>
                  </w:pPr>
                </w:p>
              </w:tc>
              <w:tc>
                <w:tcPr>
                  <w:tcW w:w="1045" w:type="pct"/>
                  <w:vMerge w:val="continue"/>
                  <w:vAlign w:val="center"/>
                </w:tcPr>
                <w:p w14:paraId="604F14BC">
                  <w:pPr>
                    <w:autoSpaceDE w:val="0"/>
                    <w:autoSpaceDN w:val="0"/>
                    <w:snapToGrid w:val="0"/>
                    <w:jc w:val="center"/>
                    <w:rPr>
                      <w:rFonts w:eastAsia="仿宋"/>
                      <w:color w:val="000000" w:themeColor="text1"/>
                      <w:szCs w:val="22"/>
                      <w14:textFill>
                        <w14:solidFill>
                          <w14:schemeClr w14:val="tx1"/>
                        </w14:solidFill>
                      </w14:textFill>
                    </w:rPr>
                  </w:pPr>
                </w:p>
              </w:tc>
            </w:tr>
            <w:tr w14:paraId="5FF8E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3" w:type="pct"/>
                  <w:vAlign w:val="center"/>
                </w:tcPr>
                <w:p w14:paraId="7EC00F77">
                  <w:pPr>
                    <w:autoSpaceDE w:val="0"/>
                    <w:autoSpaceDN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1"/>
                      <w14:textFill>
                        <w14:solidFill>
                          <w14:schemeClr w14:val="tx1"/>
                        </w14:solidFill>
                      </w14:textFill>
                    </w:rPr>
                    <w:t>生活污水</w:t>
                  </w:r>
                </w:p>
              </w:tc>
              <w:tc>
                <w:tcPr>
                  <w:tcW w:w="488" w:type="pct"/>
                  <w:vAlign w:val="center"/>
                </w:tcPr>
                <w:p w14:paraId="291E47D6">
                  <w:pPr>
                    <w:autoSpaceDE w:val="0"/>
                    <w:autoSpaceDN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COD、SS、NH</w:t>
                  </w:r>
                  <w:r>
                    <w:rPr>
                      <w:rFonts w:hint="eastAsia" w:eastAsia="仿宋"/>
                      <w:color w:val="000000" w:themeColor="text1"/>
                      <w:szCs w:val="22"/>
                      <w:vertAlign w:val="subscript"/>
                      <w14:textFill>
                        <w14:solidFill>
                          <w14:schemeClr w14:val="tx1"/>
                        </w14:solidFill>
                      </w14:textFill>
                    </w:rPr>
                    <w:t>3</w:t>
                  </w:r>
                  <w:r>
                    <w:rPr>
                      <w:rFonts w:hint="eastAsia" w:eastAsia="仿宋"/>
                      <w:color w:val="000000" w:themeColor="text1"/>
                      <w:szCs w:val="22"/>
                      <w14:textFill>
                        <w14:solidFill>
                          <w14:schemeClr w14:val="tx1"/>
                        </w14:solidFill>
                      </w14:textFill>
                    </w:rPr>
                    <w:t>-N、TP、TN</w:t>
                  </w:r>
                </w:p>
              </w:tc>
              <w:tc>
                <w:tcPr>
                  <w:tcW w:w="407" w:type="pct"/>
                  <w:vAlign w:val="center"/>
                </w:tcPr>
                <w:p w14:paraId="09B69D1C">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城市污水处理厂</w:t>
                  </w:r>
                </w:p>
              </w:tc>
              <w:tc>
                <w:tcPr>
                  <w:tcW w:w="487" w:type="pct"/>
                  <w:vAlign w:val="center"/>
                </w:tcPr>
                <w:p w14:paraId="3DB5EFC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间断排放，排放期间流量不稳定且无规律，但不属于冲击型排放</w:t>
                  </w:r>
                </w:p>
              </w:tc>
              <w:tc>
                <w:tcPr>
                  <w:tcW w:w="407" w:type="pct"/>
                  <w:vAlign w:val="center"/>
                </w:tcPr>
                <w:p w14:paraId="07BC460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t>
                  </w:r>
                </w:p>
              </w:tc>
              <w:tc>
                <w:tcPr>
                  <w:tcW w:w="407" w:type="pct"/>
                  <w:vAlign w:val="center"/>
                </w:tcPr>
                <w:p w14:paraId="5CD7AF9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t>
                  </w:r>
                </w:p>
              </w:tc>
              <w:tc>
                <w:tcPr>
                  <w:tcW w:w="407" w:type="pct"/>
                  <w:vAlign w:val="center"/>
                </w:tcPr>
                <w:p w14:paraId="597747E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t>
                  </w:r>
                </w:p>
              </w:tc>
              <w:tc>
                <w:tcPr>
                  <w:tcW w:w="488" w:type="pct"/>
                  <w:vAlign w:val="center"/>
                </w:tcPr>
                <w:p w14:paraId="500D8CC1">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DW0</w:t>
                  </w:r>
                  <w:r>
                    <w:rPr>
                      <w:rFonts w:hint="eastAsia" w:eastAsia="仿宋"/>
                      <w:color w:val="000000" w:themeColor="text1"/>
                      <w:szCs w:val="22"/>
                      <w14:textFill>
                        <w14:solidFill>
                          <w14:schemeClr w14:val="tx1"/>
                        </w14:solidFill>
                      </w14:textFill>
                    </w:rPr>
                    <w:t>01</w:t>
                  </w:r>
                </w:p>
              </w:tc>
              <w:tc>
                <w:tcPr>
                  <w:tcW w:w="487" w:type="pct"/>
                  <w:vAlign w:val="center"/>
                </w:tcPr>
                <w:p w14:paraId="32DDB84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√是</w:t>
                  </w:r>
                </w:p>
                <w:p w14:paraId="7EF378C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□否</w:t>
                  </w:r>
                </w:p>
              </w:tc>
              <w:tc>
                <w:tcPr>
                  <w:tcW w:w="1045" w:type="pct"/>
                  <w:vAlign w:val="center"/>
                </w:tcPr>
                <w:p w14:paraId="5D6D1CDE">
                  <w:pPr>
                    <w:autoSpaceDE w:val="0"/>
                    <w:autoSpaceDN w:val="0"/>
                    <w:snapToGrid w:val="0"/>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√企业总排口</w:t>
                  </w:r>
                </w:p>
                <w:p w14:paraId="3DF961DE">
                  <w:pPr>
                    <w:autoSpaceDE w:val="0"/>
                    <w:autoSpaceDN w:val="0"/>
                    <w:snapToGrid w:val="0"/>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□雨水排放口</w:t>
                  </w:r>
                </w:p>
                <w:p w14:paraId="232C46BC">
                  <w:pPr>
                    <w:autoSpaceDE w:val="0"/>
                    <w:autoSpaceDN w:val="0"/>
                    <w:snapToGrid w:val="0"/>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□清净下水排放口</w:t>
                  </w:r>
                </w:p>
                <w:p w14:paraId="74A25FE7">
                  <w:pPr>
                    <w:autoSpaceDE w:val="0"/>
                    <w:autoSpaceDN w:val="0"/>
                    <w:snapToGrid w:val="0"/>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□温排水排放口</w:t>
                  </w:r>
                </w:p>
                <w:p w14:paraId="1446174F">
                  <w:pPr>
                    <w:autoSpaceDE w:val="0"/>
                    <w:autoSpaceDN w:val="0"/>
                    <w:snapToGrid w:val="0"/>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□车间或车间处理设施排放口</w:t>
                  </w:r>
                </w:p>
              </w:tc>
            </w:tr>
          </w:tbl>
          <w:p w14:paraId="6A714189">
            <w:pPr>
              <w:keepNext/>
              <w:spacing w:line="480" w:lineRule="exact"/>
              <w:jc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表4</w:t>
            </w:r>
            <w:r>
              <w:rPr>
                <w:rFonts w:eastAsia="仿宋"/>
                <w:b/>
                <w:color w:val="000000" w:themeColor="text1"/>
                <w:szCs w:val="21"/>
                <w14:textFill>
                  <w14:solidFill>
                    <w14:schemeClr w14:val="tx1"/>
                  </w14:solidFill>
                </w14:textFill>
              </w:rPr>
              <w:t>-20 项目废水间接排放口基本情况表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1289"/>
              <w:gridCol w:w="1147"/>
              <w:gridCol w:w="1293"/>
              <w:gridCol w:w="1147"/>
              <w:gridCol w:w="1886"/>
              <w:gridCol w:w="1120"/>
              <w:gridCol w:w="802"/>
              <w:gridCol w:w="1393"/>
              <w:gridCol w:w="1349"/>
              <w:gridCol w:w="1209"/>
            </w:tblGrid>
            <w:tr w14:paraId="09916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95" w:type="dxa"/>
                  <w:vMerge w:val="restart"/>
                  <w:vAlign w:val="center"/>
                </w:tcPr>
                <w:p w14:paraId="15EC0EA5">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排放口编号</w:t>
                  </w:r>
                </w:p>
              </w:tc>
              <w:tc>
                <w:tcPr>
                  <w:tcW w:w="2408" w:type="dxa"/>
                  <w:gridSpan w:val="2"/>
                  <w:vAlign w:val="center"/>
                </w:tcPr>
                <w:p w14:paraId="1BFA9CAC">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排放口地理坐标</w:t>
                  </w:r>
                </w:p>
              </w:tc>
              <w:tc>
                <w:tcPr>
                  <w:tcW w:w="1278" w:type="dxa"/>
                  <w:vMerge w:val="restart"/>
                  <w:vAlign w:val="center"/>
                </w:tcPr>
                <w:p w14:paraId="785925F5">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废水排放量（万t/a）</w:t>
                  </w:r>
                </w:p>
              </w:tc>
              <w:tc>
                <w:tcPr>
                  <w:tcW w:w="1134" w:type="dxa"/>
                  <w:vMerge w:val="restart"/>
                  <w:vAlign w:val="center"/>
                </w:tcPr>
                <w:p w14:paraId="0F12200B">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排放去向</w:t>
                  </w:r>
                </w:p>
              </w:tc>
              <w:tc>
                <w:tcPr>
                  <w:tcW w:w="1864" w:type="dxa"/>
                  <w:vMerge w:val="restart"/>
                  <w:vAlign w:val="center"/>
                </w:tcPr>
                <w:p w14:paraId="4563F92C">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排放规律</w:t>
                  </w:r>
                </w:p>
              </w:tc>
              <w:tc>
                <w:tcPr>
                  <w:tcW w:w="1107" w:type="dxa"/>
                  <w:vMerge w:val="restart"/>
                  <w:vAlign w:val="center"/>
                </w:tcPr>
                <w:p w14:paraId="275AE926">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间歇排放时段</w:t>
                  </w:r>
                </w:p>
              </w:tc>
              <w:tc>
                <w:tcPr>
                  <w:tcW w:w="4698" w:type="dxa"/>
                  <w:gridSpan w:val="4"/>
                  <w:vAlign w:val="center"/>
                </w:tcPr>
                <w:p w14:paraId="65AF1A50">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受纳污水厂信息</w:t>
                  </w:r>
                </w:p>
              </w:tc>
            </w:tr>
            <w:tr w14:paraId="1CE3E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95" w:type="dxa"/>
                  <w:vMerge w:val="continue"/>
                  <w:vAlign w:val="center"/>
                </w:tcPr>
                <w:p w14:paraId="296F4C02">
                  <w:pPr>
                    <w:autoSpaceDE w:val="0"/>
                    <w:autoSpaceDN w:val="0"/>
                    <w:snapToGrid w:val="0"/>
                    <w:jc w:val="center"/>
                    <w:rPr>
                      <w:rFonts w:eastAsia="仿宋"/>
                      <w:b/>
                      <w:bCs/>
                      <w:color w:val="000000" w:themeColor="text1"/>
                      <w:szCs w:val="22"/>
                      <w14:textFill>
                        <w14:solidFill>
                          <w14:schemeClr w14:val="tx1"/>
                        </w14:solidFill>
                      </w14:textFill>
                    </w:rPr>
                  </w:pPr>
                </w:p>
              </w:tc>
              <w:tc>
                <w:tcPr>
                  <w:tcW w:w="1274" w:type="dxa"/>
                  <w:vAlign w:val="center"/>
                </w:tcPr>
                <w:p w14:paraId="2DC3BA66">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经度</w:t>
                  </w:r>
                </w:p>
              </w:tc>
              <w:tc>
                <w:tcPr>
                  <w:tcW w:w="1134" w:type="dxa"/>
                  <w:vAlign w:val="center"/>
                </w:tcPr>
                <w:p w14:paraId="48D2B472">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纬度</w:t>
                  </w:r>
                </w:p>
              </w:tc>
              <w:tc>
                <w:tcPr>
                  <w:tcW w:w="1278" w:type="dxa"/>
                  <w:vMerge w:val="continue"/>
                  <w:vAlign w:val="center"/>
                </w:tcPr>
                <w:p w14:paraId="566147A3">
                  <w:pPr>
                    <w:autoSpaceDE w:val="0"/>
                    <w:autoSpaceDN w:val="0"/>
                    <w:snapToGrid w:val="0"/>
                    <w:jc w:val="center"/>
                    <w:rPr>
                      <w:rFonts w:eastAsia="仿宋"/>
                      <w:b/>
                      <w:bCs/>
                      <w:color w:val="000000" w:themeColor="text1"/>
                      <w:szCs w:val="22"/>
                      <w14:textFill>
                        <w14:solidFill>
                          <w14:schemeClr w14:val="tx1"/>
                        </w14:solidFill>
                      </w14:textFill>
                    </w:rPr>
                  </w:pPr>
                </w:p>
              </w:tc>
              <w:tc>
                <w:tcPr>
                  <w:tcW w:w="1134" w:type="dxa"/>
                  <w:vMerge w:val="continue"/>
                  <w:vAlign w:val="center"/>
                </w:tcPr>
                <w:p w14:paraId="6D062A54">
                  <w:pPr>
                    <w:autoSpaceDE w:val="0"/>
                    <w:autoSpaceDN w:val="0"/>
                    <w:snapToGrid w:val="0"/>
                    <w:jc w:val="center"/>
                    <w:rPr>
                      <w:rFonts w:eastAsia="仿宋"/>
                      <w:b/>
                      <w:bCs/>
                      <w:color w:val="000000" w:themeColor="text1"/>
                      <w:szCs w:val="22"/>
                      <w14:textFill>
                        <w14:solidFill>
                          <w14:schemeClr w14:val="tx1"/>
                        </w14:solidFill>
                      </w14:textFill>
                    </w:rPr>
                  </w:pPr>
                </w:p>
              </w:tc>
              <w:tc>
                <w:tcPr>
                  <w:tcW w:w="1864" w:type="dxa"/>
                  <w:vMerge w:val="continue"/>
                  <w:vAlign w:val="center"/>
                </w:tcPr>
                <w:p w14:paraId="2092CADC">
                  <w:pPr>
                    <w:autoSpaceDE w:val="0"/>
                    <w:autoSpaceDN w:val="0"/>
                    <w:snapToGrid w:val="0"/>
                    <w:jc w:val="center"/>
                    <w:rPr>
                      <w:rFonts w:eastAsia="仿宋"/>
                      <w:b/>
                      <w:bCs/>
                      <w:color w:val="000000" w:themeColor="text1"/>
                      <w:szCs w:val="22"/>
                      <w14:textFill>
                        <w14:solidFill>
                          <w14:schemeClr w14:val="tx1"/>
                        </w14:solidFill>
                      </w14:textFill>
                    </w:rPr>
                  </w:pPr>
                </w:p>
              </w:tc>
              <w:tc>
                <w:tcPr>
                  <w:tcW w:w="1107" w:type="dxa"/>
                  <w:vMerge w:val="continue"/>
                  <w:vAlign w:val="center"/>
                </w:tcPr>
                <w:p w14:paraId="3A7D1497">
                  <w:pPr>
                    <w:autoSpaceDE w:val="0"/>
                    <w:autoSpaceDN w:val="0"/>
                    <w:snapToGrid w:val="0"/>
                    <w:jc w:val="center"/>
                    <w:rPr>
                      <w:rFonts w:eastAsia="仿宋"/>
                      <w:b/>
                      <w:bCs/>
                      <w:color w:val="000000" w:themeColor="text1"/>
                      <w:szCs w:val="22"/>
                      <w14:textFill>
                        <w14:solidFill>
                          <w14:schemeClr w14:val="tx1"/>
                        </w14:solidFill>
                      </w14:textFill>
                    </w:rPr>
                  </w:pPr>
                </w:p>
              </w:tc>
              <w:tc>
                <w:tcPr>
                  <w:tcW w:w="793" w:type="dxa"/>
                  <w:vAlign w:val="center"/>
                </w:tcPr>
                <w:p w14:paraId="6B8BC74F">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名称</w:t>
                  </w:r>
                </w:p>
              </w:tc>
              <w:tc>
                <w:tcPr>
                  <w:tcW w:w="1377" w:type="dxa"/>
                  <w:vAlign w:val="center"/>
                </w:tcPr>
                <w:p w14:paraId="6C6A1576">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污染物种类</w:t>
                  </w:r>
                </w:p>
              </w:tc>
              <w:tc>
                <w:tcPr>
                  <w:tcW w:w="2528" w:type="dxa"/>
                  <w:gridSpan w:val="2"/>
                  <w:vAlign w:val="center"/>
                </w:tcPr>
                <w:p w14:paraId="3CC64222">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国家或地方污染物排放标准浓度限值（mg/L）</w:t>
                  </w:r>
                </w:p>
              </w:tc>
            </w:tr>
            <w:tr w14:paraId="0318C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vMerge w:val="restart"/>
                  <w:vAlign w:val="center"/>
                </w:tcPr>
                <w:p w14:paraId="6EEEA536">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DW</w:t>
                  </w:r>
                  <w:r>
                    <w:rPr>
                      <w:rFonts w:hint="eastAsia" w:eastAsia="仿宋"/>
                      <w:color w:val="000000" w:themeColor="text1"/>
                      <w:szCs w:val="22"/>
                      <w14:textFill>
                        <w14:solidFill>
                          <w14:schemeClr w14:val="tx1"/>
                        </w14:solidFill>
                      </w14:textFill>
                    </w:rPr>
                    <w:t>001</w:t>
                  </w:r>
                </w:p>
              </w:tc>
              <w:tc>
                <w:tcPr>
                  <w:tcW w:w="1274" w:type="dxa"/>
                  <w:vMerge w:val="restart"/>
                  <w:vAlign w:val="center"/>
                </w:tcPr>
                <w:p w14:paraId="5445002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119.646984</w:t>
                  </w:r>
                </w:p>
              </w:tc>
              <w:tc>
                <w:tcPr>
                  <w:tcW w:w="1134" w:type="dxa"/>
                  <w:vMerge w:val="restart"/>
                  <w:vAlign w:val="center"/>
                </w:tcPr>
                <w:p w14:paraId="7622C10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31.730575</w:t>
                  </w:r>
                </w:p>
              </w:tc>
              <w:tc>
                <w:tcPr>
                  <w:tcW w:w="1278" w:type="dxa"/>
                  <w:vMerge w:val="restart"/>
                  <w:vAlign w:val="center"/>
                </w:tcPr>
                <w:p w14:paraId="2E54685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0.1296</w:t>
                  </w:r>
                </w:p>
              </w:tc>
              <w:tc>
                <w:tcPr>
                  <w:tcW w:w="1134" w:type="dxa"/>
                  <w:vMerge w:val="restart"/>
                  <w:vAlign w:val="center"/>
                </w:tcPr>
                <w:p w14:paraId="77328A3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城市污水处理厂</w:t>
                  </w:r>
                </w:p>
              </w:tc>
              <w:tc>
                <w:tcPr>
                  <w:tcW w:w="1864" w:type="dxa"/>
                  <w:vMerge w:val="restart"/>
                  <w:vAlign w:val="center"/>
                </w:tcPr>
                <w:p w14:paraId="68ED7948">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间断排放，排放期间流量不稳</w:t>
                  </w:r>
                </w:p>
                <w:p w14:paraId="7952B19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定，但有周期性规律</w:t>
                  </w:r>
                </w:p>
              </w:tc>
              <w:tc>
                <w:tcPr>
                  <w:tcW w:w="1107" w:type="dxa"/>
                  <w:vMerge w:val="restart"/>
                  <w:vAlign w:val="center"/>
                </w:tcPr>
                <w:p w14:paraId="747315E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kern w:val="0"/>
                      <w:szCs w:val="21"/>
                      <w14:textFill>
                        <w14:solidFill>
                          <w14:schemeClr w14:val="tx1"/>
                        </w14:solidFill>
                      </w14:textFill>
                    </w:rPr>
                    <w:t>8h/d</w:t>
                  </w:r>
                </w:p>
              </w:tc>
              <w:tc>
                <w:tcPr>
                  <w:tcW w:w="793" w:type="dxa"/>
                  <w:vMerge w:val="restart"/>
                  <w:vAlign w:val="center"/>
                </w:tcPr>
                <w:p w14:paraId="7E1B9C5F">
                  <w:pPr>
                    <w:autoSpaceDE w:val="0"/>
                    <w:autoSpaceDN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金坛区第二污水处理厂</w:t>
                  </w:r>
                </w:p>
              </w:tc>
              <w:tc>
                <w:tcPr>
                  <w:tcW w:w="1377" w:type="dxa"/>
                  <w:vMerge w:val="restart"/>
                  <w:vAlign w:val="center"/>
                </w:tcPr>
                <w:p w14:paraId="044AF2E9">
                  <w:pPr>
                    <w:autoSpaceDE w:val="0"/>
                    <w:autoSpaceDN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COD、SS、NH</w:t>
                  </w:r>
                  <w:r>
                    <w:rPr>
                      <w:rFonts w:hint="eastAsia" w:eastAsia="仿宋"/>
                      <w:color w:val="000000" w:themeColor="text1"/>
                      <w:szCs w:val="22"/>
                      <w:vertAlign w:val="subscript"/>
                      <w14:textFill>
                        <w14:solidFill>
                          <w14:schemeClr w14:val="tx1"/>
                        </w14:solidFill>
                      </w14:textFill>
                    </w:rPr>
                    <w:t>3</w:t>
                  </w:r>
                  <w:r>
                    <w:rPr>
                      <w:rFonts w:hint="eastAsia" w:eastAsia="仿宋"/>
                      <w:color w:val="000000" w:themeColor="text1"/>
                      <w:szCs w:val="22"/>
                      <w14:textFill>
                        <w14:solidFill>
                          <w14:schemeClr w14:val="tx1"/>
                        </w14:solidFill>
                      </w14:textFill>
                    </w:rPr>
                    <w:t>-N、TP、TN</w:t>
                  </w:r>
                </w:p>
              </w:tc>
              <w:tc>
                <w:tcPr>
                  <w:tcW w:w="1333" w:type="dxa"/>
                  <w:vAlign w:val="center"/>
                </w:tcPr>
                <w:p w14:paraId="4A5574A3">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COD</w:t>
                  </w:r>
                </w:p>
              </w:tc>
              <w:tc>
                <w:tcPr>
                  <w:tcW w:w="1195" w:type="dxa"/>
                  <w:vAlign w:val="center"/>
                </w:tcPr>
                <w:p w14:paraId="4B68808F">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500</w:t>
                  </w:r>
                </w:p>
              </w:tc>
            </w:tr>
            <w:tr w14:paraId="1F967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vMerge w:val="continue"/>
                  <w:vAlign w:val="center"/>
                </w:tcPr>
                <w:p w14:paraId="683CA77C">
                  <w:pPr>
                    <w:autoSpaceDE w:val="0"/>
                    <w:autoSpaceDN w:val="0"/>
                    <w:snapToGrid w:val="0"/>
                    <w:jc w:val="center"/>
                    <w:rPr>
                      <w:rFonts w:eastAsia="仿宋"/>
                      <w:color w:val="000000" w:themeColor="text1"/>
                      <w:szCs w:val="22"/>
                      <w14:textFill>
                        <w14:solidFill>
                          <w14:schemeClr w14:val="tx1"/>
                        </w14:solidFill>
                      </w14:textFill>
                    </w:rPr>
                  </w:pPr>
                </w:p>
              </w:tc>
              <w:tc>
                <w:tcPr>
                  <w:tcW w:w="1274" w:type="dxa"/>
                  <w:vMerge w:val="continue"/>
                  <w:vAlign w:val="center"/>
                </w:tcPr>
                <w:p w14:paraId="79F22D11">
                  <w:pPr>
                    <w:autoSpaceDE w:val="0"/>
                    <w:autoSpaceDN w:val="0"/>
                    <w:snapToGrid w:val="0"/>
                    <w:jc w:val="center"/>
                    <w:rPr>
                      <w:rFonts w:eastAsia="仿宋"/>
                      <w:color w:val="000000" w:themeColor="text1"/>
                      <w:szCs w:val="22"/>
                      <w14:textFill>
                        <w14:solidFill>
                          <w14:schemeClr w14:val="tx1"/>
                        </w14:solidFill>
                      </w14:textFill>
                    </w:rPr>
                  </w:pPr>
                </w:p>
              </w:tc>
              <w:tc>
                <w:tcPr>
                  <w:tcW w:w="1134" w:type="dxa"/>
                  <w:vMerge w:val="continue"/>
                  <w:vAlign w:val="center"/>
                </w:tcPr>
                <w:p w14:paraId="5AB7E108">
                  <w:pPr>
                    <w:autoSpaceDE w:val="0"/>
                    <w:autoSpaceDN w:val="0"/>
                    <w:snapToGrid w:val="0"/>
                    <w:jc w:val="center"/>
                    <w:rPr>
                      <w:rFonts w:eastAsia="仿宋"/>
                      <w:color w:val="000000" w:themeColor="text1"/>
                      <w:szCs w:val="22"/>
                      <w14:textFill>
                        <w14:solidFill>
                          <w14:schemeClr w14:val="tx1"/>
                        </w14:solidFill>
                      </w14:textFill>
                    </w:rPr>
                  </w:pPr>
                </w:p>
              </w:tc>
              <w:tc>
                <w:tcPr>
                  <w:tcW w:w="1278" w:type="dxa"/>
                  <w:vMerge w:val="continue"/>
                  <w:vAlign w:val="center"/>
                </w:tcPr>
                <w:p w14:paraId="5B40D37C">
                  <w:pPr>
                    <w:autoSpaceDE w:val="0"/>
                    <w:autoSpaceDN w:val="0"/>
                    <w:snapToGrid w:val="0"/>
                    <w:jc w:val="center"/>
                    <w:rPr>
                      <w:rFonts w:eastAsia="仿宋"/>
                      <w:color w:val="000000" w:themeColor="text1"/>
                      <w:szCs w:val="22"/>
                      <w14:textFill>
                        <w14:solidFill>
                          <w14:schemeClr w14:val="tx1"/>
                        </w14:solidFill>
                      </w14:textFill>
                    </w:rPr>
                  </w:pPr>
                </w:p>
              </w:tc>
              <w:tc>
                <w:tcPr>
                  <w:tcW w:w="1134" w:type="dxa"/>
                  <w:vMerge w:val="continue"/>
                  <w:vAlign w:val="center"/>
                </w:tcPr>
                <w:p w14:paraId="60FE253F">
                  <w:pPr>
                    <w:autoSpaceDE w:val="0"/>
                    <w:autoSpaceDN w:val="0"/>
                    <w:snapToGrid w:val="0"/>
                    <w:jc w:val="center"/>
                    <w:rPr>
                      <w:rFonts w:eastAsia="仿宋"/>
                      <w:color w:val="000000" w:themeColor="text1"/>
                      <w:szCs w:val="22"/>
                      <w14:textFill>
                        <w14:solidFill>
                          <w14:schemeClr w14:val="tx1"/>
                        </w14:solidFill>
                      </w14:textFill>
                    </w:rPr>
                  </w:pPr>
                </w:p>
              </w:tc>
              <w:tc>
                <w:tcPr>
                  <w:tcW w:w="1864" w:type="dxa"/>
                  <w:vMerge w:val="continue"/>
                  <w:vAlign w:val="center"/>
                </w:tcPr>
                <w:p w14:paraId="10E7BCA1">
                  <w:pPr>
                    <w:autoSpaceDE w:val="0"/>
                    <w:autoSpaceDN w:val="0"/>
                    <w:snapToGrid w:val="0"/>
                    <w:jc w:val="center"/>
                    <w:rPr>
                      <w:rFonts w:eastAsia="仿宋"/>
                      <w:color w:val="000000" w:themeColor="text1"/>
                      <w:szCs w:val="22"/>
                      <w14:textFill>
                        <w14:solidFill>
                          <w14:schemeClr w14:val="tx1"/>
                        </w14:solidFill>
                      </w14:textFill>
                    </w:rPr>
                  </w:pPr>
                </w:p>
              </w:tc>
              <w:tc>
                <w:tcPr>
                  <w:tcW w:w="1107" w:type="dxa"/>
                  <w:vMerge w:val="continue"/>
                  <w:vAlign w:val="center"/>
                </w:tcPr>
                <w:p w14:paraId="253C1EB1">
                  <w:pPr>
                    <w:autoSpaceDE w:val="0"/>
                    <w:autoSpaceDN w:val="0"/>
                    <w:snapToGrid w:val="0"/>
                    <w:jc w:val="center"/>
                    <w:rPr>
                      <w:rFonts w:eastAsia="仿宋"/>
                      <w:color w:val="000000" w:themeColor="text1"/>
                      <w:szCs w:val="22"/>
                      <w14:textFill>
                        <w14:solidFill>
                          <w14:schemeClr w14:val="tx1"/>
                        </w14:solidFill>
                      </w14:textFill>
                    </w:rPr>
                  </w:pPr>
                </w:p>
              </w:tc>
              <w:tc>
                <w:tcPr>
                  <w:tcW w:w="793" w:type="dxa"/>
                  <w:vMerge w:val="continue"/>
                  <w:vAlign w:val="center"/>
                </w:tcPr>
                <w:p w14:paraId="0E723A9B">
                  <w:pPr>
                    <w:autoSpaceDE w:val="0"/>
                    <w:autoSpaceDN w:val="0"/>
                    <w:snapToGrid w:val="0"/>
                    <w:jc w:val="center"/>
                    <w:rPr>
                      <w:rFonts w:eastAsia="仿宋"/>
                      <w:color w:val="000000" w:themeColor="text1"/>
                      <w:szCs w:val="22"/>
                      <w14:textFill>
                        <w14:solidFill>
                          <w14:schemeClr w14:val="tx1"/>
                        </w14:solidFill>
                      </w14:textFill>
                    </w:rPr>
                  </w:pPr>
                </w:p>
              </w:tc>
              <w:tc>
                <w:tcPr>
                  <w:tcW w:w="1377" w:type="dxa"/>
                  <w:vMerge w:val="continue"/>
                  <w:vAlign w:val="center"/>
                </w:tcPr>
                <w:p w14:paraId="4F3EF8AA">
                  <w:pPr>
                    <w:autoSpaceDE w:val="0"/>
                    <w:autoSpaceDN w:val="0"/>
                    <w:snapToGrid w:val="0"/>
                    <w:jc w:val="center"/>
                    <w:rPr>
                      <w:rFonts w:eastAsia="仿宋"/>
                      <w:color w:val="000000" w:themeColor="text1"/>
                      <w:szCs w:val="22"/>
                      <w14:textFill>
                        <w14:solidFill>
                          <w14:schemeClr w14:val="tx1"/>
                        </w14:solidFill>
                      </w14:textFill>
                    </w:rPr>
                  </w:pPr>
                </w:p>
              </w:tc>
              <w:tc>
                <w:tcPr>
                  <w:tcW w:w="1333" w:type="dxa"/>
                  <w:vAlign w:val="center"/>
                </w:tcPr>
                <w:p w14:paraId="3DD67FF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SS</w:t>
                  </w:r>
                </w:p>
              </w:tc>
              <w:tc>
                <w:tcPr>
                  <w:tcW w:w="1195" w:type="dxa"/>
                  <w:vAlign w:val="center"/>
                </w:tcPr>
                <w:p w14:paraId="68F87B13">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250</w:t>
                  </w:r>
                </w:p>
              </w:tc>
            </w:tr>
            <w:tr w14:paraId="072A9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95" w:type="dxa"/>
                  <w:vMerge w:val="continue"/>
                  <w:vAlign w:val="center"/>
                </w:tcPr>
                <w:p w14:paraId="6B9D14BD">
                  <w:pPr>
                    <w:autoSpaceDE w:val="0"/>
                    <w:autoSpaceDN w:val="0"/>
                    <w:snapToGrid w:val="0"/>
                    <w:jc w:val="center"/>
                    <w:rPr>
                      <w:rFonts w:eastAsia="仿宋"/>
                      <w:color w:val="000000" w:themeColor="text1"/>
                      <w:szCs w:val="22"/>
                      <w14:textFill>
                        <w14:solidFill>
                          <w14:schemeClr w14:val="tx1"/>
                        </w14:solidFill>
                      </w14:textFill>
                    </w:rPr>
                  </w:pPr>
                </w:p>
              </w:tc>
              <w:tc>
                <w:tcPr>
                  <w:tcW w:w="1274" w:type="dxa"/>
                  <w:vMerge w:val="continue"/>
                  <w:vAlign w:val="center"/>
                </w:tcPr>
                <w:p w14:paraId="043189FB">
                  <w:pPr>
                    <w:autoSpaceDE w:val="0"/>
                    <w:autoSpaceDN w:val="0"/>
                    <w:snapToGrid w:val="0"/>
                    <w:jc w:val="center"/>
                    <w:rPr>
                      <w:rFonts w:eastAsia="仿宋"/>
                      <w:color w:val="000000" w:themeColor="text1"/>
                      <w:szCs w:val="22"/>
                      <w14:textFill>
                        <w14:solidFill>
                          <w14:schemeClr w14:val="tx1"/>
                        </w14:solidFill>
                      </w14:textFill>
                    </w:rPr>
                  </w:pPr>
                </w:p>
              </w:tc>
              <w:tc>
                <w:tcPr>
                  <w:tcW w:w="1134" w:type="dxa"/>
                  <w:vMerge w:val="continue"/>
                  <w:vAlign w:val="center"/>
                </w:tcPr>
                <w:p w14:paraId="7B870446">
                  <w:pPr>
                    <w:autoSpaceDE w:val="0"/>
                    <w:autoSpaceDN w:val="0"/>
                    <w:snapToGrid w:val="0"/>
                    <w:jc w:val="center"/>
                    <w:rPr>
                      <w:rFonts w:eastAsia="仿宋"/>
                      <w:color w:val="000000" w:themeColor="text1"/>
                      <w:szCs w:val="22"/>
                      <w14:textFill>
                        <w14:solidFill>
                          <w14:schemeClr w14:val="tx1"/>
                        </w14:solidFill>
                      </w14:textFill>
                    </w:rPr>
                  </w:pPr>
                </w:p>
              </w:tc>
              <w:tc>
                <w:tcPr>
                  <w:tcW w:w="1278" w:type="dxa"/>
                  <w:vMerge w:val="continue"/>
                  <w:vAlign w:val="center"/>
                </w:tcPr>
                <w:p w14:paraId="05BBE413">
                  <w:pPr>
                    <w:autoSpaceDE w:val="0"/>
                    <w:autoSpaceDN w:val="0"/>
                    <w:snapToGrid w:val="0"/>
                    <w:jc w:val="center"/>
                    <w:rPr>
                      <w:rFonts w:eastAsia="仿宋"/>
                      <w:color w:val="000000" w:themeColor="text1"/>
                      <w:szCs w:val="22"/>
                      <w14:textFill>
                        <w14:solidFill>
                          <w14:schemeClr w14:val="tx1"/>
                        </w14:solidFill>
                      </w14:textFill>
                    </w:rPr>
                  </w:pPr>
                </w:p>
              </w:tc>
              <w:tc>
                <w:tcPr>
                  <w:tcW w:w="1134" w:type="dxa"/>
                  <w:vMerge w:val="continue"/>
                  <w:vAlign w:val="center"/>
                </w:tcPr>
                <w:p w14:paraId="14295D16">
                  <w:pPr>
                    <w:autoSpaceDE w:val="0"/>
                    <w:autoSpaceDN w:val="0"/>
                    <w:snapToGrid w:val="0"/>
                    <w:jc w:val="center"/>
                    <w:rPr>
                      <w:rFonts w:eastAsia="仿宋"/>
                      <w:color w:val="000000" w:themeColor="text1"/>
                      <w:szCs w:val="22"/>
                      <w14:textFill>
                        <w14:solidFill>
                          <w14:schemeClr w14:val="tx1"/>
                        </w14:solidFill>
                      </w14:textFill>
                    </w:rPr>
                  </w:pPr>
                </w:p>
              </w:tc>
              <w:tc>
                <w:tcPr>
                  <w:tcW w:w="1864" w:type="dxa"/>
                  <w:vMerge w:val="continue"/>
                  <w:vAlign w:val="center"/>
                </w:tcPr>
                <w:p w14:paraId="11E4C09B">
                  <w:pPr>
                    <w:autoSpaceDE w:val="0"/>
                    <w:autoSpaceDN w:val="0"/>
                    <w:snapToGrid w:val="0"/>
                    <w:jc w:val="center"/>
                    <w:rPr>
                      <w:rFonts w:eastAsia="仿宋"/>
                      <w:color w:val="000000" w:themeColor="text1"/>
                      <w:szCs w:val="22"/>
                      <w14:textFill>
                        <w14:solidFill>
                          <w14:schemeClr w14:val="tx1"/>
                        </w14:solidFill>
                      </w14:textFill>
                    </w:rPr>
                  </w:pPr>
                </w:p>
              </w:tc>
              <w:tc>
                <w:tcPr>
                  <w:tcW w:w="1107" w:type="dxa"/>
                  <w:vMerge w:val="continue"/>
                  <w:vAlign w:val="center"/>
                </w:tcPr>
                <w:p w14:paraId="0FBDA2D9">
                  <w:pPr>
                    <w:autoSpaceDE w:val="0"/>
                    <w:autoSpaceDN w:val="0"/>
                    <w:snapToGrid w:val="0"/>
                    <w:jc w:val="center"/>
                    <w:rPr>
                      <w:rFonts w:eastAsia="仿宋"/>
                      <w:color w:val="000000" w:themeColor="text1"/>
                      <w:szCs w:val="22"/>
                      <w14:textFill>
                        <w14:solidFill>
                          <w14:schemeClr w14:val="tx1"/>
                        </w14:solidFill>
                      </w14:textFill>
                    </w:rPr>
                  </w:pPr>
                </w:p>
              </w:tc>
              <w:tc>
                <w:tcPr>
                  <w:tcW w:w="793" w:type="dxa"/>
                  <w:vMerge w:val="continue"/>
                  <w:vAlign w:val="center"/>
                </w:tcPr>
                <w:p w14:paraId="791D1C92">
                  <w:pPr>
                    <w:autoSpaceDE w:val="0"/>
                    <w:autoSpaceDN w:val="0"/>
                    <w:snapToGrid w:val="0"/>
                    <w:jc w:val="center"/>
                    <w:rPr>
                      <w:rFonts w:eastAsia="仿宋"/>
                      <w:color w:val="000000" w:themeColor="text1"/>
                      <w:szCs w:val="22"/>
                      <w14:textFill>
                        <w14:solidFill>
                          <w14:schemeClr w14:val="tx1"/>
                        </w14:solidFill>
                      </w14:textFill>
                    </w:rPr>
                  </w:pPr>
                </w:p>
              </w:tc>
              <w:tc>
                <w:tcPr>
                  <w:tcW w:w="1377" w:type="dxa"/>
                  <w:vMerge w:val="continue"/>
                  <w:vAlign w:val="center"/>
                </w:tcPr>
                <w:p w14:paraId="6CDE00A7">
                  <w:pPr>
                    <w:autoSpaceDE w:val="0"/>
                    <w:autoSpaceDN w:val="0"/>
                    <w:snapToGrid w:val="0"/>
                    <w:jc w:val="center"/>
                    <w:rPr>
                      <w:rFonts w:eastAsia="仿宋"/>
                      <w:color w:val="000000" w:themeColor="text1"/>
                      <w:szCs w:val="22"/>
                      <w14:textFill>
                        <w14:solidFill>
                          <w14:schemeClr w14:val="tx1"/>
                        </w14:solidFill>
                      </w14:textFill>
                    </w:rPr>
                  </w:pPr>
                </w:p>
              </w:tc>
              <w:tc>
                <w:tcPr>
                  <w:tcW w:w="1333" w:type="dxa"/>
                  <w:vAlign w:val="center"/>
                </w:tcPr>
                <w:p w14:paraId="1BCBEB0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NH</w:t>
                  </w:r>
                  <w:r>
                    <w:rPr>
                      <w:rFonts w:eastAsia="仿宋"/>
                      <w:color w:val="000000" w:themeColor="text1"/>
                      <w:szCs w:val="22"/>
                      <w:vertAlign w:val="subscript"/>
                      <w14:textFill>
                        <w14:solidFill>
                          <w14:schemeClr w14:val="tx1"/>
                        </w14:solidFill>
                      </w14:textFill>
                    </w:rPr>
                    <w:t>3</w:t>
                  </w:r>
                  <w:r>
                    <w:rPr>
                      <w:rFonts w:eastAsia="仿宋"/>
                      <w:color w:val="000000" w:themeColor="text1"/>
                      <w:szCs w:val="22"/>
                      <w14:textFill>
                        <w14:solidFill>
                          <w14:schemeClr w14:val="tx1"/>
                        </w14:solidFill>
                      </w14:textFill>
                    </w:rPr>
                    <w:t>-N</w:t>
                  </w:r>
                </w:p>
              </w:tc>
              <w:tc>
                <w:tcPr>
                  <w:tcW w:w="1195" w:type="dxa"/>
                  <w:vAlign w:val="center"/>
                </w:tcPr>
                <w:p w14:paraId="79031ADD">
                  <w:pPr>
                    <w:adjustRightInd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3</w:t>
                  </w:r>
                  <w:r>
                    <w:rPr>
                      <w:rFonts w:eastAsia="仿宋"/>
                      <w:color w:val="000000" w:themeColor="text1"/>
                      <w:szCs w:val="22"/>
                      <w14:textFill>
                        <w14:solidFill>
                          <w14:schemeClr w14:val="tx1"/>
                        </w14:solidFill>
                      </w14:textFill>
                    </w:rPr>
                    <w:t>5</w:t>
                  </w:r>
                </w:p>
              </w:tc>
            </w:tr>
            <w:tr w14:paraId="7867F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295" w:type="dxa"/>
                  <w:vMerge w:val="continue"/>
                  <w:vAlign w:val="center"/>
                </w:tcPr>
                <w:p w14:paraId="07B67492">
                  <w:pPr>
                    <w:autoSpaceDE w:val="0"/>
                    <w:autoSpaceDN w:val="0"/>
                    <w:snapToGrid w:val="0"/>
                    <w:jc w:val="center"/>
                    <w:rPr>
                      <w:rFonts w:eastAsia="仿宋"/>
                      <w:color w:val="000000" w:themeColor="text1"/>
                      <w:szCs w:val="22"/>
                      <w14:textFill>
                        <w14:solidFill>
                          <w14:schemeClr w14:val="tx1"/>
                        </w14:solidFill>
                      </w14:textFill>
                    </w:rPr>
                  </w:pPr>
                </w:p>
              </w:tc>
              <w:tc>
                <w:tcPr>
                  <w:tcW w:w="1274" w:type="dxa"/>
                  <w:vMerge w:val="continue"/>
                  <w:vAlign w:val="center"/>
                </w:tcPr>
                <w:p w14:paraId="7DA2BE6E">
                  <w:pPr>
                    <w:autoSpaceDE w:val="0"/>
                    <w:autoSpaceDN w:val="0"/>
                    <w:snapToGrid w:val="0"/>
                    <w:jc w:val="center"/>
                    <w:rPr>
                      <w:rFonts w:eastAsia="仿宋"/>
                      <w:color w:val="000000" w:themeColor="text1"/>
                      <w:szCs w:val="22"/>
                      <w14:textFill>
                        <w14:solidFill>
                          <w14:schemeClr w14:val="tx1"/>
                        </w14:solidFill>
                      </w14:textFill>
                    </w:rPr>
                  </w:pPr>
                </w:p>
              </w:tc>
              <w:tc>
                <w:tcPr>
                  <w:tcW w:w="1134" w:type="dxa"/>
                  <w:vMerge w:val="continue"/>
                  <w:vAlign w:val="center"/>
                </w:tcPr>
                <w:p w14:paraId="67708768">
                  <w:pPr>
                    <w:autoSpaceDE w:val="0"/>
                    <w:autoSpaceDN w:val="0"/>
                    <w:snapToGrid w:val="0"/>
                    <w:jc w:val="center"/>
                    <w:rPr>
                      <w:rFonts w:eastAsia="仿宋"/>
                      <w:color w:val="000000" w:themeColor="text1"/>
                      <w:szCs w:val="22"/>
                      <w14:textFill>
                        <w14:solidFill>
                          <w14:schemeClr w14:val="tx1"/>
                        </w14:solidFill>
                      </w14:textFill>
                    </w:rPr>
                  </w:pPr>
                </w:p>
              </w:tc>
              <w:tc>
                <w:tcPr>
                  <w:tcW w:w="1278" w:type="dxa"/>
                  <w:vMerge w:val="continue"/>
                  <w:vAlign w:val="center"/>
                </w:tcPr>
                <w:p w14:paraId="63078DF3">
                  <w:pPr>
                    <w:autoSpaceDE w:val="0"/>
                    <w:autoSpaceDN w:val="0"/>
                    <w:snapToGrid w:val="0"/>
                    <w:jc w:val="center"/>
                    <w:rPr>
                      <w:rFonts w:eastAsia="仿宋"/>
                      <w:color w:val="000000" w:themeColor="text1"/>
                      <w:szCs w:val="22"/>
                      <w14:textFill>
                        <w14:solidFill>
                          <w14:schemeClr w14:val="tx1"/>
                        </w14:solidFill>
                      </w14:textFill>
                    </w:rPr>
                  </w:pPr>
                </w:p>
              </w:tc>
              <w:tc>
                <w:tcPr>
                  <w:tcW w:w="1134" w:type="dxa"/>
                  <w:vMerge w:val="continue"/>
                  <w:vAlign w:val="center"/>
                </w:tcPr>
                <w:p w14:paraId="33DD9612">
                  <w:pPr>
                    <w:autoSpaceDE w:val="0"/>
                    <w:autoSpaceDN w:val="0"/>
                    <w:snapToGrid w:val="0"/>
                    <w:jc w:val="center"/>
                    <w:rPr>
                      <w:rFonts w:eastAsia="仿宋"/>
                      <w:color w:val="000000" w:themeColor="text1"/>
                      <w:szCs w:val="22"/>
                      <w14:textFill>
                        <w14:solidFill>
                          <w14:schemeClr w14:val="tx1"/>
                        </w14:solidFill>
                      </w14:textFill>
                    </w:rPr>
                  </w:pPr>
                </w:p>
              </w:tc>
              <w:tc>
                <w:tcPr>
                  <w:tcW w:w="1864" w:type="dxa"/>
                  <w:vMerge w:val="continue"/>
                  <w:vAlign w:val="center"/>
                </w:tcPr>
                <w:p w14:paraId="56D2EE81">
                  <w:pPr>
                    <w:autoSpaceDE w:val="0"/>
                    <w:autoSpaceDN w:val="0"/>
                    <w:snapToGrid w:val="0"/>
                    <w:jc w:val="center"/>
                    <w:rPr>
                      <w:rFonts w:eastAsia="仿宋"/>
                      <w:color w:val="000000" w:themeColor="text1"/>
                      <w:szCs w:val="22"/>
                      <w14:textFill>
                        <w14:solidFill>
                          <w14:schemeClr w14:val="tx1"/>
                        </w14:solidFill>
                      </w14:textFill>
                    </w:rPr>
                  </w:pPr>
                </w:p>
              </w:tc>
              <w:tc>
                <w:tcPr>
                  <w:tcW w:w="1107" w:type="dxa"/>
                  <w:vMerge w:val="continue"/>
                  <w:vAlign w:val="center"/>
                </w:tcPr>
                <w:p w14:paraId="7514AD04">
                  <w:pPr>
                    <w:autoSpaceDE w:val="0"/>
                    <w:autoSpaceDN w:val="0"/>
                    <w:snapToGrid w:val="0"/>
                    <w:jc w:val="center"/>
                    <w:rPr>
                      <w:rFonts w:eastAsia="仿宋"/>
                      <w:color w:val="000000" w:themeColor="text1"/>
                      <w:szCs w:val="22"/>
                      <w14:textFill>
                        <w14:solidFill>
                          <w14:schemeClr w14:val="tx1"/>
                        </w14:solidFill>
                      </w14:textFill>
                    </w:rPr>
                  </w:pPr>
                </w:p>
              </w:tc>
              <w:tc>
                <w:tcPr>
                  <w:tcW w:w="793" w:type="dxa"/>
                  <w:vMerge w:val="continue"/>
                  <w:vAlign w:val="center"/>
                </w:tcPr>
                <w:p w14:paraId="353E70B5">
                  <w:pPr>
                    <w:autoSpaceDE w:val="0"/>
                    <w:autoSpaceDN w:val="0"/>
                    <w:snapToGrid w:val="0"/>
                    <w:jc w:val="center"/>
                    <w:rPr>
                      <w:rFonts w:eastAsia="仿宋"/>
                      <w:color w:val="000000" w:themeColor="text1"/>
                      <w:szCs w:val="22"/>
                      <w14:textFill>
                        <w14:solidFill>
                          <w14:schemeClr w14:val="tx1"/>
                        </w14:solidFill>
                      </w14:textFill>
                    </w:rPr>
                  </w:pPr>
                </w:p>
              </w:tc>
              <w:tc>
                <w:tcPr>
                  <w:tcW w:w="1377" w:type="dxa"/>
                  <w:vMerge w:val="continue"/>
                  <w:vAlign w:val="center"/>
                </w:tcPr>
                <w:p w14:paraId="3776AC24">
                  <w:pPr>
                    <w:autoSpaceDE w:val="0"/>
                    <w:autoSpaceDN w:val="0"/>
                    <w:snapToGrid w:val="0"/>
                    <w:jc w:val="center"/>
                    <w:rPr>
                      <w:rFonts w:eastAsia="仿宋"/>
                      <w:color w:val="000000" w:themeColor="text1"/>
                      <w:szCs w:val="22"/>
                      <w14:textFill>
                        <w14:solidFill>
                          <w14:schemeClr w14:val="tx1"/>
                        </w14:solidFill>
                      </w14:textFill>
                    </w:rPr>
                  </w:pPr>
                </w:p>
              </w:tc>
              <w:tc>
                <w:tcPr>
                  <w:tcW w:w="1333" w:type="dxa"/>
                  <w:vAlign w:val="center"/>
                </w:tcPr>
                <w:p w14:paraId="5EB6B97E">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TP</w:t>
                  </w:r>
                </w:p>
              </w:tc>
              <w:tc>
                <w:tcPr>
                  <w:tcW w:w="1195" w:type="dxa"/>
                  <w:vAlign w:val="center"/>
                </w:tcPr>
                <w:p w14:paraId="22F6FD81">
                  <w:pPr>
                    <w:adjustRightInd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3</w:t>
                  </w:r>
                </w:p>
              </w:tc>
            </w:tr>
            <w:tr w14:paraId="35549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5" w:type="dxa"/>
                  <w:vMerge w:val="continue"/>
                  <w:vAlign w:val="center"/>
                </w:tcPr>
                <w:p w14:paraId="46CD8656">
                  <w:pPr>
                    <w:autoSpaceDE w:val="0"/>
                    <w:autoSpaceDN w:val="0"/>
                    <w:snapToGrid w:val="0"/>
                    <w:jc w:val="center"/>
                    <w:rPr>
                      <w:rFonts w:eastAsia="仿宋"/>
                      <w:color w:val="000000" w:themeColor="text1"/>
                      <w:szCs w:val="22"/>
                      <w14:textFill>
                        <w14:solidFill>
                          <w14:schemeClr w14:val="tx1"/>
                        </w14:solidFill>
                      </w14:textFill>
                    </w:rPr>
                  </w:pPr>
                </w:p>
              </w:tc>
              <w:tc>
                <w:tcPr>
                  <w:tcW w:w="1274" w:type="dxa"/>
                  <w:vMerge w:val="continue"/>
                  <w:vAlign w:val="center"/>
                </w:tcPr>
                <w:p w14:paraId="55A7799E">
                  <w:pPr>
                    <w:autoSpaceDE w:val="0"/>
                    <w:autoSpaceDN w:val="0"/>
                    <w:snapToGrid w:val="0"/>
                    <w:jc w:val="center"/>
                    <w:rPr>
                      <w:rFonts w:eastAsia="仿宋"/>
                      <w:color w:val="000000" w:themeColor="text1"/>
                      <w:szCs w:val="22"/>
                      <w14:textFill>
                        <w14:solidFill>
                          <w14:schemeClr w14:val="tx1"/>
                        </w14:solidFill>
                      </w14:textFill>
                    </w:rPr>
                  </w:pPr>
                </w:p>
              </w:tc>
              <w:tc>
                <w:tcPr>
                  <w:tcW w:w="1134" w:type="dxa"/>
                  <w:vMerge w:val="continue"/>
                  <w:vAlign w:val="center"/>
                </w:tcPr>
                <w:p w14:paraId="14F17D37">
                  <w:pPr>
                    <w:autoSpaceDE w:val="0"/>
                    <w:autoSpaceDN w:val="0"/>
                    <w:snapToGrid w:val="0"/>
                    <w:jc w:val="center"/>
                    <w:rPr>
                      <w:rFonts w:eastAsia="仿宋"/>
                      <w:color w:val="000000" w:themeColor="text1"/>
                      <w:szCs w:val="22"/>
                      <w14:textFill>
                        <w14:solidFill>
                          <w14:schemeClr w14:val="tx1"/>
                        </w14:solidFill>
                      </w14:textFill>
                    </w:rPr>
                  </w:pPr>
                </w:p>
              </w:tc>
              <w:tc>
                <w:tcPr>
                  <w:tcW w:w="1278" w:type="dxa"/>
                  <w:vMerge w:val="continue"/>
                  <w:vAlign w:val="center"/>
                </w:tcPr>
                <w:p w14:paraId="0F5D6027">
                  <w:pPr>
                    <w:autoSpaceDE w:val="0"/>
                    <w:autoSpaceDN w:val="0"/>
                    <w:snapToGrid w:val="0"/>
                    <w:jc w:val="center"/>
                    <w:rPr>
                      <w:rFonts w:eastAsia="仿宋"/>
                      <w:color w:val="000000" w:themeColor="text1"/>
                      <w:szCs w:val="22"/>
                      <w14:textFill>
                        <w14:solidFill>
                          <w14:schemeClr w14:val="tx1"/>
                        </w14:solidFill>
                      </w14:textFill>
                    </w:rPr>
                  </w:pPr>
                </w:p>
              </w:tc>
              <w:tc>
                <w:tcPr>
                  <w:tcW w:w="1134" w:type="dxa"/>
                  <w:vMerge w:val="continue"/>
                  <w:vAlign w:val="center"/>
                </w:tcPr>
                <w:p w14:paraId="0C3E825A">
                  <w:pPr>
                    <w:autoSpaceDE w:val="0"/>
                    <w:autoSpaceDN w:val="0"/>
                    <w:snapToGrid w:val="0"/>
                    <w:jc w:val="center"/>
                    <w:rPr>
                      <w:rFonts w:eastAsia="仿宋"/>
                      <w:color w:val="000000" w:themeColor="text1"/>
                      <w:szCs w:val="22"/>
                      <w14:textFill>
                        <w14:solidFill>
                          <w14:schemeClr w14:val="tx1"/>
                        </w14:solidFill>
                      </w14:textFill>
                    </w:rPr>
                  </w:pPr>
                </w:p>
              </w:tc>
              <w:tc>
                <w:tcPr>
                  <w:tcW w:w="1864" w:type="dxa"/>
                  <w:vMerge w:val="continue"/>
                  <w:vAlign w:val="center"/>
                </w:tcPr>
                <w:p w14:paraId="551B636D">
                  <w:pPr>
                    <w:autoSpaceDE w:val="0"/>
                    <w:autoSpaceDN w:val="0"/>
                    <w:snapToGrid w:val="0"/>
                    <w:jc w:val="center"/>
                    <w:rPr>
                      <w:rFonts w:eastAsia="仿宋"/>
                      <w:color w:val="000000" w:themeColor="text1"/>
                      <w:szCs w:val="22"/>
                      <w14:textFill>
                        <w14:solidFill>
                          <w14:schemeClr w14:val="tx1"/>
                        </w14:solidFill>
                      </w14:textFill>
                    </w:rPr>
                  </w:pPr>
                </w:p>
              </w:tc>
              <w:tc>
                <w:tcPr>
                  <w:tcW w:w="1107" w:type="dxa"/>
                  <w:vMerge w:val="continue"/>
                  <w:vAlign w:val="center"/>
                </w:tcPr>
                <w:p w14:paraId="16C2374C">
                  <w:pPr>
                    <w:autoSpaceDE w:val="0"/>
                    <w:autoSpaceDN w:val="0"/>
                    <w:snapToGrid w:val="0"/>
                    <w:jc w:val="center"/>
                    <w:rPr>
                      <w:rFonts w:eastAsia="仿宋"/>
                      <w:color w:val="000000" w:themeColor="text1"/>
                      <w:szCs w:val="22"/>
                      <w14:textFill>
                        <w14:solidFill>
                          <w14:schemeClr w14:val="tx1"/>
                        </w14:solidFill>
                      </w14:textFill>
                    </w:rPr>
                  </w:pPr>
                </w:p>
              </w:tc>
              <w:tc>
                <w:tcPr>
                  <w:tcW w:w="793" w:type="dxa"/>
                  <w:vMerge w:val="continue"/>
                  <w:vAlign w:val="center"/>
                </w:tcPr>
                <w:p w14:paraId="33D02B43">
                  <w:pPr>
                    <w:autoSpaceDE w:val="0"/>
                    <w:autoSpaceDN w:val="0"/>
                    <w:snapToGrid w:val="0"/>
                    <w:jc w:val="center"/>
                    <w:rPr>
                      <w:rFonts w:eastAsia="仿宋"/>
                      <w:color w:val="000000" w:themeColor="text1"/>
                      <w:szCs w:val="22"/>
                      <w14:textFill>
                        <w14:solidFill>
                          <w14:schemeClr w14:val="tx1"/>
                        </w14:solidFill>
                      </w14:textFill>
                    </w:rPr>
                  </w:pPr>
                </w:p>
              </w:tc>
              <w:tc>
                <w:tcPr>
                  <w:tcW w:w="1377" w:type="dxa"/>
                  <w:vMerge w:val="continue"/>
                  <w:vAlign w:val="center"/>
                </w:tcPr>
                <w:p w14:paraId="54187C36">
                  <w:pPr>
                    <w:autoSpaceDE w:val="0"/>
                    <w:autoSpaceDN w:val="0"/>
                    <w:snapToGrid w:val="0"/>
                    <w:jc w:val="center"/>
                    <w:rPr>
                      <w:rFonts w:eastAsia="仿宋"/>
                      <w:color w:val="000000" w:themeColor="text1"/>
                      <w:szCs w:val="22"/>
                      <w14:textFill>
                        <w14:solidFill>
                          <w14:schemeClr w14:val="tx1"/>
                        </w14:solidFill>
                      </w14:textFill>
                    </w:rPr>
                  </w:pPr>
                </w:p>
              </w:tc>
              <w:tc>
                <w:tcPr>
                  <w:tcW w:w="1333" w:type="dxa"/>
                  <w:vAlign w:val="center"/>
                </w:tcPr>
                <w:p w14:paraId="4A61F969">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TN</w:t>
                  </w:r>
                </w:p>
              </w:tc>
              <w:tc>
                <w:tcPr>
                  <w:tcW w:w="1195" w:type="dxa"/>
                  <w:vAlign w:val="center"/>
                </w:tcPr>
                <w:p w14:paraId="2BAA0A29">
                  <w:pPr>
                    <w:adjustRightInd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5</w:t>
                  </w:r>
                  <w:r>
                    <w:rPr>
                      <w:rFonts w:eastAsia="仿宋"/>
                      <w:color w:val="000000" w:themeColor="text1"/>
                      <w:szCs w:val="22"/>
                      <w14:textFill>
                        <w14:solidFill>
                          <w14:schemeClr w14:val="tx1"/>
                        </w14:solidFill>
                      </w14:textFill>
                    </w:rPr>
                    <w:t>0</w:t>
                  </w:r>
                </w:p>
              </w:tc>
            </w:tr>
          </w:tbl>
          <w:p w14:paraId="0970ABF1">
            <w:pPr>
              <w:keepNext/>
              <w:spacing w:line="500" w:lineRule="exact"/>
              <w:jc w:val="center"/>
              <w:rPr>
                <w:rFonts w:eastAsia="仿宋"/>
                <w:b/>
                <w:color w:val="000000" w:themeColor="text1"/>
                <w:szCs w:val="21"/>
                <w14:textFill>
                  <w14:solidFill>
                    <w14:schemeClr w14:val="tx1"/>
                  </w14:solidFill>
                </w14:textFill>
              </w:rPr>
            </w:pPr>
          </w:p>
          <w:p w14:paraId="4280E04B">
            <w:pPr>
              <w:tabs>
                <w:tab w:val="left" w:pos="2130"/>
              </w:tabs>
              <w:spacing w:line="500" w:lineRule="exact"/>
              <w:rPr>
                <w:rFonts w:eastAsia="仿宋"/>
                <w:color w:val="000000" w:themeColor="text1"/>
                <w:sz w:val="24"/>
                <w14:textFill>
                  <w14:solidFill>
                    <w14:schemeClr w14:val="tx1"/>
                  </w14:solidFill>
                </w14:textFill>
              </w:rPr>
            </w:pPr>
          </w:p>
        </w:tc>
      </w:tr>
    </w:tbl>
    <w:p w14:paraId="00BC5056">
      <w:pPr>
        <w:rPr>
          <w:color w:val="000000" w:themeColor="text1"/>
          <w14:textFill>
            <w14:solidFill>
              <w14:schemeClr w14:val="tx1"/>
            </w14:solidFill>
          </w14:textFill>
        </w:rPr>
        <w:sectPr>
          <w:pgSz w:w="16838" w:h="11906" w:orient="landscape"/>
          <w:pgMar w:top="1531" w:right="1701" w:bottom="1531" w:left="1701" w:header="851" w:footer="851" w:gutter="0"/>
          <w:cols w:space="720" w:num="1"/>
          <w:docGrid w:linePitch="312" w:charSpace="0"/>
        </w:sectPr>
      </w:pPr>
    </w:p>
    <w:tbl>
      <w:tblPr>
        <w:tblStyle w:val="24"/>
        <w:tblW w:w="553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2"/>
        <w:gridCol w:w="9232"/>
      </w:tblGrid>
      <w:tr w14:paraId="4DB64A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13" w:hRule="atLeast"/>
          <w:jc w:val="center"/>
        </w:trPr>
        <w:tc>
          <w:tcPr>
            <w:tcW w:w="358" w:type="pct"/>
            <w:tcMar>
              <w:left w:w="28" w:type="dxa"/>
              <w:right w:w="28" w:type="dxa"/>
            </w:tcMar>
            <w:vAlign w:val="center"/>
          </w:tcPr>
          <w:p w14:paraId="53629928">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运营期环境影响和保护措施</w:t>
            </w:r>
          </w:p>
        </w:tc>
        <w:tc>
          <w:tcPr>
            <w:tcW w:w="4642" w:type="pct"/>
            <w:vAlign w:val="center"/>
          </w:tcPr>
          <w:p w14:paraId="089A69EE">
            <w:pPr>
              <w:keepNext/>
              <w:spacing w:line="480" w:lineRule="exact"/>
              <w:jc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表4</w:t>
            </w:r>
            <w:r>
              <w:rPr>
                <w:rFonts w:eastAsia="仿宋"/>
                <w:b/>
                <w:color w:val="000000" w:themeColor="text1"/>
                <w:szCs w:val="21"/>
                <w14:textFill>
                  <w14:solidFill>
                    <w14:schemeClr w14:val="tx1"/>
                  </w14:solidFill>
                </w14:textFill>
              </w:rPr>
              <w:t>-21 废水污染物排放执行标准表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1944"/>
              <w:gridCol w:w="2390"/>
              <w:gridCol w:w="1994"/>
              <w:gridCol w:w="1333"/>
            </w:tblGrid>
            <w:tr w14:paraId="537E0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vMerge w:val="restart"/>
                  <w:vAlign w:val="center"/>
                </w:tcPr>
                <w:p w14:paraId="26DE7899">
                  <w:pPr>
                    <w:widowControl/>
                    <w:jc w:val="center"/>
                    <w:rPr>
                      <w:rFonts w:eastAsia="仿宋"/>
                      <w:b/>
                      <w:bCs/>
                      <w:color w:val="000000" w:themeColor="text1"/>
                      <w:kern w:val="0"/>
                      <w:szCs w:val="21"/>
                      <w14:textFill>
                        <w14:solidFill>
                          <w14:schemeClr w14:val="tx1"/>
                        </w14:solidFill>
                      </w14:textFill>
                    </w:rPr>
                  </w:pPr>
                  <w:r>
                    <w:rPr>
                      <w:rFonts w:eastAsia="仿宋"/>
                      <w:b/>
                      <w:bCs/>
                      <w:color w:val="000000" w:themeColor="text1"/>
                      <w:kern w:val="0"/>
                      <w:szCs w:val="21"/>
                      <w14:textFill>
                        <w14:solidFill>
                          <w14:schemeClr w14:val="tx1"/>
                        </w14:solidFill>
                      </w14:textFill>
                    </w:rPr>
                    <w:t>排放口编号</w:t>
                  </w:r>
                </w:p>
              </w:tc>
              <w:tc>
                <w:tcPr>
                  <w:tcW w:w="1079" w:type="pct"/>
                  <w:vMerge w:val="restart"/>
                  <w:vAlign w:val="center"/>
                </w:tcPr>
                <w:p w14:paraId="3FC554B5">
                  <w:pPr>
                    <w:widowControl/>
                    <w:jc w:val="center"/>
                    <w:rPr>
                      <w:rFonts w:eastAsia="仿宋"/>
                      <w:b/>
                      <w:bCs/>
                      <w:color w:val="000000" w:themeColor="text1"/>
                      <w:kern w:val="0"/>
                      <w:szCs w:val="21"/>
                      <w14:textFill>
                        <w14:solidFill>
                          <w14:schemeClr w14:val="tx1"/>
                        </w14:solidFill>
                      </w14:textFill>
                    </w:rPr>
                  </w:pPr>
                  <w:r>
                    <w:rPr>
                      <w:rFonts w:eastAsia="仿宋"/>
                      <w:b/>
                      <w:bCs/>
                      <w:color w:val="000000" w:themeColor="text1"/>
                      <w:kern w:val="0"/>
                      <w:szCs w:val="21"/>
                      <w14:textFill>
                        <w14:solidFill>
                          <w14:schemeClr w14:val="tx1"/>
                        </w14:solidFill>
                      </w14:textFill>
                    </w:rPr>
                    <w:t>污染物种类</w:t>
                  </w:r>
                </w:p>
              </w:tc>
              <w:tc>
                <w:tcPr>
                  <w:tcW w:w="3174" w:type="pct"/>
                  <w:gridSpan w:val="3"/>
                  <w:vAlign w:val="center"/>
                </w:tcPr>
                <w:p w14:paraId="104F7667">
                  <w:pPr>
                    <w:widowControl/>
                    <w:jc w:val="center"/>
                    <w:rPr>
                      <w:rFonts w:eastAsia="仿宋"/>
                      <w:b/>
                      <w:bCs/>
                      <w:color w:val="000000" w:themeColor="text1"/>
                      <w:kern w:val="0"/>
                      <w:szCs w:val="21"/>
                      <w14:textFill>
                        <w14:solidFill>
                          <w14:schemeClr w14:val="tx1"/>
                        </w14:solidFill>
                      </w14:textFill>
                    </w:rPr>
                  </w:pPr>
                  <w:r>
                    <w:rPr>
                      <w:rFonts w:eastAsia="仿宋"/>
                      <w:b/>
                      <w:bCs/>
                      <w:color w:val="000000" w:themeColor="text1"/>
                      <w:kern w:val="0"/>
                      <w:szCs w:val="21"/>
                      <w14:textFill>
                        <w14:solidFill>
                          <w14:schemeClr w14:val="tx1"/>
                        </w14:solidFill>
                      </w14:textFill>
                    </w:rPr>
                    <w:t>国家或地方排放标准及其他按规定商议的排放协议</w:t>
                  </w:r>
                </w:p>
              </w:tc>
            </w:tr>
            <w:tr w14:paraId="11D1B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vMerge w:val="continue"/>
                  <w:vAlign w:val="center"/>
                </w:tcPr>
                <w:p w14:paraId="25F7ABB7">
                  <w:pPr>
                    <w:widowControl/>
                    <w:jc w:val="center"/>
                    <w:rPr>
                      <w:rFonts w:eastAsia="仿宋"/>
                      <w:b/>
                      <w:bCs/>
                      <w:color w:val="000000" w:themeColor="text1"/>
                      <w:kern w:val="0"/>
                      <w:szCs w:val="21"/>
                      <w14:textFill>
                        <w14:solidFill>
                          <w14:schemeClr w14:val="tx1"/>
                        </w14:solidFill>
                      </w14:textFill>
                    </w:rPr>
                  </w:pPr>
                </w:p>
              </w:tc>
              <w:tc>
                <w:tcPr>
                  <w:tcW w:w="1079" w:type="pct"/>
                  <w:vMerge w:val="continue"/>
                  <w:vAlign w:val="center"/>
                </w:tcPr>
                <w:p w14:paraId="29835C1B">
                  <w:pPr>
                    <w:widowControl/>
                    <w:jc w:val="center"/>
                    <w:rPr>
                      <w:rFonts w:eastAsia="仿宋"/>
                      <w:b/>
                      <w:bCs/>
                      <w:color w:val="000000" w:themeColor="text1"/>
                      <w:kern w:val="0"/>
                      <w:szCs w:val="21"/>
                      <w14:textFill>
                        <w14:solidFill>
                          <w14:schemeClr w14:val="tx1"/>
                        </w14:solidFill>
                      </w14:textFill>
                    </w:rPr>
                  </w:pPr>
                </w:p>
              </w:tc>
              <w:tc>
                <w:tcPr>
                  <w:tcW w:w="1327" w:type="pct"/>
                  <w:vAlign w:val="center"/>
                </w:tcPr>
                <w:p w14:paraId="2F713C5F">
                  <w:pPr>
                    <w:widowControl/>
                    <w:jc w:val="center"/>
                    <w:rPr>
                      <w:rFonts w:eastAsia="仿宋"/>
                      <w:b/>
                      <w:bCs/>
                      <w:color w:val="000000" w:themeColor="text1"/>
                      <w:kern w:val="0"/>
                      <w:szCs w:val="21"/>
                      <w14:textFill>
                        <w14:solidFill>
                          <w14:schemeClr w14:val="tx1"/>
                        </w14:solidFill>
                      </w14:textFill>
                    </w:rPr>
                  </w:pPr>
                  <w:r>
                    <w:rPr>
                      <w:rFonts w:eastAsia="仿宋"/>
                      <w:b/>
                      <w:bCs/>
                      <w:color w:val="000000" w:themeColor="text1"/>
                      <w:kern w:val="0"/>
                      <w:szCs w:val="21"/>
                      <w14:textFill>
                        <w14:solidFill>
                          <w14:schemeClr w14:val="tx1"/>
                        </w14:solidFill>
                      </w14:textFill>
                    </w:rPr>
                    <w:t>名称</w:t>
                  </w:r>
                </w:p>
              </w:tc>
              <w:tc>
                <w:tcPr>
                  <w:tcW w:w="1847" w:type="pct"/>
                  <w:gridSpan w:val="2"/>
                  <w:vAlign w:val="center"/>
                </w:tcPr>
                <w:p w14:paraId="2625C3B5">
                  <w:pPr>
                    <w:widowControl/>
                    <w:jc w:val="center"/>
                    <w:rPr>
                      <w:rFonts w:eastAsia="仿宋"/>
                      <w:b/>
                      <w:bCs/>
                      <w:color w:val="000000" w:themeColor="text1"/>
                      <w:kern w:val="0"/>
                      <w:szCs w:val="21"/>
                      <w14:textFill>
                        <w14:solidFill>
                          <w14:schemeClr w14:val="tx1"/>
                        </w14:solidFill>
                      </w14:textFill>
                    </w:rPr>
                  </w:pPr>
                  <w:r>
                    <w:rPr>
                      <w:rFonts w:eastAsia="仿宋"/>
                      <w:b/>
                      <w:bCs/>
                      <w:color w:val="000000" w:themeColor="text1"/>
                      <w:kern w:val="0"/>
                      <w:szCs w:val="21"/>
                      <w14:textFill>
                        <w14:solidFill>
                          <w14:schemeClr w14:val="tx1"/>
                        </w14:solidFill>
                      </w14:textFill>
                    </w:rPr>
                    <w:t>浓度限值（mg/L）</w:t>
                  </w:r>
                </w:p>
              </w:tc>
            </w:tr>
            <w:tr w14:paraId="56DA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vMerge w:val="restart"/>
                  <w:vAlign w:val="center"/>
                </w:tcPr>
                <w:p w14:paraId="36568A42">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DW</w:t>
                  </w:r>
                  <w:r>
                    <w:rPr>
                      <w:rFonts w:hint="eastAsia" w:eastAsia="仿宋"/>
                      <w:color w:val="000000" w:themeColor="text1"/>
                      <w:kern w:val="0"/>
                      <w:szCs w:val="21"/>
                      <w14:textFill>
                        <w14:solidFill>
                          <w14:schemeClr w14:val="tx1"/>
                        </w14:solidFill>
                      </w14:textFill>
                    </w:rPr>
                    <w:t>001</w:t>
                  </w:r>
                </w:p>
              </w:tc>
              <w:tc>
                <w:tcPr>
                  <w:tcW w:w="1079" w:type="pct"/>
                  <w:vMerge w:val="restart"/>
                  <w:vAlign w:val="center"/>
                </w:tcPr>
                <w:p w14:paraId="3102D46D">
                  <w:pPr>
                    <w:widowControl/>
                    <w:jc w:val="center"/>
                    <w:rPr>
                      <w:rFonts w:eastAsia="仿宋"/>
                      <w:color w:val="000000" w:themeColor="text1"/>
                      <w:kern w:val="0"/>
                      <w:szCs w:val="21"/>
                      <w14:textFill>
                        <w14:solidFill>
                          <w14:schemeClr w14:val="tx1"/>
                        </w14:solidFill>
                      </w14:textFill>
                    </w:rPr>
                  </w:pPr>
                  <w:r>
                    <w:rPr>
                      <w:rFonts w:hint="eastAsia" w:eastAsia="仿宋"/>
                      <w:color w:val="000000" w:themeColor="text1"/>
                      <w:kern w:val="0"/>
                      <w:szCs w:val="21"/>
                      <w14:textFill>
                        <w14:solidFill>
                          <w14:schemeClr w14:val="tx1"/>
                        </w14:solidFill>
                      </w14:textFill>
                    </w:rPr>
                    <w:t>COD、SS、NH</w:t>
                  </w:r>
                  <w:r>
                    <w:rPr>
                      <w:rFonts w:hint="eastAsia" w:eastAsia="仿宋"/>
                      <w:color w:val="000000" w:themeColor="text1"/>
                      <w:kern w:val="0"/>
                      <w:szCs w:val="21"/>
                      <w:vertAlign w:val="subscript"/>
                      <w14:textFill>
                        <w14:solidFill>
                          <w14:schemeClr w14:val="tx1"/>
                        </w14:solidFill>
                      </w14:textFill>
                    </w:rPr>
                    <w:t>3</w:t>
                  </w:r>
                  <w:r>
                    <w:rPr>
                      <w:rFonts w:hint="eastAsia" w:eastAsia="仿宋"/>
                      <w:color w:val="000000" w:themeColor="text1"/>
                      <w:kern w:val="0"/>
                      <w:szCs w:val="21"/>
                      <w14:textFill>
                        <w14:solidFill>
                          <w14:schemeClr w14:val="tx1"/>
                        </w14:solidFill>
                      </w14:textFill>
                    </w:rPr>
                    <w:t>-N、TP、TN</w:t>
                  </w:r>
                </w:p>
              </w:tc>
              <w:tc>
                <w:tcPr>
                  <w:tcW w:w="1327" w:type="pct"/>
                  <w:vMerge w:val="restart"/>
                  <w:vAlign w:val="center"/>
                </w:tcPr>
                <w:p w14:paraId="549C3A41">
                  <w:pPr>
                    <w:widowControl/>
                    <w:jc w:val="center"/>
                    <w:rPr>
                      <w:rFonts w:eastAsia="仿宋"/>
                      <w:color w:val="000000" w:themeColor="text1"/>
                      <w:kern w:val="0"/>
                      <w:szCs w:val="21"/>
                      <w14:textFill>
                        <w14:solidFill>
                          <w14:schemeClr w14:val="tx1"/>
                        </w14:solidFill>
                      </w14:textFill>
                    </w:rPr>
                  </w:pPr>
                  <w:r>
                    <w:rPr>
                      <w:rFonts w:hint="eastAsia" w:eastAsia="仿宋"/>
                      <w:color w:val="000000" w:themeColor="text1"/>
                      <w:kern w:val="0"/>
                      <w:szCs w:val="21"/>
                      <w14:textFill>
                        <w14:solidFill>
                          <w14:schemeClr w14:val="tx1"/>
                        </w14:solidFill>
                      </w14:textFill>
                    </w:rPr>
                    <w:t>金坛区第二污水处理厂</w:t>
                  </w:r>
                  <w:r>
                    <w:rPr>
                      <w:rFonts w:eastAsia="仿宋"/>
                      <w:color w:val="000000" w:themeColor="text1"/>
                      <w:kern w:val="0"/>
                      <w:szCs w:val="21"/>
                      <w14:textFill>
                        <w14:solidFill>
                          <w14:schemeClr w14:val="tx1"/>
                        </w14:solidFill>
                      </w14:textFill>
                    </w:rPr>
                    <w:t>接管标准</w:t>
                  </w:r>
                </w:p>
              </w:tc>
              <w:tc>
                <w:tcPr>
                  <w:tcW w:w="1107" w:type="pct"/>
                  <w:vAlign w:val="center"/>
                </w:tcPr>
                <w:p w14:paraId="0873B59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COD</w:t>
                  </w:r>
                </w:p>
              </w:tc>
              <w:tc>
                <w:tcPr>
                  <w:tcW w:w="740" w:type="pct"/>
                  <w:vAlign w:val="center"/>
                </w:tcPr>
                <w:p w14:paraId="5A0A43DC">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500</w:t>
                  </w:r>
                </w:p>
              </w:tc>
            </w:tr>
            <w:tr w14:paraId="35DFA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vMerge w:val="continue"/>
                  <w:vAlign w:val="center"/>
                </w:tcPr>
                <w:p w14:paraId="0DB8EBB8">
                  <w:pPr>
                    <w:widowControl/>
                    <w:jc w:val="center"/>
                    <w:rPr>
                      <w:rFonts w:eastAsia="仿宋"/>
                      <w:color w:val="000000" w:themeColor="text1"/>
                      <w:kern w:val="0"/>
                      <w:szCs w:val="21"/>
                      <w14:textFill>
                        <w14:solidFill>
                          <w14:schemeClr w14:val="tx1"/>
                        </w14:solidFill>
                      </w14:textFill>
                    </w:rPr>
                  </w:pPr>
                </w:p>
              </w:tc>
              <w:tc>
                <w:tcPr>
                  <w:tcW w:w="1079" w:type="pct"/>
                  <w:vMerge w:val="continue"/>
                  <w:vAlign w:val="center"/>
                </w:tcPr>
                <w:p w14:paraId="0A379C2F">
                  <w:pPr>
                    <w:widowControl/>
                    <w:rPr>
                      <w:rFonts w:eastAsia="仿宋"/>
                      <w:color w:val="000000" w:themeColor="text1"/>
                      <w:kern w:val="0"/>
                      <w:szCs w:val="21"/>
                      <w14:textFill>
                        <w14:solidFill>
                          <w14:schemeClr w14:val="tx1"/>
                        </w14:solidFill>
                      </w14:textFill>
                    </w:rPr>
                  </w:pPr>
                </w:p>
              </w:tc>
              <w:tc>
                <w:tcPr>
                  <w:tcW w:w="1327" w:type="pct"/>
                  <w:vMerge w:val="continue"/>
                  <w:vAlign w:val="center"/>
                </w:tcPr>
                <w:p w14:paraId="126F5C3E">
                  <w:pPr>
                    <w:widowControl/>
                    <w:jc w:val="center"/>
                    <w:rPr>
                      <w:rFonts w:eastAsia="仿宋"/>
                      <w:color w:val="000000" w:themeColor="text1"/>
                      <w:kern w:val="0"/>
                      <w:szCs w:val="21"/>
                      <w14:textFill>
                        <w14:solidFill>
                          <w14:schemeClr w14:val="tx1"/>
                        </w14:solidFill>
                      </w14:textFill>
                    </w:rPr>
                  </w:pPr>
                </w:p>
              </w:tc>
              <w:tc>
                <w:tcPr>
                  <w:tcW w:w="1107" w:type="pct"/>
                  <w:vAlign w:val="center"/>
                </w:tcPr>
                <w:p w14:paraId="55326D98">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SS</w:t>
                  </w:r>
                </w:p>
              </w:tc>
              <w:tc>
                <w:tcPr>
                  <w:tcW w:w="740" w:type="pct"/>
                  <w:vAlign w:val="center"/>
                </w:tcPr>
                <w:p w14:paraId="0AA34D78">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250</w:t>
                  </w:r>
                </w:p>
              </w:tc>
            </w:tr>
            <w:tr w14:paraId="5427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vMerge w:val="continue"/>
                  <w:vAlign w:val="center"/>
                </w:tcPr>
                <w:p w14:paraId="5F485755">
                  <w:pPr>
                    <w:widowControl/>
                    <w:jc w:val="center"/>
                    <w:rPr>
                      <w:rFonts w:eastAsia="仿宋"/>
                      <w:color w:val="000000" w:themeColor="text1"/>
                      <w:kern w:val="0"/>
                      <w:szCs w:val="21"/>
                      <w14:textFill>
                        <w14:solidFill>
                          <w14:schemeClr w14:val="tx1"/>
                        </w14:solidFill>
                      </w14:textFill>
                    </w:rPr>
                  </w:pPr>
                </w:p>
              </w:tc>
              <w:tc>
                <w:tcPr>
                  <w:tcW w:w="1079" w:type="pct"/>
                  <w:vMerge w:val="continue"/>
                  <w:vAlign w:val="center"/>
                </w:tcPr>
                <w:p w14:paraId="754B3A68">
                  <w:pPr>
                    <w:widowControl/>
                    <w:rPr>
                      <w:rFonts w:eastAsia="仿宋"/>
                      <w:color w:val="000000" w:themeColor="text1"/>
                      <w:kern w:val="0"/>
                      <w:szCs w:val="21"/>
                      <w14:textFill>
                        <w14:solidFill>
                          <w14:schemeClr w14:val="tx1"/>
                        </w14:solidFill>
                      </w14:textFill>
                    </w:rPr>
                  </w:pPr>
                </w:p>
              </w:tc>
              <w:tc>
                <w:tcPr>
                  <w:tcW w:w="1327" w:type="pct"/>
                  <w:vMerge w:val="continue"/>
                  <w:vAlign w:val="center"/>
                </w:tcPr>
                <w:p w14:paraId="620CA283">
                  <w:pPr>
                    <w:widowControl/>
                    <w:jc w:val="center"/>
                    <w:rPr>
                      <w:rFonts w:eastAsia="仿宋"/>
                      <w:color w:val="000000" w:themeColor="text1"/>
                      <w:kern w:val="0"/>
                      <w:szCs w:val="21"/>
                      <w14:textFill>
                        <w14:solidFill>
                          <w14:schemeClr w14:val="tx1"/>
                        </w14:solidFill>
                      </w14:textFill>
                    </w:rPr>
                  </w:pPr>
                </w:p>
              </w:tc>
              <w:tc>
                <w:tcPr>
                  <w:tcW w:w="1107" w:type="pct"/>
                  <w:vAlign w:val="center"/>
                </w:tcPr>
                <w:p w14:paraId="19C369D0">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NH</w:t>
                  </w:r>
                  <w:r>
                    <w:rPr>
                      <w:rFonts w:eastAsia="仿宋"/>
                      <w:color w:val="000000" w:themeColor="text1"/>
                      <w:szCs w:val="22"/>
                      <w:vertAlign w:val="subscript"/>
                      <w14:textFill>
                        <w14:solidFill>
                          <w14:schemeClr w14:val="tx1"/>
                        </w14:solidFill>
                      </w14:textFill>
                    </w:rPr>
                    <w:t>3</w:t>
                  </w:r>
                  <w:r>
                    <w:rPr>
                      <w:rFonts w:eastAsia="仿宋"/>
                      <w:color w:val="000000" w:themeColor="text1"/>
                      <w:szCs w:val="22"/>
                      <w14:textFill>
                        <w14:solidFill>
                          <w14:schemeClr w14:val="tx1"/>
                        </w14:solidFill>
                      </w14:textFill>
                    </w:rPr>
                    <w:t>-N</w:t>
                  </w:r>
                </w:p>
              </w:tc>
              <w:tc>
                <w:tcPr>
                  <w:tcW w:w="740" w:type="pct"/>
                  <w:vAlign w:val="center"/>
                </w:tcPr>
                <w:p w14:paraId="78BF0B74">
                  <w:pPr>
                    <w:adjustRightInd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3</w:t>
                  </w:r>
                  <w:r>
                    <w:rPr>
                      <w:rFonts w:eastAsia="仿宋"/>
                      <w:color w:val="000000" w:themeColor="text1"/>
                      <w:szCs w:val="22"/>
                      <w14:textFill>
                        <w14:solidFill>
                          <w14:schemeClr w14:val="tx1"/>
                        </w14:solidFill>
                      </w14:textFill>
                    </w:rPr>
                    <w:t>5</w:t>
                  </w:r>
                </w:p>
              </w:tc>
            </w:tr>
            <w:tr w14:paraId="10972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vMerge w:val="continue"/>
                  <w:vAlign w:val="center"/>
                </w:tcPr>
                <w:p w14:paraId="047B0DFB">
                  <w:pPr>
                    <w:widowControl/>
                    <w:jc w:val="center"/>
                    <w:rPr>
                      <w:rFonts w:eastAsia="仿宋"/>
                      <w:color w:val="000000" w:themeColor="text1"/>
                      <w:kern w:val="0"/>
                      <w:szCs w:val="21"/>
                      <w14:textFill>
                        <w14:solidFill>
                          <w14:schemeClr w14:val="tx1"/>
                        </w14:solidFill>
                      </w14:textFill>
                    </w:rPr>
                  </w:pPr>
                </w:p>
              </w:tc>
              <w:tc>
                <w:tcPr>
                  <w:tcW w:w="1079" w:type="pct"/>
                  <w:vMerge w:val="continue"/>
                  <w:vAlign w:val="center"/>
                </w:tcPr>
                <w:p w14:paraId="7FD403BD">
                  <w:pPr>
                    <w:widowControl/>
                    <w:rPr>
                      <w:rFonts w:eastAsia="仿宋"/>
                      <w:color w:val="000000" w:themeColor="text1"/>
                      <w:kern w:val="0"/>
                      <w:szCs w:val="21"/>
                      <w14:textFill>
                        <w14:solidFill>
                          <w14:schemeClr w14:val="tx1"/>
                        </w14:solidFill>
                      </w14:textFill>
                    </w:rPr>
                  </w:pPr>
                </w:p>
              </w:tc>
              <w:tc>
                <w:tcPr>
                  <w:tcW w:w="1327" w:type="pct"/>
                  <w:vMerge w:val="continue"/>
                  <w:vAlign w:val="center"/>
                </w:tcPr>
                <w:p w14:paraId="03A0544A">
                  <w:pPr>
                    <w:widowControl/>
                    <w:jc w:val="center"/>
                    <w:rPr>
                      <w:rFonts w:eastAsia="仿宋"/>
                      <w:color w:val="000000" w:themeColor="text1"/>
                      <w:kern w:val="0"/>
                      <w:szCs w:val="21"/>
                      <w14:textFill>
                        <w14:solidFill>
                          <w14:schemeClr w14:val="tx1"/>
                        </w14:solidFill>
                      </w14:textFill>
                    </w:rPr>
                  </w:pPr>
                </w:p>
              </w:tc>
              <w:tc>
                <w:tcPr>
                  <w:tcW w:w="1107" w:type="pct"/>
                  <w:vAlign w:val="center"/>
                </w:tcPr>
                <w:p w14:paraId="38CE3A4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TP</w:t>
                  </w:r>
                </w:p>
              </w:tc>
              <w:tc>
                <w:tcPr>
                  <w:tcW w:w="740" w:type="pct"/>
                  <w:vAlign w:val="center"/>
                </w:tcPr>
                <w:p w14:paraId="5A9E93C0">
                  <w:pPr>
                    <w:adjustRightInd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3</w:t>
                  </w:r>
                </w:p>
              </w:tc>
            </w:tr>
            <w:tr w14:paraId="1AA31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7" w:type="pct"/>
                  <w:vMerge w:val="continue"/>
                  <w:vAlign w:val="center"/>
                </w:tcPr>
                <w:p w14:paraId="115CAD0F">
                  <w:pPr>
                    <w:widowControl/>
                    <w:jc w:val="center"/>
                    <w:rPr>
                      <w:rFonts w:eastAsia="仿宋"/>
                      <w:color w:val="000000" w:themeColor="text1"/>
                      <w:kern w:val="0"/>
                      <w:szCs w:val="21"/>
                      <w14:textFill>
                        <w14:solidFill>
                          <w14:schemeClr w14:val="tx1"/>
                        </w14:solidFill>
                      </w14:textFill>
                    </w:rPr>
                  </w:pPr>
                </w:p>
              </w:tc>
              <w:tc>
                <w:tcPr>
                  <w:tcW w:w="1079" w:type="pct"/>
                  <w:vMerge w:val="continue"/>
                  <w:vAlign w:val="center"/>
                </w:tcPr>
                <w:p w14:paraId="2B67D4EB">
                  <w:pPr>
                    <w:widowControl/>
                    <w:rPr>
                      <w:rFonts w:eastAsia="仿宋"/>
                      <w:color w:val="000000" w:themeColor="text1"/>
                      <w:kern w:val="0"/>
                      <w:szCs w:val="21"/>
                      <w14:textFill>
                        <w14:solidFill>
                          <w14:schemeClr w14:val="tx1"/>
                        </w14:solidFill>
                      </w14:textFill>
                    </w:rPr>
                  </w:pPr>
                </w:p>
              </w:tc>
              <w:tc>
                <w:tcPr>
                  <w:tcW w:w="1327" w:type="pct"/>
                  <w:vMerge w:val="continue"/>
                  <w:vAlign w:val="center"/>
                </w:tcPr>
                <w:p w14:paraId="49600540">
                  <w:pPr>
                    <w:widowControl/>
                    <w:jc w:val="center"/>
                    <w:rPr>
                      <w:rFonts w:eastAsia="仿宋"/>
                      <w:color w:val="000000" w:themeColor="text1"/>
                      <w:kern w:val="0"/>
                      <w:szCs w:val="21"/>
                      <w14:textFill>
                        <w14:solidFill>
                          <w14:schemeClr w14:val="tx1"/>
                        </w14:solidFill>
                      </w14:textFill>
                    </w:rPr>
                  </w:pPr>
                </w:p>
              </w:tc>
              <w:tc>
                <w:tcPr>
                  <w:tcW w:w="1107" w:type="pct"/>
                  <w:vAlign w:val="center"/>
                </w:tcPr>
                <w:p w14:paraId="03B645D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TN</w:t>
                  </w:r>
                </w:p>
              </w:tc>
              <w:tc>
                <w:tcPr>
                  <w:tcW w:w="740" w:type="pct"/>
                  <w:vAlign w:val="center"/>
                </w:tcPr>
                <w:p w14:paraId="02A1F791">
                  <w:pPr>
                    <w:adjustRightInd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5</w:t>
                  </w:r>
                  <w:r>
                    <w:rPr>
                      <w:rFonts w:eastAsia="仿宋"/>
                      <w:color w:val="000000" w:themeColor="text1"/>
                      <w:szCs w:val="22"/>
                      <w14:textFill>
                        <w14:solidFill>
                          <w14:schemeClr w14:val="tx1"/>
                        </w14:solidFill>
                      </w14:textFill>
                    </w:rPr>
                    <w:t>0</w:t>
                  </w:r>
                </w:p>
              </w:tc>
            </w:tr>
          </w:tbl>
          <w:p w14:paraId="7E3B2830">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（2）污染物排放汇总表</w:t>
            </w:r>
          </w:p>
          <w:p w14:paraId="3E81ABEE">
            <w:pPr>
              <w:keepNext/>
              <w:spacing w:line="480" w:lineRule="exact"/>
              <w:jc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表4</w:t>
            </w:r>
            <w:r>
              <w:rPr>
                <w:rFonts w:eastAsia="仿宋"/>
                <w:b/>
                <w:color w:val="000000" w:themeColor="text1"/>
                <w:szCs w:val="21"/>
                <w14:textFill>
                  <w14:solidFill>
                    <w14:schemeClr w14:val="tx1"/>
                  </w14:solidFill>
                </w14:textFill>
              </w:rPr>
              <w:t>-22 本项目废水产排情况汇总</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879"/>
              <w:gridCol w:w="881"/>
              <w:gridCol w:w="1026"/>
              <w:gridCol w:w="879"/>
              <w:gridCol w:w="733"/>
              <w:gridCol w:w="1173"/>
              <w:gridCol w:w="881"/>
              <w:gridCol w:w="1173"/>
              <w:gridCol w:w="761"/>
            </w:tblGrid>
            <w:tr w14:paraId="170CB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5" w:type="pct"/>
                  <w:shd w:val="clear" w:color="auto" w:fill="auto"/>
                  <w:noWrap/>
                  <w:vAlign w:val="center"/>
                </w:tcPr>
                <w:p w14:paraId="0FAD91EB">
                  <w:pPr>
                    <w:widowControl/>
                    <w:jc w:val="center"/>
                    <w:textAlignment w:val="center"/>
                    <w:rPr>
                      <w:rFonts w:eastAsia="仿宋"/>
                      <w:b/>
                      <w:bCs/>
                      <w:color w:val="000000" w:themeColor="text1"/>
                      <w:szCs w:val="21"/>
                      <w14:textFill>
                        <w14:solidFill>
                          <w14:schemeClr w14:val="tx1"/>
                        </w14:solidFill>
                      </w14:textFill>
                    </w:rPr>
                  </w:pPr>
                  <w:r>
                    <w:rPr>
                      <w:rFonts w:eastAsia="仿宋"/>
                      <w:b/>
                      <w:bCs/>
                      <w:color w:val="000000" w:themeColor="text1"/>
                      <w:kern w:val="0"/>
                      <w:szCs w:val="21"/>
                      <w:lang w:bidi="ar"/>
                      <w14:textFill>
                        <w14:solidFill>
                          <w14:schemeClr w14:val="tx1"/>
                        </w14:solidFill>
                      </w14:textFill>
                    </w:rPr>
                    <w:t>废水类型</w:t>
                  </w:r>
                </w:p>
              </w:tc>
              <w:tc>
                <w:tcPr>
                  <w:tcW w:w="488" w:type="pct"/>
                  <w:shd w:val="clear" w:color="auto" w:fill="auto"/>
                  <w:vAlign w:val="center"/>
                </w:tcPr>
                <w:p w14:paraId="10C3B0A7">
                  <w:pPr>
                    <w:widowControl/>
                    <w:jc w:val="center"/>
                    <w:textAlignment w:val="center"/>
                    <w:rPr>
                      <w:rFonts w:eastAsia="仿宋"/>
                      <w:b/>
                      <w:bCs/>
                      <w:color w:val="000000" w:themeColor="text1"/>
                      <w:szCs w:val="21"/>
                      <w14:textFill>
                        <w14:solidFill>
                          <w14:schemeClr w14:val="tx1"/>
                        </w14:solidFill>
                      </w14:textFill>
                    </w:rPr>
                  </w:pPr>
                  <w:r>
                    <w:rPr>
                      <w:rFonts w:eastAsia="仿宋"/>
                      <w:b/>
                      <w:bCs/>
                      <w:color w:val="000000" w:themeColor="text1"/>
                      <w:kern w:val="0"/>
                      <w:szCs w:val="21"/>
                      <w:lang w:bidi="ar"/>
                      <w14:textFill>
                        <w14:solidFill>
                          <w14:schemeClr w14:val="tx1"/>
                        </w14:solidFill>
                      </w14:textFill>
                    </w:rPr>
                    <w:t>废水量（t/a）</w:t>
                  </w:r>
                </w:p>
              </w:tc>
              <w:tc>
                <w:tcPr>
                  <w:tcW w:w="489" w:type="pct"/>
                  <w:shd w:val="clear" w:color="auto" w:fill="auto"/>
                  <w:noWrap/>
                  <w:vAlign w:val="center"/>
                </w:tcPr>
                <w:p w14:paraId="3E5CA6B3">
                  <w:pPr>
                    <w:widowControl/>
                    <w:jc w:val="center"/>
                    <w:textAlignment w:val="center"/>
                    <w:rPr>
                      <w:rFonts w:eastAsia="仿宋"/>
                      <w:b/>
                      <w:bCs/>
                      <w:color w:val="000000" w:themeColor="text1"/>
                      <w:szCs w:val="21"/>
                      <w14:textFill>
                        <w14:solidFill>
                          <w14:schemeClr w14:val="tx1"/>
                        </w14:solidFill>
                      </w14:textFill>
                    </w:rPr>
                  </w:pPr>
                  <w:r>
                    <w:rPr>
                      <w:rFonts w:eastAsia="仿宋"/>
                      <w:b/>
                      <w:bCs/>
                      <w:color w:val="000000" w:themeColor="text1"/>
                      <w:kern w:val="0"/>
                      <w:szCs w:val="21"/>
                      <w:lang w:bidi="ar"/>
                      <w14:textFill>
                        <w14:solidFill>
                          <w14:schemeClr w14:val="tx1"/>
                        </w14:solidFill>
                      </w14:textFill>
                    </w:rPr>
                    <w:t>污染物因子</w:t>
                  </w:r>
                </w:p>
              </w:tc>
              <w:tc>
                <w:tcPr>
                  <w:tcW w:w="570" w:type="pct"/>
                  <w:shd w:val="clear" w:color="auto" w:fill="auto"/>
                  <w:noWrap/>
                  <w:vAlign w:val="center"/>
                </w:tcPr>
                <w:p w14:paraId="0373E511">
                  <w:pPr>
                    <w:widowControl/>
                    <w:jc w:val="center"/>
                    <w:textAlignment w:val="center"/>
                    <w:rPr>
                      <w:rFonts w:eastAsia="仿宋"/>
                      <w:b/>
                      <w:bCs/>
                      <w:color w:val="000000" w:themeColor="text1"/>
                      <w:szCs w:val="21"/>
                      <w14:textFill>
                        <w14:solidFill>
                          <w14:schemeClr w14:val="tx1"/>
                        </w14:solidFill>
                      </w14:textFill>
                    </w:rPr>
                  </w:pPr>
                  <w:r>
                    <w:rPr>
                      <w:rFonts w:eastAsia="仿宋"/>
                      <w:b/>
                      <w:bCs/>
                      <w:color w:val="000000" w:themeColor="text1"/>
                      <w:kern w:val="0"/>
                      <w:szCs w:val="21"/>
                      <w:lang w:bidi="ar"/>
                      <w14:textFill>
                        <w14:solidFill>
                          <w14:schemeClr w14:val="tx1"/>
                        </w14:solidFill>
                      </w14:textFill>
                    </w:rPr>
                    <w:t>产生浓度（mg/L）</w:t>
                  </w:r>
                </w:p>
              </w:tc>
              <w:tc>
                <w:tcPr>
                  <w:tcW w:w="488" w:type="pct"/>
                  <w:shd w:val="clear" w:color="auto" w:fill="auto"/>
                  <w:noWrap/>
                  <w:vAlign w:val="center"/>
                </w:tcPr>
                <w:p w14:paraId="10276DF5">
                  <w:pPr>
                    <w:widowControl/>
                    <w:jc w:val="center"/>
                    <w:textAlignment w:val="center"/>
                    <w:rPr>
                      <w:rFonts w:eastAsia="仿宋"/>
                      <w:b/>
                      <w:bCs/>
                      <w:color w:val="000000" w:themeColor="text1"/>
                      <w:szCs w:val="21"/>
                      <w14:textFill>
                        <w14:solidFill>
                          <w14:schemeClr w14:val="tx1"/>
                        </w14:solidFill>
                      </w14:textFill>
                    </w:rPr>
                  </w:pPr>
                  <w:r>
                    <w:rPr>
                      <w:rFonts w:eastAsia="仿宋"/>
                      <w:b/>
                      <w:bCs/>
                      <w:color w:val="000000" w:themeColor="text1"/>
                      <w:kern w:val="0"/>
                      <w:szCs w:val="21"/>
                      <w:lang w:bidi="ar"/>
                      <w14:textFill>
                        <w14:solidFill>
                          <w14:schemeClr w14:val="tx1"/>
                        </w14:solidFill>
                      </w14:textFill>
                    </w:rPr>
                    <w:t>产生量（t/a）</w:t>
                  </w:r>
                </w:p>
              </w:tc>
              <w:tc>
                <w:tcPr>
                  <w:tcW w:w="407" w:type="pct"/>
                  <w:shd w:val="clear" w:color="auto" w:fill="auto"/>
                  <w:vAlign w:val="center"/>
                </w:tcPr>
                <w:p w14:paraId="53B20CFF">
                  <w:pPr>
                    <w:widowControl/>
                    <w:jc w:val="center"/>
                    <w:textAlignment w:val="center"/>
                    <w:rPr>
                      <w:rFonts w:eastAsia="仿宋"/>
                      <w:b/>
                      <w:bCs/>
                      <w:color w:val="000000" w:themeColor="text1"/>
                      <w:szCs w:val="21"/>
                      <w14:textFill>
                        <w14:solidFill>
                          <w14:schemeClr w14:val="tx1"/>
                        </w14:solidFill>
                      </w14:textFill>
                    </w:rPr>
                  </w:pPr>
                  <w:r>
                    <w:rPr>
                      <w:rFonts w:eastAsia="仿宋"/>
                      <w:b/>
                      <w:bCs/>
                      <w:color w:val="000000" w:themeColor="text1"/>
                      <w:kern w:val="0"/>
                      <w:szCs w:val="21"/>
                      <w:lang w:bidi="ar"/>
                      <w14:textFill>
                        <w14:solidFill>
                          <w14:schemeClr w14:val="tx1"/>
                        </w14:solidFill>
                      </w14:textFill>
                    </w:rPr>
                    <w:t>处理措施</w:t>
                  </w:r>
                </w:p>
              </w:tc>
              <w:tc>
                <w:tcPr>
                  <w:tcW w:w="651" w:type="pct"/>
                  <w:shd w:val="clear" w:color="auto" w:fill="auto"/>
                  <w:vAlign w:val="center"/>
                </w:tcPr>
                <w:p w14:paraId="70A966EE">
                  <w:pPr>
                    <w:widowControl/>
                    <w:jc w:val="center"/>
                    <w:textAlignment w:val="center"/>
                    <w:rPr>
                      <w:rFonts w:eastAsia="仿宋"/>
                      <w:b/>
                      <w:bCs/>
                      <w:color w:val="000000" w:themeColor="text1"/>
                      <w:kern w:val="0"/>
                      <w:szCs w:val="21"/>
                      <w:lang w:bidi="ar"/>
                      <w14:textFill>
                        <w14:solidFill>
                          <w14:schemeClr w14:val="tx1"/>
                        </w14:solidFill>
                      </w14:textFill>
                    </w:rPr>
                  </w:pPr>
                  <w:r>
                    <w:rPr>
                      <w:rFonts w:eastAsia="仿宋"/>
                      <w:b/>
                      <w:bCs/>
                      <w:color w:val="000000" w:themeColor="text1"/>
                      <w:kern w:val="0"/>
                      <w:szCs w:val="21"/>
                      <w:lang w:bidi="ar"/>
                      <w14:textFill>
                        <w14:solidFill>
                          <w14:schemeClr w14:val="tx1"/>
                        </w14:solidFill>
                      </w14:textFill>
                    </w:rPr>
                    <w:t>排放浓度（</w:t>
                  </w:r>
                  <w:r>
                    <w:rPr>
                      <w:rStyle w:val="109"/>
                      <w:rFonts w:hint="default" w:ascii="Times New Roman" w:hAnsi="Times New Roman" w:eastAsia="仿宋" w:cs="Times New Roman"/>
                      <w:b/>
                      <w:bCs/>
                      <w:color w:val="000000" w:themeColor="text1"/>
                      <w:sz w:val="21"/>
                      <w:szCs w:val="21"/>
                      <w:lang w:bidi="ar"/>
                      <w14:textFill>
                        <w14:solidFill>
                          <w14:schemeClr w14:val="tx1"/>
                        </w14:solidFill>
                      </w14:textFill>
                    </w:rPr>
                    <w:t>mg/L</w:t>
                  </w:r>
                  <w:r>
                    <w:rPr>
                      <w:rFonts w:eastAsia="仿宋"/>
                      <w:b/>
                      <w:bCs/>
                      <w:color w:val="000000" w:themeColor="text1"/>
                      <w:kern w:val="0"/>
                      <w:szCs w:val="21"/>
                      <w:lang w:bidi="ar"/>
                      <w14:textFill>
                        <w14:solidFill>
                          <w14:schemeClr w14:val="tx1"/>
                        </w14:solidFill>
                      </w14:textFill>
                    </w:rPr>
                    <w:t>）</w:t>
                  </w:r>
                </w:p>
              </w:tc>
              <w:tc>
                <w:tcPr>
                  <w:tcW w:w="489" w:type="pct"/>
                  <w:shd w:val="clear" w:color="auto" w:fill="auto"/>
                  <w:vAlign w:val="center"/>
                </w:tcPr>
                <w:p w14:paraId="2DDE9F90">
                  <w:pPr>
                    <w:widowControl/>
                    <w:jc w:val="center"/>
                    <w:textAlignment w:val="center"/>
                    <w:rPr>
                      <w:rFonts w:eastAsia="仿宋"/>
                      <w:b/>
                      <w:bCs/>
                      <w:color w:val="000000" w:themeColor="text1"/>
                      <w:kern w:val="0"/>
                      <w:szCs w:val="21"/>
                      <w:lang w:bidi="ar"/>
                      <w14:textFill>
                        <w14:solidFill>
                          <w14:schemeClr w14:val="tx1"/>
                        </w14:solidFill>
                      </w14:textFill>
                    </w:rPr>
                  </w:pPr>
                  <w:r>
                    <w:rPr>
                      <w:rFonts w:eastAsia="仿宋"/>
                      <w:b/>
                      <w:bCs/>
                      <w:color w:val="000000" w:themeColor="text1"/>
                      <w:kern w:val="0"/>
                      <w:szCs w:val="21"/>
                      <w:lang w:bidi="ar"/>
                      <w14:textFill>
                        <w14:solidFill>
                          <w14:schemeClr w14:val="tx1"/>
                        </w14:solidFill>
                      </w14:textFill>
                    </w:rPr>
                    <w:t>排放量（</w:t>
                  </w:r>
                  <w:r>
                    <w:rPr>
                      <w:rStyle w:val="109"/>
                      <w:rFonts w:hint="default" w:ascii="Times New Roman" w:hAnsi="Times New Roman" w:eastAsia="仿宋" w:cs="Times New Roman"/>
                      <w:b/>
                      <w:bCs/>
                      <w:color w:val="000000" w:themeColor="text1"/>
                      <w:sz w:val="21"/>
                      <w:szCs w:val="21"/>
                      <w:lang w:bidi="ar"/>
                      <w14:textFill>
                        <w14:solidFill>
                          <w14:schemeClr w14:val="tx1"/>
                        </w14:solidFill>
                      </w14:textFill>
                    </w:rPr>
                    <w:t>t/a</w:t>
                  </w:r>
                  <w:r>
                    <w:rPr>
                      <w:rFonts w:eastAsia="仿宋"/>
                      <w:b/>
                      <w:bCs/>
                      <w:color w:val="000000" w:themeColor="text1"/>
                      <w:kern w:val="0"/>
                      <w:szCs w:val="21"/>
                      <w:lang w:bidi="ar"/>
                      <w14:textFill>
                        <w14:solidFill>
                          <w14:schemeClr w14:val="tx1"/>
                        </w14:solidFill>
                      </w14:textFill>
                    </w:rPr>
                    <w:t>）</w:t>
                  </w:r>
                </w:p>
              </w:tc>
              <w:tc>
                <w:tcPr>
                  <w:tcW w:w="651" w:type="pct"/>
                  <w:shd w:val="clear" w:color="auto" w:fill="auto"/>
                  <w:vAlign w:val="center"/>
                </w:tcPr>
                <w:p w14:paraId="509C2EC1">
                  <w:pPr>
                    <w:widowControl/>
                    <w:jc w:val="center"/>
                    <w:textAlignment w:val="center"/>
                    <w:rPr>
                      <w:rFonts w:eastAsia="仿宋"/>
                      <w:b/>
                      <w:bCs/>
                      <w:color w:val="000000" w:themeColor="text1"/>
                      <w:kern w:val="0"/>
                      <w:szCs w:val="21"/>
                      <w:lang w:bidi="ar"/>
                      <w14:textFill>
                        <w14:solidFill>
                          <w14:schemeClr w14:val="tx1"/>
                        </w14:solidFill>
                      </w14:textFill>
                    </w:rPr>
                  </w:pPr>
                  <w:r>
                    <w:rPr>
                      <w:rFonts w:eastAsia="仿宋"/>
                      <w:b/>
                      <w:bCs/>
                      <w:color w:val="000000" w:themeColor="text1"/>
                      <w:kern w:val="0"/>
                      <w:szCs w:val="21"/>
                      <w:lang w:bidi="ar"/>
                      <w14:textFill>
                        <w14:solidFill>
                          <w14:schemeClr w14:val="tx1"/>
                        </w14:solidFill>
                      </w14:textFill>
                    </w:rPr>
                    <w:t>浓度标准（</w:t>
                  </w:r>
                  <w:r>
                    <w:rPr>
                      <w:rStyle w:val="109"/>
                      <w:rFonts w:hint="default" w:ascii="Times New Roman" w:hAnsi="Times New Roman" w:eastAsia="仿宋" w:cs="Times New Roman"/>
                      <w:b/>
                      <w:bCs/>
                      <w:color w:val="000000" w:themeColor="text1"/>
                      <w:sz w:val="21"/>
                      <w:szCs w:val="21"/>
                      <w:lang w:bidi="ar"/>
                      <w14:textFill>
                        <w14:solidFill>
                          <w14:schemeClr w14:val="tx1"/>
                        </w14:solidFill>
                      </w14:textFill>
                    </w:rPr>
                    <w:t>mg/L</w:t>
                  </w:r>
                  <w:r>
                    <w:rPr>
                      <w:rFonts w:eastAsia="仿宋"/>
                      <w:b/>
                      <w:bCs/>
                      <w:color w:val="000000" w:themeColor="text1"/>
                      <w:kern w:val="0"/>
                      <w:szCs w:val="21"/>
                      <w:lang w:bidi="ar"/>
                      <w14:textFill>
                        <w14:solidFill>
                          <w14:schemeClr w14:val="tx1"/>
                        </w14:solidFill>
                      </w14:textFill>
                    </w:rPr>
                    <w:t>）</w:t>
                  </w:r>
                </w:p>
              </w:tc>
              <w:tc>
                <w:tcPr>
                  <w:tcW w:w="422" w:type="pct"/>
                  <w:shd w:val="clear" w:color="auto" w:fill="auto"/>
                  <w:vAlign w:val="center"/>
                </w:tcPr>
                <w:p w14:paraId="12BA7AFB">
                  <w:pPr>
                    <w:widowControl/>
                    <w:jc w:val="center"/>
                    <w:textAlignment w:val="center"/>
                    <w:rPr>
                      <w:rFonts w:eastAsia="仿宋"/>
                      <w:b/>
                      <w:bCs/>
                      <w:color w:val="000000" w:themeColor="text1"/>
                      <w:kern w:val="0"/>
                      <w:szCs w:val="21"/>
                      <w:lang w:bidi="ar"/>
                      <w14:textFill>
                        <w14:solidFill>
                          <w14:schemeClr w14:val="tx1"/>
                        </w14:solidFill>
                      </w14:textFill>
                    </w:rPr>
                  </w:pPr>
                  <w:r>
                    <w:rPr>
                      <w:rFonts w:eastAsia="仿宋"/>
                      <w:b/>
                      <w:bCs/>
                      <w:color w:val="000000" w:themeColor="text1"/>
                      <w:kern w:val="0"/>
                      <w:szCs w:val="21"/>
                      <w:lang w:bidi="ar"/>
                      <w14:textFill>
                        <w14:solidFill>
                          <w14:schemeClr w14:val="tx1"/>
                        </w14:solidFill>
                      </w14:textFill>
                    </w:rPr>
                    <w:t>排放去向</w:t>
                  </w:r>
                </w:p>
              </w:tc>
            </w:tr>
            <w:tr w14:paraId="797AD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5" w:type="pct"/>
                  <w:vMerge w:val="restart"/>
                  <w:shd w:val="clear" w:color="auto" w:fill="auto"/>
                  <w:noWrap/>
                  <w:vAlign w:val="center"/>
                </w:tcPr>
                <w:p w14:paraId="5D3BA2DF">
                  <w:pPr>
                    <w:widowControl/>
                    <w:jc w:val="center"/>
                    <w:textAlignment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生活污水</w:t>
                  </w:r>
                </w:p>
              </w:tc>
              <w:tc>
                <w:tcPr>
                  <w:tcW w:w="488" w:type="pct"/>
                  <w:vMerge w:val="restart"/>
                  <w:shd w:val="clear" w:color="auto" w:fill="auto"/>
                  <w:vAlign w:val="center"/>
                </w:tcPr>
                <w:p w14:paraId="53E434BB">
                  <w:pPr>
                    <w:widowControl/>
                    <w:jc w:val="center"/>
                    <w:textAlignment w:val="center"/>
                    <w:rPr>
                      <w:rFonts w:eastAsia="仿宋"/>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1296</w:t>
                  </w:r>
                </w:p>
              </w:tc>
              <w:tc>
                <w:tcPr>
                  <w:tcW w:w="489" w:type="pct"/>
                  <w:shd w:val="clear" w:color="auto" w:fill="auto"/>
                  <w:noWrap/>
                  <w:vAlign w:val="center"/>
                </w:tcPr>
                <w:p w14:paraId="74C7BD1A">
                  <w:pPr>
                    <w:widowControl/>
                    <w:jc w:val="center"/>
                    <w:textAlignment w:val="center"/>
                    <w:rPr>
                      <w:rFonts w:eastAsia="仿宋"/>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COD</w:t>
                  </w:r>
                </w:p>
              </w:tc>
              <w:tc>
                <w:tcPr>
                  <w:tcW w:w="570" w:type="pct"/>
                  <w:shd w:val="clear" w:color="auto" w:fill="auto"/>
                  <w:noWrap/>
                  <w:vAlign w:val="center"/>
                </w:tcPr>
                <w:p w14:paraId="2DAE801D">
                  <w:pPr>
                    <w:widowControl/>
                    <w:jc w:val="center"/>
                    <w:rPr>
                      <w:color w:val="000000" w:themeColor="text1"/>
                      <w:kern w:val="0"/>
                      <w:sz w:val="22"/>
                      <w:szCs w:val="22"/>
                      <w14:textFill>
                        <w14:solidFill>
                          <w14:schemeClr w14:val="tx1"/>
                        </w14:solidFill>
                      </w14:textFill>
                    </w:rPr>
                  </w:pPr>
                  <w:r>
                    <w:rPr>
                      <w:rFonts w:hint="eastAsia"/>
                      <w:color w:val="000000" w:themeColor="text1"/>
                      <w:sz w:val="22"/>
                      <w:szCs w:val="22"/>
                      <w14:textFill>
                        <w14:solidFill>
                          <w14:schemeClr w14:val="tx1"/>
                        </w14:solidFill>
                      </w14:textFill>
                    </w:rPr>
                    <w:t>400</w:t>
                  </w:r>
                </w:p>
              </w:tc>
              <w:tc>
                <w:tcPr>
                  <w:tcW w:w="488" w:type="pct"/>
                  <w:shd w:val="clear" w:color="auto" w:fill="auto"/>
                  <w:noWrap/>
                  <w:vAlign w:val="center"/>
                </w:tcPr>
                <w:p w14:paraId="1A75A125">
                  <w:pPr>
                    <w:widowControl/>
                    <w:jc w:val="center"/>
                    <w:rPr>
                      <w:color w:val="000000" w:themeColor="text1"/>
                      <w:kern w:val="0"/>
                      <w:sz w:val="22"/>
                      <w:szCs w:val="22"/>
                      <w14:textFill>
                        <w14:solidFill>
                          <w14:schemeClr w14:val="tx1"/>
                        </w14:solidFill>
                      </w14:textFill>
                    </w:rPr>
                  </w:pPr>
                  <w:r>
                    <w:rPr>
                      <w:rFonts w:hint="eastAsia"/>
                      <w:color w:val="000000" w:themeColor="text1"/>
                      <w:sz w:val="22"/>
                      <w:szCs w:val="22"/>
                      <w14:textFill>
                        <w14:solidFill>
                          <w14:schemeClr w14:val="tx1"/>
                        </w14:solidFill>
                      </w14:textFill>
                    </w:rPr>
                    <w:t>0.518</w:t>
                  </w:r>
                </w:p>
              </w:tc>
              <w:tc>
                <w:tcPr>
                  <w:tcW w:w="407" w:type="pct"/>
                  <w:vMerge w:val="restart"/>
                  <w:shd w:val="clear" w:color="auto" w:fill="auto"/>
                  <w:vAlign w:val="center"/>
                </w:tcPr>
                <w:p w14:paraId="2DB3BC4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接入市政污水管网</w:t>
                  </w:r>
                </w:p>
              </w:tc>
              <w:tc>
                <w:tcPr>
                  <w:tcW w:w="651" w:type="pct"/>
                  <w:shd w:val="clear" w:color="auto" w:fill="auto"/>
                  <w:vAlign w:val="center"/>
                </w:tcPr>
                <w:p w14:paraId="634B5765">
                  <w:pPr>
                    <w:widowControl/>
                    <w:jc w:val="center"/>
                    <w:rPr>
                      <w:color w:val="000000" w:themeColor="text1"/>
                      <w:kern w:val="0"/>
                      <w:sz w:val="22"/>
                      <w:szCs w:val="22"/>
                      <w14:textFill>
                        <w14:solidFill>
                          <w14:schemeClr w14:val="tx1"/>
                        </w14:solidFill>
                      </w14:textFill>
                    </w:rPr>
                  </w:pPr>
                  <w:r>
                    <w:rPr>
                      <w:rFonts w:hint="eastAsia"/>
                      <w:color w:val="000000" w:themeColor="text1"/>
                      <w:sz w:val="22"/>
                      <w:szCs w:val="22"/>
                      <w14:textFill>
                        <w14:solidFill>
                          <w14:schemeClr w14:val="tx1"/>
                        </w14:solidFill>
                      </w14:textFill>
                    </w:rPr>
                    <w:t>400</w:t>
                  </w:r>
                </w:p>
              </w:tc>
              <w:tc>
                <w:tcPr>
                  <w:tcW w:w="489" w:type="pct"/>
                  <w:shd w:val="clear" w:color="auto" w:fill="auto"/>
                  <w:vAlign w:val="center"/>
                </w:tcPr>
                <w:p w14:paraId="5C64A8D6">
                  <w:pPr>
                    <w:widowControl/>
                    <w:jc w:val="center"/>
                    <w:rPr>
                      <w:color w:val="000000" w:themeColor="text1"/>
                      <w:kern w:val="0"/>
                      <w:sz w:val="22"/>
                      <w:szCs w:val="22"/>
                      <w14:textFill>
                        <w14:solidFill>
                          <w14:schemeClr w14:val="tx1"/>
                        </w14:solidFill>
                      </w14:textFill>
                    </w:rPr>
                  </w:pPr>
                  <w:r>
                    <w:rPr>
                      <w:rFonts w:hint="eastAsia"/>
                      <w:color w:val="000000" w:themeColor="text1"/>
                      <w:sz w:val="22"/>
                      <w:szCs w:val="22"/>
                      <w14:textFill>
                        <w14:solidFill>
                          <w14:schemeClr w14:val="tx1"/>
                        </w14:solidFill>
                      </w14:textFill>
                    </w:rPr>
                    <w:t>0.518</w:t>
                  </w:r>
                </w:p>
              </w:tc>
              <w:tc>
                <w:tcPr>
                  <w:tcW w:w="651" w:type="pct"/>
                  <w:shd w:val="clear" w:color="auto" w:fill="auto"/>
                  <w:vAlign w:val="center"/>
                </w:tcPr>
                <w:p w14:paraId="1CAE1035">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500</w:t>
                  </w:r>
                </w:p>
              </w:tc>
              <w:tc>
                <w:tcPr>
                  <w:tcW w:w="422" w:type="pct"/>
                  <w:vMerge w:val="restart"/>
                  <w:shd w:val="clear" w:color="auto" w:fill="auto"/>
                  <w:vAlign w:val="center"/>
                </w:tcPr>
                <w:p w14:paraId="5CB07B6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排入</w:t>
                  </w:r>
                  <w:r>
                    <w:rPr>
                      <w:rFonts w:hint="eastAsia" w:eastAsia="仿宋"/>
                      <w:color w:val="000000" w:themeColor="text1"/>
                      <w:szCs w:val="21"/>
                      <w14:textFill>
                        <w14:solidFill>
                          <w14:schemeClr w14:val="tx1"/>
                        </w14:solidFill>
                      </w14:textFill>
                    </w:rPr>
                    <w:t>金坛区第二污水处理厂</w:t>
                  </w:r>
                  <w:r>
                    <w:rPr>
                      <w:rFonts w:eastAsia="仿宋"/>
                      <w:color w:val="000000" w:themeColor="text1"/>
                      <w:szCs w:val="21"/>
                      <w14:textFill>
                        <w14:solidFill>
                          <w14:schemeClr w14:val="tx1"/>
                        </w14:solidFill>
                      </w14:textFill>
                    </w:rPr>
                    <w:t>，达标后尾水排入</w:t>
                  </w:r>
                  <w:r>
                    <w:rPr>
                      <w:rFonts w:hint="eastAsia" w:eastAsia="仿宋"/>
                      <w:color w:val="000000" w:themeColor="text1"/>
                      <w:szCs w:val="21"/>
                      <w14:textFill>
                        <w14:solidFill>
                          <w14:schemeClr w14:val="tx1"/>
                        </w14:solidFill>
                      </w14:textFill>
                    </w:rPr>
                    <w:t>尧塘河</w:t>
                  </w:r>
                </w:p>
              </w:tc>
            </w:tr>
            <w:tr w14:paraId="5275D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5" w:type="pct"/>
                  <w:vMerge w:val="continue"/>
                  <w:shd w:val="clear" w:color="auto" w:fill="auto"/>
                  <w:noWrap/>
                  <w:vAlign w:val="center"/>
                </w:tcPr>
                <w:p w14:paraId="778E12F7">
                  <w:pPr>
                    <w:jc w:val="center"/>
                    <w:rPr>
                      <w:rFonts w:eastAsia="仿宋"/>
                      <w:color w:val="000000" w:themeColor="text1"/>
                      <w:szCs w:val="21"/>
                      <w14:textFill>
                        <w14:solidFill>
                          <w14:schemeClr w14:val="tx1"/>
                        </w14:solidFill>
                      </w14:textFill>
                    </w:rPr>
                  </w:pPr>
                </w:p>
              </w:tc>
              <w:tc>
                <w:tcPr>
                  <w:tcW w:w="488" w:type="pct"/>
                  <w:vMerge w:val="continue"/>
                  <w:shd w:val="clear" w:color="auto" w:fill="auto"/>
                  <w:vAlign w:val="center"/>
                </w:tcPr>
                <w:p w14:paraId="207A7D73">
                  <w:pPr>
                    <w:jc w:val="center"/>
                    <w:rPr>
                      <w:rFonts w:eastAsia="仿宋"/>
                      <w:color w:val="000000" w:themeColor="text1"/>
                      <w:szCs w:val="21"/>
                      <w14:textFill>
                        <w14:solidFill>
                          <w14:schemeClr w14:val="tx1"/>
                        </w14:solidFill>
                      </w14:textFill>
                    </w:rPr>
                  </w:pPr>
                </w:p>
              </w:tc>
              <w:tc>
                <w:tcPr>
                  <w:tcW w:w="489" w:type="pct"/>
                  <w:shd w:val="clear" w:color="auto" w:fill="auto"/>
                  <w:noWrap/>
                  <w:vAlign w:val="center"/>
                </w:tcPr>
                <w:p w14:paraId="162B7807">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SS</w:t>
                  </w:r>
                </w:p>
              </w:tc>
              <w:tc>
                <w:tcPr>
                  <w:tcW w:w="570" w:type="pct"/>
                  <w:shd w:val="clear" w:color="auto" w:fill="auto"/>
                  <w:noWrap/>
                  <w:vAlign w:val="center"/>
                </w:tcPr>
                <w:p w14:paraId="1CA85074">
                  <w:pPr>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200</w:t>
                  </w:r>
                </w:p>
              </w:tc>
              <w:tc>
                <w:tcPr>
                  <w:tcW w:w="488" w:type="pct"/>
                  <w:shd w:val="clear" w:color="auto" w:fill="auto"/>
                  <w:noWrap/>
                  <w:vAlign w:val="center"/>
                </w:tcPr>
                <w:p w14:paraId="0023368E">
                  <w:pPr>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0.259</w:t>
                  </w:r>
                </w:p>
              </w:tc>
              <w:tc>
                <w:tcPr>
                  <w:tcW w:w="407" w:type="pct"/>
                  <w:vMerge w:val="continue"/>
                  <w:shd w:val="clear" w:color="auto" w:fill="auto"/>
                  <w:vAlign w:val="center"/>
                </w:tcPr>
                <w:p w14:paraId="61F092D7">
                  <w:pPr>
                    <w:jc w:val="center"/>
                    <w:rPr>
                      <w:rFonts w:eastAsia="仿宋"/>
                      <w:color w:val="000000" w:themeColor="text1"/>
                      <w:szCs w:val="21"/>
                      <w14:textFill>
                        <w14:solidFill>
                          <w14:schemeClr w14:val="tx1"/>
                        </w14:solidFill>
                      </w14:textFill>
                    </w:rPr>
                  </w:pPr>
                </w:p>
              </w:tc>
              <w:tc>
                <w:tcPr>
                  <w:tcW w:w="651" w:type="pct"/>
                  <w:shd w:val="clear" w:color="auto" w:fill="auto"/>
                  <w:vAlign w:val="center"/>
                </w:tcPr>
                <w:p w14:paraId="653E3738">
                  <w:pPr>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200</w:t>
                  </w:r>
                </w:p>
              </w:tc>
              <w:tc>
                <w:tcPr>
                  <w:tcW w:w="489" w:type="pct"/>
                  <w:shd w:val="clear" w:color="auto" w:fill="auto"/>
                  <w:vAlign w:val="center"/>
                </w:tcPr>
                <w:p w14:paraId="1ED943E6">
                  <w:pPr>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0.259</w:t>
                  </w:r>
                </w:p>
              </w:tc>
              <w:tc>
                <w:tcPr>
                  <w:tcW w:w="651" w:type="pct"/>
                  <w:shd w:val="clear" w:color="auto" w:fill="auto"/>
                  <w:vAlign w:val="center"/>
                </w:tcPr>
                <w:p w14:paraId="100E9F41">
                  <w:pPr>
                    <w:adjustRightInd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250</w:t>
                  </w:r>
                </w:p>
              </w:tc>
              <w:tc>
                <w:tcPr>
                  <w:tcW w:w="422" w:type="pct"/>
                  <w:vMerge w:val="continue"/>
                  <w:shd w:val="clear" w:color="auto" w:fill="auto"/>
                  <w:vAlign w:val="center"/>
                </w:tcPr>
                <w:p w14:paraId="1C004C25">
                  <w:pPr>
                    <w:jc w:val="center"/>
                    <w:rPr>
                      <w:rFonts w:eastAsia="仿宋"/>
                      <w:color w:val="000000" w:themeColor="text1"/>
                      <w:szCs w:val="21"/>
                      <w14:textFill>
                        <w14:solidFill>
                          <w14:schemeClr w14:val="tx1"/>
                        </w14:solidFill>
                      </w14:textFill>
                    </w:rPr>
                  </w:pPr>
                </w:p>
              </w:tc>
            </w:tr>
            <w:tr w14:paraId="1FD1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5" w:type="pct"/>
                  <w:vMerge w:val="continue"/>
                  <w:shd w:val="clear" w:color="auto" w:fill="auto"/>
                  <w:noWrap/>
                  <w:vAlign w:val="center"/>
                </w:tcPr>
                <w:p w14:paraId="0EE634D7">
                  <w:pPr>
                    <w:jc w:val="center"/>
                    <w:rPr>
                      <w:rFonts w:eastAsia="仿宋"/>
                      <w:color w:val="000000" w:themeColor="text1"/>
                      <w:szCs w:val="21"/>
                      <w14:textFill>
                        <w14:solidFill>
                          <w14:schemeClr w14:val="tx1"/>
                        </w14:solidFill>
                      </w14:textFill>
                    </w:rPr>
                  </w:pPr>
                </w:p>
              </w:tc>
              <w:tc>
                <w:tcPr>
                  <w:tcW w:w="488" w:type="pct"/>
                  <w:vMerge w:val="continue"/>
                  <w:shd w:val="clear" w:color="auto" w:fill="auto"/>
                  <w:vAlign w:val="center"/>
                </w:tcPr>
                <w:p w14:paraId="3085C923">
                  <w:pPr>
                    <w:jc w:val="center"/>
                    <w:rPr>
                      <w:rFonts w:eastAsia="仿宋"/>
                      <w:color w:val="000000" w:themeColor="text1"/>
                      <w:szCs w:val="21"/>
                      <w14:textFill>
                        <w14:solidFill>
                          <w14:schemeClr w14:val="tx1"/>
                        </w14:solidFill>
                      </w14:textFill>
                    </w:rPr>
                  </w:pPr>
                </w:p>
              </w:tc>
              <w:tc>
                <w:tcPr>
                  <w:tcW w:w="489" w:type="pct"/>
                  <w:shd w:val="clear" w:color="auto" w:fill="auto"/>
                  <w:noWrap/>
                  <w:vAlign w:val="center"/>
                </w:tcPr>
                <w:p w14:paraId="178223ED">
                  <w:pPr>
                    <w:widowControl/>
                    <w:jc w:val="center"/>
                    <w:textAlignment w:val="center"/>
                    <w:rPr>
                      <w:rFonts w:eastAsia="仿宋"/>
                      <w:color w:val="000000" w:themeColor="text1"/>
                      <w:kern w:val="0"/>
                      <w:szCs w:val="21"/>
                      <w:lang w:bidi="ar"/>
                      <w14:textFill>
                        <w14:solidFill>
                          <w14:schemeClr w14:val="tx1"/>
                        </w14:solidFill>
                      </w14:textFill>
                    </w:rPr>
                  </w:pPr>
                  <w:r>
                    <w:rPr>
                      <w:rFonts w:hint="eastAsia" w:eastAsia="仿宋"/>
                      <w:color w:val="000000" w:themeColor="text1"/>
                      <w:kern w:val="0"/>
                      <w:szCs w:val="21"/>
                      <w:lang w:bidi="ar"/>
                      <w14:textFill>
                        <w14:solidFill>
                          <w14:schemeClr w14:val="tx1"/>
                        </w14:solidFill>
                      </w14:textFill>
                    </w:rPr>
                    <w:t>N</w:t>
                  </w:r>
                  <w:r>
                    <w:rPr>
                      <w:rFonts w:eastAsia="仿宋"/>
                      <w:color w:val="000000" w:themeColor="text1"/>
                      <w:kern w:val="0"/>
                      <w:szCs w:val="21"/>
                      <w:lang w:bidi="ar"/>
                      <w14:textFill>
                        <w14:solidFill>
                          <w14:schemeClr w14:val="tx1"/>
                        </w14:solidFill>
                      </w14:textFill>
                    </w:rPr>
                    <w:t>H</w:t>
                  </w:r>
                  <w:r>
                    <w:rPr>
                      <w:rFonts w:eastAsia="仿宋"/>
                      <w:color w:val="000000" w:themeColor="text1"/>
                      <w:kern w:val="0"/>
                      <w:szCs w:val="21"/>
                      <w:vertAlign w:val="subscript"/>
                      <w:lang w:bidi="ar"/>
                      <w14:textFill>
                        <w14:solidFill>
                          <w14:schemeClr w14:val="tx1"/>
                        </w14:solidFill>
                      </w14:textFill>
                    </w:rPr>
                    <w:t>3</w:t>
                  </w:r>
                  <w:r>
                    <w:rPr>
                      <w:rFonts w:eastAsia="仿宋"/>
                      <w:color w:val="000000" w:themeColor="text1"/>
                      <w:kern w:val="0"/>
                      <w:szCs w:val="21"/>
                      <w:lang w:bidi="ar"/>
                      <w14:textFill>
                        <w14:solidFill>
                          <w14:schemeClr w14:val="tx1"/>
                        </w14:solidFill>
                      </w14:textFill>
                    </w:rPr>
                    <w:t>-N</w:t>
                  </w:r>
                </w:p>
              </w:tc>
              <w:tc>
                <w:tcPr>
                  <w:tcW w:w="570" w:type="pct"/>
                  <w:shd w:val="clear" w:color="auto" w:fill="auto"/>
                  <w:noWrap/>
                  <w:vAlign w:val="center"/>
                </w:tcPr>
                <w:p w14:paraId="76A8F743">
                  <w:pPr>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30</w:t>
                  </w:r>
                </w:p>
              </w:tc>
              <w:tc>
                <w:tcPr>
                  <w:tcW w:w="488" w:type="pct"/>
                  <w:shd w:val="clear" w:color="auto" w:fill="auto"/>
                  <w:noWrap/>
                  <w:vAlign w:val="center"/>
                </w:tcPr>
                <w:p w14:paraId="4B22C012">
                  <w:pPr>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0.039</w:t>
                  </w:r>
                </w:p>
              </w:tc>
              <w:tc>
                <w:tcPr>
                  <w:tcW w:w="407" w:type="pct"/>
                  <w:vMerge w:val="continue"/>
                  <w:shd w:val="clear" w:color="auto" w:fill="auto"/>
                  <w:vAlign w:val="center"/>
                </w:tcPr>
                <w:p w14:paraId="0F2F60C3">
                  <w:pPr>
                    <w:jc w:val="center"/>
                    <w:rPr>
                      <w:rFonts w:eastAsia="仿宋"/>
                      <w:color w:val="000000" w:themeColor="text1"/>
                      <w:szCs w:val="21"/>
                      <w14:textFill>
                        <w14:solidFill>
                          <w14:schemeClr w14:val="tx1"/>
                        </w14:solidFill>
                      </w14:textFill>
                    </w:rPr>
                  </w:pPr>
                </w:p>
              </w:tc>
              <w:tc>
                <w:tcPr>
                  <w:tcW w:w="651" w:type="pct"/>
                  <w:shd w:val="clear" w:color="auto" w:fill="auto"/>
                  <w:vAlign w:val="center"/>
                </w:tcPr>
                <w:p w14:paraId="279FD3BC">
                  <w:pPr>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30</w:t>
                  </w:r>
                </w:p>
              </w:tc>
              <w:tc>
                <w:tcPr>
                  <w:tcW w:w="489" w:type="pct"/>
                  <w:shd w:val="clear" w:color="auto" w:fill="auto"/>
                  <w:vAlign w:val="center"/>
                </w:tcPr>
                <w:p w14:paraId="398AA44C">
                  <w:pPr>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0.039</w:t>
                  </w:r>
                </w:p>
              </w:tc>
              <w:tc>
                <w:tcPr>
                  <w:tcW w:w="651" w:type="pct"/>
                  <w:shd w:val="clear" w:color="auto" w:fill="auto"/>
                  <w:vAlign w:val="center"/>
                </w:tcPr>
                <w:p w14:paraId="16CDB8A6">
                  <w:pPr>
                    <w:adjustRightInd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3</w:t>
                  </w:r>
                  <w:r>
                    <w:rPr>
                      <w:rFonts w:eastAsia="仿宋"/>
                      <w:color w:val="000000" w:themeColor="text1"/>
                      <w:szCs w:val="22"/>
                      <w14:textFill>
                        <w14:solidFill>
                          <w14:schemeClr w14:val="tx1"/>
                        </w14:solidFill>
                      </w14:textFill>
                    </w:rPr>
                    <w:t>5</w:t>
                  </w:r>
                </w:p>
              </w:tc>
              <w:tc>
                <w:tcPr>
                  <w:tcW w:w="422" w:type="pct"/>
                  <w:vMerge w:val="continue"/>
                  <w:shd w:val="clear" w:color="auto" w:fill="auto"/>
                  <w:vAlign w:val="center"/>
                </w:tcPr>
                <w:p w14:paraId="6D318541">
                  <w:pPr>
                    <w:jc w:val="center"/>
                    <w:rPr>
                      <w:rFonts w:eastAsia="仿宋"/>
                      <w:color w:val="000000" w:themeColor="text1"/>
                      <w:szCs w:val="21"/>
                      <w14:textFill>
                        <w14:solidFill>
                          <w14:schemeClr w14:val="tx1"/>
                        </w14:solidFill>
                      </w14:textFill>
                    </w:rPr>
                  </w:pPr>
                </w:p>
              </w:tc>
            </w:tr>
            <w:tr w14:paraId="3379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5" w:type="pct"/>
                  <w:vMerge w:val="continue"/>
                  <w:shd w:val="clear" w:color="auto" w:fill="auto"/>
                  <w:noWrap/>
                  <w:vAlign w:val="center"/>
                </w:tcPr>
                <w:p w14:paraId="55F177E1">
                  <w:pPr>
                    <w:jc w:val="center"/>
                    <w:rPr>
                      <w:rFonts w:eastAsia="仿宋"/>
                      <w:color w:val="000000" w:themeColor="text1"/>
                      <w:szCs w:val="21"/>
                      <w14:textFill>
                        <w14:solidFill>
                          <w14:schemeClr w14:val="tx1"/>
                        </w14:solidFill>
                      </w14:textFill>
                    </w:rPr>
                  </w:pPr>
                </w:p>
              </w:tc>
              <w:tc>
                <w:tcPr>
                  <w:tcW w:w="488" w:type="pct"/>
                  <w:vMerge w:val="continue"/>
                  <w:shd w:val="clear" w:color="auto" w:fill="auto"/>
                  <w:vAlign w:val="center"/>
                </w:tcPr>
                <w:p w14:paraId="2B90DB31">
                  <w:pPr>
                    <w:jc w:val="center"/>
                    <w:rPr>
                      <w:rFonts w:eastAsia="仿宋"/>
                      <w:color w:val="000000" w:themeColor="text1"/>
                      <w:szCs w:val="21"/>
                      <w14:textFill>
                        <w14:solidFill>
                          <w14:schemeClr w14:val="tx1"/>
                        </w14:solidFill>
                      </w14:textFill>
                    </w:rPr>
                  </w:pPr>
                </w:p>
              </w:tc>
              <w:tc>
                <w:tcPr>
                  <w:tcW w:w="489" w:type="pct"/>
                  <w:shd w:val="clear" w:color="auto" w:fill="auto"/>
                  <w:noWrap/>
                  <w:vAlign w:val="center"/>
                </w:tcPr>
                <w:p w14:paraId="6F35A237">
                  <w:pPr>
                    <w:widowControl/>
                    <w:jc w:val="center"/>
                    <w:textAlignment w:val="center"/>
                    <w:rPr>
                      <w:rFonts w:eastAsia="仿宋"/>
                      <w:color w:val="000000" w:themeColor="text1"/>
                      <w:kern w:val="0"/>
                      <w:szCs w:val="21"/>
                      <w:lang w:bidi="ar"/>
                      <w14:textFill>
                        <w14:solidFill>
                          <w14:schemeClr w14:val="tx1"/>
                        </w14:solidFill>
                      </w14:textFill>
                    </w:rPr>
                  </w:pPr>
                  <w:r>
                    <w:rPr>
                      <w:rFonts w:hint="eastAsia" w:eastAsia="仿宋"/>
                      <w:color w:val="000000" w:themeColor="text1"/>
                      <w:kern w:val="0"/>
                      <w:szCs w:val="21"/>
                      <w:lang w:bidi="ar"/>
                      <w14:textFill>
                        <w14:solidFill>
                          <w14:schemeClr w14:val="tx1"/>
                        </w14:solidFill>
                      </w14:textFill>
                    </w:rPr>
                    <w:t>T</w:t>
                  </w:r>
                  <w:r>
                    <w:rPr>
                      <w:rFonts w:eastAsia="仿宋"/>
                      <w:color w:val="000000" w:themeColor="text1"/>
                      <w:kern w:val="0"/>
                      <w:szCs w:val="21"/>
                      <w:lang w:bidi="ar"/>
                      <w14:textFill>
                        <w14:solidFill>
                          <w14:schemeClr w14:val="tx1"/>
                        </w14:solidFill>
                      </w14:textFill>
                    </w:rPr>
                    <w:t>P</w:t>
                  </w:r>
                </w:p>
              </w:tc>
              <w:tc>
                <w:tcPr>
                  <w:tcW w:w="570" w:type="pct"/>
                  <w:shd w:val="clear" w:color="auto" w:fill="auto"/>
                  <w:noWrap/>
                  <w:vAlign w:val="center"/>
                </w:tcPr>
                <w:p w14:paraId="779D19C1">
                  <w:pPr>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w:t>
                  </w:r>
                </w:p>
              </w:tc>
              <w:tc>
                <w:tcPr>
                  <w:tcW w:w="488" w:type="pct"/>
                  <w:shd w:val="clear" w:color="auto" w:fill="auto"/>
                  <w:noWrap/>
                  <w:vAlign w:val="center"/>
                </w:tcPr>
                <w:p w14:paraId="60F1F207">
                  <w:pPr>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0.004</w:t>
                  </w:r>
                </w:p>
              </w:tc>
              <w:tc>
                <w:tcPr>
                  <w:tcW w:w="407" w:type="pct"/>
                  <w:vMerge w:val="continue"/>
                  <w:shd w:val="clear" w:color="auto" w:fill="auto"/>
                  <w:vAlign w:val="center"/>
                </w:tcPr>
                <w:p w14:paraId="3CDEEC8E">
                  <w:pPr>
                    <w:jc w:val="center"/>
                    <w:rPr>
                      <w:rFonts w:eastAsia="仿宋"/>
                      <w:color w:val="000000" w:themeColor="text1"/>
                      <w:szCs w:val="21"/>
                      <w14:textFill>
                        <w14:solidFill>
                          <w14:schemeClr w14:val="tx1"/>
                        </w14:solidFill>
                      </w14:textFill>
                    </w:rPr>
                  </w:pPr>
                </w:p>
              </w:tc>
              <w:tc>
                <w:tcPr>
                  <w:tcW w:w="651" w:type="pct"/>
                  <w:shd w:val="clear" w:color="auto" w:fill="auto"/>
                  <w:vAlign w:val="center"/>
                </w:tcPr>
                <w:p w14:paraId="4F25E0A5">
                  <w:pPr>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w:t>
                  </w:r>
                </w:p>
              </w:tc>
              <w:tc>
                <w:tcPr>
                  <w:tcW w:w="489" w:type="pct"/>
                  <w:shd w:val="clear" w:color="auto" w:fill="auto"/>
                  <w:vAlign w:val="center"/>
                </w:tcPr>
                <w:p w14:paraId="7B280AB5">
                  <w:pPr>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0.004</w:t>
                  </w:r>
                </w:p>
              </w:tc>
              <w:tc>
                <w:tcPr>
                  <w:tcW w:w="651" w:type="pct"/>
                  <w:shd w:val="clear" w:color="auto" w:fill="auto"/>
                  <w:vAlign w:val="center"/>
                </w:tcPr>
                <w:p w14:paraId="4A2FA9C1">
                  <w:pPr>
                    <w:adjustRightInd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3</w:t>
                  </w:r>
                </w:p>
              </w:tc>
              <w:tc>
                <w:tcPr>
                  <w:tcW w:w="422" w:type="pct"/>
                  <w:vMerge w:val="continue"/>
                  <w:shd w:val="clear" w:color="auto" w:fill="auto"/>
                  <w:vAlign w:val="center"/>
                </w:tcPr>
                <w:p w14:paraId="21902F73">
                  <w:pPr>
                    <w:jc w:val="center"/>
                    <w:rPr>
                      <w:rFonts w:eastAsia="仿宋"/>
                      <w:color w:val="000000" w:themeColor="text1"/>
                      <w:szCs w:val="21"/>
                      <w14:textFill>
                        <w14:solidFill>
                          <w14:schemeClr w14:val="tx1"/>
                        </w14:solidFill>
                      </w14:textFill>
                    </w:rPr>
                  </w:pPr>
                </w:p>
              </w:tc>
            </w:tr>
            <w:tr w14:paraId="6E61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5" w:type="pct"/>
                  <w:vMerge w:val="continue"/>
                  <w:shd w:val="clear" w:color="auto" w:fill="auto"/>
                  <w:noWrap/>
                  <w:vAlign w:val="center"/>
                </w:tcPr>
                <w:p w14:paraId="48493BE4">
                  <w:pPr>
                    <w:jc w:val="center"/>
                    <w:rPr>
                      <w:rFonts w:eastAsia="仿宋"/>
                      <w:color w:val="000000" w:themeColor="text1"/>
                      <w:szCs w:val="21"/>
                      <w14:textFill>
                        <w14:solidFill>
                          <w14:schemeClr w14:val="tx1"/>
                        </w14:solidFill>
                      </w14:textFill>
                    </w:rPr>
                  </w:pPr>
                </w:p>
              </w:tc>
              <w:tc>
                <w:tcPr>
                  <w:tcW w:w="488" w:type="pct"/>
                  <w:vMerge w:val="continue"/>
                  <w:shd w:val="clear" w:color="auto" w:fill="auto"/>
                  <w:vAlign w:val="center"/>
                </w:tcPr>
                <w:p w14:paraId="3C8B7E88">
                  <w:pPr>
                    <w:jc w:val="center"/>
                    <w:rPr>
                      <w:rFonts w:eastAsia="仿宋"/>
                      <w:color w:val="000000" w:themeColor="text1"/>
                      <w:szCs w:val="21"/>
                      <w14:textFill>
                        <w14:solidFill>
                          <w14:schemeClr w14:val="tx1"/>
                        </w14:solidFill>
                      </w14:textFill>
                    </w:rPr>
                  </w:pPr>
                </w:p>
              </w:tc>
              <w:tc>
                <w:tcPr>
                  <w:tcW w:w="489" w:type="pct"/>
                  <w:shd w:val="clear" w:color="auto" w:fill="auto"/>
                  <w:noWrap/>
                  <w:vAlign w:val="center"/>
                </w:tcPr>
                <w:p w14:paraId="4E82060A">
                  <w:pPr>
                    <w:widowControl/>
                    <w:jc w:val="center"/>
                    <w:textAlignment w:val="center"/>
                    <w:rPr>
                      <w:rFonts w:eastAsia="仿宋"/>
                      <w:color w:val="000000" w:themeColor="text1"/>
                      <w:kern w:val="0"/>
                      <w:szCs w:val="21"/>
                      <w:lang w:bidi="ar"/>
                      <w14:textFill>
                        <w14:solidFill>
                          <w14:schemeClr w14:val="tx1"/>
                        </w14:solidFill>
                      </w14:textFill>
                    </w:rPr>
                  </w:pPr>
                  <w:r>
                    <w:rPr>
                      <w:rFonts w:hint="eastAsia" w:eastAsia="仿宋"/>
                      <w:color w:val="000000" w:themeColor="text1"/>
                      <w:kern w:val="0"/>
                      <w:szCs w:val="21"/>
                      <w:lang w:bidi="ar"/>
                      <w14:textFill>
                        <w14:solidFill>
                          <w14:schemeClr w14:val="tx1"/>
                        </w14:solidFill>
                      </w14:textFill>
                    </w:rPr>
                    <w:t>T</w:t>
                  </w:r>
                  <w:r>
                    <w:rPr>
                      <w:rFonts w:eastAsia="仿宋"/>
                      <w:color w:val="000000" w:themeColor="text1"/>
                      <w:kern w:val="0"/>
                      <w:szCs w:val="21"/>
                      <w:lang w:bidi="ar"/>
                      <w14:textFill>
                        <w14:solidFill>
                          <w14:schemeClr w14:val="tx1"/>
                        </w14:solidFill>
                      </w14:textFill>
                    </w:rPr>
                    <w:t>N</w:t>
                  </w:r>
                </w:p>
              </w:tc>
              <w:tc>
                <w:tcPr>
                  <w:tcW w:w="570" w:type="pct"/>
                  <w:shd w:val="clear" w:color="auto" w:fill="auto"/>
                  <w:noWrap/>
                  <w:vAlign w:val="center"/>
                </w:tcPr>
                <w:p w14:paraId="6D2E9747">
                  <w:pPr>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45</w:t>
                  </w:r>
                </w:p>
              </w:tc>
              <w:tc>
                <w:tcPr>
                  <w:tcW w:w="488" w:type="pct"/>
                  <w:shd w:val="clear" w:color="auto" w:fill="auto"/>
                  <w:noWrap/>
                  <w:vAlign w:val="center"/>
                </w:tcPr>
                <w:p w14:paraId="2F6E8358">
                  <w:pPr>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0.058</w:t>
                  </w:r>
                </w:p>
              </w:tc>
              <w:tc>
                <w:tcPr>
                  <w:tcW w:w="407" w:type="pct"/>
                  <w:vMerge w:val="continue"/>
                  <w:shd w:val="clear" w:color="auto" w:fill="auto"/>
                  <w:vAlign w:val="center"/>
                </w:tcPr>
                <w:p w14:paraId="3DB186E2">
                  <w:pPr>
                    <w:jc w:val="center"/>
                    <w:rPr>
                      <w:rFonts w:eastAsia="仿宋"/>
                      <w:color w:val="000000" w:themeColor="text1"/>
                      <w:szCs w:val="21"/>
                      <w14:textFill>
                        <w14:solidFill>
                          <w14:schemeClr w14:val="tx1"/>
                        </w14:solidFill>
                      </w14:textFill>
                    </w:rPr>
                  </w:pPr>
                </w:p>
              </w:tc>
              <w:tc>
                <w:tcPr>
                  <w:tcW w:w="651" w:type="pct"/>
                  <w:shd w:val="clear" w:color="auto" w:fill="auto"/>
                  <w:vAlign w:val="center"/>
                </w:tcPr>
                <w:p w14:paraId="5E90639E">
                  <w:pPr>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45</w:t>
                  </w:r>
                </w:p>
              </w:tc>
              <w:tc>
                <w:tcPr>
                  <w:tcW w:w="489" w:type="pct"/>
                  <w:shd w:val="clear" w:color="auto" w:fill="auto"/>
                  <w:vAlign w:val="center"/>
                </w:tcPr>
                <w:p w14:paraId="644A843B">
                  <w:pPr>
                    <w:jc w:val="center"/>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0.058</w:t>
                  </w:r>
                </w:p>
              </w:tc>
              <w:tc>
                <w:tcPr>
                  <w:tcW w:w="651" w:type="pct"/>
                  <w:shd w:val="clear" w:color="auto" w:fill="auto"/>
                  <w:vAlign w:val="center"/>
                </w:tcPr>
                <w:p w14:paraId="19BFB17D">
                  <w:pPr>
                    <w:adjustRightInd w:val="0"/>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5</w:t>
                  </w:r>
                  <w:r>
                    <w:rPr>
                      <w:rFonts w:eastAsia="仿宋"/>
                      <w:color w:val="000000" w:themeColor="text1"/>
                      <w:szCs w:val="22"/>
                      <w14:textFill>
                        <w14:solidFill>
                          <w14:schemeClr w14:val="tx1"/>
                        </w14:solidFill>
                      </w14:textFill>
                    </w:rPr>
                    <w:t>0</w:t>
                  </w:r>
                </w:p>
              </w:tc>
              <w:tc>
                <w:tcPr>
                  <w:tcW w:w="422" w:type="pct"/>
                  <w:vMerge w:val="continue"/>
                  <w:shd w:val="clear" w:color="auto" w:fill="auto"/>
                  <w:vAlign w:val="center"/>
                </w:tcPr>
                <w:p w14:paraId="6A08CB05">
                  <w:pPr>
                    <w:jc w:val="center"/>
                    <w:rPr>
                      <w:rFonts w:eastAsia="仿宋"/>
                      <w:color w:val="000000" w:themeColor="text1"/>
                      <w:szCs w:val="21"/>
                      <w14:textFill>
                        <w14:solidFill>
                          <w14:schemeClr w14:val="tx1"/>
                        </w14:solidFill>
                      </w14:textFill>
                    </w:rPr>
                  </w:pPr>
                </w:p>
              </w:tc>
            </w:tr>
          </w:tbl>
          <w:p w14:paraId="2A533705">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4、监测要求</w:t>
            </w:r>
          </w:p>
          <w:p w14:paraId="55728811">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根据《排污许可证申请与核发技术规范 总则》（HJ942-2018）、《排污单位自行监测技术指南 总则》（HJ819-2017）等要求，本项目建成后全厂运营期废水监测计划如下表。</w:t>
            </w:r>
          </w:p>
          <w:p w14:paraId="25DAD86F">
            <w:pPr>
              <w:keepNext/>
              <w:spacing w:line="480" w:lineRule="exact"/>
              <w:jc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表4</w:t>
            </w:r>
            <w:r>
              <w:rPr>
                <w:rFonts w:eastAsia="仿宋"/>
                <w:b/>
                <w:color w:val="000000" w:themeColor="text1"/>
                <w:szCs w:val="21"/>
                <w14:textFill>
                  <w14:solidFill>
                    <w14:schemeClr w14:val="tx1"/>
                  </w14:solidFill>
                </w14:textFill>
              </w:rPr>
              <w:t xml:space="preserve">-23 </w:t>
            </w:r>
            <w:r>
              <w:rPr>
                <w:rFonts w:hint="eastAsia" w:eastAsia="仿宋"/>
                <w:b/>
                <w:color w:val="000000" w:themeColor="text1"/>
                <w:szCs w:val="21"/>
                <w14:textFill>
                  <w14:solidFill>
                    <w14:schemeClr w14:val="tx1"/>
                  </w14:solidFill>
                </w14:textFill>
              </w:rPr>
              <w:t>废水</w:t>
            </w:r>
            <w:r>
              <w:rPr>
                <w:rFonts w:eastAsia="仿宋"/>
                <w:b/>
                <w:color w:val="000000" w:themeColor="text1"/>
                <w:szCs w:val="21"/>
                <w14:textFill>
                  <w14:solidFill>
                    <w14:schemeClr w14:val="tx1"/>
                  </w14:solidFill>
                </w14:textFill>
              </w:rPr>
              <w:t>环境监测计划</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1537"/>
              <w:gridCol w:w="2162"/>
              <w:gridCol w:w="1132"/>
              <w:gridCol w:w="1558"/>
              <w:gridCol w:w="1556"/>
            </w:tblGrid>
            <w:tr w14:paraId="61F93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7" w:type="pct"/>
                  <w:vAlign w:val="center"/>
                </w:tcPr>
                <w:p w14:paraId="57ADCF26">
                  <w:pPr>
                    <w:tabs>
                      <w:tab w:val="left" w:pos="6840"/>
                    </w:tabs>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类别</w:t>
                  </w:r>
                </w:p>
              </w:tc>
              <w:tc>
                <w:tcPr>
                  <w:tcW w:w="854" w:type="pct"/>
                  <w:vAlign w:val="center"/>
                </w:tcPr>
                <w:p w14:paraId="41F0C0D1">
                  <w:pPr>
                    <w:tabs>
                      <w:tab w:val="left" w:pos="6840"/>
                    </w:tabs>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监测位置</w:t>
                  </w:r>
                </w:p>
              </w:tc>
              <w:tc>
                <w:tcPr>
                  <w:tcW w:w="1201" w:type="pct"/>
                  <w:vAlign w:val="center"/>
                </w:tcPr>
                <w:p w14:paraId="4C21EDDD">
                  <w:pPr>
                    <w:tabs>
                      <w:tab w:val="left" w:pos="6840"/>
                    </w:tabs>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监测项目</w:t>
                  </w:r>
                </w:p>
              </w:tc>
              <w:tc>
                <w:tcPr>
                  <w:tcW w:w="629" w:type="pct"/>
                  <w:vAlign w:val="center"/>
                </w:tcPr>
                <w:p w14:paraId="4CAF0C41">
                  <w:pPr>
                    <w:tabs>
                      <w:tab w:val="left" w:pos="6840"/>
                    </w:tabs>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监测频率</w:t>
                  </w:r>
                </w:p>
              </w:tc>
              <w:tc>
                <w:tcPr>
                  <w:tcW w:w="865" w:type="pct"/>
                </w:tcPr>
                <w:p w14:paraId="7275F2B3">
                  <w:pPr>
                    <w:tabs>
                      <w:tab w:val="left" w:pos="6840"/>
                    </w:tabs>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执行排放标准</w:t>
                  </w:r>
                </w:p>
              </w:tc>
              <w:tc>
                <w:tcPr>
                  <w:tcW w:w="864" w:type="pct"/>
                </w:tcPr>
                <w:p w14:paraId="31ECBC1B">
                  <w:pPr>
                    <w:tabs>
                      <w:tab w:val="left" w:pos="6840"/>
                    </w:tabs>
                    <w:jc w:val="center"/>
                    <w:rPr>
                      <w:rFonts w:eastAsia="仿宋"/>
                      <w:b/>
                      <w:color w:val="000000" w:themeColor="text1"/>
                      <w:szCs w:val="21"/>
                      <w14:textFill>
                        <w14:solidFill>
                          <w14:schemeClr w14:val="tx1"/>
                        </w14:solidFill>
                      </w14:textFill>
                    </w:rPr>
                  </w:pPr>
                  <w:r>
                    <w:rPr>
                      <w:rFonts w:eastAsia="仿宋"/>
                      <w:color w:val="000000" w:themeColor="text1"/>
                      <w:szCs w:val="22"/>
                      <w14:textFill>
                        <w14:solidFill>
                          <w14:schemeClr w14:val="tx1"/>
                        </w14:solidFill>
                      </w14:textFill>
                    </w:rPr>
                    <w:t>监测单位</w:t>
                  </w:r>
                </w:p>
              </w:tc>
            </w:tr>
            <w:tr w14:paraId="14A91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7" w:type="pct"/>
                  <w:vAlign w:val="center"/>
                </w:tcPr>
                <w:p w14:paraId="304E7AD7">
                  <w:pPr>
                    <w:tabs>
                      <w:tab w:val="left" w:pos="6840"/>
                    </w:tabs>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废水</w:t>
                  </w:r>
                </w:p>
              </w:tc>
              <w:tc>
                <w:tcPr>
                  <w:tcW w:w="854" w:type="pct"/>
                  <w:vAlign w:val="center"/>
                </w:tcPr>
                <w:p w14:paraId="4DCB52B6">
                  <w:pPr>
                    <w:pStyle w:val="73"/>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生活污水排放口</w:t>
                  </w:r>
                </w:p>
              </w:tc>
              <w:tc>
                <w:tcPr>
                  <w:tcW w:w="1201" w:type="pct"/>
                  <w:vAlign w:val="center"/>
                </w:tcPr>
                <w:p w14:paraId="0C30EA56">
                  <w:pPr>
                    <w:jc w:val="center"/>
                    <w:rPr>
                      <w:color w:val="000000" w:themeColor="text1"/>
                      <w:szCs w:val="21"/>
                      <w14:textFill>
                        <w14:solidFill>
                          <w14:schemeClr w14:val="tx1"/>
                        </w14:solidFill>
                      </w14:textFill>
                    </w:rPr>
                  </w:pPr>
                  <w:r>
                    <w:rPr>
                      <w:rFonts w:eastAsia="仿宋"/>
                      <w:color w:val="000000" w:themeColor="text1"/>
                      <w14:textFill>
                        <w14:solidFill>
                          <w14:schemeClr w14:val="tx1"/>
                        </w14:solidFill>
                      </w14:textFill>
                    </w:rPr>
                    <w:t>pH</w:t>
                  </w:r>
                  <w:r>
                    <w:rPr>
                      <w:rFonts w:hint="eastAsia" w:eastAsia="仿宋"/>
                      <w:color w:val="000000" w:themeColor="text1"/>
                      <w14:textFill>
                        <w14:solidFill>
                          <w14:schemeClr w14:val="tx1"/>
                        </w14:solidFill>
                      </w14:textFill>
                    </w:rPr>
                    <w:t>值、</w:t>
                  </w:r>
                  <w:r>
                    <w:rPr>
                      <w:rFonts w:eastAsia="仿宋"/>
                      <w:color w:val="000000" w:themeColor="text1"/>
                      <w14:textFill>
                        <w14:solidFill>
                          <w14:schemeClr w14:val="tx1"/>
                        </w14:solidFill>
                      </w14:textFill>
                    </w:rPr>
                    <w:t>COD</w:t>
                  </w:r>
                  <w:r>
                    <w:rPr>
                      <w:rFonts w:ascii="仿宋" w:hAnsi="仿宋" w:eastAsia="仿宋"/>
                      <w:color w:val="000000" w:themeColor="text1"/>
                      <w14:textFill>
                        <w14:solidFill>
                          <w14:schemeClr w14:val="tx1"/>
                        </w14:solidFill>
                      </w14:textFill>
                    </w:rPr>
                    <w:t>、</w:t>
                  </w:r>
                  <w:r>
                    <w:rPr>
                      <w:rFonts w:eastAsia="仿宋"/>
                      <w:color w:val="000000" w:themeColor="text1"/>
                      <w14:textFill>
                        <w14:solidFill>
                          <w14:schemeClr w14:val="tx1"/>
                        </w14:solidFill>
                      </w14:textFill>
                    </w:rPr>
                    <w:t>SS</w:t>
                  </w:r>
                  <w:r>
                    <w:rPr>
                      <w:rFonts w:ascii="仿宋" w:hAnsi="仿宋" w:eastAsia="仿宋"/>
                      <w:color w:val="000000" w:themeColor="text1"/>
                      <w14:textFill>
                        <w14:solidFill>
                          <w14:schemeClr w14:val="tx1"/>
                        </w14:solidFill>
                      </w14:textFill>
                    </w:rPr>
                    <w:t>、</w:t>
                  </w:r>
                  <w:r>
                    <w:rPr>
                      <w:rFonts w:eastAsia="仿宋"/>
                      <w:color w:val="000000" w:themeColor="text1"/>
                      <w14:textFill>
                        <w14:solidFill>
                          <w14:schemeClr w14:val="tx1"/>
                        </w14:solidFill>
                      </w14:textFill>
                    </w:rPr>
                    <w:t>NH</w:t>
                  </w:r>
                  <w:r>
                    <w:rPr>
                      <w:rFonts w:eastAsia="仿宋"/>
                      <w:color w:val="000000" w:themeColor="text1"/>
                      <w:vertAlign w:val="subscript"/>
                      <w14:textFill>
                        <w14:solidFill>
                          <w14:schemeClr w14:val="tx1"/>
                        </w14:solidFill>
                      </w14:textFill>
                    </w:rPr>
                    <w:t>3</w:t>
                  </w:r>
                  <w:r>
                    <w:rPr>
                      <w:rFonts w:eastAsia="仿宋"/>
                      <w:color w:val="000000" w:themeColor="text1"/>
                      <w14:textFill>
                        <w14:solidFill>
                          <w14:schemeClr w14:val="tx1"/>
                        </w14:solidFill>
                      </w14:textFill>
                    </w:rPr>
                    <w:t>-N</w:t>
                  </w:r>
                  <w:r>
                    <w:rPr>
                      <w:rFonts w:ascii="仿宋" w:hAnsi="仿宋" w:eastAsia="仿宋"/>
                      <w:color w:val="000000" w:themeColor="text1"/>
                      <w14:textFill>
                        <w14:solidFill>
                          <w14:schemeClr w14:val="tx1"/>
                        </w14:solidFill>
                      </w14:textFill>
                    </w:rPr>
                    <w:t>、</w:t>
                  </w:r>
                  <w:r>
                    <w:rPr>
                      <w:rFonts w:eastAsia="仿宋"/>
                      <w:color w:val="000000" w:themeColor="text1"/>
                      <w14:textFill>
                        <w14:solidFill>
                          <w14:schemeClr w14:val="tx1"/>
                        </w14:solidFill>
                      </w14:textFill>
                    </w:rPr>
                    <w:t>TP</w:t>
                  </w:r>
                  <w:r>
                    <w:rPr>
                      <w:rFonts w:ascii="仿宋" w:hAnsi="仿宋" w:eastAsia="仿宋"/>
                      <w:color w:val="000000" w:themeColor="text1"/>
                      <w14:textFill>
                        <w14:solidFill>
                          <w14:schemeClr w14:val="tx1"/>
                        </w14:solidFill>
                      </w14:textFill>
                    </w:rPr>
                    <w:t>、</w:t>
                  </w:r>
                  <w:r>
                    <w:rPr>
                      <w:rFonts w:eastAsia="仿宋"/>
                      <w:color w:val="000000" w:themeColor="text1"/>
                      <w14:textFill>
                        <w14:solidFill>
                          <w14:schemeClr w14:val="tx1"/>
                        </w14:solidFill>
                      </w14:textFill>
                    </w:rPr>
                    <w:t>TN</w:t>
                  </w:r>
                </w:p>
              </w:tc>
              <w:tc>
                <w:tcPr>
                  <w:tcW w:w="629" w:type="pct"/>
                  <w:vAlign w:val="center"/>
                </w:tcPr>
                <w:p w14:paraId="4B9A8D07">
                  <w:pPr>
                    <w:autoSpaceDE w:val="0"/>
                    <w:autoSpaceDN w:val="0"/>
                    <w:snapToGrid w:val="0"/>
                    <w:jc w:val="center"/>
                    <w:rPr>
                      <w:rFonts w:eastAsia="仿宋"/>
                      <w:color w:val="000000" w:themeColor="text1"/>
                      <w:szCs w:val="21"/>
                      <w14:textFill>
                        <w14:solidFill>
                          <w14:schemeClr w14:val="tx1"/>
                        </w14:solidFill>
                      </w14:textFill>
                    </w:rPr>
                  </w:pPr>
                  <w:r>
                    <w:rPr>
                      <w:rFonts w:eastAsia="仿宋"/>
                      <w:color w:val="000000" w:themeColor="text1"/>
                      <w14:textFill>
                        <w14:solidFill>
                          <w14:schemeClr w14:val="tx1"/>
                        </w14:solidFill>
                      </w14:textFill>
                    </w:rPr>
                    <w:t>1</w:t>
                  </w:r>
                  <w:r>
                    <w:rPr>
                      <w:rFonts w:ascii="仿宋" w:hAnsi="仿宋" w:eastAsia="仿宋"/>
                      <w:color w:val="000000" w:themeColor="text1"/>
                      <w14:textFill>
                        <w14:solidFill>
                          <w14:schemeClr w14:val="tx1"/>
                        </w14:solidFill>
                      </w14:textFill>
                    </w:rPr>
                    <w:t>次</w:t>
                  </w:r>
                  <w:r>
                    <w:rPr>
                      <w:rFonts w:eastAsia="仿宋"/>
                      <w:color w:val="000000" w:themeColor="text1"/>
                      <w14:textFill>
                        <w14:solidFill>
                          <w14:schemeClr w14:val="tx1"/>
                        </w14:solidFill>
                      </w14:textFill>
                    </w:rPr>
                    <w:t>/</w:t>
                  </w:r>
                  <w:r>
                    <w:rPr>
                      <w:rFonts w:hint="eastAsia" w:ascii="仿宋" w:hAnsi="仿宋" w:eastAsia="仿宋"/>
                      <w:color w:val="000000" w:themeColor="text1"/>
                      <w14:textFill>
                        <w14:solidFill>
                          <w14:schemeClr w14:val="tx1"/>
                        </w14:solidFill>
                      </w14:textFill>
                    </w:rPr>
                    <w:t>年</w:t>
                  </w:r>
                </w:p>
              </w:tc>
              <w:tc>
                <w:tcPr>
                  <w:tcW w:w="865" w:type="pct"/>
                  <w:vAlign w:val="center"/>
                </w:tcPr>
                <w:p w14:paraId="032130B2">
                  <w:pPr>
                    <w:autoSpaceDE w:val="0"/>
                    <w:autoSpaceDN w:val="0"/>
                    <w:snapToGrid w:val="0"/>
                    <w:jc w:val="center"/>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金坛</w:t>
                  </w:r>
                  <w:r>
                    <w:rPr>
                      <w:rFonts w:hint="eastAsia" w:ascii="仿宋" w:hAnsi="仿宋" w:eastAsia="仿宋"/>
                      <w:color w:val="000000" w:themeColor="text1"/>
                      <w14:textFill>
                        <w14:solidFill>
                          <w14:schemeClr w14:val="tx1"/>
                        </w14:solidFill>
                      </w14:textFill>
                    </w:rPr>
                    <w:t>区</w:t>
                  </w:r>
                  <w:r>
                    <w:rPr>
                      <w:rFonts w:ascii="仿宋" w:hAnsi="仿宋" w:eastAsia="仿宋"/>
                      <w:color w:val="000000" w:themeColor="text1"/>
                      <w14:textFill>
                        <w14:solidFill>
                          <w14:schemeClr w14:val="tx1"/>
                        </w14:solidFill>
                      </w14:textFill>
                    </w:rPr>
                    <w:t>第二污水处理厂接管标准</w:t>
                  </w:r>
                </w:p>
              </w:tc>
              <w:tc>
                <w:tcPr>
                  <w:tcW w:w="864" w:type="pct"/>
                  <w:vAlign w:val="center"/>
                </w:tcPr>
                <w:p w14:paraId="2B55C667">
                  <w:pPr>
                    <w:tabs>
                      <w:tab w:val="left" w:pos="6840"/>
                    </w:tabs>
                    <w:jc w:val="center"/>
                    <w:rPr>
                      <w:rFonts w:eastAsia="仿宋"/>
                      <w:color w:val="000000" w:themeColor="text1"/>
                      <w:szCs w:val="21"/>
                      <w14:textFill>
                        <w14:solidFill>
                          <w14:schemeClr w14:val="tx1"/>
                        </w14:solidFill>
                      </w14:textFill>
                    </w:rPr>
                  </w:pPr>
                  <w:r>
                    <w:rPr>
                      <w:rFonts w:eastAsia="仿宋"/>
                      <w:color w:val="000000" w:themeColor="text1"/>
                      <w:szCs w:val="22"/>
                      <w14:textFill>
                        <w14:solidFill>
                          <w14:schemeClr w14:val="tx1"/>
                        </w14:solidFill>
                      </w14:textFill>
                    </w:rPr>
                    <w:t>有资质的环境监测机构</w:t>
                  </w:r>
                </w:p>
              </w:tc>
            </w:tr>
          </w:tbl>
          <w:p w14:paraId="35F9DE5B">
            <w:pPr>
              <w:pStyle w:val="10"/>
              <w:spacing w:line="240" w:lineRule="auto"/>
              <w:jc w:val="both"/>
              <w:rPr>
                <w:color w:val="000000" w:themeColor="text1"/>
                <w14:textFill>
                  <w14:solidFill>
                    <w14:schemeClr w14:val="tx1"/>
                  </w14:solidFill>
                </w14:textFill>
              </w:rPr>
            </w:pPr>
            <w:r>
              <w:rPr>
                <w:color w:val="000000" w:themeColor="text1"/>
                <w14:textFill>
                  <w14:solidFill>
                    <w14:schemeClr w14:val="tx1"/>
                  </w14:solidFill>
                </w14:textFill>
              </w:rPr>
              <w:t>注：污染物排放监测依据参照《排污许可证申请与核发技术规范 总则》（HJ942-2018）、《排污单位自行监测技术指南 总则》（HJ819-2017）等，具体以企业实际取得排污许可证中频次为准。</w:t>
            </w:r>
          </w:p>
          <w:p w14:paraId="4DD42A3D">
            <w:pPr>
              <w:pStyle w:val="10"/>
              <w:spacing w:line="240" w:lineRule="auto"/>
              <w:ind w:firstLine="0" w:firstLineChars="0"/>
              <w:jc w:val="both"/>
              <w:rPr>
                <w:color w:val="000000" w:themeColor="text1"/>
                <w14:textFill>
                  <w14:solidFill>
                    <w14:schemeClr w14:val="tx1"/>
                  </w14:solidFill>
                </w14:textFill>
              </w:rPr>
            </w:pPr>
          </w:p>
          <w:p w14:paraId="5F65568D">
            <w:pPr>
              <w:pStyle w:val="10"/>
              <w:spacing w:line="240" w:lineRule="auto"/>
              <w:ind w:firstLine="0" w:firstLineChars="0"/>
              <w:jc w:val="both"/>
              <w:rPr>
                <w:color w:val="000000" w:themeColor="text1"/>
                <w14:textFill>
                  <w14:solidFill>
                    <w14:schemeClr w14:val="tx1"/>
                  </w14:solidFill>
                </w14:textFill>
              </w:rPr>
            </w:pPr>
          </w:p>
        </w:tc>
      </w:tr>
    </w:tbl>
    <w:p w14:paraId="655E4DF6">
      <w:pPr>
        <w:adjustRightInd w:val="0"/>
        <w:snapToGrid w:val="0"/>
        <w:rPr>
          <w:rFonts w:eastAsia="仿宋"/>
          <w:color w:val="000000" w:themeColor="text1"/>
          <w:kern w:val="0"/>
          <w:sz w:val="24"/>
          <w14:textFill>
            <w14:solidFill>
              <w14:schemeClr w14:val="tx1"/>
            </w14:solidFill>
          </w14:textFill>
        </w:rPr>
      </w:pPr>
    </w:p>
    <w:p w14:paraId="6D5C6A39">
      <w:pPr>
        <w:adjustRightInd w:val="0"/>
        <w:snapToGrid w:val="0"/>
        <w:rPr>
          <w:rFonts w:eastAsia="仿宋"/>
          <w:color w:val="000000" w:themeColor="text1"/>
          <w:kern w:val="0"/>
          <w:sz w:val="24"/>
          <w14:textFill>
            <w14:solidFill>
              <w14:schemeClr w14:val="tx1"/>
            </w14:solidFill>
          </w14:textFill>
        </w:rPr>
        <w:sectPr>
          <w:pgSz w:w="11906" w:h="16838"/>
          <w:pgMar w:top="1701" w:right="1531" w:bottom="1701" w:left="1531" w:header="851" w:footer="851" w:gutter="0"/>
          <w:cols w:space="720" w:num="1"/>
          <w:docGrid w:linePitch="312" w:charSpace="0"/>
        </w:sectPr>
      </w:pPr>
    </w:p>
    <w:tbl>
      <w:tblPr>
        <w:tblStyle w:val="24"/>
        <w:tblW w:w="580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4822"/>
      </w:tblGrid>
      <w:tr w14:paraId="5A1ADC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99" w:type="pct"/>
            <w:noWrap/>
            <w:tcMar>
              <w:left w:w="28" w:type="dxa"/>
              <w:right w:w="28" w:type="dxa"/>
            </w:tcMar>
            <w:vAlign w:val="center"/>
          </w:tcPr>
          <w:p w14:paraId="0A76CA5D">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运营期环境影响和保护措施</w:t>
            </w:r>
          </w:p>
        </w:tc>
        <w:tc>
          <w:tcPr>
            <w:tcW w:w="4701" w:type="pct"/>
            <w:noWrap/>
            <w:vAlign w:val="center"/>
          </w:tcPr>
          <w:p w14:paraId="0A3E0EA1">
            <w:pPr>
              <w:adjustRightInd w:val="0"/>
              <w:snapToGrid w:val="0"/>
              <w:spacing w:line="48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（三）噪声</w:t>
            </w:r>
          </w:p>
          <w:p w14:paraId="09C3FCD9">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（1）污染物产生情况</w:t>
            </w:r>
          </w:p>
          <w:p w14:paraId="3EC7D9D0">
            <w:pPr>
              <w:keepNext/>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项目噪声源主要为</w:t>
            </w:r>
            <w:r>
              <w:rPr>
                <w:rFonts w:hint="eastAsia" w:eastAsia="仿宋"/>
                <w:color w:val="000000" w:themeColor="text1"/>
                <w:sz w:val="24"/>
                <w14:textFill>
                  <w14:solidFill>
                    <w14:schemeClr w14:val="tx1"/>
                  </w14:solidFill>
                </w14:textFill>
              </w:rPr>
              <w:t>锅炉房、风机设备和循环泵运行</w:t>
            </w:r>
            <w:r>
              <w:rPr>
                <w:rFonts w:eastAsia="仿宋"/>
                <w:color w:val="000000" w:themeColor="text1"/>
                <w:sz w:val="24"/>
                <w14:textFill>
                  <w14:solidFill>
                    <w14:schemeClr w14:val="tx1"/>
                  </w14:solidFill>
                </w14:textFill>
              </w:rPr>
              <w:t>噪声，类比同类项目，本项目噪声源情况见下表。采取的主要噪声治理措施：主要噪声设备安装减震垫，合理布局，厂房隔声等，综合降噪能力不低于25dB(A)。</w:t>
            </w:r>
          </w:p>
          <w:p w14:paraId="13FBD742">
            <w:pPr>
              <w:keepNext/>
              <w:spacing w:line="480" w:lineRule="exact"/>
              <w:jc w:val="center"/>
              <w:rPr>
                <w:rFonts w:eastAsia="仿宋"/>
                <w:color w:val="000000" w:themeColor="text1"/>
                <w:sz w:val="24"/>
                <w14:textFill>
                  <w14:solidFill>
                    <w14:schemeClr w14:val="tx1"/>
                  </w14:solidFill>
                </w14:textFill>
              </w:rPr>
            </w:pPr>
            <w:r>
              <w:rPr>
                <w:rFonts w:hint="eastAsia" w:eastAsia="仿宋"/>
                <w:b/>
                <w:color w:val="000000" w:themeColor="text1"/>
                <w:szCs w:val="21"/>
                <w14:textFill>
                  <w14:solidFill>
                    <w14:schemeClr w14:val="tx1"/>
                  </w14:solidFill>
                </w14:textFill>
              </w:rPr>
              <w:t>表4</w:t>
            </w:r>
            <w:r>
              <w:rPr>
                <w:rFonts w:eastAsia="仿宋"/>
                <w:b/>
                <w:color w:val="000000" w:themeColor="text1"/>
                <w:szCs w:val="21"/>
                <w14:textFill>
                  <w14:solidFill>
                    <w14:schemeClr w14:val="tx1"/>
                  </w14:solidFill>
                </w14:textFill>
              </w:rPr>
              <w:t xml:space="preserve">-24 </w:t>
            </w:r>
            <w:r>
              <w:rPr>
                <w:rFonts w:hint="eastAsia" w:eastAsia="仿宋"/>
                <w:b/>
                <w:color w:val="000000" w:themeColor="text1"/>
                <w:szCs w:val="21"/>
                <w14:textFill>
                  <w14:solidFill>
                    <w14:schemeClr w14:val="tx1"/>
                  </w14:solidFill>
                </w14:textFill>
              </w:rPr>
              <w:t>工业企业噪声源强调查清单（室内声源） 单位：dB（A）</w:t>
            </w:r>
          </w:p>
          <w:tbl>
            <w:tblPr>
              <w:tblStyle w:val="25"/>
              <w:tblW w:w="14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
              <w:gridCol w:w="389"/>
              <w:gridCol w:w="568"/>
              <w:gridCol w:w="430"/>
              <w:gridCol w:w="712"/>
              <w:gridCol w:w="570"/>
              <w:gridCol w:w="572"/>
              <w:gridCol w:w="570"/>
              <w:gridCol w:w="570"/>
              <w:gridCol w:w="570"/>
              <w:gridCol w:w="573"/>
              <w:gridCol w:w="432"/>
              <w:gridCol w:w="712"/>
              <w:gridCol w:w="712"/>
              <w:gridCol w:w="714"/>
              <w:gridCol w:w="427"/>
              <w:gridCol w:w="570"/>
              <w:gridCol w:w="570"/>
              <w:gridCol w:w="570"/>
              <w:gridCol w:w="573"/>
              <w:gridCol w:w="570"/>
              <w:gridCol w:w="712"/>
              <w:gridCol w:w="706"/>
              <w:gridCol w:w="536"/>
              <w:gridCol w:w="709"/>
            </w:tblGrid>
            <w:tr w14:paraId="07D5A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jc w:val="center"/>
              </w:trPr>
              <w:tc>
                <w:tcPr>
                  <w:tcW w:w="349" w:type="dxa"/>
                  <w:vMerge w:val="restart"/>
                  <w:vAlign w:val="center"/>
                </w:tcPr>
                <w:p w14:paraId="40B67A95">
                  <w:pPr>
                    <w:autoSpaceDE w:val="0"/>
                    <w:autoSpaceDN w:val="0"/>
                    <w:snapToGrid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14:textFill>
                        <w14:solidFill>
                          <w14:schemeClr w14:val="tx1"/>
                        </w14:solidFill>
                      </w14:textFill>
                    </w:rPr>
                    <w:t>建筑物名称</w:t>
                  </w:r>
                </w:p>
              </w:tc>
              <w:tc>
                <w:tcPr>
                  <w:tcW w:w="389" w:type="dxa"/>
                  <w:vMerge w:val="restart"/>
                  <w:vAlign w:val="center"/>
                </w:tcPr>
                <w:p w14:paraId="33898BA8">
                  <w:pPr>
                    <w:autoSpaceDE w:val="0"/>
                    <w:autoSpaceDN w:val="0"/>
                    <w:snapToGrid w:val="0"/>
                    <w:jc w:val="center"/>
                    <w:rPr>
                      <w:rFonts w:eastAsia="仿宋"/>
                      <w:b/>
                      <w:bCs/>
                      <w:color w:val="000000" w:themeColor="text1"/>
                      <w14:textFill>
                        <w14:solidFill>
                          <w14:schemeClr w14:val="tx1"/>
                        </w14:solidFill>
                      </w14:textFill>
                    </w:rPr>
                  </w:pPr>
                  <w:r>
                    <w:rPr>
                      <w:rFonts w:ascii="仿宋" w:hAnsi="仿宋" w:eastAsia="仿宋"/>
                      <w:b/>
                      <w:bCs/>
                      <w:color w:val="000000" w:themeColor="text1"/>
                      <w14:textFill>
                        <w14:solidFill>
                          <w14:schemeClr w14:val="tx1"/>
                        </w14:solidFill>
                      </w14:textFill>
                    </w:rPr>
                    <w:t>声源名称</w:t>
                  </w:r>
                </w:p>
              </w:tc>
              <w:tc>
                <w:tcPr>
                  <w:tcW w:w="568" w:type="dxa"/>
                  <w:vMerge w:val="restart"/>
                  <w:vAlign w:val="center"/>
                </w:tcPr>
                <w:p w14:paraId="3EBF8A97">
                  <w:pPr>
                    <w:autoSpaceDE w:val="0"/>
                    <w:autoSpaceDN w:val="0"/>
                    <w:snapToGrid w:val="0"/>
                    <w:jc w:val="center"/>
                    <w:rPr>
                      <w:rFonts w:eastAsia="仿宋"/>
                      <w:b/>
                      <w:bCs/>
                      <w:color w:val="000000" w:themeColor="text1"/>
                      <w14:textFill>
                        <w14:solidFill>
                          <w14:schemeClr w14:val="tx1"/>
                        </w14:solidFill>
                      </w14:textFill>
                    </w:rPr>
                  </w:pPr>
                  <w:r>
                    <w:rPr>
                      <w:rFonts w:ascii="仿宋" w:hAnsi="仿宋" w:eastAsia="仿宋"/>
                      <w:b/>
                      <w:bCs/>
                      <w:color w:val="000000" w:themeColor="text1"/>
                      <w14:textFill>
                        <w14:solidFill>
                          <w14:schemeClr w14:val="tx1"/>
                        </w14:solidFill>
                      </w14:textFill>
                    </w:rPr>
                    <w:t>声功率级</w:t>
                  </w:r>
                  <w:r>
                    <w:rPr>
                      <w:rFonts w:eastAsia="仿宋"/>
                      <w:b/>
                      <w:bCs/>
                      <w:color w:val="000000" w:themeColor="text1"/>
                      <w14:textFill>
                        <w14:solidFill>
                          <w14:schemeClr w14:val="tx1"/>
                        </w14:solidFill>
                      </w14:textFill>
                    </w:rPr>
                    <w:t>/dB(A)</w:t>
                  </w:r>
                </w:p>
              </w:tc>
              <w:tc>
                <w:tcPr>
                  <w:tcW w:w="430" w:type="dxa"/>
                  <w:vMerge w:val="restart"/>
                  <w:vAlign w:val="center"/>
                </w:tcPr>
                <w:p w14:paraId="5534A589">
                  <w:pPr>
                    <w:autoSpaceDE w:val="0"/>
                    <w:autoSpaceDN w:val="0"/>
                    <w:snapToGrid w:val="0"/>
                    <w:jc w:val="center"/>
                    <w:rPr>
                      <w:rFonts w:eastAsia="仿宋"/>
                      <w:b/>
                      <w:bCs/>
                      <w:color w:val="000000" w:themeColor="text1"/>
                      <w14:textFill>
                        <w14:solidFill>
                          <w14:schemeClr w14:val="tx1"/>
                        </w14:solidFill>
                      </w14:textFill>
                    </w:rPr>
                  </w:pPr>
                  <w:r>
                    <w:rPr>
                      <w:rFonts w:ascii="仿宋" w:hAnsi="仿宋" w:eastAsia="仿宋"/>
                      <w:b/>
                      <w:bCs/>
                      <w:color w:val="000000" w:themeColor="text1"/>
                      <w14:textFill>
                        <w14:solidFill>
                          <w14:schemeClr w14:val="tx1"/>
                        </w14:solidFill>
                      </w14:textFill>
                    </w:rPr>
                    <w:t>声源控制措施</w:t>
                  </w:r>
                </w:p>
              </w:tc>
              <w:tc>
                <w:tcPr>
                  <w:tcW w:w="1854" w:type="dxa"/>
                  <w:gridSpan w:val="3"/>
                  <w:vAlign w:val="center"/>
                </w:tcPr>
                <w:p w14:paraId="5FBF5B13">
                  <w:pPr>
                    <w:autoSpaceDE w:val="0"/>
                    <w:autoSpaceDN w:val="0"/>
                    <w:snapToGrid w:val="0"/>
                    <w:jc w:val="center"/>
                    <w:rPr>
                      <w:rFonts w:eastAsia="仿宋"/>
                      <w:b/>
                      <w:bCs/>
                      <w:color w:val="000000" w:themeColor="text1"/>
                      <w14:textFill>
                        <w14:solidFill>
                          <w14:schemeClr w14:val="tx1"/>
                        </w14:solidFill>
                      </w14:textFill>
                    </w:rPr>
                  </w:pPr>
                  <w:r>
                    <w:rPr>
                      <w:rFonts w:ascii="仿宋" w:hAnsi="仿宋" w:eastAsia="仿宋"/>
                      <w:b/>
                      <w:bCs/>
                      <w:color w:val="000000" w:themeColor="text1"/>
                      <w14:textFill>
                        <w14:solidFill>
                          <w14:schemeClr w14:val="tx1"/>
                        </w14:solidFill>
                      </w14:textFill>
                    </w:rPr>
                    <w:t>空间相对位置</w:t>
                  </w:r>
                  <w:r>
                    <w:rPr>
                      <w:rFonts w:eastAsia="仿宋"/>
                      <w:b/>
                      <w:bCs/>
                      <w:color w:val="000000" w:themeColor="text1"/>
                      <w14:textFill>
                        <w14:solidFill>
                          <w14:schemeClr w14:val="tx1"/>
                        </w14:solidFill>
                      </w14:textFill>
                    </w:rPr>
                    <w:t>/m</w:t>
                  </w:r>
                </w:p>
              </w:tc>
              <w:tc>
                <w:tcPr>
                  <w:tcW w:w="2283" w:type="dxa"/>
                  <w:gridSpan w:val="4"/>
                  <w:vAlign w:val="center"/>
                </w:tcPr>
                <w:p w14:paraId="4B15CDBB">
                  <w:pPr>
                    <w:autoSpaceDE w:val="0"/>
                    <w:autoSpaceDN w:val="0"/>
                    <w:snapToGrid w:val="0"/>
                    <w:jc w:val="center"/>
                    <w:rPr>
                      <w:rFonts w:eastAsia="仿宋"/>
                      <w:b/>
                      <w:bCs/>
                      <w:color w:val="000000" w:themeColor="text1"/>
                      <w14:textFill>
                        <w14:solidFill>
                          <w14:schemeClr w14:val="tx1"/>
                        </w14:solidFill>
                      </w14:textFill>
                    </w:rPr>
                  </w:pPr>
                  <w:r>
                    <w:rPr>
                      <w:rFonts w:ascii="仿宋" w:hAnsi="仿宋" w:eastAsia="仿宋"/>
                      <w:b/>
                      <w:bCs/>
                      <w:color w:val="000000" w:themeColor="text1"/>
                      <w14:textFill>
                        <w14:solidFill>
                          <w14:schemeClr w14:val="tx1"/>
                        </w14:solidFill>
                      </w14:textFill>
                    </w:rPr>
                    <w:t>距室内边界距离</w:t>
                  </w:r>
                  <w:r>
                    <w:rPr>
                      <w:rFonts w:eastAsia="仿宋"/>
                      <w:b/>
                      <w:bCs/>
                      <w:color w:val="000000" w:themeColor="text1"/>
                      <w14:textFill>
                        <w14:solidFill>
                          <w14:schemeClr w14:val="tx1"/>
                        </w14:solidFill>
                      </w14:textFill>
                    </w:rPr>
                    <w:t>/m</w:t>
                  </w:r>
                </w:p>
              </w:tc>
              <w:tc>
                <w:tcPr>
                  <w:tcW w:w="2570" w:type="dxa"/>
                  <w:gridSpan w:val="4"/>
                  <w:vAlign w:val="center"/>
                </w:tcPr>
                <w:p w14:paraId="1E825301">
                  <w:pPr>
                    <w:autoSpaceDE w:val="0"/>
                    <w:autoSpaceDN w:val="0"/>
                    <w:snapToGrid w:val="0"/>
                    <w:jc w:val="center"/>
                    <w:rPr>
                      <w:rFonts w:eastAsia="仿宋"/>
                      <w:b/>
                      <w:bCs/>
                      <w:color w:val="000000" w:themeColor="text1"/>
                      <w14:textFill>
                        <w14:solidFill>
                          <w14:schemeClr w14:val="tx1"/>
                        </w14:solidFill>
                      </w14:textFill>
                    </w:rPr>
                  </w:pPr>
                  <w:r>
                    <w:rPr>
                      <w:rFonts w:hint="eastAsia" w:eastAsia="仿宋"/>
                      <w:b/>
                      <w:bCs/>
                      <w:color w:val="000000" w:themeColor="text1"/>
                      <w14:textFill>
                        <w14:solidFill>
                          <w14:schemeClr w14:val="tx1"/>
                        </w14:solidFill>
                      </w14:textFill>
                    </w:rPr>
                    <w:t>室内边界声级/dB(A)</w:t>
                  </w:r>
                </w:p>
              </w:tc>
              <w:tc>
                <w:tcPr>
                  <w:tcW w:w="427" w:type="dxa"/>
                  <w:vMerge w:val="restart"/>
                  <w:vAlign w:val="center"/>
                </w:tcPr>
                <w:p w14:paraId="08B71F90">
                  <w:pPr>
                    <w:autoSpaceDE w:val="0"/>
                    <w:autoSpaceDN w:val="0"/>
                    <w:snapToGrid w:val="0"/>
                    <w:jc w:val="center"/>
                    <w:rPr>
                      <w:rFonts w:eastAsia="仿宋"/>
                      <w:b/>
                      <w:bCs/>
                      <w:color w:val="000000" w:themeColor="text1"/>
                      <w14:textFill>
                        <w14:solidFill>
                          <w14:schemeClr w14:val="tx1"/>
                        </w14:solidFill>
                      </w14:textFill>
                    </w:rPr>
                  </w:pPr>
                  <w:r>
                    <w:rPr>
                      <w:rFonts w:hint="eastAsia" w:eastAsia="仿宋"/>
                      <w:b/>
                      <w:bCs/>
                      <w:color w:val="000000" w:themeColor="text1"/>
                      <w14:textFill>
                        <w14:solidFill>
                          <w14:schemeClr w14:val="tx1"/>
                        </w14:solidFill>
                      </w14:textFill>
                    </w:rPr>
                    <w:t>运行时段</w:t>
                  </w:r>
                </w:p>
              </w:tc>
              <w:tc>
                <w:tcPr>
                  <w:tcW w:w="2283" w:type="dxa"/>
                  <w:gridSpan w:val="4"/>
                  <w:vAlign w:val="center"/>
                </w:tcPr>
                <w:p w14:paraId="744294C0">
                  <w:pPr>
                    <w:autoSpaceDE w:val="0"/>
                    <w:autoSpaceDN w:val="0"/>
                    <w:snapToGrid w:val="0"/>
                    <w:jc w:val="center"/>
                    <w:rPr>
                      <w:rFonts w:eastAsia="仿宋"/>
                      <w:b/>
                      <w:bCs/>
                      <w:color w:val="000000" w:themeColor="text1"/>
                      <w14:textFill>
                        <w14:solidFill>
                          <w14:schemeClr w14:val="tx1"/>
                        </w14:solidFill>
                      </w14:textFill>
                    </w:rPr>
                  </w:pPr>
                  <w:r>
                    <w:rPr>
                      <w:rFonts w:hint="eastAsia" w:eastAsia="仿宋"/>
                      <w:b/>
                      <w:bCs/>
                      <w:color w:val="000000" w:themeColor="text1"/>
                      <w14:textFill>
                        <w14:solidFill>
                          <w14:schemeClr w14:val="tx1"/>
                        </w14:solidFill>
                      </w14:textFill>
                    </w:rPr>
                    <w:t>建筑物插入损失/</w:t>
                  </w:r>
                  <w:r>
                    <w:rPr>
                      <w:rFonts w:eastAsia="仿宋"/>
                      <w:b/>
                      <w:bCs/>
                      <w:color w:val="000000" w:themeColor="text1"/>
                      <w14:textFill>
                        <w14:solidFill>
                          <w14:schemeClr w14:val="tx1"/>
                        </w14:solidFill>
                      </w14:textFill>
                    </w:rPr>
                    <w:t>dB(A)</w:t>
                  </w:r>
                </w:p>
              </w:tc>
              <w:tc>
                <w:tcPr>
                  <w:tcW w:w="3233" w:type="dxa"/>
                  <w:gridSpan w:val="5"/>
                  <w:vAlign w:val="center"/>
                </w:tcPr>
                <w:p w14:paraId="395187DB">
                  <w:pPr>
                    <w:autoSpaceDE w:val="0"/>
                    <w:autoSpaceDN w:val="0"/>
                    <w:snapToGrid w:val="0"/>
                    <w:jc w:val="center"/>
                    <w:rPr>
                      <w:rFonts w:eastAsia="仿宋"/>
                      <w:b/>
                      <w:bCs/>
                      <w:color w:val="000000" w:themeColor="text1"/>
                      <w14:textFill>
                        <w14:solidFill>
                          <w14:schemeClr w14:val="tx1"/>
                        </w14:solidFill>
                      </w14:textFill>
                    </w:rPr>
                  </w:pPr>
                  <w:r>
                    <w:rPr>
                      <w:rFonts w:hint="eastAsia" w:eastAsia="仿宋"/>
                      <w:b/>
                      <w:bCs/>
                      <w:color w:val="000000" w:themeColor="text1"/>
                      <w14:textFill>
                        <w14:solidFill>
                          <w14:schemeClr w14:val="tx1"/>
                        </w14:solidFill>
                      </w14:textFill>
                    </w:rPr>
                    <w:t>建筑物外噪声声压级/dB(A)</w:t>
                  </w:r>
                </w:p>
              </w:tc>
            </w:tr>
            <w:tr w14:paraId="09131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349" w:type="dxa"/>
                  <w:vMerge w:val="continue"/>
                  <w:vAlign w:val="center"/>
                </w:tcPr>
                <w:p w14:paraId="2B0E4C63">
                  <w:pPr>
                    <w:widowControl/>
                    <w:jc w:val="left"/>
                    <w:rPr>
                      <w:rFonts w:eastAsia="仿宋"/>
                      <w:b/>
                      <w:bCs/>
                      <w:color w:val="000000" w:themeColor="text1"/>
                      <w:szCs w:val="21"/>
                      <w14:textFill>
                        <w14:solidFill>
                          <w14:schemeClr w14:val="tx1"/>
                        </w14:solidFill>
                      </w14:textFill>
                    </w:rPr>
                  </w:pPr>
                </w:p>
              </w:tc>
              <w:tc>
                <w:tcPr>
                  <w:tcW w:w="389" w:type="dxa"/>
                  <w:vMerge w:val="continue"/>
                  <w:vAlign w:val="center"/>
                </w:tcPr>
                <w:p w14:paraId="5E953194">
                  <w:pPr>
                    <w:widowControl/>
                    <w:jc w:val="left"/>
                    <w:rPr>
                      <w:rFonts w:eastAsia="仿宋"/>
                      <w:b/>
                      <w:bCs/>
                      <w:color w:val="000000" w:themeColor="text1"/>
                      <w:szCs w:val="21"/>
                      <w14:textFill>
                        <w14:solidFill>
                          <w14:schemeClr w14:val="tx1"/>
                        </w14:solidFill>
                      </w14:textFill>
                    </w:rPr>
                  </w:pPr>
                </w:p>
              </w:tc>
              <w:tc>
                <w:tcPr>
                  <w:tcW w:w="568" w:type="dxa"/>
                  <w:vMerge w:val="continue"/>
                  <w:vAlign w:val="center"/>
                </w:tcPr>
                <w:p w14:paraId="1C9BDCC6">
                  <w:pPr>
                    <w:widowControl/>
                    <w:jc w:val="left"/>
                    <w:rPr>
                      <w:rFonts w:eastAsia="仿宋"/>
                      <w:b/>
                      <w:bCs/>
                      <w:color w:val="000000" w:themeColor="text1"/>
                      <w:szCs w:val="21"/>
                      <w14:textFill>
                        <w14:solidFill>
                          <w14:schemeClr w14:val="tx1"/>
                        </w14:solidFill>
                      </w14:textFill>
                    </w:rPr>
                  </w:pPr>
                </w:p>
              </w:tc>
              <w:tc>
                <w:tcPr>
                  <w:tcW w:w="430" w:type="dxa"/>
                  <w:vMerge w:val="continue"/>
                  <w:vAlign w:val="center"/>
                </w:tcPr>
                <w:p w14:paraId="227161E3">
                  <w:pPr>
                    <w:widowControl/>
                    <w:jc w:val="left"/>
                    <w:rPr>
                      <w:rFonts w:eastAsia="仿宋"/>
                      <w:b/>
                      <w:bCs/>
                      <w:color w:val="000000" w:themeColor="text1"/>
                      <w:szCs w:val="21"/>
                      <w14:textFill>
                        <w14:solidFill>
                          <w14:schemeClr w14:val="tx1"/>
                        </w14:solidFill>
                      </w14:textFill>
                    </w:rPr>
                  </w:pPr>
                </w:p>
              </w:tc>
              <w:tc>
                <w:tcPr>
                  <w:tcW w:w="712" w:type="dxa"/>
                  <w:vAlign w:val="center"/>
                </w:tcPr>
                <w:p w14:paraId="72C4FFA7">
                  <w:pPr>
                    <w:autoSpaceDE w:val="0"/>
                    <w:autoSpaceDN w:val="0"/>
                    <w:snapToGrid w:val="0"/>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X</w:t>
                  </w:r>
                </w:p>
              </w:tc>
              <w:tc>
                <w:tcPr>
                  <w:tcW w:w="570" w:type="dxa"/>
                  <w:vAlign w:val="center"/>
                </w:tcPr>
                <w:p w14:paraId="0A90A0BC">
                  <w:pPr>
                    <w:autoSpaceDE w:val="0"/>
                    <w:autoSpaceDN w:val="0"/>
                    <w:snapToGrid w:val="0"/>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Y</w:t>
                  </w:r>
                </w:p>
              </w:tc>
              <w:tc>
                <w:tcPr>
                  <w:tcW w:w="572" w:type="dxa"/>
                  <w:vAlign w:val="center"/>
                </w:tcPr>
                <w:p w14:paraId="6972F189">
                  <w:pPr>
                    <w:autoSpaceDE w:val="0"/>
                    <w:autoSpaceDN w:val="0"/>
                    <w:snapToGrid w:val="0"/>
                    <w:jc w:val="center"/>
                    <w:rPr>
                      <w:rFonts w:eastAsia="仿宋"/>
                      <w:b/>
                      <w:bCs/>
                      <w:color w:val="000000" w:themeColor="text1"/>
                      <w14:textFill>
                        <w14:solidFill>
                          <w14:schemeClr w14:val="tx1"/>
                        </w14:solidFill>
                      </w14:textFill>
                    </w:rPr>
                  </w:pPr>
                  <w:r>
                    <w:rPr>
                      <w:rFonts w:eastAsia="仿宋"/>
                      <w:b/>
                      <w:bCs/>
                      <w:color w:val="000000" w:themeColor="text1"/>
                      <w14:textFill>
                        <w14:solidFill>
                          <w14:schemeClr w14:val="tx1"/>
                        </w14:solidFill>
                      </w14:textFill>
                    </w:rPr>
                    <w:t>Z</w:t>
                  </w:r>
                </w:p>
              </w:tc>
              <w:tc>
                <w:tcPr>
                  <w:tcW w:w="570" w:type="dxa"/>
                  <w:vAlign w:val="center"/>
                </w:tcPr>
                <w:p w14:paraId="79A8F92C">
                  <w:pPr>
                    <w:autoSpaceDE w:val="0"/>
                    <w:autoSpaceDN w:val="0"/>
                    <w:snapToGrid w:val="0"/>
                    <w:jc w:val="center"/>
                    <w:rPr>
                      <w:rFonts w:eastAsia="仿宋"/>
                      <w:b/>
                      <w:bCs/>
                      <w:color w:val="000000" w:themeColor="text1"/>
                      <w14:textFill>
                        <w14:solidFill>
                          <w14:schemeClr w14:val="tx1"/>
                        </w14:solidFill>
                      </w14:textFill>
                    </w:rPr>
                  </w:pPr>
                  <w:r>
                    <w:rPr>
                      <w:rFonts w:hint="eastAsia" w:eastAsia="仿宋"/>
                      <w:b/>
                      <w:bCs/>
                      <w:color w:val="000000" w:themeColor="text1"/>
                      <w14:textFill>
                        <w14:solidFill>
                          <w14:schemeClr w14:val="tx1"/>
                        </w14:solidFill>
                      </w14:textFill>
                    </w:rPr>
                    <w:t>东</w:t>
                  </w:r>
                </w:p>
              </w:tc>
              <w:tc>
                <w:tcPr>
                  <w:tcW w:w="570" w:type="dxa"/>
                  <w:vAlign w:val="center"/>
                </w:tcPr>
                <w:p w14:paraId="626BF61B">
                  <w:pPr>
                    <w:autoSpaceDE w:val="0"/>
                    <w:autoSpaceDN w:val="0"/>
                    <w:snapToGrid w:val="0"/>
                    <w:jc w:val="center"/>
                    <w:rPr>
                      <w:rFonts w:eastAsia="仿宋"/>
                      <w:b/>
                      <w:bCs/>
                      <w:color w:val="000000" w:themeColor="text1"/>
                      <w14:textFill>
                        <w14:solidFill>
                          <w14:schemeClr w14:val="tx1"/>
                        </w14:solidFill>
                      </w14:textFill>
                    </w:rPr>
                  </w:pPr>
                  <w:r>
                    <w:rPr>
                      <w:rFonts w:hint="eastAsia" w:eastAsia="仿宋"/>
                      <w:b/>
                      <w:bCs/>
                      <w:color w:val="000000" w:themeColor="text1"/>
                      <w14:textFill>
                        <w14:solidFill>
                          <w14:schemeClr w14:val="tx1"/>
                        </w14:solidFill>
                      </w14:textFill>
                    </w:rPr>
                    <w:t>南</w:t>
                  </w:r>
                </w:p>
              </w:tc>
              <w:tc>
                <w:tcPr>
                  <w:tcW w:w="570" w:type="dxa"/>
                  <w:vAlign w:val="center"/>
                </w:tcPr>
                <w:p w14:paraId="62CD6404">
                  <w:pPr>
                    <w:autoSpaceDE w:val="0"/>
                    <w:autoSpaceDN w:val="0"/>
                    <w:snapToGrid w:val="0"/>
                    <w:jc w:val="center"/>
                    <w:rPr>
                      <w:rFonts w:eastAsia="仿宋"/>
                      <w:b/>
                      <w:bCs/>
                      <w:color w:val="000000" w:themeColor="text1"/>
                      <w14:textFill>
                        <w14:solidFill>
                          <w14:schemeClr w14:val="tx1"/>
                        </w14:solidFill>
                      </w14:textFill>
                    </w:rPr>
                  </w:pPr>
                  <w:r>
                    <w:rPr>
                      <w:rFonts w:hint="eastAsia" w:eastAsia="仿宋"/>
                      <w:b/>
                      <w:bCs/>
                      <w:color w:val="000000" w:themeColor="text1"/>
                      <w14:textFill>
                        <w14:solidFill>
                          <w14:schemeClr w14:val="tx1"/>
                        </w14:solidFill>
                      </w14:textFill>
                    </w:rPr>
                    <w:t>西</w:t>
                  </w:r>
                </w:p>
              </w:tc>
              <w:tc>
                <w:tcPr>
                  <w:tcW w:w="573" w:type="dxa"/>
                  <w:vAlign w:val="center"/>
                </w:tcPr>
                <w:p w14:paraId="7C82D11B">
                  <w:pPr>
                    <w:autoSpaceDE w:val="0"/>
                    <w:autoSpaceDN w:val="0"/>
                    <w:snapToGrid w:val="0"/>
                    <w:jc w:val="center"/>
                    <w:rPr>
                      <w:rFonts w:eastAsia="仿宋"/>
                      <w:b/>
                      <w:bCs/>
                      <w:color w:val="000000" w:themeColor="text1"/>
                      <w14:textFill>
                        <w14:solidFill>
                          <w14:schemeClr w14:val="tx1"/>
                        </w14:solidFill>
                      </w14:textFill>
                    </w:rPr>
                  </w:pPr>
                  <w:r>
                    <w:rPr>
                      <w:rFonts w:hint="eastAsia" w:eastAsia="仿宋"/>
                      <w:b/>
                      <w:bCs/>
                      <w:color w:val="000000" w:themeColor="text1"/>
                      <w14:textFill>
                        <w14:solidFill>
                          <w14:schemeClr w14:val="tx1"/>
                        </w14:solidFill>
                      </w14:textFill>
                    </w:rPr>
                    <w:t>北</w:t>
                  </w:r>
                </w:p>
              </w:tc>
              <w:tc>
                <w:tcPr>
                  <w:tcW w:w="432" w:type="dxa"/>
                  <w:vAlign w:val="center"/>
                </w:tcPr>
                <w:p w14:paraId="419CE8FA">
                  <w:pPr>
                    <w:autoSpaceDE w:val="0"/>
                    <w:autoSpaceDN w:val="0"/>
                    <w:snapToGrid w:val="0"/>
                    <w:jc w:val="center"/>
                    <w:rPr>
                      <w:rFonts w:eastAsia="仿宋"/>
                      <w:b/>
                      <w:bCs/>
                      <w:color w:val="000000" w:themeColor="text1"/>
                      <w14:textFill>
                        <w14:solidFill>
                          <w14:schemeClr w14:val="tx1"/>
                        </w14:solidFill>
                      </w14:textFill>
                    </w:rPr>
                  </w:pPr>
                  <w:r>
                    <w:rPr>
                      <w:rFonts w:hint="eastAsia" w:eastAsia="仿宋"/>
                      <w:b/>
                      <w:bCs/>
                      <w:color w:val="000000" w:themeColor="text1"/>
                      <w14:textFill>
                        <w14:solidFill>
                          <w14:schemeClr w14:val="tx1"/>
                        </w14:solidFill>
                      </w14:textFill>
                    </w:rPr>
                    <w:t>东</w:t>
                  </w:r>
                </w:p>
              </w:tc>
              <w:tc>
                <w:tcPr>
                  <w:tcW w:w="712" w:type="dxa"/>
                  <w:vAlign w:val="center"/>
                </w:tcPr>
                <w:p w14:paraId="3BA29583">
                  <w:pPr>
                    <w:autoSpaceDE w:val="0"/>
                    <w:autoSpaceDN w:val="0"/>
                    <w:snapToGrid w:val="0"/>
                    <w:jc w:val="center"/>
                    <w:rPr>
                      <w:rFonts w:eastAsia="仿宋"/>
                      <w:b/>
                      <w:bCs/>
                      <w:color w:val="000000" w:themeColor="text1"/>
                      <w14:textFill>
                        <w14:solidFill>
                          <w14:schemeClr w14:val="tx1"/>
                        </w14:solidFill>
                      </w14:textFill>
                    </w:rPr>
                  </w:pPr>
                  <w:r>
                    <w:rPr>
                      <w:rFonts w:hint="eastAsia" w:eastAsia="仿宋"/>
                      <w:b/>
                      <w:bCs/>
                      <w:color w:val="000000" w:themeColor="text1"/>
                      <w14:textFill>
                        <w14:solidFill>
                          <w14:schemeClr w14:val="tx1"/>
                        </w14:solidFill>
                      </w14:textFill>
                    </w:rPr>
                    <w:t>南</w:t>
                  </w:r>
                </w:p>
              </w:tc>
              <w:tc>
                <w:tcPr>
                  <w:tcW w:w="712" w:type="dxa"/>
                  <w:vAlign w:val="center"/>
                </w:tcPr>
                <w:p w14:paraId="674EA27F">
                  <w:pPr>
                    <w:autoSpaceDE w:val="0"/>
                    <w:autoSpaceDN w:val="0"/>
                    <w:snapToGrid w:val="0"/>
                    <w:jc w:val="center"/>
                    <w:rPr>
                      <w:rFonts w:eastAsia="仿宋"/>
                      <w:b/>
                      <w:bCs/>
                      <w:color w:val="000000" w:themeColor="text1"/>
                      <w14:textFill>
                        <w14:solidFill>
                          <w14:schemeClr w14:val="tx1"/>
                        </w14:solidFill>
                      </w14:textFill>
                    </w:rPr>
                  </w:pPr>
                  <w:r>
                    <w:rPr>
                      <w:rFonts w:hint="eastAsia" w:eastAsia="仿宋"/>
                      <w:b/>
                      <w:bCs/>
                      <w:color w:val="000000" w:themeColor="text1"/>
                      <w14:textFill>
                        <w14:solidFill>
                          <w14:schemeClr w14:val="tx1"/>
                        </w14:solidFill>
                      </w14:textFill>
                    </w:rPr>
                    <w:t>西</w:t>
                  </w:r>
                </w:p>
              </w:tc>
              <w:tc>
                <w:tcPr>
                  <w:tcW w:w="714" w:type="dxa"/>
                  <w:vAlign w:val="center"/>
                </w:tcPr>
                <w:p w14:paraId="4EBCCF28">
                  <w:pPr>
                    <w:autoSpaceDE w:val="0"/>
                    <w:autoSpaceDN w:val="0"/>
                    <w:snapToGrid w:val="0"/>
                    <w:jc w:val="center"/>
                    <w:rPr>
                      <w:rFonts w:eastAsia="仿宋"/>
                      <w:b/>
                      <w:bCs/>
                      <w:color w:val="000000" w:themeColor="text1"/>
                      <w14:textFill>
                        <w14:solidFill>
                          <w14:schemeClr w14:val="tx1"/>
                        </w14:solidFill>
                      </w14:textFill>
                    </w:rPr>
                  </w:pPr>
                  <w:r>
                    <w:rPr>
                      <w:rFonts w:hint="eastAsia" w:eastAsia="仿宋"/>
                      <w:b/>
                      <w:bCs/>
                      <w:color w:val="000000" w:themeColor="text1"/>
                      <w14:textFill>
                        <w14:solidFill>
                          <w14:schemeClr w14:val="tx1"/>
                        </w14:solidFill>
                      </w14:textFill>
                    </w:rPr>
                    <w:t>北</w:t>
                  </w:r>
                </w:p>
              </w:tc>
              <w:tc>
                <w:tcPr>
                  <w:tcW w:w="427" w:type="dxa"/>
                  <w:vMerge w:val="continue"/>
                  <w:vAlign w:val="center"/>
                </w:tcPr>
                <w:p w14:paraId="3C641663">
                  <w:pPr>
                    <w:autoSpaceDE w:val="0"/>
                    <w:autoSpaceDN w:val="0"/>
                    <w:snapToGrid w:val="0"/>
                    <w:jc w:val="center"/>
                    <w:rPr>
                      <w:rFonts w:eastAsia="仿宋"/>
                      <w:b/>
                      <w:bCs/>
                      <w:color w:val="000000" w:themeColor="text1"/>
                      <w14:textFill>
                        <w14:solidFill>
                          <w14:schemeClr w14:val="tx1"/>
                        </w14:solidFill>
                      </w14:textFill>
                    </w:rPr>
                  </w:pPr>
                </w:p>
              </w:tc>
              <w:tc>
                <w:tcPr>
                  <w:tcW w:w="570" w:type="dxa"/>
                  <w:vAlign w:val="center"/>
                </w:tcPr>
                <w:p w14:paraId="66BB9A2C">
                  <w:pPr>
                    <w:autoSpaceDE w:val="0"/>
                    <w:autoSpaceDN w:val="0"/>
                    <w:snapToGrid w:val="0"/>
                    <w:jc w:val="center"/>
                    <w:rPr>
                      <w:rFonts w:eastAsia="仿宋"/>
                      <w:b/>
                      <w:bCs/>
                      <w:color w:val="000000" w:themeColor="text1"/>
                      <w14:textFill>
                        <w14:solidFill>
                          <w14:schemeClr w14:val="tx1"/>
                        </w14:solidFill>
                      </w14:textFill>
                    </w:rPr>
                  </w:pPr>
                  <w:r>
                    <w:rPr>
                      <w:rFonts w:hint="eastAsia" w:eastAsia="仿宋"/>
                      <w:b/>
                      <w:bCs/>
                      <w:color w:val="000000" w:themeColor="text1"/>
                      <w14:textFill>
                        <w14:solidFill>
                          <w14:schemeClr w14:val="tx1"/>
                        </w14:solidFill>
                      </w14:textFill>
                    </w:rPr>
                    <w:t>东</w:t>
                  </w:r>
                </w:p>
              </w:tc>
              <w:tc>
                <w:tcPr>
                  <w:tcW w:w="570" w:type="dxa"/>
                  <w:vAlign w:val="center"/>
                </w:tcPr>
                <w:p w14:paraId="46166B64">
                  <w:pPr>
                    <w:autoSpaceDE w:val="0"/>
                    <w:autoSpaceDN w:val="0"/>
                    <w:snapToGrid w:val="0"/>
                    <w:jc w:val="center"/>
                    <w:rPr>
                      <w:rFonts w:eastAsia="仿宋"/>
                      <w:b/>
                      <w:bCs/>
                      <w:color w:val="000000" w:themeColor="text1"/>
                      <w14:textFill>
                        <w14:solidFill>
                          <w14:schemeClr w14:val="tx1"/>
                        </w14:solidFill>
                      </w14:textFill>
                    </w:rPr>
                  </w:pPr>
                  <w:r>
                    <w:rPr>
                      <w:rFonts w:hint="eastAsia" w:eastAsia="仿宋"/>
                      <w:b/>
                      <w:bCs/>
                      <w:color w:val="000000" w:themeColor="text1"/>
                      <w14:textFill>
                        <w14:solidFill>
                          <w14:schemeClr w14:val="tx1"/>
                        </w14:solidFill>
                      </w14:textFill>
                    </w:rPr>
                    <w:t>南</w:t>
                  </w:r>
                </w:p>
              </w:tc>
              <w:tc>
                <w:tcPr>
                  <w:tcW w:w="570" w:type="dxa"/>
                  <w:vAlign w:val="center"/>
                </w:tcPr>
                <w:p w14:paraId="6522BA43">
                  <w:pPr>
                    <w:autoSpaceDE w:val="0"/>
                    <w:autoSpaceDN w:val="0"/>
                    <w:snapToGrid w:val="0"/>
                    <w:jc w:val="center"/>
                    <w:rPr>
                      <w:rFonts w:eastAsia="仿宋"/>
                      <w:b/>
                      <w:bCs/>
                      <w:color w:val="000000" w:themeColor="text1"/>
                      <w14:textFill>
                        <w14:solidFill>
                          <w14:schemeClr w14:val="tx1"/>
                        </w14:solidFill>
                      </w14:textFill>
                    </w:rPr>
                  </w:pPr>
                  <w:r>
                    <w:rPr>
                      <w:rFonts w:hint="eastAsia" w:eastAsia="仿宋"/>
                      <w:b/>
                      <w:bCs/>
                      <w:color w:val="000000" w:themeColor="text1"/>
                      <w14:textFill>
                        <w14:solidFill>
                          <w14:schemeClr w14:val="tx1"/>
                        </w14:solidFill>
                      </w14:textFill>
                    </w:rPr>
                    <w:t>西</w:t>
                  </w:r>
                </w:p>
              </w:tc>
              <w:tc>
                <w:tcPr>
                  <w:tcW w:w="573" w:type="dxa"/>
                  <w:vAlign w:val="center"/>
                </w:tcPr>
                <w:p w14:paraId="00507B81">
                  <w:pPr>
                    <w:widowControl/>
                    <w:jc w:val="center"/>
                    <w:rPr>
                      <w:rFonts w:eastAsia="仿宋"/>
                      <w:b/>
                      <w:bCs/>
                      <w:color w:val="000000" w:themeColor="text1"/>
                      <w:szCs w:val="21"/>
                      <w14:textFill>
                        <w14:solidFill>
                          <w14:schemeClr w14:val="tx1"/>
                        </w14:solidFill>
                      </w14:textFill>
                    </w:rPr>
                  </w:pPr>
                  <w:r>
                    <w:rPr>
                      <w:rFonts w:hint="eastAsia" w:eastAsia="仿宋"/>
                      <w:b/>
                      <w:bCs/>
                      <w:color w:val="000000" w:themeColor="text1"/>
                      <w14:textFill>
                        <w14:solidFill>
                          <w14:schemeClr w14:val="tx1"/>
                        </w14:solidFill>
                      </w14:textFill>
                    </w:rPr>
                    <w:t>北</w:t>
                  </w:r>
                </w:p>
              </w:tc>
              <w:tc>
                <w:tcPr>
                  <w:tcW w:w="570" w:type="dxa"/>
                  <w:vAlign w:val="center"/>
                </w:tcPr>
                <w:p w14:paraId="2A9EAB34">
                  <w:pPr>
                    <w:widowControl/>
                    <w:jc w:val="center"/>
                    <w:rPr>
                      <w:rFonts w:eastAsia="仿宋"/>
                      <w:b/>
                      <w:bCs/>
                      <w:color w:val="000000" w:themeColor="text1"/>
                      <w:szCs w:val="21"/>
                      <w14:textFill>
                        <w14:solidFill>
                          <w14:schemeClr w14:val="tx1"/>
                        </w14:solidFill>
                      </w14:textFill>
                    </w:rPr>
                  </w:pPr>
                  <w:r>
                    <w:rPr>
                      <w:rFonts w:hint="eastAsia" w:eastAsia="仿宋"/>
                      <w:b/>
                      <w:bCs/>
                      <w:color w:val="000000" w:themeColor="text1"/>
                      <w14:textFill>
                        <w14:solidFill>
                          <w14:schemeClr w14:val="tx1"/>
                        </w14:solidFill>
                      </w14:textFill>
                    </w:rPr>
                    <w:t>东</w:t>
                  </w:r>
                </w:p>
              </w:tc>
              <w:tc>
                <w:tcPr>
                  <w:tcW w:w="712" w:type="dxa"/>
                  <w:vAlign w:val="center"/>
                </w:tcPr>
                <w:p w14:paraId="241AAB3B">
                  <w:pPr>
                    <w:widowControl/>
                    <w:jc w:val="center"/>
                    <w:rPr>
                      <w:rFonts w:eastAsia="仿宋"/>
                      <w:b/>
                      <w:bCs/>
                      <w:color w:val="000000" w:themeColor="text1"/>
                      <w:szCs w:val="21"/>
                      <w14:textFill>
                        <w14:solidFill>
                          <w14:schemeClr w14:val="tx1"/>
                        </w14:solidFill>
                      </w14:textFill>
                    </w:rPr>
                  </w:pPr>
                  <w:r>
                    <w:rPr>
                      <w:rFonts w:hint="eastAsia" w:eastAsia="仿宋"/>
                      <w:b/>
                      <w:bCs/>
                      <w:color w:val="000000" w:themeColor="text1"/>
                      <w14:textFill>
                        <w14:solidFill>
                          <w14:schemeClr w14:val="tx1"/>
                        </w14:solidFill>
                      </w14:textFill>
                    </w:rPr>
                    <w:t>南</w:t>
                  </w:r>
                </w:p>
              </w:tc>
              <w:tc>
                <w:tcPr>
                  <w:tcW w:w="706" w:type="dxa"/>
                  <w:vAlign w:val="center"/>
                </w:tcPr>
                <w:p w14:paraId="2E27C748">
                  <w:pPr>
                    <w:widowControl/>
                    <w:jc w:val="center"/>
                    <w:rPr>
                      <w:rFonts w:eastAsia="仿宋"/>
                      <w:b/>
                      <w:bCs/>
                      <w:color w:val="000000" w:themeColor="text1"/>
                      <w:szCs w:val="21"/>
                      <w14:textFill>
                        <w14:solidFill>
                          <w14:schemeClr w14:val="tx1"/>
                        </w14:solidFill>
                      </w14:textFill>
                    </w:rPr>
                  </w:pPr>
                  <w:r>
                    <w:rPr>
                      <w:rFonts w:hint="eastAsia" w:eastAsia="仿宋"/>
                      <w:b/>
                      <w:bCs/>
                      <w:color w:val="000000" w:themeColor="text1"/>
                      <w14:textFill>
                        <w14:solidFill>
                          <w14:schemeClr w14:val="tx1"/>
                        </w14:solidFill>
                      </w14:textFill>
                    </w:rPr>
                    <w:t>西</w:t>
                  </w:r>
                </w:p>
              </w:tc>
              <w:tc>
                <w:tcPr>
                  <w:tcW w:w="536" w:type="dxa"/>
                  <w:vAlign w:val="center"/>
                </w:tcPr>
                <w:p w14:paraId="7B7D0D63">
                  <w:pPr>
                    <w:widowControl/>
                    <w:jc w:val="center"/>
                    <w:rPr>
                      <w:rFonts w:eastAsia="仿宋"/>
                      <w:b/>
                      <w:bCs/>
                      <w:color w:val="000000" w:themeColor="text1"/>
                      <w:szCs w:val="21"/>
                      <w14:textFill>
                        <w14:solidFill>
                          <w14:schemeClr w14:val="tx1"/>
                        </w14:solidFill>
                      </w14:textFill>
                    </w:rPr>
                  </w:pPr>
                  <w:r>
                    <w:rPr>
                      <w:rFonts w:hint="eastAsia" w:eastAsia="仿宋"/>
                      <w:b/>
                      <w:bCs/>
                      <w:color w:val="000000" w:themeColor="text1"/>
                      <w14:textFill>
                        <w14:solidFill>
                          <w14:schemeClr w14:val="tx1"/>
                        </w14:solidFill>
                      </w14:textFill>
                    </w:rPr>
                    <w:t>北</w:t>
                  </w:r>
                </w:p>
              </w:tc>
              <w:tc>
                <w:tcPr>
                  <w:tcW w:w="709" w:type="dxa"/>
                  <w:vAlign w:val="center"/>
                </w:tcPr>
                <w:p w14:paraId="4714EE9F">
                  <w:pPr>
                    <w:widowControl/>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建筑物外距离（m）</w:t>
                  </w:r>
                </w:p>
              </w:tc>
            </w:tr>
            <w:tr w14:paraId="71759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349" w:type="dxa"/>
                  <w:vAlign w:val="center"/>
                </w:tcPr>
                <w:p w14:paraId="3D9764A3">
                  <w:pPr>
                    <w:autoSpaceDE w:val="0"/>
                    <w:autoSpaceDN w:val="0"/>
                    <w:snapToGrid w:val="0"/>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锅炉房</w:t>
                  </w:r>
                </w:p>
              </w:tc>
              <w:tc>
                <w:tcPr>
                  <w:tcW w:w="389" w:type="dxa"/>
                  <w:vAlign w:val="center"/>
                </w:tcPr>
                <w:p w14:paraId="73FC8D90">
                  <w:pPr>
                    <w:jc w:val="center"/>
                    <w:rPr>
                      <w:rFonts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循环泵</w:t>
                  </w:r>
                </w:p>
              </w:tc>
              <w:tc>
                <w:tcPr>
                  <w:tcW w:w="568" w:type="dxa"/>
                  <w:vAlign w:val="center"/>
                </w:tcPr>
                <w:p w14:paraId="3ACFD109">
                  <w:pPr>
                    <w:autoSpaceDE w:val="0"/>
                    <w:autoSpaceDN w:val="0"/>
                    <w:snapToGrid w:val="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85</w:t>
                  </w:r>
                </w:p>
              </w:tc>
              <w:tc>
                <w:tcPr>
                  <w:tcW w:w="430" w:type="dxa"/>
                  <w:vAlign w:val="center"/>
                </w:tcPr>
                <w:p w14:paraId="51932CB2">
                  <w:pPr>
                    <w:autoSpaceDE w:val="0"/>
                    <w:autoSpaceDN w:val="0"/>
                    <w:snapToGrid w:val="0"/>
                    <w:jc w:val="center"/>
                    <w:rPr>
                      <w:rFonts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选用低噪声设备，</w:t>
                  </w:r>
                  <w:r>
                    <w:rPr>
                      <w:rFonts w:hint="eastAsia" w:ascii="仿宋" w:hAnsi="仿宋" w:eastAsia="仿宋"/>
                      <w:color w:val="000000" w:themeColor="text1"/>
                      <w14:textFill>
                        <w14:solidFill>
                          <w14:schemeClr w14:val="tx1"/>
                        </w14:solidFill>
                      </w14:textFill>
                    </w:rPr>
                    <w:t>运行</w:t>
                  </w:r>
                  <w:r>
                    <w:rPr>
                      <w:rFonts w:ascii="仿宋" w:hAnsi="仿宋" w:eastAsia="仿宋"/>
                      <w:color w:val="000000" w:themeColor="text1"/>
                      <w14:textFill>
                        <w14:solidFill>
                          <w14:schemeClr w14:val="tx1"/>
                        </w14:solidFill>
                      </w14:textFill>
                    </w:rPr>
                    <w:t>时关闭门窗</w:t>
                  </w:r>
                </w:p>
              </w:tc>
              <w:tc>
                <w:tcPr>
                  <w:tcW w:w="712" w:type="dxa"/>
                  <w:vAlign w:val="center"/>
                </w:tcPr>
                <w:p w14:paraId="16268E1F">
                  <w:pPr>
                    <w:autoSpaceDE w:val="0"/>
                    <w:autoSpaceDN w:val="0"/>
                    <w:snapToGrid w:val="0"/>
                    <w:jc w:val="center"/>
                    <w:rPr>
                      <w:rFonts w:eastAsia="仿宋"/>
                      <w:color w:val="000000" w:themeColor="text1"/>
                      <w14:textFill>
                        <w14:solidFill>
                          <w14:schemeClr w14:val="tx1"/>
                        </w14:solidFill>
                      </w14:textFill>
                    </w:rPr>
                  </w:pPr>
                  <w:r>
                    <w:rPr>
                      <w:rFonts w:eastAsia="仿宋"/>
                      <w:color w:val="000000" w:themeColor="text1"/>
                      <w:szCs w:val="22"/>
                      <w14:textFill>
                        <w14:solidFill>
                          <w14:schemeClr w14:val="tx1"/>
                        </w14:solidFill>
                      </w14:textFill>
                    </w:rPr>
                    <w:t>12.4</w:t>
                  </w:r>
                </w:p>
              </w:tc>
              <w:tc>
                <w:tcPr>
                  <w:tcW w:w="570" w:type="dxa"/>
                  <w:vAlign w:val="center"/>
                </w:tcPr>
                <w:p w14:paraId="6026EC7D">
                  <w:pPr>
                    <w:autoSpaceDE w:val="0"/>
                    <w:autoSpaceDN w:val="0"/>
                    <w:snapToGrid w:val="0"/>
                    <w:jc w:val="center"/>
                    <w:rPr>
                      <w:rFonts w:eastAsia="仿宋"/>
                      <w:color w:val="000000" w:themeColor="text1"/>
                      <w14:textFill>
                        <w14:solidFill>
                          <w14:schemeClr w14:val="tx1"/>
                        </w14:solidFill>
                      </w14:textFill>
                    </w:rPr>
                  </w:pPr>
                  <w:r>
                    <w:rPr>
                      <w:rFonts w:eastAsia="仿宋"/>
                      <w:color w:val="000000" w:themeColor="text1"/>
                      <w:szCs w:val="22"/>
                      <w14:textFill>
                        <w14:solidFill>
                          <w14:schemeClr w14:val="tx1"/>
                        </w14:solidFill>
                      </w14:textFill>
                    </w:rPr>
                    <w:t>-24</w:t>
                  </w:r>
                </w:p>
              </w:tc>
              <w:tc>
                <w:tcPr>
                  <w:tcW w:w="572" w:type="dxa"/>
                  <w:vAlign w:val="center"/>
                </w:tcPr>
                <w:p w14:paraId="504B5E36">
                  <w:pPr>
                    <w:autoSpaceDE w:val="0"/>
                    <w:autoSpaceDN w:val="0"/>
                    <w:snapToGrid w:val="0"/>
                    <w:jc w:val="center"/>
                    <w:rPr>
                      <w:rFonts w:eastAsia="仿宋"/>
                      <w:color w:val="000000" w:themeColor="text1"/>
                      <w14:textFill>
                        <w14:solidFill>
                          <w14:schemeClr w14:val="tx1"/>
                        </w14:solidFill>
                      </w14:textFill>
                    </w:rPr>
                  </w:pPr>
                  <w:r>
                    <w:rPr>
                      <w:rFonts w:eastAsia="仿宋"/>
                      <w:color w:val="000000" w:themeColor="text1"/>
                      <w:szCs w:val="22"/>
                      <w14:textFill>
                        <w14:solidFill>
                          <w14:schemeClr w14:val="tx1"/>
                        </w14:solidFill>
                      </w14:textFill>
                    </w:rPr>
                    <w:t>22</w:t>
                  </w:r>
                </w:p>
              </w:tc>
              <w:tc>
                <w:tcPr>
                  <w:tcW w:w="570" w:type="dxa"/>
                  <w:vAlign w:val="center"/>
                </w:tcPr>
                <w:p w14:paraId="766A1F8C">
                  <w:pPr>
                    <w:autoSpaceDE w:val="0"/>
                    <w:autoSpaceDN w:val="0"/>
                    <w:snapToGrid w:val="0"/>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0</w:t>
                  </w:r>
                  <w:r>
                    <w:rPr>
                      <w:rFonts w:eastAsia="仿宋"/>
                      <w:color w:val="000000" w:themeColor="text1"/>
                      <w14:textFill>
                        <w14:solidFill>
                          <w14:schemeClr w14:val="tx1"/>
                        </w14:solidFill>
                      </w14:textFill>
                    </w:rPr>
                    <w:t>.1</w:t>
                  </w:r>
                </w:p>
              </w:tc>
              <w:tc>
                <w:tcPr>
                  <w:tcW w:w="570" w:type="dxa"/>
                  <w:vAlign w:val="center"/>
                </w:tcPr>
                <w:p w14:paraId="60492735">
                  <w:pPr>
                    <w:pStyle w:val="58"/>
                    <w:adjustRightInd w:val="0"/>
                    <w:snapToGrid w:val="0"/>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0</w:t>
                  </w:r>
                  <w:r>
                    <w:rPr>
                      <w:rFonts w:eastAsia="仿宋"/>
                      <w:color w:val="000000" w:themeColor="text1"/>
                      <w14:textFill>
                        <w14:solidFill>
                          <w14:schemeClr w14:val="tx1"/>
                        </w14:solidFill>
                      </w14:textFill>
                    </w:rPr>
                    <w:t>.3</w:t>
                  </w:r>
                </w:p>
              </w:tc>
              <w:tc>
                <w:tcPr>
                  <w:tcW w:w="570" w:type="dxa"/>
                  <w:vAlign w:val="center"/>
                </w:tcPr>
                <w:p w14:paraId="71720513">
                  <w:pPr>
                    <w:adjustRightInd w:val="0"/>
                    <w:snapToGrid w:val="0"/>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6</w:t>
                  </w:r>
                  <w:r>
                    <w:rPr>
                      <w:rFonts w:eastAsia="仿宋"/>
                      <w:color w:val="000000" w:themeColor="text1"/>
                      <w14:textFill>
                        <w14:solidFill>
                          <w14:schemeClr w14:val="tx1"/>
                        </w14:solidFill>
                      </w14:textFill>
                    </w:rPr>
                    <w:t>.1</w:t>
                  </w:r>
                </w:p>
              </w:tc>
              <w:tc>
                <w:tcPr>
                  <w:tcW w:w="573" w:type="dxa"/>
                  <w:vAlign w:val="center"/>
                </w:tcPr>
                <w:p w14:paraId="3E39AE87">
                  <w:pPr>
                    <w:adjustRightInd w:val="0"/>
                    <w:snapToGrid w:val="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4.5</w:t>
                  </w:r>
                </w:p>
              </w:tc>
              <w:tc>
                <w:tcPr>
                  <w:tcW w:w="432" w:type="dxa"/>
                  <w:vAlign w:val="center"/>
                </w:tcPr>
                <w:p w14:paraId="45E93800">
                  <w:pPr>
                    <w:adjustRightInd w:val="0"/>
                    <w:snapToGrid w:val="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80</w:t>
                  </w:r>
                </w:p>
              </w:tc>
              <w:tc>
                <w:tcPr>
                  <w:tcW w:w="712" w:type="dxa"/>
                  <w:vAlign w:val="center"/>
                </w:tcPr>
                <w:p w14:paraId="1F16325E">
                  <w:pPr>
                    <w:adjustRightInd w:val="0"/>
                    <w:snapToGrid w:val="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70.5</w:t>
                  </w:r>
                </w:p>
              </w:tc>
              <w:tc>
                <w:tcPr>
                  <w:tcW w:w="712" w:type="dxa"/>
                  <w:vAlign w:val="center"/>
                </w:tcPr>
                <w:p w14:paraId="3196F5E0">
                  <w:pPr>
                    <w:adjustRightInd w:val="0"/>
                    <w:snapToGrid w:val="0"/>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4</w:t>
                  </w:r>
                  <w:r>
                    <w:rPr>
                      <w:rFonts w:eastAsia="仿宋"/>
                      <w:color w:val="000000" w:themeColor="text1"/>
                      <w14:textFill>
                        <w14:solidFill>
                          <w14:schemeClr w14:val="tx1"/>
                        </w14:solidFill>
                      </w14:textFill>
                    </w:rPr>
                    <w:t>4.3</w:t>
                  </w:r>
                </w:p>
              </w:tc>
              <w:tc>
                <w:tcPr>
                  <w:tcW w:w="714" w:type="dxa"/>
                  <w:vAlign w:val="center"/>
                </w:tcPr>
                <w:p w14:paraId="07634EEC">
                  <w:pPr>
                    <w:adjustRightInd w:val="0"/>
                    <w:snapToGrid w:val="0"/>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4</w:t>
                  </w:r>
                  <w:r>
                    <w:rPr>
                      <w:rFonts w:eastAsia="仿宋"/>
                      <w:color w:val="000000" w:themeColor="text1"/>
                      <w14:textFill>
                        <w14:solidFill>
                          <w14:schemeClr w14:val="tx1"/>
                        </w14:solidFill>
                      </w14:textFill>
                    </w:rPr>
                    <w:t>6.9</w:t>
                  </w:r>
                </w:p>
              </w:tc>
              <w:tc>
                <w:tcPr>
                  <w:tcW w:w="427" w:type="dxa"/>
                  <w:vAlign w:val="center"/>
                </w:tcPr>
                <w:p w14:paraId="07D75E39">
                  <w:pPr>
                    <w:adjustRightInd w:val="0"/>
                    <w:snapToGrid w:val="0"/>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间歇运行</w:t>
                  </w:r>
                </w:p>
              </w:tc>
              <w:tc>
                <w:tcPr>
                  <w:tcW w:w="570" w:type="dxa"/>
                  <w:vAlign w:val="center"/>
                </w:tcPr>
                <w:p w14:paraId="6C4663CE">
                  <w:pPr>
                    <w:adjustRightInd w:val="0"/>
                    <w:snapToGrid w:val="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20</w:t>
                  </w:r>
                </w:p>
              </w:tc>
              <w:tc>
                <w:tcPr>
                  <w:tcW w:w="570" w:type="dxa"/>
                  <w:vAlign w:val="center"/>
                </w:tcPr>
                <w:p w14:paraId="636FD164">
                  <w:pPr>
                    <w:adjustRightInd w:val="0"/>
                    <w:snapToGrid w:val="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20</w:t>
                  </w:r>
                </w:p>
              </w:tc>
              <w:tc>
                <w:tcPr>
                  <w:tcW w:w="570" w:type="dxa"/>
                  <w:vAlign w:val="center"/>
                </w:tcPr>
                <w:p w14:paraId="53C0D766">
                  <w:pPr>
                    <w:adjustRightInd w:val="0"/>
                    <w:snapToGrid w:val="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20</w:t>
                  </w:r>
                </w:p>
              </w:tc>
              <w:tc>
                <w:tcPr>
                  <w:tcW w:w="573" w:type="dxa"/>
                  <w:vAlign w:val="center"/>
                </w:tcPr>
                <w:p w14:paraId="28143760">
                  <w:pPr>
                    <w:autoSpaceDE w:val="0"/>
                    <w:autoSpaceDN w:val="0"/>
                    <w:snapToGrid w:val="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20</w:t>
                  </w:r>
                </w:p>
              </w:tc>
              <w:tc>
                <w:tcPr>
                  <w:tcW w:w="570" w:type="dxa"/>
                  <w:vAlign w:val="center"/>
                </w:tcPr>
                <w:p w14:paraId="2A9D371E">
                  <w:pPr>
                    <w:autoSpaceDE w:val="0"/>
                    <w:autoSpaceDN w:val="0"/>
                    <w:snapToGrid w:val="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54</w:t>
                  </w:r>
                </w:p>
              </w:tc>
              <w:tc>
                <w:tcPr>
                  <w:tcW w:w="712" w:type="dxa"/>
                  <w:vAlign w:val="center"/>
                </w:tcPr>
                <w:p w14:paraId="6C583A2F">
                  <w:pPr>
                    <w:autoSpaceDE w:val="0"/>
                    <w:autoSpaceDN w:val="0"/>
                    <w:snapToGrid w:val="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44.5</w:t>
                  </w:r>
                </w:p>
              </w:tc>
              <w:tc>
                <w:tcPr>
                  <w:tcW w:w="706" w:type="dxa"/>
                  <w:vAlign w:val="center"/>
                </w:tcPr>
                <w:p w14:paraId="0FBD176F">
                  <w:pPr>
                    <w:autoSpaceDE w:val="0"/>
                    <w:autoSpaceDN w:val="0"/>
                    <w:snapToGrid w:val="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18.3</w:t>
                  </w:r>
                </w:p>
              </w:tc>
              <w:tc>
                <w:tcPr>
                  <w:tcW w:w="536" w:type="dxa"/>
                  <w:vAlign w:val="center"/>
                </w:tcPr>
                <w:p w14:paraId="2B688DF2">
                  <w:pPr>
                    <w:autoSpaceDE w:val="0"/>
                    <w:autoSpaceDN w:val="0"/>
                    <w:snapToGrid w:val="0"/>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20.9</w:t>
                  </w:r>
                </w:p>
              </w:tc>
              <w:tc>
                <w:tcPr>
                  <w:tcW w:w="709" w:type="dxa"/>
                  <w:vAlign w:val="center"/>
                </w:tcPr>
                <w:p w14:paraId="6438C8A0">
                  <w:pPr>
                    <w:autoSpaceDE w:val="0"/>
                    <w:autoSpaceDN w:val="0"/>
                    <w:snapToGrid w:val="0"/>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1</w:t>
                  </w:r>
                </w:p>
              </w:tc>
            </w:tr>
          </w:tbl>
          <w:p w14:paraId="08064D12">
            <w:pPr>
              <w:keepNext/>
              <w:spacing w:line="480" w:lineRule="exact"/>
              <w:jc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表4</w:t>
            </w:r>
            <w:r>
              <w:rPr>
                <w:rFonts w:eastAsia="仿宋"/>
                <w:b/>
                <w:color w:val="000000" w:themeColor="text1"/>
                <w:szCs w:val="21"/>
                <w14:textFill>
                  <w14:solidFill>
                    <w14:schemeClr w14:val="tx1"/>
                  </w14:solidFill>
                </w14:textFill>
              </w:rPr>
              <w:t>-25 工业企业噪声源强调查清单（室外声源） 单位：dB（A）</w:t>
            </w:r>
          </w:p>
          <w:tbl>
            <w:tblPr>
              <w:tblStyle w:val="25"/>
              <w:tblW w:w="14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6"/>
              <w:gridCol w:w="2273"/>
              <w:gridCol w:w="1639"/>
              <w:gridCol w:w="1404"/>
              <w:gridCol w:w="1300"/>
              <w:gridCol w:w="1746"/>
              <w:gridCol w:w="2334"/>
              <w:gridCol w:w="1134"/>
            </w:tblGrid>
            <w:tr w14:paraId="4A1A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536" w:type="dxa"/>
                  <w:vMerge w:val="restart"/>
                  <w:vAlign w:val="center"/>
                </w:tcPr>
                <w:p w14:paraId="74C75618">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声源名称</w:t>
                  </w:r>
                </w:p>
              </w:tc>
              <w:tc>
                <w:tcPr>
                  <w:tcW w:w="2273" w:type="dxa"/>
                  <w:vMerge w:val="restart"/>
                  <w:vAlign w:val="center"/>
                </w:tcPr>
                <w:p w14:paraId="1E3EDD84">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数量（台/套）</w:t>
                  </w:r>
                </w:p>
              </w:tc>
              <w:tc>
                <w:tcPr>
                  <w:tcW w:w="4343" w:type="dxa"/>
                  <w:gridSpan w:val="3"/>
                  <w:vAlign w:val="center"/>
                </w:tcPr>
                <w:p w14:paraId="6CC4E219">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空间相对位置/m</w:t>
                  </w:r>
                </w:p>
              </w:tc>
              <w:tc>
                <w:tcPr>
                  <w:tcW w:w="1746" w:type="dxa"/>
                  <w:vMerge w:val="restart"/>
                  <w:vAlign w:val="center"/>
                </w:tcPr>
                <w:p w14:paraId="5822CE6B">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声功率级/dB(A)</w:t>
                  </w:r>
                </w:p>
              </w:tc>
              <w:tc>
                <w:tcPr>
                  <w:tcW w:w="2334" w:type="dxa"/>
                  <w:vMerge w:val="restart"/>
                  <w:vAlign w:val="center"/>
                </w:tcPr>
                <w:p w14:paraId="4A55CA18">
                  <w:pPr>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声源控制措施</w:t>
                  </w:r>
                </w:p>
              </w:tc>
              <w:tc>
                <w:tcPr>
                  <w:tcW w:w="1134" w:type="dxa"/>
                  <w:vMerge w:val="restart"/>
                  <w:vAlign w:val="center"/>
                </w:tcPr>
                <w:p w14:paraId="5836D1C9">
                  <w:pPr>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运行方式</w:t>
                  </w:r>
                </w:p>
              </w:tc>
            </w:tr>
            <w:tr w14:paraId="3A0C0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536" w:type="dxa"/>
                  <w:vMerge w:val="continue"/>
                </w:tcPr>
                <w:p w14:paraId="0552B633">
                  <w:pPr>
                    <w:autoSpaceDE w:val="0"/>
                    <w:autoSpaceDN w:val="0"/>
                    <w:snapToGrid w:val="0"/>
                    <w:jc w:val="center"/>
                    <w:rPr>
                      <w:rFonts w:eastAsia="仿宋"/>
                      <w:color w:val="000000" w:themeColor="text1"/>
                      <w:szCs w:val="22"/>
                      <w14:textFill>
                        <w14:solidFill>
                          <w14:schemeClr w14:val="tx1"/>
                        </w14:solidFill>
                      </w14:textFill>
                    </w:rPr>
                  </w:pPr>
                </w:p>
              </w:tc>
              <w:tc>
                <w:tcPr>
                  <w:tcW w:w="2273" w:type="dxa"/>
                  <w:vMerge w:val="continue"/>
                </w:tcPr>
                <w:p w14:paraId="512482E4">
                  <w:pPr>
                    <w:autoSpaceDE w:val="0"/>
                    <w:autoSpaceDN w:val="0"/>
                    <w:snapToGrid w:val="0"/>
                    <w:jc w:val="center"/>
                    <w:rPr>
                      <w:rFonts w:eastAsia="仿宋"/>
                      <w:color w:val="000000" w:themeColor="text1"/>
                      <w:szCs w:val="22"/>
                      <w14:textFill>
                        <w14:solidFill>
                          <w14:schemeClr w14:val="tx1"/>
                        </w14:solidFill>
                      </w14:textFill>
                    </w:rPr>
                  </w:pPr>
                </w:p>
              </w:tc>
              <w:tc>
                <w:tcPr>
                  <w:tcW w:w="1639" w:type="dxa"/>
                  <w:vAlign w:val="center"/>
                </w:tcPr>
                <w:p w14:paraId="00BE3FCC">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X</w:t>
                  </w:r>
                </w:p>
              </w:tc>
              <w:tc>
                <w:tcPr>
                  <w:tcW w:w="1404" w:type="dxa"/>
                  <w:vAlign w:val="center"/>
                </w:tcPr>
                <w:p w14:paraId="1DA215DB">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Y</w:t>
                  </w:r>
                </w:p>
              </w:tc>
              <w:tc>
                <w:tcPr>
                  <w:tcW w:w="1299" w:type="dxa"/>
                  <w:vAlign w:val="center"/>
                </w:tcPr>
                <w:p w14:paraId="6E2D347F">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Z</w:t>
                  </w:r>
                </w:p>
              </w:tc>
              <w:tc>
                <w:tcPr>
                  <w:tcW w:w="1746" w:type="dxa"/>
                  <w:vMerge w:val="continue"/>
                </w:tcPr>
                <w:p w14:paraId="5743CB7B">
                  <w:pPr>
                    <w:autoSpaceDE w:val="0"/>
                    <w:autoSpaceDN w:val="0"/>
                    <w:snapToGrid w:val="0"/>
                    <w:jc w:val="center"/>
                    <w:rPr>
                      <w:rFonts w:eastAsia="仿宋"/>
                      <w:b/>
                      <w:bCs/>
                      <w:color w:val="000000" w:themeColor="text1"/>
                      <w:szCs w:val="22"/>
                      <w14:textFill>
                        <w14:solidFill>
                          <w14:schemeClr w14:val="tx1"/>
                        </w14:solidFill>
                      </w14:textFill>
                    </w:rPr>
                  </w:pPr>
                </w:p>
              </w:tc>
              <w:tc>
                <w:tcPr>
                  <w:tcW w:w="2334" w:type="dxa"/>
                  <w:vMerge w:val="continue"/>
                </w:tcPr>
                <w:p w14:paraId="5EE22019">
                  <w:pPr>
                    <w:jc w:val="center"/>
                    <w:rPr>
                      <w:rFonts w:eastAsia="仿宋"/>
                      <w:color w:val="000000" w:themeColor="text1"/>
                      <w:szCs w:val="22"/>
                      <w14:textFill>
                        <w14:solidFill>
                          <w14:schemeClr w14:val="tx1"/>
                        </w14:solidFill>
                      </w14:textFill>
                    </w:rPr>
                  </w:pPr>
                </w:p>
              </w:tc>
              <w:tc>
                <w:tcPr>
                  <w:tcW w:w="1134" w:type="dxa"/>
                  <w:vMerge w:val="continue"/>
                </w:tcPr>
                <w:p w14:paraId="23F646EF">
                  <w:pPr>
                    <w:jc w:val="center"/>
                    <w:rPr>
                      <w:rFonts w:eastAsia="仿宋"/>
                      <w:color w:val="000000" w:themeColor="text1"/>
                      <w:szCs w:val="22"/>
                      <w14:textFill>
                        <w14:solidFill>
                          <w14:schemeClr w14:val="tx1"/>
                        </w14:solidFill>
                      </w14:textFill>
                    </w:rPr>
                  </w:pPr>
                </w:p>
              </w:tc>
            </w:tr>
            <w:tr w14:paraId="75ABB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536" w:type="dxa"/>
                  <w:vAlign w:val="center"/>
                </w:tcPr>
                <w:p w14:paraId="7BB0D3B9">
                  <w:pPr>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1#排气筒</w:t>
                  </w:r>
                  <w:r>
                    <w:rPr>
                      <w:rFonts w:eastAsia="仿宋"/>
                      <w:color w:val="000000" w:themeColor="text1"/>
                      <w:szCs w:val="22"/>
                      <w14:textFill>
                        <w14:solidFill>
                          <w14:schemeClr w14:val="tx1"/>
                        </w14:solidFill>
                      </w14:textFill>
                    </w:rPr>
                    <w:t>风机</w:t>
                  </w:r>
                </w:p>
              </w:tc>
              <w:tc>
                <w:tcPr>
                  <w:tcW w:w="2273" w:type="dxa"/>
                  <w:vAlign w:val="center"/>
                </w:tcPr>
                <w:p w14:paraId="49B74E20">
                  <w:pPr>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1</w:t>
                  </w:r>
                </w:p>
              </w:tc>
              <w:tc>
                <w:tcPr>
                  <w:tcW w:w="1639" w:type="dxa"/>
                  <w:vAlign w:val="center"/>
                </w:tcPr>
                <w:p w14:paraId="183D0D73">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11.3</w:t>
                  </w:r>
                </w:p>
              </w:tc>
              <w:tc>
                <w:tcPr>
                  <w:tcW w:w="1404" w:type="dxa"/>
                  <w:vAlign w:val="center"/>
                </w:tcPr>
                <w:p w14:paraId="7939B6DC">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-8</w:t>
                  </w:r>
                </w:p>
              </w:tc>
              <w:tc>
                <w:tcPr>
                  <w:tcW w:w="1299" w:type="dxa"/>
                  <w:vAlign w:val="center"/>
                </w:tcPr>
                <w:p w14:paraId="36291E11">
                  <w:pPr>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22</w:t>
                  </w:r>
                </w:p>
              </w:tc>
              <w:tc>
                <w:tcPr>
                  <w:tcW w:w="1746" w:type="dxa"/>
                  <w:vAlign w:val="center"/>
                </w:tcPr>
                <w:p w14:paraId="62734DA9">
                  <w:pPr>
                    <w:snapToGrid w:val="0"/>
                    <w:jc w:val="center"/>
                    <w:rPr>
                      <w:rFonts w:eastAsia="仿宋"/>
                      <w:color w:val="000000" w:themeColor="text1"/>
                      <w:szCs w:val="22"/>
                      <w14:textFill>
                        <w14:solidFill>
                          <w14:schemeClr w14:val="tx1"/>
                        </w14:solidFill>
                      </w14:textFill>
                    </w:rPr>
                  </w:pPr>
                  <w:r>
                    <w:rPr>
                      <w:rFonts w:hint="eastAsia" w:eastAsia="仿宋"/>
                      <w:color w:val="000000" w:themeColor="text1"/>
                      <w:szCs w:val="22"/>
                      <w14:textFill>
                        <w14:solidFill>
                          <w14:schemeClr w14:val="tx1"/>
                        </w14:solidFill>
                      </w14:textFill>
                    </w:rPr>
                    <w:t>85</w:t>
                  </w:r>
                </w:p>
              </w:tc>
              <w:tc>
                <w:tcPr>
                  <w:tcW w:w="2334" w:type="dxa"/>
                  <w:vAlign w:val="center"/>
                </w:tcPr>
                <w:p w14:paraId="7C77444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设置消音器、安装减震垫</w:t>
                  </w:r>
                </w:p>
              </w:tc>
              <w:tc>
                <w:tcPr>
                  <w:tcW w:w="1134" w:type="dxa"/>
                  <w:vAlign w:val="center"/>
                </w:tcPr>
                <w:p w14:paraId="0683499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间歇运行</w:t>
                  </w:r>
                </w:p>
              </w:tc>
            </w:tr>
          </w:tbl>
          <w:p w14:paraId="58605BF3">
            <w:pPr>
              <w:tabs>
                <w:tab w:val="left" w:pos="2130"/>
              </w:tabs>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注：表中坐标以厂界中心（119.64731</w:t>
            </w:r>
            <w:r>
              <w:rPr>
                <w:rFonts w:hint="eastAsia" w:eastAsia="仿宋"/>
                <w:b/>
                <w:color w:val="000000" w:themeColor="text1"/>
                <w:szCs w:val="21"/>
                <w14:textFill>
                  <w14:solidFill>
                    <w14:schemeClr w14:val="tx1"/>
                  </w14:solidFill>
                </w14:textFill>
              </w:rPr>
              <w:t>，</w:t>
            </w:r>
            <w:r>
              <w:rPr>
                <w:rFonts w:eastAsia="仿宋"/>
                <w:b/>
                <w:color w:val="000000" w:themeColor="text1"/>
                <w:szCs w:val="21"/>
                <w14:textFill>
                  <w14:solidFill>
                    <w14:schemeClr w14:val="tx1"/>
                  </w14:solidFill>
                </w14:textFill>
              </w:rPr>
              <w:t>31.730387）为坐标原点，正东向为X轴正方向，正北向为Y轴正方向。</w:t>
            </w:r>
          </w:p>
          <w:p w14:paraId="42DE02B6">
            <w:pPr>
              <w:tabs>
                <w:tab w:val="left" w:pos="2130"/>
              </w:tabs>
              <w:rPr>
                <w:rFonts w:eastAsia="仿宋"/>
                <w:color w:val="000000" w:themeColor="text1"/>
                <w:sz w:val="24"/>
                <w14:textFill>
                  <w14:solidFill>
                    <w14:schemeClr w14:val="tx1"/>
                  </w14:solidFill>
                </w14:textFill>
              </w:rPr>
            </w:pPr>
          </w:p>
        </w:tc>
      </w:tr>
    </w:tbl>
    <w:p w14:paraId="21C9D11D">
      <w:pPr>
        <w:adjustRightInd w:val="0"/>
        <w:snapToGrid w:val="0"/>
        <w:rPr>
          <w:rFonts w:eastAsia="仿宋"/>
          <w:color w:val="000000" w:themeColor="text1"/>
          <w:kern w:val="0"/>
          <w:sz w:val="24"/>
          <w14:textFill>
            <w14:solidFill>
              <w14:schemeClr w14:val="tx1"/>
            </w14:solidFill>
          </w14:textFill>
        </w:rPr>
      </w:pPr>
    </w:p>
    <w:p w14:paraId="6DE1C8A1">
      <w:pPr>
        <w:adjustRightInd w:val="0"/>
        <w:snapToGrid w:val="0"/>
        <w:rPr>
          <w:rFonts w:eastAsia="仿宋"/>
          <w:color w:val="000000" w:themeColor="text1"/>
          <w:kern w:val="0"/>
          <w:sz w:val="24"/>
          <w14:textFill>
            <w14:solidFill>
              <w14:schemeClr w14:val="tx1"/>
            </w14:solidFill>
          </w14:textFill>
        </w:rPr>
        <w:sectPr>
          <w:pgSz w:w="16838" w:h="11906" w:orient="landscape"/>
          <w:pgMar w:top="1531" w:right="1701" w:bottom="1531" w:left="1701" w:header="851" w:footer="851" w:gutter="0"/>
          <w:cols w:space="720" w:num="1"/>
          <w:docGrid w:linePitch="312" w:charSpace="0"/>
        </w:sectPr>
      </w:pPr>
    </w:p>
    <w:tbl>
      <w:tblPr>
        <w:tblStyle w:val="24"/>
        <w:tblW w:w="553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3"/>
        <w:gridCol w:w="9321"/>
      </w:tblGrid>
      <w:tr w14:paraId="0A9B08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13" w:type="pct"/>
            <w:noWrap/>
            <w:tcMar>
              <w:left w:w="28" w:type="dxa"/>
              <w:right w:w="28" w:type="dxa"/>
            </w:tcMar>
            <w:vAlign w:val="center"/>
          </w:tcPr>
          <w:p w14:paraId="6E4B0B80">
            <w:pPr>
              <w:adjustRightInd w:val="0"/>
              <w:snapToGrid w:val="0"/>
              <w:jc w:val="center"/>
              <w:rPr>
                <w:rFonts w:eastAsia="仿宋"/>
                <w:color w:val="000000" w:themeColor="text1"/>
                <w:kern w:val="0"/>
                <w:sz w:val="24"/>
                <w14:textFill>
                  <w14:solidFill>
                    <w14:schemeClr w14:val="tx1"/>
                  </w14:solidFill>
                </w14:textFill>
              </w:rPr>
            </w:pPr>
            <w:bookmarkStart w:id="39" w:name="_Hlk193814149"/>
            <w:r>
              <w:rPr>
                <w:rFonts w:eastAsia="仿宋"/>
                <w:color w:val="000000" w:themeColor="text1"/>
                <w:kern w:val="0"/>
                <w:sz w:val="24"/>
                <w14:textFill>
                  <w14:solidFill>
                    <w14:schemeClr w14:val="tx1"/>
                  </w14:solidFill>
                </w14:textFill>
              </w:rPr>
              <w:t>运营期环境影响和保护措施</w:t>
            </w:r>
          </w:p>
        </w:tc>
        <w:tc>
          <w:tcPr>
            <w:tcW w:w="4687" w:type="pct"/>
            <w:noWrap/>
            <w:vAlign w:val="center"/>
          </w:tcPr>
          <w:p w14:paraId="500523F6">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（2）防治措施</w:t>
            </w:r>
          </w:p>
          <w:p w14:paraId="704174F2">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应按照《工业企业噪声控制设计规范》对厂内主要噪声源合理布局：</w:t>
            </w:r>
          </w:p>
          <w:p w14:paraId="1A306D4A">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rFonts w:eastAsia="仿宋"/>
                <w:color w:val="000000" w:themeColor="text1"/>
                <w:sz w:val="24"/>
                <w14:textFill>
                  <w14:solidFill>
                    <w14:schemeClr w14:val="tx1"/>
                  </w14:solidFill>
                </w14:textFill>
              </w:rPr>
              <w:t>在满足工艺流程要求的前提下，高噪声设备相对集中，并尽量布置在厂房的一隅，车间隔声能力应按25dB(A)设计，并能充分利用建筑物的隔声及距离的衰减。</w:t>
            </w:r>
          </w:p>
          <w:p w14:paraId="4EDD6FA5">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rFonts w:eastAsia="仿宋"/>
                <w:color w:val="000000" w:themeColor="text1"/>
                <w:sz w:val="24"/>
                <w14:textFill>
                  <w14:solidFill>
                    <w14:schemeClr w14:val="tx1"/>
                  </w14:solidFill>
                </w14:textFill>
              </w:rPr>
              <w:t>有强烈振动的设备，不布置在楼板或平台上。</w:t>
            </w:r>
          </w:p>
          <w:p w14:paraId="2010FCE3">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rFonts w:eastAsia="仿宋"/>
                <w:color w:val="000000" w:themeColor="text1"/>
                <w:sz w:val="24"/>
                <w14:textFill>
                  <w14:solidFill>
                    <w14:schemeClr w14:val="tx1"/>
                  </w14:solidFill>
                </w14:textFill>
              </w:rPr>
              <w:t>设备布置时，考虑与其配用的噪声控制专用设备的安装和维修所需的空间。</w:t>
            </w:r>
          </w:p>
          <w:p w14:paraId="46C2522D">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w:t>
            </w:r>
            <w:r>
              <w:rPr>
                <w:rFonts w:eastAsia="仿宋"/>
                <w:color w:val="000000" w:themeColor="text1"/>
                <w:sz w:val="24"/>
                <w14:textFill>
                  <w14:solidFill>
                    <w14:schemeClr w14:val="tx1"/>
                  </w14:solidFill>
                </w14:textFill>
              </w:rPr>
              <w:t>选用噪声较低、振动较小的设备；在对主要噪声源设备选择时，应收集和比较同类型设备的噪声指标；对于噪声较大的设备，应从设备选型开始要求供货商提供符合要求的低噪声设备。</w:t>
            </w:r>
          </w:p>
          <w:p w14:paraId="27D76DA7">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对厂外主要噪声降噪措施：</w:t>
            </w:r>
          </w:p>
          <w:p w14:paraId="0E966953">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rFonts w:eastAsia="仿宋"/>
                <w:color w:val="000000" w:themeColor="text1"/>
                <w:sz w:val="24"/>
                <w14:textFill>
                  <w14:solidFill>
                    <w14:schemeClr w14:val="tx1"/>
                  </w14:solidFill>
                </w14:textFill>
              </w:rPr>
              <w:t>对于风机组，通过减轻设备振动达到降噪的目的。风机的外壳材料可选用铸铁，增加设备自重和外壳厚度，减小设备振动。在风机进、出口处设备柔性波纹管减振接头，降低振动产生的辐射噪音，一般小型风机可以在机组下方加设减振器。</w:t>
            </w:r>
          </w:p>
          <w:p w14:paraId="3B535DD5">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rFonts w:eastAsia="仿宋"/>
                <w:color w:val="000000" w:themeColor="text1"/>
                <w:sz w:val="24"/>
                <w14:textFill>
                  <w14:solidFill>
                    <w14:schemeClr w14:val="tx1"/>
                  </w14:solidFill>
                </w14:textFill>
              </w:rPr>
              <w:t>设置隔声围挡，在噪声源附近的，阻挡噪声源传播，使噪声源不能影响到周围区域。</w:t>
            </w:r>
          </w:p>
          <w:p w14:paraId="08439591">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w:t>
            </w:r>
            <w:r>
              <w:rPr>
                <w:rFonts w:hint="eastAsia" w:eastAsia="仿宋"/>
                <w:color w:val="000000" w:themeColor="text1"/>
                <w:sz w:val="24"/>
                <w14:textFill>
                  <w14:solidFill>
                    <w14:schemeClr w14:val="tx1"/>
                  </w14:solidFill>
                </w14:textFill>
              </w:rPr>
              <w:t>环境影响分析</w:t>
            </w:r>
          </w:p>
          <w:p w14:paraId="23CD7F58">
            <w:pPr>
              <w:adjustRightInd w:val="0"/>
              <w:snapToGrid w:val="0"/>
              <w:spacing w:line="480" w:lineRule="exact"/>
              <w:ind w:firstLine="480" w:firstLineChars="200"/>
              <w:textAlignment w:val="baseline"/>
              <w:rPr>
                <w:rFonts w:eastAsia="仿宋"/>
                <w:bCs/>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拟建地为《声环境质量标准》（GB3096-2008）中3类区，本项目建成后，在采取噪声防治措施的前提下，造成的噪声增加量较小，对厂外声环境影响较小，东、南、西、北厂界昼夜间噪声均符合《工业企业厂界环境噪声排放标准》（GB12348-2008）中3类标准，评价范围内无敏感目标。</w:t>
            </w:r>
          </w:p>
          <w:p w14:paraId="1D9B1821">
            <w:pPr>
              <w:adjustRightInd w:val="0"/>
              <w:snapToGrid w:val="0"/>
              <w:spacing w:line="480" w:lineRule="exact"/>
              <w:ind w:firstLine="482" w:firstLineChars="200"/>
              <w:textAlignment w:val="baseline"/>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（1）预测模式</w:t>
            </w:r>
          </w:p>
          <w:p w14:paraId="61F97690">
            <w:pPr>
              <w:autoSpaceDE w:val="0"/>
              <w:autoSpaceDN w:val="0"/>
              <w:adjustRightInd w:val="0"/>
              <w:spacing w:line="480" w:lineRule="exact"/>
              <w:ind w:firstLine="480" w:firstLineChars="200"/>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根据声环境评价导则的规定，选用预测模式，应用过程中将根据情况作必要简化。</w:t>
            </w:r>
            <w:r>
              <w:rPr>
                <w:rFonts w:eastAsia="仿宋"/>
                <w:color w:val="000000" w:themeColor="text1"/>
                <w:sz w:val="24"/>
                <w14:textFill>
                  <w14:solidFill>
                    <w14:schemeClr w14:val="tx1"/>
                  </w14:solidFill>
                </w14:textFill>
              </w:rPr>
              <w:t>预测模式采用《环境影响评价技术导则 声环境》（HJ2.4-2021）中推荐的模型。噪声在传播过程中受到多种因素的干扰，使其产生衰减，根据建设项目噪声源和环境特征，预测过程中考虑了厂房等建筑物的屏障作用、空气吸收。预测模式采用点声源处于半自由空间的几何发散模式。</w:t>
            </w:r>
          </w:p>
          <w:p w14:paraId="3A466494">
            <w:pPr>
              <w:adjustRightInd w:val="0"/>
              <w:snapToGrid w:val="0"/>
              <w:spacing w:line="480" w:lineRule="exact"/>
              <w:ind w:firstLine="482" w:firstLineChars="200"/>
              <w:textAlignment w:val="baseline"/>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（2）预测参数</w:t>
            </w:r>
          </w:p>
          <w:p w14:paraId="398D5BAE">
            <w:pPr>
              <w:adjustRightInd w:val="0"/>
              <w:snapToGrid w:val="0"/>
              <w:spacing w:line="480" w:lineRule="exact"/>
              <w:ind w:firstLine="480" w:firstLineChars="200"/>
              <w:textAlignment w:val="baseline"/>
              <w:rPr>
                <w:rFonts w:eastAsia="仿宋"/>
                <w:bCs/>
                <w:color w:val="000000" w:themeColor="text1"/>
                <w:szCs w:val="21"/>
                <w14:textFill>
                  <w14:solidFill>
                    <w14:schemeClr w14:val="tx1"/>
                  </w14:solidFill>
                </w14:textFill>
              </w:rPr>
            </w:pPr>
            <w:r>
              <w:rPr>
                <w:rFonts w:eastAsia="仿宋"/>
                <w:color w:val="000000" w:themeColor="text1"/>
                <w:sz w:val="24"/>
                <w14:textFill>
                  <w14:solidFill>
                    <w14:schemeClr w14:val="tx1"/>
                  </w14:solidFill>
                </w14:textFill>
              </w:rPr>
              <w:t>项目所在区域的年平均温度为16.2</w:t>
            </w:r>
            <w:r>
              <w:rPr>
                <w:rFonts w:hint="eastAsia" w:ascii="宋体" w:hAnsi="宋体" w:cs="宋体"/>
                <w:color w:val="000000" w:themeColor="text1"/>
                <w:sz w:val="24"/>
                <w14:textFill>
                  <w14:solidFill>
                    <w14:schemeClr w14:val="tx1"/>
                  </w14:solidFill>
                </w14:textFill>
              </w:rPr>
              <w:t>℃</w:t>
            </w:r>
            <w:r>
              <w:rPr>
                <w:rFonts w:eastAsia="仿宋"/>
                <w:color w:val="000000" w:themeColor="text1"/>
                <w:sz w:val="24"/>
                <w14:textFill>
                  <w14:solidFill>
                    <w14:schemeClr w14:val="tx1"/>
                  </w14:solidFill>
                </w14:textFill>
              </w:rPr>
              <w:t>，湿度为75.4%，因此大气吸收衰减系数取2.36。计算过程考虑了建筑物的屏障作用和室内源向室外的传播。</w:t>
            </w:r>
          </w:p>
          <w:p w14:paraId="7F02FAD9">
            <w:pPr>
              <w:adjustRightInd w:val="0"/>
              <w:snapToGrid w:val="0"/>
              <w:spacing w:line="480" w:lineRule="exact"/>
              <w:ind w:firstLine="482" w:firstLineChars="200"/>
              <w:textAlignment w:val="baseline"/>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（3）预测结果</w:t>
            </w:r>
          </w:p>
          <w:p w14:paraId="305E5277">
            <w:pPr>
              <w:spacing w:line="480" w:lineRule="exact"/>
              <w:ind w:firstLine="480" w:firstLineChars="200"/>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根据HJ2.4-2021“工业噪声预测模式”对本次噪声影响进行预测，项目主要设备噪声计算预测结果如下所示。</w:t>
            </w:r>
          </w:p>
          <w:p w14:paraId="2D8E6DFB">
            <w:pPr>
              <w:tabs>
                <w:tab w:val="left" w:pos="7380"/>
              </w:tabs>
              <w:overflowPunct w:val="0"/>
              <w:spacing w:line="480" w:lineRule="exact"/>
              <w:jc w:val="center"/>
              <w:rPr>
                <w:rFonts w:eastAsia="仿宋"/>
                <w:b/>
                <w:color w:val="000000" w:themeColor="text1"/>
                <w:kern w:val="0"/>
                <w:szCs w:val="21"/>
                <w14:textFill>
                  <w14:solidFill>
                    <w14:schemeClr w14:val="tx1"/>
                  </w14:solidFill>
                </w14:textFill>
              </w:rPr>
            </w:pPr>
            <w:r>
              <w:rPr>
                <w:rFonts w:hint="eastAsia" w:eastAsia="仿宋"/>
                <w:b/>
                <w:color w:val="000000" w:themeColor="text1"/>
                <w:kern w:val="0"/>
                <w:szCs w:val="21"/>
                <w14:textFill>
                  <w14:solidFill>
                    <w14:schemeClr w14:val="tx1"/>
                  </w14:solidFill>
                </w14:textFill>
              </w:rPr>
              <w:t>表4</w:t>
            </w:r>
            <w:r>
              <w:rPr>
                <w:rFonts w:eastAsia="仿宋"/>
                <w:b/>
                <w:color w:val="000000" w:themeColor="text1"/>
                <w:kern w:val="0"/>
                <w:szCs w:val="21"/>
                <w14:textFill>
                  <w14:solidFill>
                    <w14:schemeClr w14:val="tx1"/>
                  </w14:solidFill>
                </w14:textFill>
              </w:rPr>
              <w:t>-26 厂界噪声影响预测结果 （单位：dB（A））</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773"/>
              <w:gridCol w:w="1000"/>
              <w:gridCol w:w="1001"/>
              <w:gridCol w:w="1000"/>
              <w:gridCol w:w="1430"/>
              <w:gridCol w:w="1486"/>
              <w:gridCol w:w="1115"/>
            </w:tblGrid>
            <w:tr w14:paraId="13ECB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114" w:type="dxa"/>
                  <w:vMerge w:val="restart"/>
                  <w:vAlign w:val="center"/>
                </w:tcPr>
                <w:p w14:paraId="4C1E0C5A">
                  <w:pPr>
                    <w:tabs>
                      <w:tab w:val="left" w:pos="7380"/>
                    </w:tabs>
                    <w:overflowPunct w:val="0"/>
                    <w:jc w:val="center"/>
                    <w:rPr>
                      <w:rFonts w:eastAsia="仿宋"/>
                      <w:b/>
                      <w:color w:val="000000" w:themeColor="text1"/>
                      <w:kern w:val="0"/>
                      <w:szCs w:val="21"/>
                      <w14:textFill>
                        <w14:solidFill>
                          <w14:schemeClr w14:val="tx1"/>
                        </w14:solidFill>
                      </w14:textFill>
                    </w:rPr>
                  </w:pPr>
                  <w:r>
                    <w:rPr>
                      <w:rFonts w:eastAsia="仿宋"/>
                      <w:b/>
                      <w:color w:val="000000" w:themeColor="text1"/>
                      <w:kern w:val="0"/>
                      <w:szCs w:val="21"/>
                      <w14:textFill>
                        <w14:solidFill>
                          <w14:schemeClr w14:val="tx1"/>
                        </w14:solidFill>
                      </w14:textFill>
                    </w:rPr>
                    <w:t>预测方位</w:t>
                  </w:r>
                </w:p>
              </w:tc>
              <w:tc>
                <w:tcPr>
                  <w:tcW w:w="2774" w:type="dxa"/>
                  <w:gridSpan w:val="3"/>
                  <w:vAlign w:val="center"/>
                </w:tcPr>
                <w:p w14:paraId="37CCAE30">
                  <w:pPr>
                    <w:tabs>
                      <w:tab w:val="left" w:pos="7380"/>
                    </w:tabs>
                    <w:overflowPunct w:val="0"/>
                    <w:jc w:val="center"/>
                    <w:rPr>
                      <w:rFonts w:eastAsia="仿宋"/>
                      <w:b/>
                      <w:color w:val="000000" w:themeColor="text1"/>
                      <w:kern w:val="0"/>
                      <w:szCs w:val="21"/>
                      <w14:textFill>
                        <w14:solidFill>
                          <w14:schemeClr w14:val="tx1"/>
                        </w14:solidFill>
                      </w14:textFill>
                    </w:rPr>
                  </w:pPr>
                  <w:r>
                    <w:rPr>
                      <w:rFonts w:eastAsia="仿宋"/>
                      <w:b/>
                      <w:color w:val="000000" w:themeColor="text1"/>
                      <w:kern w:val="0"/>
                      <w:szCs w:val="21"/>
                      <w14:textFill>
                        <w14:solidFill>
                          <w14:schemeClr w14:val="tx1"/>
                        </w14:solidFill>
                      </w14:textFill>
                    </w:rPr>
                    <w:t>空间相对位置/m</w:t>
                  </w:r>
                </w:p>
              </w:tc>
              <w:tc>
                <w:tcPr>
                  <w:tcW w:w="1000" w:type="dxa"/>
                  <w:vMerge w:val="restart"/>
                  <w:vAlign w:val="center"/>
                </w:tcPr>
                <w:p w14:paraId="42434AF1">
                  <w:pPr>
                    <w:tabs>
                      <w:tab w:val="left" w:pos="7380"/>
                    </w:tabs>
                    <w:overflowPunct w:val="0"/>
                    <w:jc w:val="center"/>
                    <w:rPr>
                      <w:rFonts w:eastAsia="仿宋"/>
                      <w:b/>
                      <w:color w:val="000000" w:themeColor="text1"/>
                      <w:kern w:val="0"/>
                      <w:szCs w:val="21"/>
                      <w14:textFill>
                        <w14:solidFill>
                          <w14:schemeClr w14:val="tx1"/>
                        </w14:solidFill>
                      </w14:textFill>
                    </w:rPr>
                  </w:pPr>
                  <w:r>
                    <w:rPr>
                      <w:rFonts w:eastAsia="仿宋"/>
                      <w:b/>
                      <w:color w:val="000000" w:themeColor="text1"/>
                      <w:kern w:val="0"/>
                      <w:szCs w:val="21"/>
                      <w14:textFill>
                        <w14:solidFill>
                          <w14:schemeClr w14:val="tx1"/>
                        </w14:solidFill>
                      </w14:textFill>
                    </w:rPr>
                    <w:t>时段</w:t>
                  </w:r>
                </w:p>
              </w:tc>
              <w:tc>
                <w:tcPr>
                  <w:tcW w:w="1430" w:type="dxa"/>
                  <w:vMerge w:val="restart"/>
                  <w:vAlign w:val="center"/>
                </w:tcPr>
                <w:p w14:paraId="2A9EE1C9">
                  <w:pPr>
                    <w:tabs>
                      <w:tab w:val="left" w:pos="7380"/>
                    </w:tabs>
                    <w:overflowPunct w:val="0"/>
                    <w:jc w:val="center"/>
                    <w:rPr>
                      <w:rFonts w:eastAsia="仿宋"/>
                      <w:b/>
                      <w:color w:val="000000" w:themeColor="text1"/>
                      <w:kern w:val="0"/>
                      <w:szCs w:val="21"/>
                      <w14:textFill>
                        <w14:solidFill>
                          <w14:schemeClr w14:val="tx1"/>
                        </w14:solidFill>
                      </w14:textFill>
                    </w:rPr>
                  </w:pPr>
                  <w:r>
                    <w:rPr>
                      <w:rFonts w:hint="eastAsia" w:eastAsia="仿宋"/>
                      <w:b/>
                      <w:color w:val="000000" w:themeColor="text1"/>
                      <w:kern w:val="0"/>
                      <w:szCs w:val="21"/>
                      <w14:textFill>
                        <w14:solidFill>
                          <w14:schemeClr w14:val="tx1"/>
                        </w14:solidFill>
                      </w14:textFill>
                    </w:rPr>
                    <w:t>贡献值</w:t>
                  </w:r>
                  <w:r>
                    <w:rPr>
                      <w:rFonts w:eastAsia="仿宋"/>
                      <w:b/>
                      <w:color w:val="000000" w:themeColor="text1"/>
                      <w:kern w:val="0"/>
                      <w:szCs w:val="21"/>
                      <w14:textFill>
                        <w14:solidFill>
                          <w14:schemeClr w14:val="tx1"/>
                        </w14:solidFill>
                      </w14:textFill>
                    </w:rPr>
                    <w:t>（dB（A））</w:t>
                  </w:r>
                </w:p>
              </w:tc>
              <w:tc>
                <w:tcPr>
                  <w:tcW w:w="1486" w:type="dxa"/>
                  <w:vMerge w:val="restart"/>
                  <w:vAlign w:val="center"/>
                </w:tcPr>
                <w:p w14:paraId="2C489484">
                  <w:pPr>
                    <w:tabs>
                      <w:tab w:val="left" w:pos="7380"/>
                    </w:tabs>
                    <w:overflowPunct w:val="0"/>
                    <w:jc w:val="center"/>
                    <w:rPr>
                      <w:rFonts w:eastAsia="仿宋"/>
                      <w:b/>
                      <w:color w:val="000000" w:themeColor="text1"/>
                      <w:kern w:val="0"/>
                      <w:szCs w:val="21"/>
                      <w14:textFill>
                        <w14:solidFill>
                          <w14:schemeClr w14:val="tx1"/>
                        </w14:solidFill>
                      </w14:textFill>
                    </w:rPr>
                  </w:pPr>
                  <w:r>
                    <w:rPr>
                      <w:rFonts w:eastAsia="仿宋"/>
                      <w:b/>
                      <w:color w:val="000000" w:themeColor="text1"/>
                      <w:kern w:val="0"/>
                      <w:szCs w:val="21"/>
                      <w14:textFill>
                        <w14:solidFill>
                          <w14:schemeClr w14:val="tx1"/>
                        </w14:solidFill>
                      </w14:textFill>
                    </w:rPr>
                    <w:t>标准限值（dB（A））</w:t>
                  </w:r>
                </w:p>
              </w:tc>
              <w:tc>
                <w:tcPr>
                  <w:tcW w:w="1115" w:type="dxa"/>
                  <w:vMerge w:val="restart"/>
                  <w:vAlign w:val="center"/>
                </w:tcPr>
                <w:p w14:paraId="77766424">
                  <w:pPr>
                    <w:tabs>
                      <w:tab w:val="left" w:pos="7380"/>
                    </w:tabs>
                    <w:overflowPunct w:val="0"/>
                    <w:jc w:val="center"/>
                    <w:rPr>
                      <w:rFonts w:eastAsia="仿宋"/>
                      <w:b/>
                      <w:color w:val="000000" w:themeColor="text1"/>
                      <w:kern w:val="0"/>
                      <w:szCs w:val="21"/>
                      <w14:textFill>
                        <w14:solidFill>
                          <w14:schemeClr w14:val="tx1"/>
                        </w14:solidFill>
                      </w14:textFill>
                    </w:rPr>
                  </w:pPr>
                  <w:r>
                    <w:rPr>
                      <w:rFonts w:eastAsia="仿宋"/>
                      <w:b/>
                      <w:color w:val="000000" w:themeColor="text1"/>
                      <w:kern w:val="0"/>
                      <w:szCs w:val="21"/>
                      <w14:textFill>
                        <w14:solidFill>
                          <w14:schemeClr w14:val="tx1"/>
                        </w14:solidFill>
                      </w14:textFill>
                    </w:rPr>
                    <w:t>达标情况</w:t>
                  </w:r>
                </w:p>
              </w:tc>
            </w:tr>
            <w:tr w14:paraId="55AD5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114" w:type="dxa"/>
                  <w:vMerge w:val="continue"/>
                  <w:vAlign w:val="center"/>
                </w:tcPr>
                <w:p w14:paraId="7A593EAA">
                  <w:pPr>
                    <w:tabs>
                      <w:tab w:val="left" w:pos="7380"/>
                    </w:tabs>
                    <w:overflowPunct w:val="0"/>
                    <w:jc w:val="center"/>
                    <w:rPr>
                      <w:rFonts w:eastAsia="仿宋"/>
                      <w:b/>
                      <w:color w:val="000000" w:themeColor="text1"/>
                      <w:kern w:val="0"/>
                      <w:szCs w:val="21"/>
                      <w14:textFill>
                        <w14:solidFill>
                          <w14:schemeClr w14:val="tx1"/>
                        </w14:solidFill>
                      </w14:textFill>
                    </w:rPr>
                  </w:pPr>
                </w:p>
              </w:tc>
              <w:tc>
                <w:tcPr>
                  <w:tcW w:w="773" w:type="dxa"/>
                  <w:vAlign w:val="center"/>
                </w:tcPr>
                <w:p w14:paraId="4CC5EC1B">
                  <w:pPr>
                    <w:tabs>
                      <w:tab w:val="left" w:pos="7380"/>
                    </w:tabs>
                    <w:overflowPunct w:val="0"/>
                    <w:jc w:val="center"/>
                    <w:rPr>
                      <w:rFonts w:eastAsia="仿宋"/>
                      <w:b/>
                      <w:color w:val="000000" w:themeColor="text1"/>
                      <w:kern w:val="0"/>
                      <w:szCs w:val="21"/>
                      <w14:textFill>
                        <w14:solidFill>
                          <w14:schemeClr w14:val="tx1"/>
                        </w14:solidFill>
                      </w14:textFill>
                    </w:rPr>
                  </w:pPr>
                  <w:r>
                    <w:rPr>
                      <w:rFonts w:eastAsia="仿宋"/>
                      <w:b/>
                      <w:color w:val="000000" w:themeColor="text1"/>
                      <w:kern w:val="0"/>
                      <w:szCs w:val="21"/>
                      <w14:textFill>
                        <w14:solidFill>
                          <w14:schemeClr w14:val="tx1"/>
                        </w14:solidFill>
                      </w14:textFill>
                    </w:rPr>
                    <w:t>X</w:t>
                  </w:r>
                </w:p>
              </w:tc>
              <w:tc>
                <w:tcPr>
                  <w:tcW w:w="1000" w:type="dxa"/>
                  <w:vAlign w:val="center"/>
                </w:tcPr>
                <w:p w14:paraId="5FFF9475">
                  <w:pPr>
                    <w:tabs>
                      <w:tab w:val="left" w:pos="7380"/>
                    </w:tabs>
                    <w:overflowPunct w:val="0"/>
                    <w:jc w:val="center"/>
                    <w:rPr>
                      <w:rFonts w:eastAsia="仿宋"/>
                      <w:b/>
                      <w:color w:val="000000" w:themeColor="text1"/>
                      <w:kern w:val="0"/>
                      <w:szCs w:val="21"/>
                      <w14:textFill>
                        <w14:solidFill>
                          <w14:schemeClr w14:val="tx1"/>
                        </w14:solidFill>
                      </w14:textFill>
                    </w:rPr>
                  </w:pPr>
                  <w:r>
                    <w:rPr>
                      <w:rFonts w:eastAsia="仿宋"/>
                      <w:b/>
                      <w:color w:val="000000" w:themeColor="text1"/>
                      <w:kern w:val="0"/>
                      <w:szCs w:val="21"/>
                      <w14:textFill>
                        <w14:solidFill>
                          <w14:schemeClr w14:val="tx1"/>
                        </w14:solidFill>
                      </w14:textFill>
                    </w:rPr>
                    <w:t>Y</w:t>
                  </w:r>
                </w:p>
              </w:tc>
              <w:tc>
                <w:tcPr>
                  <w:tcW w:w="1001" w:type="dxa"/>
                  <w:vAlign w:val="center"/>
                </w:tcPr>
                <w:p w14:paraId="6AEF45BC">
                  <w:pPr>
                    <w:tabs>
                      <w:tab w:val="left" w:pos="7380"/>
                    </w:tabs>
                    <w:overflowPunct w:val="0"/>
                    <w:jc w:val="center"/>
                    <w:rPr>
                      <w:rFonts w:eastAsia="仿宋"/>
                      <w:b/>
                      <w:color w:val="000000" w:themeColor="text1"/>
                      <w:kern w:val="0"/>
                      <w:szCs w:val="21"/>
                      <w14:textFill>
                        <w14:solidFill>
                          <w14:schemeClr w14:val="tx1"/>
                        </w14:solidFill>
                      </w14:textFill>
                    </w:rPr>
                  </w:pPr>
                  <w:r>
                    <w:rPr>
                      <w:rFonts w:eastAsia="仿宋"/>
                      <w:b/>
                      <w:color w:val="000000" w:themeColor="text1"/>
                      <w:kern w:val="0"/>
                      <w:szCs w:val="21"/>
                      <w14:textFill>
                        <w14:solidFill>
                          <w14:schemeClr w14:val="tx1"/>
                        </w14:solidFill>
                      </w14:textFill>
                    </w:rPr>
                    <w:t>Z</w:t>
                  </w:r>
                </w:p>
              </w:tc>
              <w:tc>
                <w:tcPr>
                  <w:tcW w:w="1000" w:type="dxa"/>
                  <w:vMerge w:val="continue"/>
                  <w:vAlign w:val="center"/>
                </w:tcPr>
                <w:p w14:paraId="78533973">
                  <w:pPr>
                    <w:tabs>
                      <w:tab w:val="left" w:pos="7380"/>
                    </w:tabs>
                    <w:overflowPunct w:val="0"/>
                    <w:jc w:val="center"/>
                    <w:rPr>
                      <w:rFonts w:eastAsia="仿宋"/>
                      <w:b/>
                      <w:color w:val="000000" w:themeColor="text1"/>
                      <w:kern w:val="0"/>
                      <w:szCs w:val="21"/>
                      <w14:textFill>
                        <w14:solidFill>
                          <w14:schemeClr w14:val="tx1"/>
                        </w14:solidFill>
                      </w14:textFill>
                    </w:rPr>
                  </w:pPr>
                </w:p>
              </w:tc>
              <w:tc>
                <w:tcPr>
                  <w:tcW w:w="1430" w:type="dxa"/>
                  <w:vMerge w:val="continue"/>
                  <w:vAlign w:val="center"/>
                </w:tcPr>
                <w:p w14:paraId="2BCFF03B">
                  <w:pPr>
                    <w:tabs>
                      <w:tab w:val="left" w:pos="7380"/>
                    </w:tabs>
                    <w:overflowPunct w:val="0"/>
                    <w:jc w:val="center"/>
                    <w:rPr>
                      <w:rFonts w:eastAsia="仿宋"/>
                      <w:b/>
                      <w:color w:val="000000" w:themeColor="text1"/>
                      <w:kern w:val="0"/>
                      <w:szCs w:val="21"/>
                      <w14:textFill>
                        <w14:solidFill>
                          <w14:schemeClr w14:val="tx1"/>
                        </w14:solidFill>
                      </w14:textFill>
                    </w:rPr>
                  </w:pPr>
                </w:p>
              </w:tc>
              <w:tc>
                <w:tcPr>
                  <w:tcW w:w="1486" w:type="dxa"/>
                  <w:vMerge w:val="continue"/>
                  <w:vAlign w:val="center"/>
                </w:tcPr>
                <w:p w14:paraId="633FE039">
                  <w:pPr>
                    <w:tabs>
                      <w:tab w:val="left" w:pos="7380"/>
                    </w:tabs>
                    <w:overflowPunct w:val="0"/>
                    <w:jc w:val="center"/>
                    <w:rPr>
                      <w:rFonts w:eastAsia="仿宋"/>
                      <w:b/>
                      <w:color w:val="000000" w:themeColor="text1"/>
                      <w:kern w:val="0"/>
                      <w:szCs w:val="21"/>
                      <w14:textFill>
                        <w14:solidFill>
                          <w14:schemeClr w14:val="tx1"/>
                        </w14:solidFill>
                      </w14:textFill>
                    </w:rPr>
                  </w:pPr>
                </w:p>
              </w:tc>
              <w:tc>
                <w:tcPr>
                  <w:tcW w:w="1115" w:type="dxa"/>
                  <w:vMerge w:val="continue"/>
                  <w:vAlign w:val="center"/>
                </w:tcPr>
                <w:p w14:paraId="2489CDEA">
                  <w:pPr>
                    <w:tabs>
                      <w:tab w:val="left" w:pos="7380"/>
                    </w:tabs>
                    <w:overflowPunct w:val="0"/>
                    <w:jc w:val="center"/>
                    <w:rPr>
                      <w:rFonts w:eastAsia="仿宋"/>
                      <w:b/>
                      <w:color w:val="000000" w:themeColor="text1"/>
                      <w:kern w:val="0"/>
                      <w:szCs w:val="21"/>
                      <w14:textFill>
                        <w14:solidFill>
                          <w14:schemeClr w14:val="tx1"/>
                        </w14:solidFill>
                      </w14:textFill>
                    </w:rPr>
                  </w:pPr>
                </w:p>
              </w:tc>
            </w:tr>
            <w:tr w14:paraId="04FD0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114" w:type="dxa"/>
                  <w:vAlign w:val="center"/>
                </w:tcPr>
                <w:p w14:paraId="74F0EF20">
                  <w:pPr>
                    <w:tabs>
                      <w:tab w:val="left" w:pos="7380"/>
                    </w:tabs>
                    <w:overflowPunct w:val="0"/>
                    <w:jc w:val="center"/>
                    <w:rPr>
                      <w:rFonts w:eastAsia="仿宋"/>
                      <w:bCs/>
                      <w:color w:val="000000" w:themeColor="text1"/>
                      <w:kern w:val="0"/>
                      <w:szCs w:val="21"/>
                      <w14:textFill>
                        <w14:solidFill>
                          <w14:schemeClr w14:val="tx1"/>
                        </w14:solidFill>
                      </w14:textFill>
                    </w:rPr>
                  </w:pPr>
                  <w:r>
                    <w:rPr>
                      <w:rFonts w:eastAsia="仿宋"/>
                      <w:bCs/>
                      <w:color w:val="000000" w:themeColor="text1"/>
                      <w:kern w:val="0"/>
                      <w:szCs w:val="21"/>
                      <w14:textFill>
                        <w14:solidFill>
                          <w14:schemeClr w14:val="tx1"/>
                        </w14:solidFill>
                      </w14:textFill>
                    </w:rPr>
                    <w:t>东厂界</w:t>
                  </w:r>
                </w:p>
              </w:tc>
              <w:tc>
                <w:tcPr>
                  <w:tcW w:w="773" w:type="dxa"/>
                  <w:vAlign w:val="center"/>
                </w:tcPr>
                <w:p w14:paraId="5A129BAE">
                  <w:pPr>
                    <w:jc w:val="center"/>
                    <w:rPr>
                      <w:rFonts w:eastAsia="仿宋"/>
                      <w:bCs/>
                      <w:color w:val="000000" w:themeColor="text1"/>
                      <w14:textFill>
                        <w14:solidFill>
                          <w14:schemeClr w14:val="tx1"/>
                        </w14:solidFill>
                      </w14:textFill>
                    </w:rPr>
                  </w:pPr>
                  <w:r>
                    <w:rPr>
                      <w:rFonts w:eastAsia="仿宋"/>
                      <w:bCs/>
                      <w:color w:val="000000" w:themeColor="text1"/>
                      <w14:textFill>
                        <w14:solidFill>
                          <w14:schemeClr w14:val="tx1"/>
                        </w14:solidFill>
                      </w14:textFill>
                    </w:rPr>
                    <w:t>48.03</w:t>
                  </w:r>
                </w:p>
              </w:tc>
              <w:tc>
                <w:tcPr>
                  <w:tcW w:w="1000" w:type="dxa"/>
                  <w:vAlign w:val="center"/>
                </w:tcPr>
                <w:p w14:paraId="16EB4232">
                  <w:pPr>
                    <w:jc w:val="center"/>
                    <w:rPr>
                      <w:rFonts w:eastAsia="仿宋"/>
                      <w:bCs/>
                      <w:color w:val="000000" w:themeColor="text1"/>
                      <w14:textFill>
                        <w14:solidFill>
                          <w14:schemeClr w14:val="tx1"/>
                        </w14:solidFill>
                      </w14:textFill>
                    </w:rPr>
                  </w:pPr>
                  <w:r>
                    <w:rPr>
                      <w:rFonts w:eastAsia="仿宋"/>
                      <w:bCs/>
                      <w:color w:val="000000" w:themeColor="text1"/>
                      <w14:textFill>
                        <w14:solidFill>
                          <w14:schemeClr w14:val="tx1"/>
                        </w14:solidFill>
                      </w14:textFill>
                    </w:rPr>
                    <w:t>2.22</w:t>
                  </w:r>
                </w:p>
              </w:tc>
              <w:tc>
                <w:tcPr>
                  <w:tcW w:w="1001" w:type="dxa"/>
                  <w:vAlign w:val="center"/>
                </w:tcPr>
                <w:p w14:paraId="5A5745CA">
                  <w:pPr>
                    <w:tabs>
                      <w:tab w:val="left" w:pos="7380"/>
                    </w:tabs>
                    <w:overflowPunct w:val="0"/>
                    <w:jc w:val="center"/>
                    <w:rPr>
                      <w:rFonts w:eastAsia="仿宋"/>
                      <w:bCs/>
                      <w:color w:val="000000" w:themeColor="text1"/>
                      <w:kern w:val="0"/>
                      <w:szCs w:val="21"/>
                      <w14:textFill>
                        <w14:solidFill>
                          <w14:schemeClr w14:val="tx1"/>
                        </w14:solidFill>
                      </w14:textFill>
                    </w:rPr>
                  </w:pPr>
                  <w:r>
                    <w:rPr>
                      <w:rFonts w:eastAsia="仿宋"/>
                      <w:bCs/>
                      <w:color w:val="000000" w:themeColor="text1"/>
                      <w:kern w:val="0"/>
                      <w:szCs w:val="21"/>
                      <w14:textFill>
                        <w14:solidFill>
                          <w14:schemeClr w14:val="tx1"/>
                        </w14:solidFill>
                      </w14:textFill>
                    </w:rPr>
                    <w:t>1.2</w:t>
                  </w:r>
                </w:p>
              </w:tc>
              <w:tc>
                <w:tcPr>
                  <w:tcW w:w="1000" w:type="dxa"/>
                  <w:vAlign w:val="center"/>
                </w:tcPr>
                <w:p w14:paraId="611D371D">
                  <w:pPr>
                    <w:tabs>
                      <w:tab w:val="left" w:pos="7380"/>
                    </w:tabs>
                    <w:overflowPunct w:val="0"/>
                    <w:jc w:val="center"/>
                    <w:rPr>
                      <w:rFonts w:eastAsia="仿宋"/>
                      <w:bCs/>
                      <w:color w:val="000000" w:themeColor="text1"/>
                      <w:kern w:val="0"/>
                      <w:szCs w:val="21"/>
                      <w14:textFill>
                        <w14:solidFill>
                          <w14:schemeClr w14:val="tx1"/>
                        </w14:solidFill>
                      </w14:textFill>
                    </w:rPr>
                  </w:pPr>
                  <w:r>
                    <w:rPr>
                      <w:rFonts w:hint="eastAsia" w:eastAsia="仿宋"/>
                      <w:bCs/>
                      <w:color w:val="000000" w:themeColor="text1"/>
                      <w:kern w:val="0"/>
                      <w:szCs w:val="21"/>
                      <w14:textFill>
                        <w14:solidFill>
                          <w14:schemeClr w14:val="tx1"/>
                        </w14:solidFill>
                      </w14:textFill>
                    </w:rPr>
                    <w:t>昼间</w:t>
                  </w:r>
                </w:p>
              </w:tc>
              <w:tc>
                <w:tcPr>
                  <w:tcW w:w="1430" w:type="dxa"/>
                  <w:vAlign w:val="center"/>
                </w:tcPr>
                <w:p w14:paraId="38D8407B">
                  <w:pPr>
                    <w:tabs>
                      <w:tab w:val="left" w:pos="7380"/>
                    </w:tabs>
                    <w:overflowPunct w:val="0"/>
                    <w:jc w:val="center"/>
                    <w:rPr>
                      <w:rFonts w:eastAsia="仿宋"/>
                      <w:bCs/>
                      <w:color w:val="000000" w:themeColor="text1"/>
                      <w:kern w:val="0"/>
                      <w:szCs w:val="21"/>
                      <w14:textFill>
                        <w14:solidFill>
                          <w14:schemeClr w14:val="tx1"/>
                        </w14:solidFill>
                      </w14:textFill>
                    </w:rPr>
                  </w:pPr>
                  <w:r>
                    <w:rPr>
                      <w:rFonts w:hint="eastAsia" w:eastAsia="仿宋"/>
                      <w:bCs/>
                      <w:color w:val="000000" w:themeColor="text1"/>
                      <w:kern w:val="0"/>
                      <w:szCs w:val="21"/>
                      <w14:textFill>
                        <w14:solidFill>
                          <w14:schemeClr w14:val="tx1"/>
                        </w14:solidFill>
                      </w14:textFill>
                    </w:rPr>
                    <w:t>4</w:t>
                  </w:r>
                  <w:r>
                    <w:rPr>
                      <w:rFonts w:eastAsia="仿宋"/>
                      <w:bCs/>
                      <w:color w:val="000000" w:themeColor="text1"/>
                      <w:kern w:val="0"/>
                      <w:szCs w:val="21"/>
                      <w14:textFill>
                        <w14:solidFill>
                          <w14:schemeClr w14:val="tx1"/>
                        </w14:solidFill>
                      </w14:textFill>
                    </w:rPr>
                    <w:t>8.66</w:t>
                  </w:r>
                </w:p>
              </w:tc>
              <w:tc>
                <w:tcPr>
                  <w:tcW w:w="1486" w:type="dxa"/>
                  <w:vAlign w:val="center"/>
                </w:tcPr>
                <w:p w14:paraId="5B2E8C91">
                  <w:pPr>
                    <w:tabs>
                      <w:tab w:val="left" w:pos="7380"/>
                    </w:tabs>
                    <w:overflowPunct w:val="0"/>
                    <w:jc w:val="center"/>
                    <w:rPr>
                      <w:rFonts w:eastAsia="仿宋"/>
                      <w:bCs/>
                      <w:color w:val="000000" w:themeColor="text1"/>
                      <w:kern w:val="0"/>
                      <w:szCs w:val="21"/>
                      <w14:textFill>
                        <w14:solidFill>
                          <w14:schemeClr w14:val="tx1"/>
                        </w14:solidFill>
                      </w14:textFill>
                    </w:rPr>
                  </w:pPr>
                  <w:r>
                    <w:rPr>
                      <w:rFonts w:hint="eastAsia" w:eastAsia="仿宋"/>
                      <w:bCs/>
                      <w:color w:val="000000" w:themeColor="text1"/>
                      <w:kern w:val="0"/>
                      <w:szCs w:val="21"/>
                      <w14:textFill>
                        <w14:solidFill>
                          <w14:schemeClr w14:val="tx1"/>
                        </w14:solidFill>
                      </w14:textFill>
                    </w:rPr>
                    <w:t>6</w:t>
                  </w:r>
                  <w:r>
                    <w:rPr>
                      <w:rFonts w:eastAsia="仿宋"/>
                      <w:bCs/>
                      <w:color w:val="000000" w:themeColor="text1"/>
                      <w:kern w:val="0"/>
                      <w:szCs w:val="21"/>
                      <w14:textFill>
                        <w14:solidFill>
                          <w14:schemeClr w14:val="tx1"/>
                        </w14:solidFill>
                      </w14:textFill>
                    </w:rPr>
                    <w:t>5</w:t>
                  </w:r>
                </w:p>
              </w:tc>
              <w:tc>
                <w:tcPr>
                  <w:tcW w:w="1115" w:type="dxa"/>
                  <w:vAlign w:val="center"/>
                </w:tcPr>
                <w:p w14:paraId="23D3875F">
                  <w:pPr>
                    <w:tabs>
                      <w:tab w:val="left" w:pos="7380"/>
                    </w:tabs>
                    <w:overflowPunct w:val="0"/>
                    <w:jc w:val="center"/>
                    <w:rPr>
                      <w:rFonts w:eastAsia="仿宋"/>
                      <w:bCs/>
                      <w:color w:val="000000" w:themeColor="text1"/>
                      <w:kern w:val="0"/>
                      <w:szCs w:val="21"/>
                      <w14:textFill>
                        <w14:solidFill>
                          <w14:schemeClr w14:val="tx1"/>
                        </w14:solidFill>
                      </w14:textFill>
                    </w:rPr>
                  </w:pPr>
                  <w:r>
                    <w:rPr>
                      <w:rFonts w:hint="eastAsia" w:eastAsia="仿宋"/>
                      <w:bCs/>
                      <w:color w:val="000000" w:themeColor="text1"/>
                      <w:kern w:val="0"/>
                      <w:szCs w:val="21"/>
                      <w14:textFill>
                        <w14:solidFill>
                          <w14:schemeClr w14:val="tx1"/>
                        </w14:solidFill>
                      </w14:textFill>
                    </w:rPr>
                    <w:t>达标</w:t>
                  </w:r>
                </w:p>
              </w:tc>
            </w:tr>
            <w:tr w14:paraId="1BCB8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114" w:type="dxa"/>
                  <w:vAlign w:val="center"/>
                </w:tcPr>
                <w:p w14:paraId="7949812A">
                  <w:pPr>
                    <w:tabs>
                      <w:tab w:val="left" w:pos="7380"/>
                    </w:tabs>
                    <w:overflowPunct w:val="0"/>
                    <w:jc w:val="center"/>
                    <w:rPr>
                      <w:rFonts w:eastAsia="仿宋"/>
                      <w:bCs/>
                      <w:color w:val="000000" w:themeColor="text1"/>
                      <w:kern w:val="0"/>
                      <w:szCs w:val="21"/>
                      <w14:textFill>
                        <w14:solidFill>
                          <w14:schemeClr w14:val="tx1"/>
                        </w14:solidFill>
                      </w14:textFill>
                    </w:rPr>
                  </w:pPr>
                  <w:r>
                    <w:rPr>
                      <w:rFonts w:eastAsia="仿宋"/>
                      <w:bCs/>
                      <w:color w:val="000000" w:themeColor="text1"/>
                      <w:kern w:val="0"/>
                      <w:szCs w:val="21"/>
                      <w14:textFill>
                        <w14:solidFill>
                          <w14:schemeClr w14:val="tx1"/>
                        </w14:solidFill>
                      </w14:textFill>
                    </w:rPr>
                    <w:t>南厂界</w:t>
                  </w:r>
                </w:p>
              </w:tc>
              <w:tc>
                <w:tcPr>
                  <w:tcW w:w="773" w:type="dxa"/>
                  <w:vAlign w:val="center"/>
                </w:tcPr>
                <w:p w14:paraId="13ED1C06">
                  <w:pPr>
                    <w:jc w:val="center"/>
                    <w:rPr>
                      <w:rFonts w:eastAsia="仿宋"/>
                      <w:bCs/>
                      <w:color w:val="000000" w:themeColor="text1"/>
                      <w14:textFill>
                        <w14:solidFill>
                          <w14:schemeClr w14:val="tx1"/>
                        </w14:solidFill>
                      </w14:textFill>
                    </w:rPr>
                  </w:pPr>
                  <w:r>
                    <w:rPr>
                      <w:rFonts w:eastAsia="仿宋"/>
                      <w:bCs/>
                      <w:color w:val="000000" w:themeColor="text1"/>
                      <w14:textFill>
                        <w14:solidFill>
                          <w14:schemeClr w14:val="tx1"/>
                        </w14:solidFill>
                      </w14:textFill>
                    </w:rPr>
                    <w:t>1.86</w:t>
                  </w:r>
                </w:p>
              </w:tc>
              <w:tc>
                <w:tcPr>
                  <w:tcW w:w="1000" w:type="dxa"/>
                  <w:vAlign w:val="center"/>
                </w:tcPr>
                <w:p w14:paraId="0A58DE16">
                  <w:pPr>
                    <w:jc w:val="center"/>
                    <w:rPr>
                      <w:rFonts w:eastAsia="仿宋"/>
                      <w:bCs/>
                      <w:color w:val="000000" w:themeColor="text1"/>
                      <w14:textFill>
                        <w14:solidFill>
                          <w14:schemeClr w14:val="tx1"/>
                        </w14:solidFill>
                      </w14:textFill>
                    </w:rPr>
                  </w:pPr>
                  <w:r>
                    <w:rPr>
                      <w:rFonts w:eastAsia="仿宋"/>
                      <w:bCs/>
                      <w:color w:val="000000" w:themeColor="text1"/>
                      <w14:textFill>
                        <w14:solidFill>
                          <w14:schemeClr w14:val="tx1"/>
                        </w14:solidFill>
                      </w14:textFill>
                    </w:rPr>
                    <w:t>-33.00</w:t>
                  </w:r>
                </w:p>
              </w:tc>
              <w:tc>
                <w:tcPr>
                  <w:tcW w:w="1001" w:type="dxa"/>
                  <w:vAlign w:val="center"/>
                </w:tcPr>
                <w:p w14:paraId="0E4CA58C">
                  <w:pPr>
                    <w:tabs>
                      <w:tab w:val="left" w:pos="7380"/>
                    </w:tabs>
                    <w:overflowPunct w:val="0"/>
                    <w:jc w:val="center"/>
                    <w:rPr>
                      <w:rFonts w:eastAsia="仿宋"/>
                      <w:bCs/>
                      <w:color w:val="000000" w:themeColor="text1"/>
                      <w:kern w:val="0"/>
                      <w:szCs w:val="21"/>
                      <w14:textFill>
                        <w14:solidFill>
                          <w14:schemeClr w14:val="tx1"/>
                        </w14:solidFill>
                      </w14:textFill>
                    </w:rPr>
                  </w:pPr>
                  <w:r>
                    <w:rPr>
                      <w:rFonts w:eastAsia="仿宋"/>
                      <w:bCs/>
                      <w:color w:val="000000" w:themeColor="text1"/>
                      <w:kern w:val="0"/>
                      <w:szCs w:val="21"/>
                      <w14:textFill>
                        <w14:solidFill>
                          <w14:schemeClr w14:val="tx1"/>
                        </w14:solidFill>
                      </w14:textFill>
                    </w:rPr>
                    <w:t>1.2</w:t>
                  </w:r>
                </w:p>
              </w:tc>
              <w:tc>
                <w:tcPr>
                  <w:tcW w:w="1000" w:type="dxa"/>
                  <w:vAlign w:val="center"/>
                </w:tcPr>
                <w:p w14:paraId="2D779E23">
                  <w:pPr>
                    <w:tabs>
                      <w:tab w:val="left" w:pos="7380"/>
                    </w:tabs>
                    <w:overflowPunct w:val="0"/>
                    <w:jc w:val="center"/>
                    <w:rPr>
                      <w:rFonts w:eastAsia="仿宋"/>
                      <w:bCs/>
                      <w:color w:val="000000" w:themeColor="text1"/>
                      <w:kern w:val="0"/>
                      <w:szCs w:val="21"/>
                      <w14:textFill>
                        <w14:solidFill>
                          <w14:schemeClr w14:val="tx1"/>
                        </w14:solidFill>
                      </w14:textFill>
                    </w:rPr>
                  </w:pPr>
                  <w:r>
                    <w:rPr>
                      <w:rFonts w:hint="eastAsia" w:eastAsia="仿宋"/>
                      <w:bCs/>
                      <w:color w:val="000000" w:themeColor="text1"/>
                      <w:kern w:val="0"/>
                      <w:szCs w:val="21"/>
                      <w14:textFill>
                        <w14:solidFill>
                          <w14:schemeClr w14:val="tx1"/>
                        </w14:solidFill>
                      </w14:textFill>
                    </w:rPr>
                    <w:t>昼间</w:t>
                  </w:r>
                </w:p>
              </w:tc>
              <w:tc>
                <w:tcPr>
                  <w:tcW w:w="1430" w:type="dxa"/>
                  <w:vAlign w:val="center"/>
                </w:tcPr>
                <w:p w14:paraId="60FA79FB">
                  <w:pPr>
                    <w:tabs>
                      <w:tab w:val="left" w:pos="7380"/>
                    </w:tabs>
                    <w:overflowPunct w:val="0"/>
                    <w:jc w:val="center"/>
                    <w:rPr>
                      <w:rFonts w:eastAsia="仿宋"/>
                      <w:bCs/>
                      <w:color w:val="000000" w:themeColor="text1"/>
                      <w:kern w:val="0"/>
                      <w:szCs w:val="21"/>
                      <w14:textFill>
                        <w14:solidFill>
                          <w14:schemeClr w14:val="tx1"/>
                        </w14:solidFill>
                      </w14:textFill>
                    </w:rPr>
                  </w:pPr>
                  <w:r>
                    <w:rPr>
                      <w:rFonts w:hint="eastAsia" w:eastAsia="仿宋"/>
                      <w:bCs/>
                      <w:color w:val="000000" w:themeColor="text1"/>
                      <w:kern w:val="0"/>
                      <w:szCs w:val="21"/>
                      <w14:textFill>
                        <w14:solidFill>
                          <w14:schemeClr w14:val="tx1"/>
                        </w14:solidFill>
                      </w14:textFill>
                    </w:rPr>
                    <w:t>5</w:t>
                  </w:r>
                  <w:r>
                    <w:rPr>
                      <w:rFonts w:eastAsia="仿宋"/>
                      <w:bCs/>
                      <w:color w:val="000000" w:themeColor="text1"/>
                      <w:kern w:val="0"/>
                      <w:szCs w:val="21"/>
                      <w14:textFill>
                        <w14:solidFill>
                          <w14:schemeClr w14:val="tx1"/>
                        </w14:solidFill>
                      </w14:textFill>
                    </w:rPr>
                    <w:t>1.78</w:t>
                  </w:r>
                </w:p>
              </w:tc>
              <w:tc>
                <w:tcPr>
                  <w:tcW w:w="1486" w:type="dxa"/>
                  <w:vAlign w:val="center"/>
                </w:tcPr>
                <w:p w14:paraId="04268727">
                  <w:pPr>
                    <w:tabs>
                      <w:tab w:val="left" w:pos="7380"/>
                    </w:tabs>
                    <w:overflowPunct w:val="0"/>
                    <w:jc w:val="center"/>
                    <w:rPr>
                      <w:rFonts w:eastAsia="仿宋"/>
                      <w:bCs/>
                      <w:color w:val="000000" w:themeColor="text1"/>
                      <w:kern w:val="0"/>
                      <w:szCs w:val="21"/>
                      <w14:textFill>
                        <w14:solidFill>
                          <w14:schemeClr w14:val="tx1"/>
                        </w14:solidFill>
                      </w14:textFill>
                    </w:rPr>
                  </w:pPr>
                  <w:r>
                    <w:rPr>
                      <w:rFonts w:hint="eastAsia" w:eastAsia="仿宋"/>
                      <w:bCs/>
                      <w:color w:val="000000" w:themeColor="text1"/>
                      <w:kern w:val="0"/>
                      <w:szCs w:val="21"/>
                      <w14:textFill>
                        <w14:solidFill>
                          <w14:schemeClr w14:val="tx1"/>
                        </w14:solidFill>
                      </w14:textFill>
                    </w:rPr>
                    <w:t>6</w:t>
                  </w:r>
                  <w:r>
                    <w:rPr>
                      <w:rFonts w:eastAsia="仿宋"/>
                      <w:bCs/>
                      <w:color w:val="000000" w:themeColor="text1"/>
                      <w:kern w:val="0"/>
                      <w:szCs w:val="21"/>
                      <w14:textFill>
                        <w14:solidFill>
                          <w14:schemeClr w14:val="tx1"/>
                        </w14:solidFill>
                      </w14:textFill>
                    </w:rPr>
                    <w:t>5</w:t>
                  </w:r>
                </w:p>
              </w:tc>
              <w:tc>
                <w:tcPr>
                  <w:tcW w:w="1115" w:type="dxa"/>
                  <w:vAlign w:val="center"/>
                </w:tcPr>
                <w:p w14:paraId="551B8509">
                  <w:pPr>
                    <w:tabs>
                      <w:tab w:val="left" w:pos="7380"/>
                    </w:tabs>
                    <w:overflowPunct w:val="0"/>
                    <w:jc w:val="center"/>
                    <w:rPr>
                      <w:rFonts w:eastAsia="仿宋"/>
                      <w:bCs/>
                      <w:color w:val="000000" w:themeColor="text1"/>
                      <w:kern w:val="0"/>
                      <w:szCs w:val="21"/>
                      <w14:textFill>
                        <w14:solidFill>
                          <w14:schemeClr w14:val="tx1"/>
                        </w14:solidFill>
                      </w14:textFill>
                    </w:rPr>
                  </w:pPr>
                  <w:r>
                    <w:rPr>
                      <w:rFonts w:hint="eastAsia" w:eastAsia="仿宋"/>
                      <w:bCs/>
                      <w:color w:val="000000" w:themeColor="text1"/>
                      <w:kern w:val="0"/>
                      <w:szCs w:val="21"/>
                      <w14:textFill>
                        <w14:solidFill>
                          <w14:schemeClr w14:val="tx1"/>
                        </w14:solidFill>
                      </w14:textFill>
                    </w:rPr>
                    <w:t>达标</w:t>
                  </w:r>
                </w:p>
              </w:tc>
            </w:tr>
            <w:tr w14:paraId="5DC7F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114" w:type="dxa"/>
                  <w:vAlign w:val="center"/>
                </w:tcPr>
                <w:p w14:paraId="6A2D711E">
                  <w:pPr>
                    <w:tabs>
                      <w:tab w:val="left" w:pos="7380"/>
                    </w:tabs>
                    <w:overflowPunct w:val="0"/>
                    <w:jc w:val="center"/>
                    <w:rPr>
                      <w:rFonts w:eastAsia="仿宋"/>
                      <w:bCs/>
                      <w:color w:val="000000" w:themeColor="text1"/>
                      <w:kern w:val="0"/>
                      <w:szCs w:val="21"/>
                      <w14:textFill>
                        <w14:solidFill>
                          <w14:schemeClr w14:val="tx1"/>
                        </w14:solidFill>
                      </w14:textFill>
                    </w:rPr>
                  </w:pPr>
                  <w:r>
                    <w:rPr>
                      <w:rFonts w:eastAsia="仿宋"/>
                      <w:bCs/>
                      <w:color w:val="000000" w:themeColor="text1"/>
                      <w:kern w:val="0"/>
                      <w:szCs w:val="21"/>
                      <w14:textFill>
                        <w14:solidFill>
                          <w14:schemeClr w14:val="tx1"/>
                        </w14:solidFill>
                      </w14:textFill>
                    </w:rPr>
                    <w:t>西厂界</w:t>
                  </w:r>
                </w:p>
              </w:tc>
              <w:tc>
                <w:tcPr>
                  <w:tcW w:w="773" w:type="dxa"/>
                  <w:vAlign w:val="center"/>
                </w:tcPr>
                <w:p w14:paraId="6C59752C">
                  <w:pPr>
                    <w:jc w:val="center"/>
                    <w:rPr>
                      <w:rFonts w:eastAsia="仿宋"/>
                      <w:bCs/>
                      <w:color w:val="000000" w:themeColor="text1"/>
                      <w14:textFill>
                        <w14:solidFill>
                          <w14:schemeClr w14:val="tx1"/>
                        </w14:solidFill>
                      </w14:textFill>
                    </w:rPr>
                  </w:pPr>
                  <w:r>
                    <w:rPr>
                      <w:rFonts w:eastAsia="仿宋"/>
                      <w:bCs/>
                      <w:color w:val="000000" w:themeColor="text1"/>
                      <w14:textFill>
                        <w14:solidFill>
                          <w14:schemeClr w14:val="tx1"/>
                        </w14:solidFill>
                      </w14:textFill>
                    </w:rPr>
                    <w:t>-52.91</w:t>
                  </w:r>
                </w:p>
              </w:tc>
              <w:tc>
                <w:tcPr>
                  <w:tcW w:w="1000" w:type="dxa"/>
                  <w:vAlign w:val="center"/>
                </w:tcPr>
                <w:p w14:paraId="3EF0FAB1">
                  <w:pPr>
                    <w:jc w:val="center"/>
                    <w:rPr>
                      <w:rFonts w:eastAsia="仿宋"/>
                      <w:bCs/>
                      <w:color w:val="000000" w:themeColor="text1"/>
                      <w14:textFill>
                        <w14:solidFill>
                          <w14:schemeClr w14:val="tx1"/>
                        </w14:solidFill>
                      </w14:textFill>
                    </w:rPr>
                  </w:pPr>
                  <w:r>
                    <w:rPr>
                      <w:rFonts w:eastAsia="仿宋"/>
                      <w:bCs/>
                      <w:color w:val="000000" w:themeColor="text1"/>
                      <w14:textFill>
                        <w14:solidFill>
                          <w14:schemeClr w14:val="tx1"/>
                        </w14:solidFill>
                      </w14:textFill>
                    </w:rPr>
                    <w:t>-0.91</w:t>
                  </w:r>
                </w:p>
              </w:tc>
              <w:tc>
                <w:tcPr>
                  <w:tcW w:w="1001" w:type="dxa"/>
                  <w:vAlign w:val="center"/>
                </w:tcPr>
                <w:p w14:paraId="3DCE2CBF">
                  <w:pPr>
                    <w:tabs>
                      <w:tab w:val="left" w:pos="7380"/>
                    </w:tabs>
                    <w:overflowPunct w:val="0"/>
                    <w:jc w:val="center"/>
                    <w:rPr>
                      <w:rFonts w:eastAsia="仿宋"/>
                      <w:bCs/>
                      <w:color w:val="000000" w:themeColor="text1"/>
                      <w:kern w:val="0"/>
                      <w:szCs w:val="21"/>
                      <w14:textFill>
                        <w14:solidFill>
                          <w14:schemeClr w14:val="tx1"/>
                        </w14:solidFill>
                      </w14:textFill>
                    </w:rPr>
                  </w:pPr>
                  <w:r>
                    <w:rPr>
                      <w:rFonts w:eastAsia="仿宋"/>
                      <w:bCs/>
                      <w:color w:val="000000" w:themeColor="text1"/>
                      <w:kern w:val="0"/>
                      <w:szCs w:val="21"/>
                      <w14:textFill>
                        <w14:solidFill>
                          <w14:schemeClr w14:val="tx1"/>
                        </w14:solidFill>
                      </w14:textFill>
                    </w:rPr>
                    <w:t>1.2</w:t>
                  </w:r>
                </w:p>
              </w:tc>
              <w:tc>
                <w:tcPr>
                  <w:tcW w:w="1000" w:type="dxa"/>
                  <w:vAlign w:val="center"/>
                </w:tcPr>
                <w:p w14:paraId="29976A10">
                  <w:pPr>
                    <w:tabs>
                      <w:tab w:val="left" w:pos="7380"/>
                    </w:tabs>
                    <w:overflowPunct w:val="0"/>
                    <w:jc w:val="center"/>
                    <w:rPr>
                      <w:rFonts w:eastAsia="仿宋"/>
                      <w:bCs/>
                      <w:color w:val="000000" w:themeColor="text1"/>
                      <w:kern w:val="0"/>
                      <w:szCs w:val="21"/>
                      <w14:textFill>
                        <w14:solidFill>
                          <w14:schemeClr w14:val="tx1"/>
                        </w14:solidFill>
                      </w14:textFill>
                    </w:rPr>
                  </w:pPr>
                  <w:r>
                    <w:rPr>
                      <w:rFonts w:hint="eastAsia" w:eastAsia="仿宋"/>
                      <w:bCs/>
                      <w:color w:val="000000" w:themeColor="text1"/>
                      <w:kern w:val="0"/>
                      <w:szCs w:val="21"/>
                      <w14:textFill>
                        <w14:solidFill>
                          <w14:schemeClr w14:val="tx1"/>
                        </w14:solidFill>
                      </w14:textFill>
                    </w:rPr>
                    <w:t>昼间</w:t>
                  </w:r>
                </w:p>
              </w:tc>
              <w:tc>
                <w:tcPr>
                  <w:tcW w:w="1430" w:type="dxa"/>
                  <w:vAlign w:val="center"/>
                </w:tcPr>
                <w:p w14:paraId="30CCB703">
                  <w:pPr>
                    <w:tabs>
                      <w:tab w:val="left" w:pos="7380"/>
                    </w:tabs>
                    <w:overflowPunct w:val="0"/>
                    <w:jc w:val="center"/>
                    <w:rPr>
                      <w:rFonts w:eastAsia="仿宋"/>
                      <w:bCs/>
                      <w:color w:val="000000" w:themeColor="text1"/>
                      <w:kern w:val="0"/>
                      <w:szCs w:val="21"/>
                      <w14:textFill>
                        <w14:solidFill>
                          <w14:schemeClr w14:val="tx1"/>
                        </w14:solidFill>
                      </w14:textFill>
                    </w:rPr>
                  </w:pPr>
                  <w:r>
                    <w:rPr>
                      <w:rFonts w:hint="eastAsia" w:eastAsia="仿宋"/>
                      <w:bCs/>
                      <w:color w:val="000000" w:themeColor="text1"/>
                      <w:kern w:val="0"/>
                      <w:szCs w:val="21"/>
                      <w14:textFill>
                        <w14:solidFill>
                          <w14:schemeClr w14:val="tx1"/>
                        </w14:solidFill>
                      </w14:textFill>
                    </w:rPr>
                    <w:t>4</w:t>
                  </w:r>
                  <w:r>
                    <w:rPr>
                      <w:rFonts w:eastAsia="仿宋"/>
                      <w:bCs/>
                      <w:color w:val="000000" w:themeColor="text1"/>
                      <w:kern w:val="0"/>
                      <w:szCs w:val="21"/>
                      <w14:textFill>
                        <w14:solidFill>
                          <w14:schemeClr w14:val="tx1"/>
                        </w14:solidFill>
                      </w14:textFill>
                    </w:rPr>
                    <w:t>4.80</w:t>
                  </w:r>
                </w:p>
              </w:tc>
              <w:tc>
                <w:tcPr>
                  <w:tcW w:w="1486" w:type="dxa"/>
                  <w:vAlign w:val="center"/>
                </w:tcPr>
                <w:p w14:paraId="3895C7B4">
                  <w:pPr>
                    <w:tabs>
                      <w:tab w:val="left" w:pos="7380"/>
                    </w:tabs>
                    <w:overflowPunct w:val="0"/>
                    <w:jc w:val="center"/>
                    <w:rPr>
                      <w:rFonts w:eastAsia="仿宋"/>
                      <w:bCs/>
                      <w:color w:val="000000" w:themeColor="text1"/>
                      <w:kern w:val="0"/>
                      <w:szCs w:val="21"/>
                      <w14:textFill>
                        <w14:solidFill>
                          <w14:schemeClr w14:val="tx1"/>
                        </w14:solidFill>
                      </w14:textFill>
                    </w:rPr>
                  </w:pPr>
                  <w:r>
                    <w:rPr>
                      <w:rFonts w:hint="eastAsia" w:eastAsia="仿宋"/>
                      <w:bCs/>
                      <w:color w:val="000000" w:themeColor="text1"/>
                      <w:kern w:val="0"/>
                      <w:szCs w:val="21"/>
                      <w14:textFill>
                        <w14:solidFill>
                          <w14:schemeClr w14:val="tx1"/>
                        </w14:solidFill>
                      </w14:textFill>
                    </w:rPr>
                    <w:t>6</w:t>
                  </w:r>
                  <w:r>
                    <w:rPr>
                      <w:rFonts w:eastAsia="仿宋"/>
                      <w:bCs/>
                      <w:color w:val="000000" w:themeColor="text1"/>
                      <w:kern w:val="0"/>
                      <w:szCs w:val="21"/>
                      <w14:textFill>
                        <w14:solidFill>
                          <w14:schemeClr w14:val="tx1"/>
                        </w14:solidFill>
                      </w14:textFill>
                    </w:rPr>
                    <w:t>5</w:t>
                  </w:r>
                </w:p>
              </w:tc>
              <w:tc>
                <w:tcPr>
                  <w:tcW w:w="1115" w:type="dxa"/>
                  <w:vAlign w:val="center"/>
                </w:tcPr>
                <w:p w14:paraId="651B2785">
                  <w:pPr>
                    <w:tabs>
                      <w:tab w:val="left" w:pos="7380"/>
                    </w:tabs>
                    <w:overflowPunct w:val="0"/>
                    <w:jc w:val="center"/>
                    <w:rPr>
                      <w:rFonts w:eastAsia="仿宋"/>
                      <w:bCs/>
                      <w:color w:val="000000" w:themeColor="text1"/>
                      <w:kern w:val="0"/>
                      <w:szCs w:val="21"/>
                      <w14:textFill>
                        <w14:solidFill>
                          <w14:schemeClr w14:val="tx1"/>
                        </w14:solidFill>
                      </w14:textFill>
                    </w:rPr>
                  </w:pPr>
                  <w:r>
                    <w:rPr>
                      <w:rFonts w:hint="eastAsia" w:eastAsia="仿宋"/>
                      <w:bCs/>
                      <w:color w:val="000000" w:themeColor="text1"/>
                      <w:kern w:val="0"/>
                      <w:szCs w:val="21"/>
                      <w14:textFill>
                        <w14:solidFill>
                          <w14:schemeClr w14:val="tx1"/>
                        </w14:solidFill>
                      </w14:textFill>
                    </w:rPr>
                    <w:t>达标</w:t>
                  </w:r>
                </w:p>
              </w:tc>
            </w:tr>
            <w:tr w14:paraId="32A81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114" w:type="dxa"/>
                  <w:vAlign w:val="center"/>
                </w:tcPr>
                <w:p w14:paraId="5C9122A4">
                  <w:pPr>
                    <w:tabs>
                      <w:tab w:val="left" w:pos="7380"/>
                    </w:tabs>
                    <w:overflowPunct w:val="0"/>
                    <w:jc w:val="center"/>
                    <w:rPr>
                      <w:rFonts w:eastAsia="仿宋"/>
                      <w:bCs/>
                      <w:color w:val="000000" w:themeColor="text1"/>
                      <w:kern w:val="0"/>
                      <w:szCs w:val="21"/>
                      <w14:textFill>
                        <w14:solidFill>
                          <w14:schemeClr w14:val="tx1"/>
                        </w14:solidFill>
                      </w14:textFill>
                    </w:rPr>
                  </w:pPr>
                  <w:r>
                    <w:rPr>
                      <w:rFonts w:eastAsia="仿宋"/>
                      <w:bCs/>
                      <w:color w:val="000000" w:themeColor="text1"/>
                      <w:kern w:val="0"/>
                      <w:szCs w:val="21"/>
                      <w14:textFill>
                        <w14:solidFill>
                          <w14:schemeClr w14:val="tx1"/>
                        </w14:solidFill>
                      </w14:textFill>
                    </w:rPr>
                    <w:t>北厂界</w:t>
                  </w:r>
                </w:p>
              </w:tc>
              <w:tc>
                <w:tcPr>
                  <w:tcW w:w="773" w:type="dxa"/>
                  <w:vAlign w:val="center"/>
                </w:tcPr>
                <w:p w14:paraId="46EAC3E5">
                  <w:pPr>
                    <w:jc w:val="center"/>
                    <w:rPr>
                      <w:rFonts w:eastAsia="仿宋"/>
                      <w:bCs/>
                      <w:color w:val="000000" w:themeColor="text1"/>
                      <w14:textFill>
                        <w14:solidFill>
                          <w14:schemeClr w14:val="tx1"/>
                        </w14:solidFill>
                      </w14:textFill>
                    </w:rPr>
                  </w:pPr>
                  <w:r>
                    <w:rPr>
                      <w:rFonts w:eastAsia="仿宋"/>
                      <w:bCs/>
                      <w:color w:val="000000" w:themeColor="text1"/>
                      <w14:textFill>
                        <w14:solidFill>
                          <w14:schemeClr w14:val="tx1"/>
                        </w14:solidFill>
                      </w14:textFill>
                    </w:rPr>
                    <w:t>-2.44</w:t>
                  </w:r>
                </w:p>
              </w:tc>
              <w:tc>
                <w:tcPr>
                  <w:tcW w:w="1000" w:type="dxa"/>
                  <w:vAlign w:val="center"/>
                </w:tcPr>
                <w:p w14:paraId="376A0B9F">
                  <w:pPr>
                    <w:jc w:val="center"/>
                    <w:rPr>
                      <w:rFonts w:eastAsia="仿宋"/>
                      <w:bCs/>
                      <w:color w:val="000000" w:themeColor="text1"/>
                      <w14:textFill>
                        <w14:solidFill>
                          <w14:schemeClr w14:val="tx1"/>
                        </w14:solidFill>
                      </w14:textFill>
                    </w:rPr>
                  </w:pPr>
                  <w:r>
                    <w:rPr>
                      <w:rFonts w:eastAsia="仿宋"/>
                      <w:bCs/>
                      <w:color w:val="000000" w:themeColor="text1"/>
                      <w14:textFill>
                        <w14:solidFill>
                          <w14:schemeClr w14:val="tx1"/>
                        </w14:solidFill>
                      </w14:textFill>
                    </w:rPr>
                    <w:t>31.56</w:t>
                  </w:r>
                </w:p>
              </w:tc>
              <w:tc>
                <w:tcPr>
                  <w:tcW w:w="1001" w:type="dxa"/>
                  <w:vAlign w:val="center"/>
                </w:tcPr>
                <w:p w14:paraId="7A4CAE05">
                  <w:pPr>
                    <w:tabs>
                      <w:tab w:val="left" w:pos="7380"/>
                    </w:tabs>
                    <w:overflowPunct w:val="0"/>
                    <w:jc w:val="center"/>
                    <w:rPr>
                      <w:rFonts w:eastAsia="仿宋"/>
                      <w:bCs/>
                      <w:color w:val="000000" w:themeColor="text1"/>
                      <w:kern w:val="0"/>
                      <w:szCs w:val="21"/>
                      <w14:textFill>
                        <w14:solidFill>
                          <w14:schemeClr w14:val="tx1"/>
                        </w14:solidFill>
                      </w14:textFill>
                    </w:rPr>
                  </w:pPr>
                  <w:r>
                    <w:rPr>
                      <w:rFonts w:eastAsia="仿宋"/>
                      <w:bCs/>
                      <w:color w:val="000000" w:themeColor="text1"/>
                      <w:kern w:val="0"/>
                      <w:szCs w:val="21"/>
                      <w14:textFill>
                        <w14:solidFill>
                          <w14:schemeClr w14:val="tx1"/>
                        </w14:solidFill>
                      </w14:textFill>
                    </w:rPr>
                    <w:t>1.2</w:t>
                  </w:r>
                </w:p>
              </w:tc>
              <w:tc>
                <w:tcPr>
                  <w:tcW w:w="1000" w:type="dxa"/>
                  <w:vAlign w:val="center"/>
                </w:tcPr>
                <w:p w14:paraId="6ABCFF28">
                  <w:pPr>
                    <w:tabs>
                      <w:tab w:val="left" w:pos="7380"/>
                    </w:tabs>
                    <w:overflowPunct w:val="0"/>
                    <w:jc w:val="center"/>
                    <w:rPr>
                      <w:rFonts w:eastAsia="仿宋"/>
                      <w:bCs/>
                      <w:color w:val="000000" w:themeColor="text1"/>
                      <w:kern w:val="0"/>
                      <w:szCs w:val="21"/>
                      <w14:textFill>
                        <w14:solidFill>
                          <w14:schemeClr w14:val="tx1"/>
                        </w14:solidFill>
                      </w14:textFill>
                    </w:rPr>
                  </w:pPr>
                  <w:r>
                    <w:rPr>
                      <w:rFonts w:hint="eastAsia" w:eastAsia="仿宋"/>
                      <w:bCs/>
                      <w:color w:val="000000" w:themeColor="text1"/>
                      <w:kern w:val="0"/>
                      <w:szCs w:val="21"/>
                      <w14:textFill>
                        <w14:solidFill>
                          <w14:schemeClr w14:val="tx1"/>
                        </w14:solidFill>
                      </w14:textFill>
                    </w:rPr>
                    <w:t>昼间</w:t>
                  </w:r>
                </w:p>
              </w:tc>
              <w:tc>
                <w:tcPr>
                  <w:tcW w:w="1430" w:type="dxa"/>
                  <w:vAlign w:val="center"/>
                </w:tcPr>
                <w:p w14:paraId="6F959FC8">
                  <w:pPr>
                    <w:tabs>
                      <w:tab w:val="left" w:pos="7380"/>
                    </w:tabs>
                    <w:overflowPunct w:val="0"/>
                    <w:jc w:val="center"/>
                    <w:rPr>
                      <w:rFonts w:eastAsia="仿宋"/>
                      <w:bCs/>
                      <w:color w:val="000000" w:themeColor="text1"/>
                      <w:kern w:val="0"/>
                      <w:szCs w:val="21"/>
                      <w14:textFill>
                        <w14:solidFill>
                          <w14:schemeClr w14:val="tx1"/>
                        </w14:solidFill>
                      </w14:textFill>
                    </w:rPr>
                  </w:pPr>
                  <w:bookmarkStart w:id="40" w:name="OLE_LINK3"/>
                  <w:r>
                    <w:rPr>
                      <w:rFonts w:hint="eastAsia" w:eastAsia="仿宋"/>
                      <w:bCs/>
                      <w:color w:val="000000" w:themeColor="text1"/>
                      <w:kern w:val="0"/>
                      <w:szCs w:val="21"/>
                      <w14:textFill>
                        <w14:solidFill>
                          <w14:schemeClr w14:val="tx1"/>
                        </w14:solidFill>
                      </w14:textFill>
                    </w:rPr>
                    <w:t>4</w:t>
                  </w:r>
                  <w:r>
                    <w:rPr>
                      <w:rFonts w:eastAsia="仿宋"/>
                      <w:bCs/>
                      <w:color w:val="000000" w:themeColor="text1"/>
                      <w:kern w:val="0"/>
                      <w:szCs w:val="21"/>
                      <w14:textFill>
                        <w14:solidFill>
                          <w14:schemeClr w14:val="tx1"/>
                        </w14:solidFill>
                      </w14:textFill>
                    </w:rPr>
                    <w:t>6.67</w:t>
                  </w:r>
                  <w:bookmarkEnd w:id="40"/>
                </w:p>
              </w:tc>
              <w:tc>
                <w:tcPr>
                  <w:tcW w:w="1486" w:type="dxa"/>
                  <w:vAlign w:val="center"/>
                </w:tcPr>
                <w:p w14:paraId="5A1FBE54">
                  <w:pPr>
                    <w:tabs>
                      <w:tab w:val="left" w:pos="7380"/>
                    </w:tabs>
                    <w:overflowPunct w:val="0"/>
                    <w:jc w:val="center"/>
                    <w:rPr>
                      <w:rFonts w:eastAsia="仿宋"/>
                      <w:bCs/>
                      <w:color w:val="000000" w:themeColor="text1"/>
                      <w:kern w:val="0"/>
                      <w:szCs w:val="21"/>
                      <w14:textFill>
                        <w14:solidFill>
                          <w14:schemeClr w14:val="tx1"/>
                        </w14:solidFill>
                      </w14:textFill>
                    </w:rPr>
                  </w:pPr>
                  <w:r>
                    <w:rPr>
                      <w:rFonts w:eastAsia="仿宋"/>
                      <w:bCs/>
                      <w:color w:val="000000" w:themeColor="text1"/>
                      <w:kern w:val="0"/>
                      <w:szCs w:val="21"/>
                      <w14:textFill>
                        <w14:solidFill>
                          <w14:schemeClr w14:val="tx1"/>
                        </w14:solidFill>
                      </w14:textFill>
                    </w:rPr>
                    <w:t>65</w:t>
                  </w:r>
                </w:p>
              </w:tc>
              <w:tc>
                <w:tcPr>
                  <w:tcW w:w="1115" w:type="dxa"/>
                  <w:vAlign w:val="center"/>
                </w:tcPr>
                <w:p w14:paraId="0ED59454">
                  <w:pPr>
                    <w:tabs>
                      <w:tab w:val="left" w:pos="7380"/>
                    </w:tabs>
                    <w:overflowPunct w:val="0"/>
                    <w:jc w:val="center"/>
                    <w:rPr>
                      <w:rFonts w:eastAsia="仿宋"/>
                      <w:bCs/>
                      <w:color w:val="000000" w:themeColor="text1"/>
                      <w:kern w:val="0"/>
                      <w:szCs w:val="21"/>
                      <w14:textFill>
                        <w14:solidFill>
                          <w14:schemeClr w14:val="tx1"/>
                        </w14:solidFill>
                      </w14:textFill>
                    </w:rPr>
                  </w:pPr>
                  <w:r>
                    <w:rPr>
                      <w:rFonts w:hint="eastAsia" w:eastAsia="仿宋"/>
                      <w:bCs/>
                      <w:color w:val="000000" w:themeColor="text1"/>
                      <w:kern w:val="0"/>
                      <w:szCs w:val="21"/>
                      <w14:textFill>
                        <w14:solidFill>
                          <w14:schemeClr w14:val="tx1"/>
                        </w14:solidFill>
                      </w14:textFill>
                    </w:rPr>
                    <w:t>达标</w:t>
                  </w:r>
                </w:p>
              </w:tc>
            </w:tr>
          </w:tbl>
          <w:p w14:paraId="76BA1D96">
            <w:pPr>
              <w:tabs>
                <w:tab w:val="left" w:pos="7380"/>
              </w:tabs>
              <w:overflowPunct w:val="0"/>
              <w:rPr>
                <w:rFonts w:eastAsia="仿宋"/>
                <w:b/>
                <w:color w:val="000000" w:themeColor="text1"/>
                <w:kern w:val="0"/>
                <w:szCs w:val="21"/>
                <w14:textFill>
                  <w14:solidFill>
                    <w14:schemeClr w14:val="tx1"/>
                  </w14:solidFill>
                </w14:textFill>
              </w:rPr>
            </w:pPr>
            <w:r>
              <w:rPr>
                <w:rFonts w:eastAsia="仿宋"/>
                <w:b/>
                <w:color w:val="000000" w:themeColor="text1"/>
                <w:kern w:val="0"/>
                <w:szCs w:val="21"/>
                <w14:textFill>
                  <w14:solidFill>
                    <w14:schemeClr w14:val="tx1"/>
                  </w14:solidFill>
                </w14:textFill>
              </w:rPr>
              <w:t>注：表中坐标以厂界中心（</w:t>
            </w:r>
            <w:r>
              <w:rPr>
                <w:rFonts w:hint="eastAsia" w:eastAsia="仿宋"/>
                <w:b/>
                <w:color w:val="000000" w:themeColor="text1"/>
                <w:kern w:val="0"/>
                <w:szCs w:val="21"/>
                <w14:textFill>
                  <w14:solidFill>
                    <w14:schemeClr w14:val="tx1"/>
                  </w14:solidFill>
                </w14:textFill>
              </w:rPr>
              <w:t>119.64731，31.730387</w:t>
            </w:r>
            <w:r>
              <w:rPr>
                <w:rFonts w:eastAsia="仿宋"/>
                <w:b/>
                <w:color w:val="000000" w:themeColor="text1"/>
                <w:kern w:val="0"/>
                <w:szCs w:val="21"/>
                <w14:textFill>
                  <w14:solidFill>
                    <w14:schemeClr w14:val="tx1"/>
                  </w14:solidFill>
                </w14:textFill>
              </w:rPr>
              <w:t>）为坐标原点，正东方向为X轴正方向，正北方向为Y轴正方向</w:t>
            </w:r>
            <w:r>
              <w:rPr>
                <w:rFonts w:hint="eastAsia" w:eastAsia="仿宋"/>
                <w:b/>
                <w:color w:val="000000" w:themeColor="text1"/>
                <w:kern w:val="0"/>
                <w:szCs w:val="21"/>
                <w14:textFill>
                  <w14:solidFill>
                    <w14:schemeClr w14:val="tx1"/>
                  </w14:solidFill>
                </w14:textFill>
              </w:rPr>
              <w:t>。本项目夜间不工作，因此上表只需预测昼间噪声贡献值。</w:t>
            </w:r>
          </w:p>
          <w:p w14:paraId="5D0DF47C">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由上表可见，本项目噪声源设备在采取有效的减振降噪等措施之后，各厂界均未出现超标现象。</w:t>
            </w:r>
          </w:p>
          <w:p w14:paraId="7B690F96">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2、监测要求</w:t>
            </w:r>
          </w:p>
          <w:p w14:paraId="0887E5D5">
            <w:pPr>
              <w:tabs>
                <w:tab w:val="left" w:pos="2130"/>
              </w:tabs>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根据《排污许可证申请与核发技术规范 总则》（HJ942-2018）及</w:t>
            </w:r>
            <w:r>
              <w:rPr>
                <w:rFonts w:hint="eastAsia" w:eastAsia="仿宋"/>
                <w:color w:val="000000" w:themeColor="text1"/>
                <w:sz w:val="24"/>
                <w14:textFill>
                  <w14:solidFill>
                    <w14:schemeClr w14:val="tx1"/>
                  </w14:solidFill>
                </w14:textFill>
              </w:rPr>
              <w:t>《</w:t>
            </w:r>
            <w:r>
              <w:rPr>
                <w:rFonts w:eastAsia="仿宋"/>
                <w:color w:val="000000" w:themeColor="text1"/>
                <w:sz w:val="24"/>
                <w14:textFill>
                  <w14:solidFill>
                    <w14:schemeClr w14:val="tx1"/>
                  </w14:solidFill>
                </w14:textFill>
              </w:rPr>
              <w:t>排污单位自行监测技术指南 总则</w:t>
            </w:r>
            <w:r>
              <w:rPr>
                <w:rFonts w:hint="eastAsia" w:eastAsia="仿宋"/>
                <w:color w:val="000000" w:themeColor="text1"/>
                <w:sz w:val="24"/>
                <w14:textFill>
                  <w14:solidFill>
                    <w14:schemeClr w14:val="tx1"/>
                  </w14:solidFill>
                </w14:textFill>
              </w:rPr>
              <w:t>》</w:t>
            </w:r>
            <w:r>
              <w:rPr>
                <w:rFonts w:eastAsia="仿宋"/>
                <w:color w:val="000000" w:themeColor="text1"/>
                <w:sz w:val="24"/>
                <w14:textFill>
                  <w14:solidFill>
                    <w14:schemeClr w14:val="tx1"/>
                  </w14:solidFill>
                </w14:textFill>
              </w:rPr>
              <w:t>（HJ 819-2017），本项目建成后环境监测要求见下表。</w:t>
            </w:r>
          </w:p>
          <w:p w14:paraId="6088C510">
            <w:pPr>
              <w:keepNext/>
              <w:spacing w:line="480" w:lineRule="exact"/>
              <w:jc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表4</w:t>
            </w:r>
            <w:r>
              <w:rPr>
                <w:rFonts w:eastAsia="仿宋"/>
                <w:b/>
                <w:color w:val="000000" w:themeColor="text1"/>
                <w:szCs w:val="21"/>
                <w14:textFill>
                  <w14:solidFill>
                    <w14:schemeClr w14:val="tx1"/>
                  </w14:solidFill>
                </w14:textFill>
              </w:rPr>
              <w:t xml:space="preserve">-27 </w:t>
            </w:r>
            <w:r>
              <w:rPr>
                <w:rFonts w:hint="eastAsia" w:eastAsia="仿宋"/>
                <w:b/>
                <w:color w:val="000000" w:themeColor="text1"/>
                <w:szCs w:val="21"/>
                <w14:textFill>
                  <w14:solidFill>
                    <w14:schemeClr w14:val="tx1"/>
                  </w14:solidFill>
                </w14:textFill>
              </w:rPr>
              <w:t>噪声</w:t>
            </w:r>
            <w:r>
              <w:rPr>
                <w:rFonts w:eastAsia="仿宋"/>
                <w:b/>
                <w:color w:val="000000" w:themeColor="text1"/>
                <w:szCs w:val="21"/>
                <w14:textFill>
                  <w14:solidFill>
                    <w14:schemeClr w14:val="tx1"/>
                  </w14:solidFill>
                </w14:textFill>
              </w:rPr>
              <w:t>环境监测计划</w:t>
            </w:r>
          </w:p>
          <w:tbl>
            <w:tblPr>
              <w:tblStyle w:val="24"/>
              <w:tblW w:w="498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1"/>
              <w:gridCol w:w="1182"/>
              <w:gridCol w:w="1774"/>
              <w:gridCol w:w="1330"/>
              <w:gridCol w:w="2808"/>
              <w:gridCol w:w="1295"/>
            </w:tblGrid>
            <w:tr w14:paraId="4EE9B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jc w:val="center"/>
              </w:trPr>
              <w:tc>
                <w:tcPr>
                  <w:tcW w:w="370" w:type="pct"/>
                  <w:vAlign w:val="center"/>
                </w:tcPr>
                <w:p w14:paraId="79FCE8DA">
                  <w:pPr>
                    <w:snapToGrid w:val="0"/>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类别</w:t>
                  </w:r>
                </w:p>
              </w:tc>
              <w:tc>
                <w:tcPr>
                  <w:tcW w:w="652" w:type="pct"/>
                  <w:vAlign w:val="center"/>
                </w:tcPr>
                <w:p w14:paraId="767DDE91">
                  <w:pPr>
                    <w:snapToGrid w:val="0"/>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监测位置</w:t>
                  </w:r>
                </w:p>
              </w:tc>
              <w:tc>
                <w:tcPr>
                  <w:tcW w:w="979" w:type="pct"/>
                  <w:vAlign w:val="center"/>
                </w:tcPr>
                <w:p w14:paraId="55D045C1">
                  <w:pPr>
                    <w:snapToGrid w:val="0"/>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监测指标</w:t>
                  </w:r>
                </w:p>
              </w:tc>
              <w:tc>
                <w:tcPr>
                  <w:tcW w:w="734" w:type="pct"/>
                  <w:vAlign w:val="center"/>
                </w:tcPr>
                <w:p w14:paraId="3210D84D">
                  <w:pPr>
                    <w:snapToGrid w:val="0"/>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监测频率</w:t>
                  </w:r>
                </w:p>
              </w:tc>
              <w:tc>
                <w:tcPr>
                  <w:tcW w:w="1550" w:type="pct"/>
                  <w:vAlign w:val="center"/>
                </w:tcPr>
                <w:p w14:paraId="4B46DDFC">
                  <w:pPr>
                    <w:snapToGrid w:val="0"/>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排放标准</w:t>
                  </w:r>
                </w:p>
              </w:tc>
              <w:tc>
                <w:tcPr>
                  <w:tcW w:w="715" w:type="pct"/>
                  <w:vAlign w:val="center"/>
                </w:tcPr>
                <w:p w14:paraId="78BEE87B">
                  <w:pPr>
                    <w:snapToGrid w:val="0"/>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监测单位</w:t>
                  </w:r>
                </w:p>
              </w:tc>
            </w:tr>
            <w:tr w14:paraId="337C8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jc w:val="center"/>
              </w:trPr>
              <w:tc>
                <w:tcPr>
                  <w:tcW w:w="370" w:type="pct"/>
                  <w:vAlign w:val="center"/>
                </w:tcPr>
                <w:p w14:paraId="765F1CB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噪声</w:t>
                  </w:r>
                </w:p>
              </w:tc>
              <w:tc>
                <w:tcPr>
                  <w:tcW w:w="652" w:type="pct"/>
                  <w:vAlign w:val="center"/>
                </w:tcPr>
                <w:p w14:paraId="39DC98F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厂界</w:t>
                  </w:r>
                </w:p>
              </w:tc>
              <w:tc>
                <w:tcPr>
                  <w:tcW w:w="979" w:type="pct"/>
                  <w:vAlign w:val="center"/>
                </w:tcPr>
                <w:p w14:paraId="5EE49CC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等效连续A声级</w:t>
                  </w:r>
                </w:p>
              </w:tc>
              <w:tc>
                <w:tcPr>
                  <w:tcW w:w="734" w:type="pct"/>
                  <w:vAlign w:val="center"/>
                </w:tcPr>
                <w:p w14:paraId="035FA43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每季度一次</w:t>
                  </w:r>
                </w:p>
              </w:tc>
              <w:tc>
                <w:tcPr>
                  <w:tcW w:w="1550" w:type="pct"/>
                  <w:vAlign w:val="center"/>
                </w:tcPr>
                <w:p w14:paraId="072A7EC3">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东、南、</w:t>
                  </w:r>
                  <w:r>
                    <w:rPr>
                      <w:rFonts w:eastAsia="仿宋"/>
                      <w:color w:val="000000" w:themeColor="text1"/>
                      <w:szCs w:val="21"/>
                      <w14:textFill>
                        <w14:solidFill>
                          <w14:schemeClr w14:val="tx1"/>
                        </w14:solidFill>
                      </w14:textFill>
                    </w:rPr>
                    <w:t>西</w:t>
                  </w:r>
                  <w:r>
                    <w:rPr>
                      <w:rFonts w:hint="eastAsia" w:eastAsia="仿宋"/>
                      <w:color w:val="000000" w:themeColor="text1"/>
                      <w:szCs w:val="21"/>
                      <w14:textFill>
                        <w14:solidFill>
                          <w14:schemeClr w14:val="tx1"/>
                        </w14:solidFill>
                      </w14:textFill>
                    </w:rPr>
                    <w:t>、北</w:t>
                  </w:r>
                  <w:r>
                    <w:rPr>
                      <w:rFonts w:eastAsia="仿宋"/>
                      <w:color w:val="000000" w:themeColor="text1"/>
                      <w:szCs w:val="21"/>
                      <w14:textFill>
                        <w14:solidFill>
                          <w14:schemeClr w14:val="tx1"/>
                        </w14:solidFill>
                      </w14:textFill>
                    </w:rPr>
                    <w:t>厂界：昼间65dB(A)</w:t>
                  </w:r>
                </w:p>
              </w:tc>
              <w:tc>
                <w:tcPr>
                  <w:tcW w:w="715" w:type="pct"/>
                  <w:vAlign w:val="center"/>
                </w:tcPr>
                <w:p w14:paraId="044DB09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有资质的环境监测机构</w:t>
                  </w:r>
                </w:p>
              </w:tc>
            </w:tr>
          </w:tbl>
          <w:p w14:paraId="4A96D7FC">
            <w:pPr>
              <w:spacing w:line="48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（四）固体废物</w:t>
            </w:r>
          </w:p>
          <w:p w14:paraId="17E8CA85">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1、污染物产生情况</w:t>
            </w:r>
          </w:p>
          <w:p w14:paraId="58AE2057">
            <w:pPr>
              <w:spacing w:line="480" w:lineRule="exact"/>
              <w:ind w:firstLine="480" w:firstLineChars="200"/>
              <w:rPr>
                <w:rFonts w:eastAsia="仿宋"/>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（1）废R</w:t>
            </w:r>
            <w:r>
              <w:rPr>
                <w:rFonts w:eastAsia="仿宋"/>
                <w:bCs/>
                <w:color w:val="000000" w:themeColor="text1"/>
                <w:sz w:val="24"/>
                <w14:textFill>
                  <w14:solidFill>
                    <w14:schemeClr w14:val="tx1"/>
                  </w14:solidFill>
                </w14:textFill>
              </w:rPr>
              <w:t>O</w:t>
            </w:r>
            <w:r>
              <w:rPr>
                <w:rFonts w:hint="eastAsia" w:eastAsia="仿宋"/>
                <w:bCs/>
                <w:color w:val="000000" w:themeColor="text1"/>
                <w:sz w:val="24"/>
                <w14:textFill>
                  <w14:solidFill>
                    <w14:schemeClr w14:val="tx1"/>
                  </w14:solidFill>
                </w14:textFill>
              </w:rPr>
              <w:t>膜</w:t>
            </w:r>
            <w:r>
              <w:rPr>
                <w:rFonts w:eastAsia="仿宋"/>
                <w:bCs/>
                <w:color w:val="000000" w:themeColor="text1"/>
                <w:sz w:val="24"/>
                <w14:textFill>
                  <w14:solidFill>
                    <w14:schemeClr w14:val="tx1"/>
                  </w14:solidFill>
                </w14:textFill>
              </w:rPr>
              <w:t>：</w:t>
            </w:r>
            <w:r>
              <w:rPr>
                <w:rFonts w:hint="eastAsia" w:eastAsia="仿宋"/>
                <w:bCs/>
                <w:color w:val="000000" w:themeColor="text1"/>
                <w:sz w:val="24"/>
                <w14:textFill>
                  <w14:solidFill>
                    <w14:schemeClr w14:val="tx1"/>
                  </w14:solidFill>
                </w14:textFill>
              </w:rPr>
              <w:t>本项目新建一套纯水制备装置，纯水制备工艺为介质过滤器+RO反渗透+紫外杀菌，其R</w:t>
            </w:r>
            <w:r>
              <w:rPr>
                <w:rFonts w:eastAsia="仿宋"/>
                <w:bCs/>
                <w:color w:val="000000" w:themeColor="text1"/>
                <w:sz w:val="24"/>
                <w14:textFill>
                  <w14:solidFill>
                    <w14:schemeClr w14:val="tx1"/>
                  </w14:solidFill>
                </w14:textFill>
              </w:rPr>
              <w:t>O</w:t>
            </w:r>
            <w:r>
              <w:rPr>
                <w:rFonts w:hint="eastAsia" w:eastAsia="仿宋"/>
                <w:bCs/>
                <w:color w:val="000000" w:themeColor="text1"/>
                <w:sz w:val="24"/>
                <w14:textFill>
                  <w14:solidFill>
                    <w14:schemeClr w14:val="tx1"/>
                  </w14:solidFill>
                </w14:textFill>
              </w:rPr>
              <w:t>膜需定期更换，根据企业提供资料，本项目R</w:t>
            </w:r>
            <w:r>
              <w:rPr>
                <w:rFonts w:eastAsia="仿宋"/>
                <w:bCs/>
                <w:color w:val="000000" w:themeColor="text1"/>
                <w:sz w:val="24"/>
                <w14:textFill>
                  <w14:solidFill>
                    <w14:schemeClr w14:val="tx1"/>
                  </w14:solidFill>
                </w14:textFill>
              </w:rPr>
              <w:t>O</w:t>
            </w:r>
            <w:r>
              <w:rPr>
                <w:rFonts w:hint="eastAsia" w:eastAsia="仿宋"/>
                <w:bCs/>
                <w:color w:val="000000" w:themeColor="text1"/>
                <w:sz w:val="24"/>
                <w14:textFill>
                  <w14:solidFill>
                    <w14:schemeClr w14:val="tx1"/>
                  </w14:solidFill>
                </w14:textFill>
              </w:rPr>
              <w:t>膜更换平次约为2</w:t>
            </w:r>
            <w:r>
              <w:rPr>
                <w:rFonts w:eastAsia="仿宋"/>
                <w:bCs/>
                <w:color w:val="000000" w:themeColor="text1"/>
                <w:sz w:val="24"/>
                <w14:textFill>
                  <w14:solidFill>
                    <w14:schemeClr w14:val="tx1"/>
                  </w14:solidFill>
                </w14:textFill>
              </w:rPr>
              <w:t>~3a</w:t>
            </w:r>
            <w:r>
              <w:rPr>
                <w:rFonts w:hint="eastAsia" w:eastAsia="仿宋"/>
                <w:bCs/>
                <w:color w:val="000000" w:themeColor="text1"/>
                <w:sz w:val="24"/>
                <w14:textFill>
                  <w14:solidFill>
                    <w14:schemeClr w14:val="tx1"/>
                  </w14:solidFill>
                </w14:textFill>
              </w:rPr>
              <w:t>，每次更换量为，因此废R</w:t>
            </w:r>
            <w:r>
              <w:rPr>
                <w:rFonts w:eastAsia="仿宋"/>
                <w:bCs/>
                <w:color w:val="000000" w:themeColor="text1"/>
                <w:sz w:val="24"/>
                <w14:textFill>
                  <w14:solidFill>
                    <w14:schemeClr w14:val="tx1"/>
                  </w14:solidFill>
                </w14:textFill>
              </w:rPr>
              <w:t>O</w:t>
            </w:r>
            <w:r>
              <w:rPr>
                <w:rFonts w:hint="eastAsia" w:eastAsia="仿宋"/>
                <w:bCs/>
                <w:color w:val="000000" w:themeColor="text1"/>
                <w:sz w:val="24"/>
                <w14:textFill>
                  <w14:solidFill>
                    <w14:schemeClr w14:val="tx1"/>
                  </w14:solidFill>
                </w14:textFill>
              </w:rPr>
              <w:t>膜产生量为</w:t>
            </w:r>
            <w:r>
              <w:rPr>
                <w:rFonts w:eastAsia="仿宋"/>
                <w:bCs/>
                <w:color w:val="000000" w:themeColor="text1"/>
                <w:sz w:val="24"/>
                <w14:textFill>
                  <w14:solidFill>
                    <w14:schemeClr w14:val="tx1"/>
                  </w14:solidFill>
                </w14:textFill>
              </w:rPr>
              <w:t>0.054t/2~3a</w:t>
            </w:r>
            <w:r>
              <w:rPr>
                <w:rFonts w:hint="eastAsia" w:eastAsia="仿宋"/>
                <w:color w:val="000000" w:themeColor="text1"/>
                <w:sz w:val="24"/>
                <w14:textFill>
                  <w14:solidFill>
                    <w14:schemeClr w14:val="tx1"/>
                  </w14:solidFill>
                </w14:textFill>
              </w:rPr>
              <w:t>。</w:t>
            </w:r>
          </w:p>
          <w:p w14:paraId="2B1B8325">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（2）废包装桶/袋</w:t>
            </w:r>
            <w:r>
              <w:rPr>
                <w:rFonts w:eastAsia="仿宋"/>
                <w:bCs/>
                <w:color w:val="000000" w:themeColor="text1"/>
                <w:sz w:val="24"/>
                <w14:textFill>
                  <w14:solidFill>
                    <w14:schemeClr w14:val="tx1"/>
                  </w14:solidFill>
                </w14:textFill>
              </w:rPr>
              <w:t>：</w:t>
            </w:r>
            <w:r>
              <w:rPr>
                <w:rFonts w:hint="eastAsia" w:eastAsia="仿宋"/>
                <w:bCs/>
                <w:color w:val="000000" w:themeColor="text1"/>
                <w:sz w:val="24"/>
                <w14:textFill>
                  <w14:solidFill>
                    <w14:schemeClr w14:val="tx1"/>
                  </w14:solidFill>
                </w14:textFill>
              </w:rPr>
              <w:t>本项目实验室使用的化学试剂使用完后会产生废包装桶/袋，根据本项目实验室化学试剂使用情况，废包装桶/袋产生量为</w:t>
            </w:r>
            <w:r>
              <w:rPr>
                <w:rFonts w:eastAsia="仿宋"/>
                <w:bCs/>
                <w:color w:val="000000" w:themeColor="text1"/>
                <w:sz w:val="24"/>
                <w14:textFill>
                  <w14:solidFill>
                    <w14:schemeClr w14:val="tx1"/>
                  </w14:solidFill>
                </w14:textFill>
              </w:rPr>
              <w:t>0.2t/a</w:t>
            </w:r>
            <w:r>
              <w:rPr>
                <w:rFonts w:hint="eastAsia" w:eastAsia="仿宋"/>
                <w:bCs/>
                <w:color w:val="000000" w:themeColor="text1"/>
                <w:sz w:val="24"/>
                <w14:textFill>
                  <w14:solidFill>
                    <w14:schemeClr w14:val="tx1"/>
                  </w14:solidFill>
                </w14:textFill>
              </w:rPr>
              <w:t>。</w:t>
            </w:r>
          </w:p>
          <w:p w14:paraId="5982FE9A">
            <w:pPr>
              <w:spacing w:line="500" w:lineRule="exact"/>
              <w:ind w:firstLine="480"/>
              <w:rPr>
                <w:rFonts w:eastAsia="仿宋"/>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（3）实验室一次性用品：本项目原料检测过程中，会使用滴管、移液枪枪头等一次性实验用品，类比同类项目，本项目实验室一次性用品产生量约为0.0</w:t>
            </w:r>
            <w:r>
              <w:rPr>
                <w:rFonts w:eastAsia="仿宋"/>
                <w:bCs/>
                <w:color w:val="000000" w:themeColor="text1"/>
                <w:sz w:val="24"/>
                <w14:textFill>
                  <w14:solidFill>
                    <w14:schemeClr w14:val="tx1"/>
                  </w14:solidFill>
                </w14:textFill>
              </w:rPr>
              <w:t>2</w:t>
            </w:r>
            <w:r>
              <w:rPr>
                <w:rFonts w:hint="eastAsia" w:eastAsia="仿宋"/>
                <w:bCs/>
                <w:color w:val="000000" w:themeColor="text1"/>
                <w:sz w:val="24"/>
                <w14:textFill>
                  <w14:solidFill>
                    <w14:schemeClr w14:val="tx1"/>
                  </w14:solidFill>
                </w14:textFill>
              </w:rPr>
              <w:t>t/a</w:t>
            </w:r>
            <w:r>
              <w:rPr>
                <w:rFonts w:eastAsia="仿宋"/>
                <w:color w:val="000000" w:themeColor="text1"/>
                <w:sz w:val="24"/>
                <w14:textFill>
                  <w14:solidFill>
                    <w14:schemeClr w14:val="tx1"/>
                  </w14:solidFill>
                </w14:textFill>
              </w:rPr>
              <w:t>。</w:t>
            </w:r>
          </w:p>
          <w:p w14:paraId="116E43D2">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（4）</w:t>
            </w:r>
            <w:r>
              <w:rPr>
                <w:rFonts w:hint="eastAsia" w:eastAsia="仿宋"/>
                <w:color w:val="000000" w:themeColor="text1"/>
                <w:sz w:val="24"/>
                <w14:textFill>
                  <w14:solidFill>
                    <w14:schemeClr w14:val="tx1"/>
                  </w14:solidFill>
                </w14:textFill>
              </w:rPr>
              <w:t>实验废液：本项目的实验废液主要分为实验废液，清洗废液。实验废液</w:t>
            </w:r>
            <w:r>
              <w:rPr>
                <w:rFonts w:hint="eastAsia" w:eastAsia="仿宋"/>
                <w:bCs/>
                <w:color w:val="000000" w:themeColor="text1"/>
                <w:sz w:val="24"/>
                <w14:textFill>
                  <w14:solidFill>
                    <w14:schemeClr w14:val="tx1"/>
                  </w14:solidFill>
                </w14:textFill>
              </w:rPr>
              <w:t>主要来源于原辅料及包材检测过程中，需配制不同浓度的溶液，实验完成后，会产生实验废液</w:t>
            </w:r>
            <w:r>
              <w:rPr>
                <w:rFonts w:hint="eastAsia" w:eastAsia="仿宋"/>
                <w:color w:val="000000" w:themeColor="text1"/>
                <w:sz w:val="24"/>
                <w14:textFill>
                  <w14:solidFill>
                    <w14:schemeClr w14:val="tx1"/>
                  </w14:solidFill>
                </w14:textFill>
              </w:rPr>
              <w:t>，根据检测原辅料使用量及原料取样量进行计算，本项目实验废液产生量为</w:t>
            </w:r>
            <w:r>
              <w:rPr>
                <w:rFonts w:eastAsia="仿宋"/>
                <w:bCs/>
                <w:color w:val="000000" w:themeColor="text1"/>
                <w:sz w:val="24"/>
                <w14:textFill>
                  <w14:solidFill>
                    <w14:schemeClr w14:val="tx1"/>
                  </w14:solidFill>
                </w14:textFill>
              </w:rPr>
              <w:t>1.2</w:t>
            </w:r>
            <w:r>
              <w:rPr>
                <w:rFonts w:hint="eastAsia" w:eastAsia="仿宋"/>
                <w:bCs/>
                <w:color w:val="000000" w:themeColor="text1"/>
                <w:sz w:val="24"/>
                <w14:textFill>
                  <w14:solidFill>
                    <w14:schemeClr w14:val="tx1"/>
                  </w14:solidFill>
                </w14:textFill>
              </w:rPr>
              <w:t>t/a</w:t>
            </w:r>
            <w:r>
              <w:rPr>
                <w:rFonts w:hint="eastAsia" w:eastAsia="仿宋"/>
                <w:color w:val="000000" w:themeColor="text1"/>
                <w:sz w:val="24"/>
                <w14:textFill>
                  <w14:solidFill>
                    <w14:schemeClr w14:val="tx1"/>
                  </w14:solidFill>
                </w14:textFill>
              </w:rPr>
              <w:t>；清洗废液按检测后的清洗用水计，用量约为1</w:t>
            </w:r>
            <w:r>
              <w:rPr>
                <w:rFonts w:eastAsia="仿宋"/>
                <w:color w:val="000000" w:themeColor="text1"/>
                <w:sz w:val="24"/>
                <w14:textFill>
                  <w14:solidFill>
                    <w14:schemeClr w14:val="tx1"/>
                  </w14:solidFill>
                </w14:textFill>
              </w:rPr>
              <w:t>0kg</w:t>
            </w:r>
            <w:r>
              <w:rPr>
                <w:rFonts w:hint="eastAsia" w:eastAsia="仿宋"/>
                <w:color w:val="000000" w:themeColor="text1"/>
                <w:sz w:val="24"/>
                <w14:textFill>
                  <w14:solidFill>
                    <w14:schemeClr w14:val="tx1"/>
                  </w14:solidFill>
                </w14:textFill>
              </w:rPr>
              <w:t>，根据年最大检测批次为1</w:t>
            </w:r>
            <w:r>
              <w:rPr>
                <w:rFonts w:eastAsia="仿宋"/>
                <w:color w:val="000000" w:themeColor="text1"/>
                <w:sz w:val="24"/>
                <w14:textFill>
                  <w14:solidFill>
                    <w14:schemeClr w14:val="tx1"/>
                  </w14:solidFill>
                </w14:textFill>
              </w:rPr>
              <w:t>2</w:t>
            </w:r>
            <w:r>
              <w:rPr>
                <w:rFonts w:hint="eastAsia" w:eastAsia="仿宋"/>
                <w:color w:val="000000" w:themeColor="text1"/>
                <w:sz w:val="24"/>
                <w14:textFill>
                  <w14:solidFill>
                    <w14:schemeClr w14:val="tx1"/>
                  </w14:solidFill>
                </w14:textFill>
              </w:rPr>
              <w:t>次，则清洗用水约为0</w:t>
            </w:r>
            <w:r>
              <w:rPr>
                <w:rFonts w:eastAsia="仿宋"/>
                <w:color w:val="000000" w:themeColor="text1"/>
                <w:sz w:val="24"/>
                <w14:textFill>
                  <w14:solidFill>
                    <w14:schemeClr w14:val="tx1"/>
                  </w14:solidFill>
                </w14:textFill>
              </w:rPr>
              <w:t>.12t/a</w:t>
            </w:r>
            <w:r>
              <w:rPr>
                <w:rFonts w:hint="eastAsia" w:eastAsia="仿宋"/>
                <w:color w:val="000000" w:themeColor="text1"/>
                <w:sz w:val="24"/>
                <w14:textFill>
                  <w14:solidFill>
                    <w14:schemeClr w14:val="tx1"/>
                  </w14:solidFill>
                </w14:textFill>
              </w:rPr>
              <w:t>，产污系数以9</w:t>
            </w:r>
            <w:r>
              <w:rPr>
                <w:rFonts w:eastAsia="仿宋"/>
                <w:color w:val="000000" w:themeColor="text1"/>
                <w:sz w:val="24"/>
                <w14:textFill>
                  <w14:solidFill>
                    <w14:schemeClr w14:val="tx1"/>
                  </w14:solidFill>
                </w14:textFill>
              </w:rPr>
              <w:t>0%</w:t>
            </w:r>
            <w:r>
              <w:rPr>
                <w:rFonts w:hint="eastAsia" w:eastAsia="仿宋"/>
                <w:color w:val="000000" w:themeColor="text1"/>
                <w:sz w:val="24"/>
                <w14:textFill>
                  <w14:solidFill>
                    <w14:schemeClr w14:val="tx1"/>
                  </w14:solidFill>
                </w14:textFill>
              </w:rPr>
              <w:t>计，则清洗废液产生量约为0</w:t>
            </w:r>
            <w:r>
              <w:rPr>
                <w:rFonts w:eastAsia="仿宋"/>
                <w:color w:val="000000" w:themeColor="text1"/>
                <w:sz w:val="24"/>
                <w14:textFill>
                  <w14:solidFill>
                    <w14:schemeClr w14:val="tx1"/>
                  </w14:solidFill>
                </w14:textFill>
              </w:rPr>
              <w:t>.108t/a</w:t>
            </w:r>
            <w:r>
              <w:rPr>
                <w:rFonts w:hint="eastAsia" w:eastAsia="仿宋"/>
                <w:color w:val="000000" w:themeColor="text1"/>
                <w:sz w:val="24"/>
                <w14:textFill>
                  <w14:solidFill>
                    <w14:schemeClr w14:val="tx1"/>
                  </w14:solidFill>
                </w14:textFill>
              </w:rPr>
              <w:t>。在实验结束后，统一收集进实验室废液桶中暂存，委托有资质单位处置，上述两种废液统称实验废液，产生量为1</w:t>
            </w:r>
            <w:r>
              <w:rPr>
                <w:rFonts w:eastAsia="仿宋"/>
                <w:color w:val="000000" w:themeColor="text1"/>
                <w:sz w:val="24"/>
                <w14:textFill>
                  <w14:solidFill>
                    <w14:schemeClr w14:val="tx1"/>
                  </w14:solidFill>
                </w14:textFill>
              </w:rPr>
              <w:t>.308t/a</w:t>
            </w:r>
            <w:r>
              <w:rPr>
                <w:rFonts w:hint="eastAsia" w:eastAsia="仿宋"/>
                <w:color w:val="000000" w:themeColor="text1"/>
                <w:sz w:val="24"/>
                <w14:textFill>
                  <w14:solidFill>
                    <w14:schemeClr w14:val="tx1"/>
                  </w14:solidFill>
                </w14:textFill>
              </w:rPr>
              <w:t>。</w:t>
            </w:r>
          </w:p>
          <w:p w14:paraId="4E2C9C04">
            <w:pPr>
              <w:tabs>
                <w:tab w:val="left" w:pos="2130"/>
              </w:tabs>
              <w:spacing w:line="500" w:lineRule="exact"/>
              <w:ind w:firstLine="480" w:firstLineChars="200"/>
              <w:rPr>
                <w:rFonts w:eastAsia="仿宋"/>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（5</w:t>
            </w:r>
            <w:r>
              <w:rPr>
                <w:rFonts w:hint="eastAsia" w:eastAsia="仿宋"/>
                <w:bCs/>
                <w:color w:val="000000" w:themeColor="text1"/>
                <w:sz w:val="24"/>
                <w14:textFill>
                  <w14:solidFill>
                    <w14:schemeClr w14:val="tx1"/>
                  </w14:solidFill>
                </w14:textFill>
              </w:rPr>
              <w:t>）废抹布手套：根据企业提供资料，本项目废抹布手套产生量约</w:t>
            </w:r>
            <w:r>
              <w:rPr>
                <w:rFonts w:eastAsia="仿宋"/>
                <w:bCs/>
                <w:color w:val="000000" w:themeColor="text1"/>
                <w:sz w:val="24"/>
                <w14:textFill>
                  <w14:solidFill>
                    <w14:schemeClr w14:val="tx1"/>
                  </w14:solidFill>
                </w14:textFill>
              </w:rPr>
              <w:t>0.02</w:t>
            </w:r>
            <w:r>
              <w:rPr>
                <w:rFonts w:hint="eastAsia" w:eastAsia="仿宋"/>
                <w:bCs/>
                <w:color w:val="000000" w:themeColor="text1"/>
                <w:sz w:val="24"/>
                <w14:textFill>
                  <w14:solidFill>
                    <w14:schemeClr w14:val="tx1"/>
                  </w14:solidFill>
                </w14:textFill>
              </w:rPr>
              <w:t>t/a。</w:t>
            </w:r>
          </w:p>
          <w:p w14:paraId="206A1F4B">
            <w:pPr>
              <w:spacing w:line="50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6</w:t>
            </w:r>
            <w:r>
              <w:rPr>
                <w:rFonts w:hint="eastAsia" w:eastAsia="仿宋"/>
                <w:bCs/>
                <w:color w:val="000000" w:themeColor="text1"/>
                <w:sz w:val="24"/>
                <w14:textFill>
                  <w14:solidFill>
                    <w14:schemeClr w14:val="tx1"/>
                  </w14:solidFill>
                </w14:textFill>
              </w:rPr>
              <w:t>）废活性炭：</w:t>
            </w:r>
            <w:r>
              <w:rPr>
                <w:rFonts w:eastAsia="仿宋"/>
                <w:bCs/>
                <w:color w:val="000000" w:themeColor="text1"/>
                <w:sz w:val="24"/>
                <w14:textFill>
                  <w14:solidFill>
                    <w14:schemeClr w14:val="tx1"/>
                  </w14:solidFill>
                </w14:textFill>
              </w:rPr>
              <w:t>本项目</w:t>
            </w:r>
            <w:r>
              <w:rPr>
                <w:rFonts w:hint="eastAsia" w:eastAsia="仿宋"/>
                <w:bCs/>
                <w:color w:val="000000" w:themeColor="text1"/>
                <w:sz w:val="24"/>
                <w14:textFill>
                  <w14:solidFill>
                    <w14:schemeClr w14:val="tx1"/>
                  </w14:solidFill>
                </w14:textFill>
              </w:rPr>
              <w:t>生产</w:t>
            </w:r>
            <w:r>
              <w:rPr>
                <w:rFonts w:eastAsia="仿宋"/>
                <w:bCs/>
                <w:color w:val="000000" w:themeColor="text1"/>
                <w:sz w:val="24"/>
                <w14:textFill>
                  <w14:solidFill>
                    <w14:schemeClr w14:val="tx1"/>
                  </w14:solidFill>
                </w14:textFill>
              </w:rPr>
              <w:t>过程产生的</w:t>
            </w:r>
            <w:bookmarkStart w:id="41" w:name="OLE_LINK22"/>
            <w:r>
              <w:rPr>
                <w:rFonts w:hint="eastAsia" w:eastAsia="仿宋"/>
                <w:bCs/>
                <w:color w:val="000000" w:themeColor="text1"/>
                <w:sz w:val="24"/>
                <w14:textFill>
                  <w14:solidFill>
                    <w14:schemeClr w14:val="tx1"/>
                  </w14:solidFill>
                </w14:textFill>
              </w:rPr>
              <w:t>实验室</w:t>
            </w:r>
            <w:r>
              <w:rPr>
                <w:rFonts w:eastAsia="仿宋"/>
                <w:bCs/>
                <w:color w:val="000000" w:themeColor="text1"/>
                <w:sz w:val="24"/>
                <w14:textFill>
                  <w14:solidFill>
                    <w14:schemeClr w14:val="tx1"/>
                  </w14:solidFill>
                </w14:textFill>
              </w:rPr>
              <w:t>废气</w:t>
            </w:r>
            <w:r>
              <w:rPr>
                <w:rFonts w:hint="eastAsia" w:eastAsia="仿宋"/>
                <w:bCs/>
                <w:color w:val="000000" w:themeColor="text1"/>
                <w:sz w:val="24"/>
                <w14:textFill>
                  <w14:solidFill>
                    <w14:schemeClr w14:val="tx1"/>
                  </w14:solidFill>
                </w14:textFill>
              </w:rPr>
              <w:t>经</w:t>
            </w:r>
            <w:r>
              <w:rPr>
                <w:rFonts w:eastAsia="仿宋"/>
                <w:bCs/>
                <w:color w:val="000000" w:themeColor="text1"/>
                <w:sz w:val="24"/>
                <w14:textFill>
                  <w14:solidFill>
                    <w14:schemeClr w14:val="tx1"/>
                  </w14:solidFill>
                </w14:textFill>
              </w:rPr>
              <w:t>两级活性炭吸附装置处理，</w:t>
            </w:r>
            <w:r>
              <w:rPr>
                <w:rFonts w:hint="eastAsia" w:eastAsia="仿宋"/>
                <w:bCs/>
                <w:color w:val="000000" w:themeColor="text1"/>
                <w:sz w:val="24"/>
                <w14:textFill>
                  <w14:solidFill>
                    <w14:schemeClr w14:val="tx1"/>
                  </w14:solidFill>
                </w14:textFill>
              </w:rPr>
              <w:t>处理</w:t>
            </w:r>
            <w:r>
              <w:rPr>
                <w:rFonts w:eastAsia="仿宋"/>
                <w:bCs/>
                <w:color w:val="000000" w:themeColor="text1"/>
                <w:sz w:val="24"/>
                <w14:textFill>
                  <w14:solidFill>
                    <w14:schemeClr w14:val="tx1"/>
                  </w14:solidFill>
                </w14:textFill>
              </w:rPr>
              <w:t>过程会产生废活性炭，属于危险废物</w:t>
            </w:r>
            <w:bookmarkEnd w:id="41"/>
            <w:r>
              <w:rPr>
                <w:rFonts w:eastAsia="仿宋"/>
                <w:bCs/>
                <w:color w:val="000000" w:themeColor="text1"/>
                <w:sz w:val="24"/>
                <w14:textFill>
                  <w14:solidFill>
                    <w14:schemeClr w14:val="tx1"/>
                  </w14:solidFill>
                </w14:textFill>
              </w:rPr>
              <w:t>，危废类别为“HW49其他废物”，危废代码是900-039-49。根据《省生态环境厅关于将排污单位活性炭使用更换纳入排污许可管理的通知》（江苏省生态环境厅，2021年7月19日）中活性炭产生量计算公式：</w:t>
            </w:r>
          </w:p>
          <w:p w14:paraId="223F51EC">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T=m×s÷（c×10</w:t>
            </w:r>
            <w:r>
              <w:rPr>
                <w:rFonts w:eastAsia="仿宋"/>
                <w:bCs/>
                <w:color w:val="000000" w:themeColor="text1"/>
                <w:sz w:val="24"/>
                <w:vertAlign w:val="superscript"/>
                <w14:textFill>
                  <w14:solidFill>
                    <w14:schemeClr w14:val="tx1"/>
                  </w14:solidFill>
                </w14:textFill>
              </w:rPr>
              <w:t>-6</w:t>
            </w:r>
            <w:r>
              <w:rPr>
                <w:rFonts w:eastAsia="仿宋"/>
                <w:bCs/>
                <w:color w:val="000000" w:themeColor="text1"/>
                <w:sz w:val="24"/>
                <w14:textFill>
                  <w14:solidFill>
                    <w14:schemeClr w14:val="tx1"/>
                  </w14:solidFill>
                </w14:textFill>
              </w:rPr>
              <w:t>×Q×t）</w:t>
            </w:r>
          </w:p>
          <w:p w14:paraId="72367DC2">
            <w:pPr>
              <w:spacing w:line="50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式中：T—更换周期，天；</w:t>
            </w:r>
          </w:p>
          <w:p w14:paraId="2F837011">
            <w:pPr>
              <w:spacing w:line="500" w:lineRule="exact"/>
              <w:ind w:firstLine="1200" w:firstLineChars="5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m—活性炭的用量，kg；</w:t>
            </w:r>
          </w:p>
          <w:p w14:paraId="606F07ED">
            <w:pPr>
              <w:spacing w:line="500" w:lineRule="exact"/>
              <w:ind w:firstLine="1200" w:firstLineChars="5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s—动态吸附量，%，本项目取值10%；</w:t>
            </w:r>
          </w:p>
          <w:p w14:paraId="1E900171">
            <w:pPr>
              <w:spacing w:line="500" w:lineRule="exact"/>
              <w:ind w:firstLine="1200" w:firstLineChars="5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c—活性炭削减的VOCs浓度，mg/m</w:t>
            </w:r>
            <w:r>
              <w:rPr>
                <w:rFonts w:eastAsia="仿宋"/>
                <w:bCs/>
                <w:color w:val="000000" w:themeColor="text1"/>
                <w:sz w:val="24"/>
                <w:vertAlign w:val="superscript"/>
                <w14:textFill>
                  <w14:solidFill>
                    <w14:schemeClr w14:val="tx1"/>
                  </w14:solidFill>
                </w14:textFill>
              </w:rPr>
              <w:t>3</w:t>
            </w:r>
            <w:r>
              <w:rPr>
                <w:rFonts w:eastAsia="仿宋"/>
                <w:bCs/>
                <w:color w:val="000000" w:themeColor="text1"/>
                <w:sz w:val="24"/>
                <w14:textFill>
                  <w14:solidFill>
                    <w14:schemeClr w14:val="tx1"/>
                  </w14:solidFill>
                </w14:textFill>
              </w:rPr>
              <w:t>；</w:t>
            </w:r>
          </w:p>
          <w:p w14:paraId="15940693">
            <w:pPr>
              <w:spacing w:line="500" w:lineRule="exact"/>
              <w:ind w:firstLine="1200" w:firstLineChars="5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Q—风量，m</w:t>
            </w:r>
            <w:r>
              <w:rPr>
                <w:rFonts w:eastAsia="仿宋"/>
                <w:bCs/>
                <w:color w:val="000000" w:themeColor="text1"/>
                <w:sz w:val="24"/>
                <w:vertAlign w:val="superscript"/>
                <w14:textFill>
                  <w14:solidFill>
                    <w14:schemeClr w14:val="tx1"/>
                  </w14:solidFill>
                </w14:textFill>
              </w:rPr>
              <w:t>3</w:t>
            </w:r>
            <w:r>
              <w:rPr>
                <w:rFonts w:eastAsia="仿宋"/>
                <w:bCs/>
                <w:color w:val="000000" w:themeColor="text1"/>
                <w:sz w:val="24"/>
                <w14:textFill>
                  <w14:solidFill>
                    <w14:schemeClr w14:val="tx1"/>
                  </w14:solidFill>
                </w14:textFill>
              </w:rPr>
              <w:t>/h；</w:t>
            </w:r>
          </w:p>
          <w:p w14:paraId="6ACCE38E">
            <w:pPr>
              <w:spacing w:line="500" w:lineRule="exact"/>
              <w:ind w:firstLine="1200" w:firstLineChars="5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t—运行时间，h/d。</w:t>
            </w:r>
          </w:p>
          <w:p w14:paraId="5142BA97">
            <w:pPr>
              <w:keepNext/>
              <w:spacing w:line="480" w:lineRule="exact"/>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表4</w:t>
            </w:r>
            <w:r>
              <w:rPr>
                <w:rFonts w:eastAsia="仿宋"/>
                <w:b/>
                <w:bCs/>
                <w:color w:val="000000" w:themeColor="text1"/>
                <w:szCs w:val="21"/>
                <w14:textFill>
                  <w14:solidFill>
                    <w14:schemeClr w14:val="tx1"/>
                  </w14:solidFill>
                </w14:textFill>
              </w:rPr>
              <w:t>-28 本项目废活性炭产生量估算表</w:t>
            </w:r>
          </w:p>
          <w:tbl>
            <w:tblPr>
              <w:tblStyle w:val="24"/>
              <w:tblW w:w="8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1312"/>
              <w:gridCol w:w="1788"/>
              <w:gridCol w:w="1540"/>
              <w:gridCol w:w="1692"/>
              <w:gridCol w:w="1319"/>
            </w:tblGrid>
            <w:tr w14:paraId="6BF11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26" w:type="dxa"/>
                  <w:vMerge w:val="restart"/>
                  <w:shd w:val="clear" w:color="auto" w:fill="auto"/>
                  <w:noWrap/>
                  <w:vAlign w:val="center"/>
                </w:tcPr>
                <w:p w14:paraId="07FD2460">
                  <w:pPr>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对应废气处理设施</w:t>
                  </w:r>
                </w:p>
              </w:tc>
              <w:tc>
                <w:tcPr>
                  <w:tcW w:w="1312" w:type="dxa"/>
                  <w:shd w:val="clear" w:color="auto" w:fill="auto"/>
                  <w:noWrap/>
                  <w:vAlign w:val="center"/>
                </w:tcPr>
                <w:p w14:paraId="15693179">
                  <w:pPr>
                    <w:widowControl/>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更换周期T</w:t>
                  </w:r>
                </w:p>
              </w:tc>
              <w:tc>
                <w:tcPr>
                  <w:tcW w:w="1788" w:type="dxa"/>
                  <w:shd w:val="clear" w:color="auto" w:fill="auto"/>
                  <w:noWrap/>
                  <w:vAlign w:val="center"/>
                </w:tcPr>
                <w:p w14:paraId="7F9BA414">
                  <w:pPr>
                    <w:widowControl/>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活性炭的用量m</w:t>
                  </w:r>
                </w:p>
              </w:tc>
              <w:tc>
                <w:tcPr>
                  <w:tcW w:w="1540" w:type="dxa"/>
                  <w:shd w:val="clear" w:color="auto" w:fill="auto"/>
                  <w:noWrap/>
                  <w:vAlign w:val="center"/>
                </w:tcPr>
                <w:p w14:paraId="10F28B27">
                  <w:pPr>
                    <w:widowControl/>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动态吸附量s</w:t>
                  </w:r>
                </w:p>
              </w:tc>
              <w:tc>
                <w:tcPr>
                  <w:tcW w:w="1692" w:type="dxa"/>
                  <w:shd w:val="clear" w:color="auto" w:fill="auto"/>
                  <w:noWrap/>
                  <w:vAlign w:val="center"/>
                </w:tcPr>
                <w:p w14:paraId="43D1229F">
                  <w:pPr>
                    <w:widowControl/>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污染物削减量(=c×10</w:t>
                  </w:r>
                  <w:r>
                    <w:rPr>
                      <w:rFonts w:eastAsia="仿宋"/>
                      <w:b/>
                      <w:bCs/>
                      <w:color w:val="000000" w:themeColor="text1"/>
                      <w:szCs w:val="22"/>
                      <w:vertAlign w:val="superscript"/>
                      <w14:textFill>
                        <w14:solidFill>
                          <w14:schemeClr w14:val="tx1"/>
                        </w14:solidFill>
                      </w14:textFill>
                    </w:rPr>
                    <w:t>-6</w:t>
                  </w:r>
                  <w:r>
                    <w:rPr>
                      <w:rFonts w:eastAsia="仿宋"/>
                      <w:b/>
                      <w:bCs/>
                      <w:color w:val="000000" w:themeColor="text1"/>
                      <w:szCs w:val="22"/>
                      <w14:textFill>
                        <w14:solidFill>
                          <w14:schemeClr w14:val="tx1"/>
                        </w14:solidFill>
                      </w14:textFill>
                    </w:rPr>
                    <w:t>×Q×t)</w:t>
                  </w:r>
                </w:p>
              </w:tc>
              <w:tc>
                <w:tcPr>
                  <w:tcW w:w="1319" w:type="dxa"/>
                  <w:shd w:val="clear" w:color="auto" w:fill="auto"/>
                  <w:noWrap/>
                  <w:vAlign w:val="center"/>
                </w:tcPr>
                <w:p w14:paraId="492A043B">
                  <w:pPr>
                    <w:widowControl/>
                    <w:autoSpaceDE w:val="0"/>
                    <w:autoSpaceDN w:val="0"/>
                    <w:snapToGrid w:val="0"/>
                    <w:jc w:val="center"/>
                    <w:rPr>
                      <w:rFonts w:eastAsia="仿宋"/>
                      <w:b/>
                      <w:bCs/>
                      <w:color w:val="000000" w:themeColor="text1"/>
                      <w:szCs w:val="22"/>
                      <w14:textFill>
                        <w14:solidFill>
                          <w14:schemeClr w14:val="tx1"/>
                        </w14:solidFill>
                      </w14:textFill>
                    </w:rPr>
                  </w:pPr>
                  <w:r>
                    <w:rPr>
                      <w:rFonts w:eastAsia="仿宋"/>
                      <w:b/>
                      <w:bCs/>
                      <w:color w:val="000000" w:themeColor="text1"/>
                      <w:szCs w:val="22"/>
                      <w14:textFill>
                        <w14:solidFill>
                          <w14:schemeClr w14:val="tx1"/>
                        </w14:solidFill>
                      </w14:textFill>
                    </w:rPr>
                    <w:t>废活性炭量</w:t>
                  </w:r>
                </w:p>
              </w:tc>
            </w:tr>
            <w:tr w14:paraId="522E6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26" w:type="dxa"/>
                  <w:vMerge w:val="continue"/>
                  <w:shd w:val="clear" w:color="auto" w:fill="auto"/>
                  <w:noWrap/>
                  <w:vAlign w:val="center"/>
                </w:tcPr>
                <w:p w14:paraId="1AF699B6">
                  <w:pPr>
                    <w:autoSpaceDE w:val="0"/>
                    <w:autoSpaceDN w:val="0"/>
                    <w:snapToGrid w:val="0"/>
                    <w:jc w:val="center"/>
                    <w:rPr>
                      <w:rFonts w:eastAsia="仿宋"/>
                      <w:color w:val="000000" w:themeColor="text1"/>
                      <w:szCs w:val="22"/>
                      <w14:textFill>
                        <w14:solidFill>
                          <w14:schemeClr w14:val="tx1"/>
                        </w14:solidFill>
                      </w14:textFill>
                    </w:rPr>
                  </w:pPr>
                </w:p>
              </w:tc>
              <w:tc>
                <w:tcPr>
                  <w:tcW w:w="1312" w:type="dxa"/>
                  <w:shd w:val="clear" w:color="auto" w:fill="auto"/>
                  <w:noWrap/>
                  <w:vAlign w:val="center"/>
                </w:tcPr>
                <w:p w14:paraId="0173987D">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天</w:t>
                  </w:r>
                </w:p>
              </w:tc>
              <w:tc>
                <w:tcPr>
                  <w:tcW w:w="1788" w:type="dxa"/>
                  <w:shd w:val="clear" w:color="auto" w:fill="auto"/>
                  <w:noWrap/>
                  <w:vAlign w:val="center"/>
                </w:tcPr>
                <w:p w14:paraId="4AAD9DD2">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kg</w:t>
                  </w:r>
                </w:p>
              </w:tc>
              <w:tc>
                <w:tcPr>
                  <w:tcW w:w="1540" w:type="dxa"/>
                  <w:shd w:val="clear" w:color="auto" w:fill="auto"/>
                  <w:noWrap/>
                  <w:vAlign w:val="center"/>
                </w:tcPr>
                <w:p w14:paraId="018C53CA">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w:t>
                  </w:r>
                </w:p>
              </w:tc>
              <w:tc>
                <w:tcPr>
                  <w:tcW w:w="1692" w:type="dxa"/>
                  <w:shd w:val="clear" w:color="auto" w:fill="auto"/>
                  <w:noWrap/>
                  <w:vAlign w:val="center"/>
                </w:tcPr>
                <w:p w14:paraId="7F772ACB">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kg/d</w:t>
                  </w:r>
                </w:p>
              </w:tc>
              <w:tc>
                <w:tcPr>
                  <w:tcW w:w="1319" w:type="dxa"/>
                  <w:shd w:val="clear" w:color="auto" w:fill="auto"/>
                  <w:noWrap/>
                  <w:vAlign w:val="center"/>
                </w:tcPr>
                <w:p w14:paraId="19B1B9B7">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t/a</w:t>
                  </w:r>
                </w:p>
              </w:tc>
            </w:tr>
            <w:tr w14:paraId="00702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26" w:type="dxa"/>
                  <w:shd w:val="clear" w:color="auto" w:fill="auto"/>
                  <w:noWrap/>
                  <w:vAlign w:val="center"/>
                </w:tcPr>
                <w:p w14:paraId="59F92495">
                  <w:pPr>
                    <w:autoSpaceDE w:val="0"/>
                    <w:autoSpaceDN w:val="0"/>
                    <w:snapToGrid w:val="0"/>
                    <w:jc w:val="center"/>
                    <w:rPr>
                      <w:rFonts w:eastAsia="仿宋"/>
                      <w:color w:val="000000" w:themeColor="text1"/>
                      <w:szCs w:val="22"/>
                      <w14:textFill>
                        <w14:solidFill>
                          <w14:schemeClr w14:val="tx1"/>
                        </w14:solidFill>
                      </w14:textFill>
                    </w:rPr>
                  </w:pPr>
                  <w:r>
                    <w:rPr>
                      <w:rFonts w:eastAsia="仿宋"/>
                      <w:color w:val="000000" w:themeColor="text1"/>
                      <w:szCs w:val="22"/>
                      <w14:textFill>
                        <w14:solidFill>
                          <w14:schemeClr w14:val="tx1"/>
                        </w14:solidFill>
                      </w14:textFill>
                    </w:rPr>
                    <w:t>1#</w:t>
                  </w:r>
                </w:p>
              </w:tc>
              <w:tc>
                <w:tcPr>
                  <w:tcW w:w="1312" w:type="dxa"/>
                  <w:shd w:val="clear" w:color="auto" w:fill="auto"/>
                  <w:noWrap/>
                  <w:vAlign w:val="center"/>
                </w:tcPr>
                <w:p w14:paraId="45FD5C58">
                  <w:pPr>
                    <w:widowControl/>
                    <w:jc w:val="center"/>
                    <w:textAlignment w:val="center"/>
                    <w:rPr>
                      <w:rFonts w:eastAsia="仿宋"/>
                      <w:color w:val="000000" w:themeColor="text1"/>
                      <w:szCs w:val="22"/>
                      <w14:textFill>
                        <w14:solidFill>
                          <w14:schemeClr w14:val="tx1"/>
                        </w14:solidFill>
                      </w14:textFill>
                    </w:rPr>
                  </w:pPr>
                  <w:r>
                    <w:rPr>
                      <w:color w:val="000000" w:themeColor="text1"/>
                      <w:kern w:val="0"/>
                      <w:szCs w:val="21"/>
                      <w:lang w:bidi="ar"/>
                      <w14:textFill>
                        <w14:solidFill>
                          <w14:schemeClr w14:val="tx1"/>
                        </w14:solidFill>
                      </w14:textFill>
                    </w:rPr>
                    <w:t>96</w:t>
                  </w:r>
                </w:p>
              </w:tc>
              <w:tc>
                <w:tcPr>
                  <w:tcW w:w="1788" w:type="dxa"/>
                  <w:shd w:val="clear" w:color="auto" w:fill="auto"/>
                  <w:noWrap/>
                  <w:vAlign w:val="center"/>
                </w:tcPr>
                <w:p w14:paraId="23CC6B3F">
                  <w:pPr>
                    <w:widowControl/>
                    <w:jc w:val="center"/>
                    <w:textAlignment w:val="center"/>
                    <w:rPr>
                      <w:rFonts w:eastAsia="仿宋"/>
                      <w:color w:val="000000" w:themeColor="text1"/>
                      <w:szCs w:val="22"/>
                      <w14:textFill>
                        <w14:solidFill>
                          <w14:schemeClr w14:val="tx1"/>
                        </w14:solidFill>
                      </w14:textFill>
                    </w:rPr>
                  </w:pPr>
                  <w:r>
                    <w:rPr>
                      <w:color w:val="000000" w:themeColor="text1"/>
                      <w:kern w:val="0"/>
                      <w:szCs w:val="21"/>
                      <w:lang w:bidi="ar"/>
                      <w14:textFill>
                        <w14:solidFill>
                          <w14:schemeClr w14:val="tx1"/>
                        </w14:solidFill>
                      </w14:textFill>
                    </w:rPr>
                    <w:t>750</w:t>
                  </w:r>
                </w:p>
              </w:tc>
              <w:tc>
                <w:tcPr>
                  <w:tcW w:w="1540" w:type="dxa"/>
                  <w:shd w:val="clear" w:color="auto" w:fill="auto"/>
                  <w:noWrap/>
                  <w:vAlign w:val="center"/>
                </w:tcPr>
                <w:p w14:paraId="743B0A1A">
                  <w:pPr>
                    <w:widowControl/>
                    <w:jc w:val="center"/>
                    <w:textAlignment w:val="center"/>
                    <w:rPr>
                      <w:rFonts w:eastAsia="仿宋"/>
                      <w:color w:val="000000" w:themeColor="text1"/>
                      <w:szCs w:val="22"/>
                      <w14:textFill>
                        <w14:solidFill>
                          <w14:schemeClr w14:val="tx1"/>
                        </w14:solidFill>
                      </w14:textFill>
                    </w:rPr>
                  </w:pPr>
                  <w:r>
                    <w:rPr>
                      <w:color w:val="000000" w:themeColor="text1"/>
                      <w:kern w:val="0"/>
                      <w:szCs w:val="21"/>
                      <w:lang w:bidi="ar"/>
                      <w14:textFill>
                        <w14:solidFill>
                          <w14:schemeClr w14:val="tx1"/>
                        </w14:solidFill>
                      </w14:textFill>
                    </w:rPr>
                    <w:t>10</w:t>
                  </w:r>
                </w:p>
              </w:tc>
              <w:tc>
                <w:tcPr>
                  <w:tcW w:w="1692" w:type="dxa"/>
                  <w:shd w:val="clear" w:color="auto" w:fill="auto"/>
                  <w:noWrap/>
                  <w:vAlign w:val="center"/>
                </w:tcPr>
                <w:p w14:paraId="17FF8CD2">
                  <w:pPr>
                    <w:widowControl/>
                    <w:jc w:val="center"/>
                    <w:textAlignment w:val="center"/>
                    <w:rPr>
                      <w:rFonts w:eastAsia="仿宋"/>
                      <w:color w:val="000000" w:themeColor="text1"/>
                      <w:szCs w:val="22"/>
                      <w14:textFill>
                        <w14:solidFill>
                          <w14:schemeClr w14:val="tx1"/>
                        </w14:solidFill>
                      </w14:textFill>
                    </w:rPr>
                  </w:pPr>
                  <w:r>
                    <w:rPr>
                      <w:color w:val="000000" w:themeColor="text1"/>
                      <w:kern w:val="0"/>
                      <w:szCs w:val="21"/>
                      <w:lang w:bidi="ar"/>
                      <w14:textFill>
                        <w14:solidFill>
                          <w14:schemeClr w14:val="tx1"/>
                        </w14:solidFill>
                      </w14:textFill>
                    </w:rPr>
                    <w:t>0.78</w:t>
                  </w:r>
                </w:p>
              </w:tc>
              <w:tc>
                <w:tcPr>
                  <w:tcW w:w="1319" w:type="dxa"/>
                  <w:shd w:val="clear" w:color="auto" w:fill="auto"/>
                  <w:noWrap/>
                  <w:vAlign w:val="center"/>
                </w:tcPr>
                <w:p w14:paraId="41CA140E">
                  <w:pPr>
                    <w:widowControl/>
                    <w:jc w:val="center"/>
                    <w:textAlignment w:val="center"/>
                    <w:rPr>
                      <w:rFonts w:eastAsia="仿宋"/>
                      <w:color w:val="000000" w:themeColor="text1"/>
                      <w:szCs w:val="22"/>
                      <w14:textFill>
                        <w14:solidFill>
                          <w14:schemeClr w14:val="tx1"/>
                        </w14:solidFill>
                      </w14:textFill>
                    </w:rPr>
                  </w:pPr>
                  <w:r>
                    <w:rPr>
                      <w:color w:val="000000" w:themeColor="text1"/>
                      <w:kern w:val="0"/>
                      <w:szCs w:val="21"/>
                      <w:lang w:bidi="ar"/>
                      <w14:textFill>
                        <w14:solidFill>
                          <w14:schemeClr w14:val="tx1"/>
                        </w14:solidFill>
                      </w14:textFill>
                    </w:rPr>
                    <w:t>2.261</w:t>
                  </w:r>
                </w:p>
              </w:tc>
            </w:tr>
          </w:tbl>
          <w:p w14:paraId="69882FD5">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经计算，确定本项目活性炭吸附装置活性炭更换周期约为96天</w:t>
            </w:r>
            <w:r>
              <w:rPr>
                <w:rFonts w:hint="eastAsia" w:eastAsia="仿宋"/>
                <w:bCs/>
                <w:color w:val="000000" w:themeColor="text1"/>
                <w:sz w:val="24"/>
                <w14:textFill>
                  <w14:solidFill>
                    <w14:schemeClr w14:val="tx1"/>
                  </w14:solidFill>
                </w14:textFill>
              </w:rPr>
              <w:t>（累计用时</w:t>
            </w:r>
            <w:r>
              <w:rPr>
                <w:rFonts w:eastAsia="仿宋"/>
                <w:bCs/>
                <w:color w:val="000000" w:themeColor="text1"/>
                <w:sz w:val="24"/>
                <w14:textFill>
                  <w14:solidFill>
                    <w14:schemeClr w14:val="tx1"/>
                  </w14:solidFill>
                </w14:textFill>
              </w:rPr>
              <w:t>200</w:t>
            </w:r>
            <w:r>
              <w:rPr>
                <w:rFonts w:hint="eastAsia" w:eastAsia="仿宋"/>
                <w:bCs/>
                <w:color w:val="000000" w:themeColor="text1"/>
                <w:sz w:val="24"/>
                <w14:textFill>
                  <w14:solidFill>
                    <w14:schemeClr w14:val="tx1"/>
                  </w14:solidFill>
                </w14:textFill>
              </w:rPr>
              <w:t>h），一年</w:t>
            </w:r>
            <w:r>
              <w:rPr>
                <w:rFonts w:eastAsia="仿宋"/>
                <w:bCs/>
                <w:color w:val="000000" w:themeColor="text1"/>
                <w:sz w:val="24"/>
                <w14:textFill>
                  <w14:solidFill>
                    <w14:schemeClr w14:val="tx1"/>
                  </w14:solidFill>
                </w14:textFill>
              </w:rPr>
              <w:t>更换3</w:t>
            </w:r>
            <w:r>
              <w:rPr>
                <w:rFonts w:hint="eastAsia" w:eastAsia="仿宋"/>
                <w:bCs/>
                <w:color w:val="000000" w:themeColor="text1"/>
                <w:sz w:val="24"/>
                <w14:textFill>
                  <w14:solidFill>
                    <w14:schemeClr w14:val="tx1"/>
                  </w14:solidFill>
                </w14:textFill>
              </w:rPr>
              <w:t>次</w:t>
            </w:r>
            <w:r>
              <w:rPr>
                <w:rFonts w:eastAsia="仿宋"/>
                <w:bCs/>
                <w:color w:val="000000" w:themeColor="text1"/>
                <w:sz w:val="24"/>
                <w14:textFill>
                  <w14:solidFill>
                    <w14:schemeClr w14:val="tx1"/>
                  </w14:solidFill>
                </w14:textFill>
              </w:rPr>
              <w:t>，废活性炭产生量</w:t>
            </w:r>
            <w:r>
              <w:rPr>
                <w:rFonts w:hint="eastAsia" w:eastAsia="仿宋"/>
                <w:bCs/>
                <w:color w:val="000000" w:themeColor="text1"/>
                <w:sz w:val="24"/>
                <w14:textFill>
                  <w14:solidFill>
                    <w14:schemeClr w14:val="tx1"/>
                  </w14:solidFill>
                </w14:textFill>
              </w:rPr>
              <w:t>约</w:t>
            </w:r>
            <w:r>
              <w:rPr>
                <w:rFonts w:eastAsia="仿宋"/>
                <w:bCs/>
                <w:color w:val="000000" w:themeColor="text1"/>
                <w:sz w:val="24"/>
                <w14:textFill>
                  <w14:solidFill>
                    <w14:schemeClr w14:val="tx1"/>
                  </w14:solidFill>
                </w14:textFill>
              </w:rPr>
              <w:t>2.261t/a</w:t>
            </w:r>
            <w:r>
              <w:rPr>
                <w:rFonts w:hint="eastAsia" w:eastAsia="仿宋"/>
                <w:bCs/>
                <w:color w:val="000000" w:themeColor="text1"/>
                <w:sz w:val="24"/>
                <w14:textFill>
                  <w14:solidFill>
                    <w14:schemeClr w14:val="tx1"/>
                  </w14:solidFill>
                </w14:textFill>
              </w:rPr>
              <w:t>（包括吸收的废气量）</w:t>
            </w:r>
            <w:r>
              <w:rPr>
                <w:rFonts w:eastAsia="仿宋"/>
                <w:bCs/>
                <w:color w:val="000000" w:themeColor="text1"/>
                <w:sz w:val="24"/>
                <w14:textFill>
                  <w14:solidFill>
                    <w14:schemeClr w14:val="tx1"/>
                  </w14:solidFill>
                </w14:textFill>
              </w:rPr>
              <w:t>，委托有资质单位无害化处置。更换下来的废活性炭装入密封容器内，防止活性炭吸附的有机废气解析挥发出来，按照危废暂存要求做好防雨、防渗漏等措施。</w:t>
            </w:r>
          </w:p>
          <w:p w14:paraId="289FE3AF">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（7）废试剂：本项目实验室药品会定期检查是否在有效期内，过期药品作为危险废物委托有资质单位处置，根据企业提供资料，本项目废试剂产生量约0</w:t>
            </w:r>
            <w:r>
              <w:rPr>
                <w:rFonts w:eastAsia="仿宋"/>
                <w:bCs/>
                <w:color w:val="000000" w:themeColor="text1"/>
                <w:sz w:val="24"/>
                <w14:textFill>
                  <w14:solidFill>
                    <w14:schemeClr w14:val="tx1"/>
                  </w14:solidFill>
                </w14:textFill>
              </w:rPr>
              <w:t>.001t/a</w:t>
            </w:r>
            <w:r>
              <w:rPr>
                <w:rFonts w:hint="eastAsia" w:eastAsia="仿宋"/>
                <w:bCs/>
                <w:color w:val="000000" w:themeColor="text1"/>
                <w:sz w:val="24"/>
                <w14:textFill>
                  <w14:solidFill>
                    <w14:schemeClr w14:val="tx1"/>
                  </w14:solidFill>
                </w14:textFill>
              </w:rPr>
              <w:t>。</w:t>
            </w:r>
          </w:p>
          <w:p w14:paraId="18EE85B2">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8</w:t>
            </w:r>
            <w:r>
              <w:rPr>
                <w:rFonts w:hint="eastAsia" w:eastAsia="仿宋"/>
                <w:bCs/>
                <w:color w:val="000000" w:themeColor="text1"/>
                <w:sz w:val="24"/>
                <w14:textFill>
                  <w14:solidFill>
                    <w14:schemeClr w14:val="tx1"/>
                  </w14:solidFill>
                </w14:textFill>
              </w:rPr>
              <w:t>）生活垃圾：本项目新增员工4</w:t>
            </w:r>
            <w:r>
              <w:rPr>
                <w:rFonts w:eastAsia="仿宋"/>
                <w:bCs/>
                <w:color w:val="000000" w:themeColor="text1"/>
                <w:sz w:val="24"/>
                <w14:textFill>
                  <w14:solidFill>
                    <w14:schemeClr w14:val="tx1"/>
                  </w14:solidFill>
                </w14:textFill>
              </w:rPr>
              <w:t>0</w:t>
            </w:r>
            <w:r>
              <w:rPr>
                <w:rFonts w:hint="eastAsia" w:eastAsia="仿宋"/>
                <w:bCs/>
                <w:color w:val="000000" w:themeColor="text1"/>
                <w:sz w:val="24"/>
                <w14:textFill>
                  <w14:solidFill>
                    <w14:schemeClr w14:val="tx1"/>
                  </w14:solidFill>
                </w14:textFill>
              </w:rPr>
              <w:t>人，年工作日3</w:t>
            </w:r>
            <w:r>
              <w:rPr>
                <w:rFonts w:eastAsia="仿宋"/>
                <w:bCs/>
                <w:color w:val="000000" w:themeColor="text1"/>
                <w:sz w:val="24"/>
                <w14:textFill>
                  <w14:solidFill>
                    <w14:schemeClr w14:val="tx1"/>
                  </w14:solidFill>
                </w14:textFill>
              </w:rPr>
              <w:t>00</w:t>
            </w:r>
            <w:r>
              <w:rPr>
                <w:rFonts w:hint="eastAsia" w:eastAsia="仿宋"/>
                <w:bCs/>
                <w:color w:val="000000" w:themeColor="text1"/>
                <w:sz w:val="24"/>
                <w14:textFill>
                  <w14:solidFill>
                    <w14:schemeClr w14:val="tx1"/>
                  </w14:solidFill>
                </w14:textFill>
              </w:rPr>
              <w:t>天，按每人每天产生0.5kg的生活垃圾，则全厂生活垃圾产生量共计</w:t>
            </w:r>
            <w:r>
              <w:rPr>
                <w:rFonts w:eastAsia="仿宋"/>
                <w:bCs/>
                <w:color w:val="000000" w:themeColor="text1"/>
                <w:sz w:val="24"/>
                <w14:textFill>
                  <w14:solidFill>
                    <w14:schemeClr w14:val="tx1"/>
                  </w14:solidFill>
                </w14:textFill>
              </w:rPr>
              <w:t>6</w:t>
            </w:r>
            <w:r>
              <w:rPr>
                <w:rFonts w:hint="eastAsia" w:eastAsia="仿宋"/>
                <w:bCs/>
                <w:color w:val="000000" w:themeColor="text1"/>
                <w:sz w:val="24"/>
                <w14:textFill>
                  <w14:solidFill>
                    <w14:schemeClr w14:val="tx1"/>
                  </w14:solidFill>
                </w14:textFill>
              </w:rPr>
              <w:t>t/a。</w:t>
            </w:r>
          </w:p>
          <w:p w14:paraId="118BBE55">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根据《中华人民共和国固体废物污染环境防治法》、《</w:t>
            </w:r>
            <w:bookmarkStart w:id="42" w:name="OLE_LINK23"/>
            <w:r>
              <w:rPr>
                <w:rFonts w:hint="eastAsia" w:eastAsia="仿宋"/>
                <w:bCs/>
                <w:color w:val="000000" w:themeColor="text1"/>
                <w:sz w:val="24"/>
                <w14:textFill>
                  <w14:solidFill>
                    <w14:schemeClr w14:val="tx1"/>
                  </w14:solidFill>
                </w14:textFill>
              </w:rPr>
              <w:t>固体废物鉴别标准通则</w:t>
            </w:r>
            <w:bookmarkEnd w:id="42"/>
            <w:r>
              <w:rPr>
                <w:rFonts w:hint="eastAsia" w:eastAsia="仿宋"/>
                <w:bCs/>
                <w:color w:val="000000" w:themeColor="text1"/>
                <w:sz w:val="24"/>
                <w14:textFill>
                  <w14:solidFill>
                    <w14:schemeClr w14:val="tx1"/>
                  </w14:solidFill>
                </w14:textFill>
              </w:rPr>
              <w:t>》（GB34330-2017）和《建设项目危险废物环境影响评价指南》（公告2017年第43号）的规定，判断建设项目生产过程中产生的副产物是否属于固体废物，判定依据及结果见下表。</w:t>
            </w:r>
          </w:p>
          <w:p w14:paraId="1310982D">
            <w:pPr>
              <w:spacing w:line="480" w:lineRule="exact"/>
              <w:rPr>
                <w:rFonts w:eastAsia="仿宋"/>
                <w:color w:val="000000" w:themeColor="text1"/>
                <w:sz w:val="24"/>
                <w14:textFill>
                  <w14:solidFill>
                    <w14:schemeClr w14:val="tx1"/>
                  </w14:solidFill>
                </w14:textFill>
              </w:rPr>
            </w:pPr>
          </w:p>
          <w:p w14:paraId="73AF3BEB">
            <w:pPr>
              <w:spacing w:line="480" w:lineRule="exact"/>
              <w:rPr>
                <w:rFonts w:eastAsia="仿宋"/>
                <w:color w:val="000000" w:themeColor="text1"/>
                <w:sz w:val="24"/>
                <w14:textFill>
                  <w14:solidFill>
                    <w14:schemeClr w14:val="tx1"/>
                  </w14:solidFill>
                </w14:textFill>
              </w:rPr>
            </w:pPr>
          </w:p>
          <w:p w14:paraId="58E74A53">
            <w:pPr>
              <w:spacing w:line="480" w:lineRule="exact"/>
              <w:rPr>
                <w:rFonts w:eastAsia="仿宋"/>
                <w:color w:val="000000" w:themeColor="text1"/>
                <w:sz w:val="24"/>
                <w14:textFill>
                  <w14:solidFill>
                    <w14:schemeClr w14:val="tx1"/>
                  </w14:solidFill>
                </w14:textFill>
              </w:rPr>
            </w:pPr>
          </w:p>
          <w:p w14:paraId="7BAF8735">
            <w:pPr>
              <w:spacing w:line="480" w:lineRule="exact"/>
              <w:rPr>
                <w:rFonts w:eastAsia="仿宋"/>
                <w:color w:val="000000" w:themeColor="text1"/>
                <w:sz w:val="24"/>
                <w14:textFill>
                  <w14:solidFill>
                    <w14:schemeClr w14:val="tx1"/>
                  </w14:solidFill>
                </w14:textFill>
              </w:rPr>
            </w:pPr>
          </w:p>
          <w:p w14:paraId="77BFDFE9">
            <w:pPr>
              <w:spacing w:line="480" w:lineRule="exact"/>
              <w:rPr>
                <w:rFonts w:eastAsia="仿宋"/>
                <w:color w:val="000000" w:themeColor="text1"/>
                <w:sz w:val="24"/>
                <w14:textFill>
                  <w14:solidFill>
                    <w14:schemeClr w14:val="tx1"/>
                  </w14:solidFill>
                </w14:textFill>
              </w:rPr>
            </w:pPr>
          </w:p>
          <w:p w14:paraId="22F439B0">
            <w:pPr>
              <w:spacing w:line="480" w:lineRule="exact"/>
              <w:rPr>
                <w:rFonts w:eastAsia="仿宋"/>
                <w:color w:val="000000" w:themeColor="text1"/>
                <w:sz w:val="24"/>
                <w14:textFill>
                  <w14:solidFill>
                    <w14:schemeClr w14:val="tx1"/>
                  </w14:solidFill>
                </w14:textFill>
              </w:rPr>
            </w:pPr>
          </w:p>
          <w:p w14:paraId="0D7A6AB9">
            <w:pPr>
              <w:spacing w:line="480" w:lineRule="exact"/>
              <w:rPr>
                <w:rFonts w:eastAsia="仿宋"/>
                <w:color w:val="000000" w:themeColor="text1"/>
                <w:sz w:val="24"/>
                <w14:textFill>
                  <w14:solidFill>
                    <w14:schemeClr w14:val="tx1"/>
                  </w14:solidFill>
                </w14:textFill>
              </w:rPr>
            </w:pPr>
          </w:p>
          <w:p w14:paraId="0709410C">
            <w:pPr>
              <w:spacing w:line="480" w:lineRule="exact"/>
              <w:rPr>
                <w:rFonts w:eastAsia="仿宋"/>
                <w:color w:val="000000" w:themeColor="text1"/>
                <w:sz w:val="24"/>
                <w14:textFill>
                  <w14:solidFill>
                    <w14:schemeClr w14:val="tx1"/>
                  </w14:solidFill>
                </w14:textFill>
              </w:rPr>
            </w:pPr>
          </w:p>
          <w:p w14:paraId="71ED9F81">
            <w:pPr>
              <w:spacing w:line="480" w:lineRule="exact"/>
              <w:rPr>
                <w:rFonts w:eastAsia="仿宋"/>
                <w:color w:val="000000" w:themeColor="text1"/>
                <w:sz w:val="24"/>
                <w14:textFill>
                  <w14:solidFill>
                    <w14:schemeClr w14:val="tx1"/>
                  </w14:solidFill>
                </w14:textFill>
              </w:rPr>
            </w:pPr>
          </w:p>
          <w:p w14:paraId="441684B8">
            <w:pPr>
              <w:spacing w:line="480" w:lineRule="exact"/>
              <w:rPr>
                <w:rFonts w:eastAsia="仿宋"/>
                <w:color w:val="000000" w:themeColor="text1"/>
                <w:sz w:val="24"/>
                <w14:textFill>
                  <w14:solidFill>
                    <w14:schemeClr w14:val="tx1"/>
                  </w14:solidFill>
                </w14:textFill>
              </w:rPr>
            </w:pPr>
          </w:p>
          <w:p w14:paraId="0BF6F49E">
            <w:pPr>
              <w:spacing w:line="480" w:lineRule="exact"/>
              <w:rPr>
                <w:rFonts w:eastAsia="仿宋"/>
                <w:color w:val="000000" w:themeColor="text1"/>
                <w:sz w:val="24"/>
                <w14:textFill>
                  <w14:solidFill>
                    <w14:schemeClr w14:val="tx1"/>
                  </w14:solidFill>
                </w14:textFill>
              </w:rPr>
            </w:pPr>
          </w:p>
          <w:p w14:paraId="21C5AA81">
            <w:pPr>
              <w:spacing w:line="480" w:lineRule="exact"/>
              <w:rPr>
                <w:rFonts w:eastAsia="仿宋"/>
                <w:color w:val="000000" w:themeColor="text1"/>
                <w:sz w:val="24"/>
                <w14:textFill>
                  <w14:solidFill>
                    <w14:schemeClr w14:val="tx1"/>
                  </w14:solidFill>
                </w14:textFill>
              </w:rPr>
            </w:pPr>
          </w:p>
          <w:p w14:paraId="02E5B7A6">
            <w:pPr>
              <w:spacing w:line="480" w:lineRule="exact"/>
              <w:rPr>
                <w:rFonts w:eastAsia="仿宋"/>
                <w:color w:val="000000" w:themeColor="text1"/>
                <w:sz w:val="24"/>
                <w14:textFill>
                  <w14:solidFill>
                    <w14:schemeClr w14:val="tx1"/>
                  </w14:solidFill>
                </w14:textFill>
              </w:rPr>
            </w:pPr>
          </w:p>
          <w:p w14:paraId="718B524E">
            <w:pPr>
              <w:spacing w:line="480" w:lineRule="exact"/>
              <w:rPr>
                <w:rFonts w:eastAsia="仿宋"/>
                <w:color w:val="000000" w:themeColor="text1"/>
                <w:sz w:val="24"/>
                <w14:textFill>
                  <w14:solidFill>
                    <w14:schemeClr w14:val="tx1"/>
                  </w14:solidFill>
                </w14:textFill>
              </w:rPr>
            </w:pPr>
          </w:p>
          <w:p w14:paraId="4A63B1B2">
            <w:pPr>
              <w:spacing w:line="480" w:lineRule="exact"/>
              <w:rPr>
                <w:rFonts w:eastAsia="仿宋"/>
                <w:color w:val="000000" w:themeColor="text1"/>
                <w:sz w:val="24"/>
                <w14:textFill>
                  <w14:solidFill>
                    <w14:schemeClr w14:val="tx1"/>
                  </w14:solidFill>
                </w14:textFill>
              </w:rPr>
            </w:pPr>
          </w:p>
          <w:p w14:paraId="6F6987D8">
            <w:pPr>
              <w:spacing w:line="480" w:lineRule="exact"/>
              <w:rPr>
                <w:rFonts w:eastAsia="仿宋"/>
                <w:color w:val="000000" w:themeColor="text1"/>
                <w:sz w:val="24"/>
                <w14:textFill>
                  <w14:solidFill>
                    <w14:schemeClr w14:val="tx1"/>
                  </w14:solidFill>
                </w14:textFill>
              </w:rPr>
            </w:pPr>
          </w:p>
          <w:p w14:paraId="5156D0F4">
            <w:pPr>
              <w:spacing w:line="480" w:lineRule="exact"/>
              <w:rPr>
                <w:rFonts w:eastAsia="仿宋"/>
                <w:color w:val="000000" w:themeColor="text1"/>
                <w:sz w:val="24"/>
                <w14:textFill>
                  <w14:solidFill>
                    <w14:schemeClr w14:val="tx1"/>
                  </w14:solidFill>
                </w14:textFill>
              </w:rPr>
            </w:pPr>
          </w:p>
        </w:tc>
      </w:tr>
      <w:bookmarkEnd w:id="39"/>
    </w:tbl>
    <w:p w14:paraId="3D5E8618">
      <w:pPr>
        <w:pStyle w:val="21"/>
        <w:jc w:val="both"/>
        <w:outlineLvl w:val="9"/>
        <w:rPr>
          <w:color w:val="000000" w:themeColor="text1"/>
          <w14:textFill>
            <w14:solidFill>
              <w14:schemeClr w14:val="tx1"/>
            </w14:solidFill>
          </w14:textFill>
        </w:rPr>
      </w:pPr>
    </w:p>
    <w:p w14:paraId="6E23A554">
      <w:pPr>
        <w:pStyle w:val="21"/>
        <w:jc w:val="both"/>
        <w:outlineLvl w:val="9"/>
        <w:rPr>
          <w:color w:val="000000" w:themeColor="text1"/>
          <w14:textFill>
            <w14:solidFill>
              <w14:schemeClr w14:val="tx1"/>
            </w14:solidFill>
          </w14:textFill>
        </w:rPr>
        <w:sectPr>
          <w:pgSz w:w="11906" w:h="16838"/>
          <w:pgMar w:top="1701" w:right="1531" w:bottom="1701" w:left="1531" w:header="851" w:footer="851" w:gutter="0"/>
          <w:cols w:space="720" w:num="1"/>
          <w:docGrid w:linePitch="312" w:charSpace="0"/>
        </w:sectPr>
      </w:pPr>
    </w:p>
    <w:tbl>
      <w:tblPr>
        <w:tblStyle w:val="24"/>
        <w:tblW w:w="553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1"/>
        <w:gridCol w:w="14089"/>
      </w:tblGrid>
      <w:tr w14:paraId="66F478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313" w:type="pct"/>
            <w:noWrap/>
            <w:tcMar>
              <w:left w:w="28" w:type="dxa"/>
              <w:right w:w="28" w:type="dxa"/>
            </w:tcMar>
            <w:vAlign w:val="center"/>
          </w:tcPr>
          <w:p w14:paraId="5864A7D4">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运营期环境影响和保护措施</w:t>
            </w:r>
          </w:p>
        </w:tc>
        <w:tc>
          <w:tcPr>
            <w:tcW w:w="4687" w:type="pct"/>
            <w:noWrap/>
            <w:vAlign w:val="center"/>
          </w:tcPr>
          <w:p w14:paraId="67E5D26C">
            <w:pPr>
              <w:keepNext/>
              <w:spacing w:line="480" w:lineRule="exact"/>
              <w:jc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表4</w:t>
            </w:r>
            <w:r>
              <w:rPr>
                <w:rFonts w:eastAsia="仿宋"/>
                <w:b/>
                <w:color w:val="000000" w:themeColor="text1"/>
                <w:szCs w:val="21"/>
                <w14:textFill>
                  <w14:solidFill>
                    <w14:schemeClr w14:val="tx1"/>
                  </w14:solidFill>
                </w14:textFill>
              </w:rPr>
              <w:t>-29 固废属性判定表</w:t>
            </w:r>
          </w:p>
          <w:tbl>
            <w:tblPr>
              <w:tblStyle w:val="24"/>
              <w:tblW w:w="4969" w:type="pct"/>
              <w:jc w:val="center"/>
              <w:tblLayout w:type="fixed"/>
              <w:tblCellMar>
                <w:top w:w="0" w:type="dxa"/>
                <w:left w:w="108" w:type="dxa"/>
                <w:bottom w:w="0" w:type="dxa"/>
                <w:right w:w="108" w:type="dxa"/>
              </w:tblCellMar>
            </w:tblPr>
            <w:tblGrid>
              <w:gridCol w:w="763"/>
              <w:gridCol w:w="1578"/>
              <w:gridCol w:w="1293"/>
              <w:gridCol w:w="863"/>
              <w:gridCol w:w="1434"/>
              <w:gridCol w:w="1437"/>
              <w:gridCol w:w="1288"/>
              <w:gridCol w:w="2733"/>
              <w:gridCol w:w="2399"/>
            </w:tblGrid>
            <w:tr w14:paraId="45E357A2">
              <w:tblPrEx>
                <w:tblCellMar>
                  <w:top w:w="0" w:type="dxa"/>
                  <w:left w:w="108" w:type="dxa"/>
                  <w:bottom w:w="0" w:type="dxa"/>
                  <w:right w:w="108" w:type="dxa"/>
                </w:tblCellMar>
              </w:tblPrEx>
              <w:trPr>
                <w:jc w:val="center"/>
              </w:trPr>
              <w:tc>
                <w:tcPr>
                  <w:tcW w:w="2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084CA0">
                  <w:pPr>
                    <w:snapToGrid w:val="0"/>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序号</w:t>
                  </w:r>
                </w:p>
              </w:tc>
              <w:tc>
                <w:tcPr>
                  <w:tcW w:w="5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70A504">
                  <w:pPr>
                    <w:snapToGrid w:val="0"/>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副产物名称</w:t>
                  </w:r>
                </w:p>
              </w:tc>
              <w:tc>
                <w:tcPr>
                  <w:tcW w:w="4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774CEA">
                  <w:pPr>
                    <w:snapToGrid w:val="0"/>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产生工序</w:t>
                  </w:r>
                </w:p>
              </w:tc>
              <w:tc>
                <w:tcPr>
                  <w:tcW w:w="3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CE8B44">
                  <w:pPr>
                    <w:snapToGrid w:val="0"/>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形态</w:t>
                  </w:r>
                </w:p>
              </w:tc>
              <w:tc>
                <w:tcPr>
                  <w:tcW w:w="5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C19CE0">
                  <w:pPr>
                    <w:snapToGrid w:val="0"/>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主要成分</w:t>
                  </w:r>
                </w:p>
              </w:tc>
              <w:tc>
                <w:tcPr>
                  <w:tcW w:w="1979"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AC09CE">
                  <w:pPr>
                    <w:snapToGrid w:val="0"/>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种类判别</w:t>
                  </w:r>
                </w:p>
              </w:tc>
              <w:tc>
                <w:tcPr>
                  <w:tcW w:w="870" w:type="pct"/>
                  <w:vMerge w:val="restart"/>
                  <w:tcBorders>
                    <w:top w:val="single" w:color="000000" w:sz="4" w:space="0"/>
                    <w:left w:val="single" w:color="000000" w:sz="4" w:space="0"/>
                    <w:right w:val="single" w:color="000000" w:sz="4" w:space="0"/>
                  </w:tcBorders>
                  <w:shd w:val="clear" w:color="auto" w:fill="auto"/>
                  <w:vAlign w:val="center"/>
                </w:tcPr>
                <w:p w14:paraId="1D00E1CE">
                  <w:pPr>
                    <w:snapToGrid w:val="0"/>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利用途径</w:t>
                  </w:r>
                </w:p>
              </w:tc>
            </w:tr>
            <w:tr w14:paraId="12819049">
              <w:tblPrEx>
                <w:tblCellMar>
                  <w:top w:w="0" w:type="dxa"/>
                  <w:left w:w="108" w:type="dxa"/>
                  <w:bottom w:w="0" w:type="dxa"/>
                  <w:right w:w="108" w:type="dxa"/>
                </w:tblCellMar>
              </w:tblPrEx>
              <w:trPr>
                <w:jc w:val="center"/>
              </w:trPr>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5AA62">
                  <w:pPr>
                    <w:snapToGrid w:val="0"/>
                    <w:jc w:val="center"/>
                    <w:rPr>
                      <w:rFonts w:eastAsia="仿宋"/>
                      <w:b/>
                      <w:bCs/>
                      <w:color w:val="000000" w:themeColor="text1"/>
                      <w:szCs w:val="21"/>
                      <w14:textFill>
                        <w14:solidFill>
                          <w14:schemeClr w14:val="tx1"/>
                        </w14:solidFill>
                      </w14:textFill>
                    </w:rPr>
                  </w:pPr>
                </w:p>
              </w:tc>
              <w:tc>
                <w:tcPr>
                  <w:tcW w:w="5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8644DA">
                  <w:pPr>
                    <w:snapToGrid w:val="0"/>
                    <w:jc w:val="center"/>
                    <w:rPr>
                      <w:rFonts w:eastAsia="仿宋"/>
                      <w:b/>
                      <w:bCs/>
                      <w:color w:val="000000" w:themeColor="text1"/>
                      <w:szCs w:val="21"/>
                      <w14:textFill>
                        <w14:solidFill>
                          <w14:schemeClr w14:val="tx1"/>
                        </w14:solidFill>
                      </w14:textFill>
                    </w:rPr>
                  </w:pPr>
                </w:p>
              </w:tc>
              <w:tc>
                <w:tcPr>
                  <w:tcW w:w="4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C0B1B">
                  <w:pPr>
                    <w:snapToGrid w:val="0"/>
                    <w:jc w:val="center"/>
                    <w:rPr>
                      <w:rFonts w:eastAsia="仿宋"/>
                      <w:b/>
                      <w:bCs/>
                      <w:color w:val="000000" w:themeColor="text1"/>
                      <w:szCs w:val="21"/>
                      <w14:textFill>
                        <w14:solidFill>
                          <w14:schemeClr w14:val="tx1"/>
                        </w14:solidFill>
                      </w14:textFill>
                    </w:rPr>
                  </w:pPr>
                </w:p>
              </w:tc>
              <w:tc>
                <w:tcPr>
                  <w:tcW w:w="3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2CF39">
                  <w:pPr>
                    <w:snapToGrid w:val="0"/>
                    <w:jc w:val="center"/>
                    <w:rPr>
                      <w:rFonts w:eastAsia="仿宋"/>
                      <w:b/>
                      <w:bCs/>
                      <w:color w:val="000000" w:themeColor="text1"/>
                      <w:szCs w:val="21"/>
                      <w14:textFill>
                        <w14:solidFill>
                          <w14:schemeClr w14:val="tx1"/>
                        </w14:solidFill>
                      </w14:textFill>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46AF8">
                  <w:pPr>
                    <w:snapToGrid w:val="0"/>
                    <w:jc w:val="center"/>
                    <w:rPr>
                      <w:rFonts w:eastAsia="仿宋"/>
                      <w:b/>
                      <w:bCs/>
                      <w:color w:val="000000" w:themeColor="text1"/>
                      <w:szCs w:val="21"/>
                      <w14:textFill>
                        <w14:solidFill>
                          <w14:schemeClr w14:val="tx1"/>
                        </w14:solidFill>
                      </w14:textFill>
                    </w:rPr>
                  </w:pP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8547B">
                  <w:pPr>
                    <w:snapToGrid w:val="0"/>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固体废物</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DC8DA">
                  <w:pPr>
                    <w:snapToGrid w:val="0"/>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副产品</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F28B1">
                  <w:pPr>
                    <w:snapToGrid w:val="0"/>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判定依据</w:t>
                  </w:r>
                </w:p>
              </w:tc>
              <w:tc>
                <w:tcPr>
                  <w:tcW w:w="870" w:type="pct"/>
                  <w:vMerge w:val="continue"/>
                  <w:tcBorders>
                    <w:left w:val="single" w:color="000000" w:sz="4" w:space="0"/>
                    <w:bottom w:val="single" w:color="000000" w:sz="4" w:space="0"/>
                    <w:right w:val="single" w:color="000000" w:sz="4" w:space="0"/>
                  </w:tcBorders>
                  <w:shd w:val="clear" w:color="auto" w:fill="auto"/>
                  <w:vAlign w:val="center"/>
                </w:tcPr>
                <w:p w14:paraId="3D58CB71">
                  <w:pPr>
                    <w:snapToGrid w:val="0"/>
                    <w:jc w:val="center"/>
                    <w:rPr>
                      <w:rFonts w:eastAsia="仿宋"/>
                      <w:b/>
                      <w:bCs/>
                      <w:color w:val="000000" w:themeColor="text1"/>
                      <w:szCs w:val="21"/>
                      <w14:textFill>
                        <w14:solidFill>
                          <w14:schemeClr w14:val="tx1"/>
                        </w14:solidFill>
                      </w14:textFill>
                    </w:rPr>
                  </w:pPr>
                </w:p>
              </w:tc>
            </w:tr>
            <w:tr w14:paraId="3998640A">
              <w:tblPrEx>
                <w:tblCellMar>
                  <w:top w:w="0" w:type="dxa"/>
                  <w:left w:w="108" w:type="dxa"/>
                  <w:bottom w:w="0" w:type="dxa"/>
                  <w:right w:w="108" w:type="dxa"/>
                </w:tblCellMar>
              </w:tblPrEx>
              <w:trPr>
                <w:jc w:val="center"/>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8F905">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1</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5E6A6">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废RO膜</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E19C4">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纯水制备</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F352B">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固态</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7789C">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树脂</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A9EC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B568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991" w:type="pct"/>
                  <w:tcBorders>
                    <w:top w:val="single" w:color="000000" w:sz="4" w:space="0"/>
                    <w:left w:val="single" w:color="000000" w:sz="4" w:space="0"/>
                    <w:right w:val="single" w:color="000000" w:sz="4" w:space="0"/>
                  </w:tcBorders>
                  <w:shd w:val="clear" w:color="auto" w:fill="auto"/>
                  <w:vAlign w:val="center"/>
                </w:tcPr>
                <w:p w14:paraId="5F12242C">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4.1.h）因丧失原有功能而无法继续使用的物质</w:t>
                  </w:r>
                </w:p>
              </w:tc>
              <w:tc>
                <w:tcPr>
                  <w:tcW w:w="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28440">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外售综合利用</w:t>
                  </w:r>
                </w:p>
              </w:tc>
            </w:tr>
            <w:tr w14:paraId="75F2B82E">
              <w:tblPrEx>
                <w:tblCellMar>
                  <w:top w:w="0" w:type="dxa"/>
                  <w:left w:w="108" w:type="dxa"/>
                  <w:bottom w:w="0" w:type="dxa"/>
                  <w:right w:w="108" w:type="dxa"/>
                </w:tblCellMar>
              </w:tblPrEx>
              <w:trPr>
                <w:jc w:val="center"/>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2B6D7">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2</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D1C76">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废包装桶/袋</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9CA36">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原料使用</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F504E">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固态</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8C69C">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玻璃、酸、有机物、金属盐等</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8155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71C5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82EB8">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4.2.m）其他生产过程中产生的副产物</w:t>
                  </w:r>
                </w:p>
              </w:tc>
              <w:tc>
                <w:tcPr>
                  <w:tcW w:w="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52A41">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委托有资质单位处置</w:t>
                  </w:r>
                </w:p>
              </w:tc>
            </w:tr>
            <w:tr w14:paraId="4457715C">
              <w:tblPrEx>
                <w:tblCellMar>
                  <w:top w:w="0" w:type="dxa"/>
                  <w:left w:w="108" w:type="dxa"/>
                  <w:bottom w:w="0" w:type="dxa"/>
                  <w:right w:w="108" w:type="dxa"/>
                </w:tblCellMar>
              </w:tblPrEx>
              <w:trPr>
                <w:jc w:val="center"/>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0C23B">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3</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845A5">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实验室一次性用品</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4C0A7">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检测</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FAE4B">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固态</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E551B">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塑料、酸、有机物、金属盐</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3A8D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0937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572BA">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4.1.c）因为沾染、掺入、混杂无用或有害物质使其质量无法满足使用要求，而不能在市场出售、流通或者不能按照原有用途使用的物质</w:t>
                  </w:r>
                </w:p>
              </w:tc>
              <w:tc>
                <w:tcPr>
                  <w:tcW w:w="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F1C24">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委托有资质单位处置</w:t>
                  </w:r>
                </w:p>
              </w:tc>
            </w:tr>
            <w:tr w14:paraId="7C38ED43">
              <w:tblPrEx>
                <w:tblCellMar>
                  <w:top w:w="0" w:type="dxa"/>
                  <w:left w:w="108" w:type="dxa"/>
                  <w:bottom w:w="0" w:type="dxa"/>
                  <w:right w:w="108" w:type="dxa"/>
                </w:tblCellMar>
              </w:tblPrEx>
              <w:trPr>
                <w:jc w:val="center"/>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4BFEB">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4</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390FB">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实验废液</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DDBA1">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检测</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F7F70">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液态</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8BE41">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酸、有机物、金属盐、水等</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7CA4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72F8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80B71">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4.2.m）其他生产过程中产生的副产物</w:t>
                  </w:r>
                </w:p>
              </w:tc>
              <w:tc>
                <w:tcPr>
                  <w:tcW w:w="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BB203">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委托有资质单位处置</w:t>
                  </w:r>
                </w:p>
              </w:tc>
            </w:tr>
            <w:tr w14:paraId="7C7DD8BC">
              <w:tblPrEx>
                <w:tblCellMar>
                  <w:top w:w="0" w:type="dxa"/>
                  <w:left w:w="108" w:type="dxa"/>
                  <w:bottom w:w="0" w:type="dxa"/>
                  <w:right w:w="108" w:type="dxa"/>
                </w:tblCellMar>
              </w:tblPrEx>
              <w:trPr>
                <w:jc w:val="center"/>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30AD1">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5</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2C7EC">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废抹布手套</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C73F6">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实验室清洁</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98C4B">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固态</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7F09C">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棉、酸、有机物、金属盐等</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688E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000D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CB435">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4.1.c）因为沾染、掺入、混杂无用或有害物质使其质量无法满足使用要求，而不能在市场出售、流通或者不能按照原有用途使用的物质</w:t>
                  </w:r>
                </w:p>
              </w:tc>
              <w:tc>
                <w:tcPr>
                  <w:tcW w:w="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A4460">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委托有资质单位处置</w:t>
                  </w:r>
                </w:p>
              </w:tc>
            </w:tr>
            <w:tr w14:paraId="6E241DD5">
              <w:tblPrEx>
                <w:tblCellMar>
                  <w:top w:w="0" w:type="dxa"/>
                  <w:left w:w="108" w:type="dxa"/>
                  <w:bottom w:w="0" w:type="dxa"/>
                  <w:right w:w="108" w:type="dxa"/>
                </w:tblCellMar>
              </w:tblPrEx>
              <w:trPr>
                <w:jc w:val="center"/>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0978A">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6</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24AB1">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废试剂</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86609">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过期试剂</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F29CF">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液态</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3A911">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酸、碱、有机物、金属盐、水等</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9B3DC">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5F216">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516E0">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4.2.m）其他生产过程中产生的副产物</w:t>
                  </w:r>
                </w:p>
              </w:tc>
              <w:tc>
                <w:tcPr>
                  <w:tcW w:w="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B63E4">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委托有资质单位处置</w:t>
                  </w:r>
                </w:p>
              </w:tc>
            </w:tr>
            <w:tr w14:paraId="368FBEF9">
              <w:tblPrEx>
                <w:tblCellMar>
                  <w:top w:w="0" w:type="dxa"/>
                  <w:left w:w="108" w:type="dxa"/>
                  <w:bottom w:w="0" w:type="dxa"/>
                  <w:right w:w="108" w:type="dxa"/>
                </w:tblCellMar>
              </w:tblPrEx>
              <w:trPr>
                <w:jc w:val="center"/>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965E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6E339">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废活性炭</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7E43D">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废气处理</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BCC88">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固态</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2451D">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碳、有机物</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23CDB">
                  <w:pPr>
                    <w:snapToGrid w:val="0"/>
                    <w:jc w:val="center"/>
                    <w:rPr>
                      <w:rFonts w:eastAsia="仿宋"/>
                      <w:color w:val="000000" w:themeColor="text1"/>
                      <w:szCs w:val="21"/>
                      <w14:textFill>
                        <w14:solidFill>
                          <w14:schemeClr w14:val="tx1"/>
                        </w14:solidFill>
                      </w14:textFill>
                    </w:rPr>
                  </w:pPr>
                  <w:bookmarkStart w:id="43" w:name="OLE_LINK5"/>
                  <w:r>
                    <w:rPr>
                      <w:rFonts w:eastAsia="仿宋"/>
                      <w:color w:val="000000" w:themeColor="text1"/>
                      <w:szCs w:val="21"/>
                      <w14:textFill>
                        <w14:solidFill>
                          <w14:schemeClr w14:val="tx1"/>
                        </w14:solidFill>
                      </w14:textFill>
                    </w:rPr>
                    <w:t>√</w:t>
                  </w:r>
                  <w:bookmarkEnd w:id="43"/>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576C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B56C3">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4.3.n）在其他环境治理和污染修复过程中产生的各类物质</w:t>
                  </w:r>
                </w:p>
              </w:tc>
              <w:tc>
                <w:tcPr>
                  <w:tcW w:w="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C4AD6">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委托有资质单位处置</w:t>
                  </w:r>
                </w:p>
              </w:tc>
            </w:tr>
            <w:tr w14:paraId="7BBF171E">
              <w:tblPrEx>
                <w:tblCellMar>
                  <w:top w:w="0" w:type="dxa"/>
                  <w:left w:w="108" w:type="dxa"/>
                  <w:bottom w:w="0" w:type="dxa"/>
                  <w:right w:w="108" w:type="dxa"/>
                </w:tblCellMar>
              </w:tblPrEx>
              <w:trPr>
                <w:jc w:val="center"/>
              </w:trPr>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E180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C4F2F">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生活垃圾</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68FF9">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生产、办公</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E0B63">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固态</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7BD30">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1CDC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F2D7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9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12671">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4.1.h）因丧失原有功能而无法继续使用的物质</w:t>
                  </w:r>
                </w:p>
              </w:tc>
              <w:tc>
                <w:tcPr>
                  <w:tcW w:w="8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CBDEE">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环卫部门清运</w:t>
                  </w:r>
                </w:p>
              </w:tc>
            </w:tr>
          </w:tbl>
          <w:p w14:paraId="5A6341E7">
            <w:pPr>
              <w:keepNext/>
              <w:spacing w:line="480" w:lineRule="exact"/>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表4-30 运营期固体废物分析结果汇总表</w:t>
            </w:r>
          </w:p>
          <w:tbl>
            <w:tblPr>
              <w:tblStyle w:val="24"/>
              <w:tblW w:w="49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1038"/>
              <w:gridCol w:w="690"/>
              <w:gridCol w:w="1111"/>
              <w:gridCol w:w="1101"/>
              <w:gridCol w:w="1721"/>
              <w:gridCol w:w="1147"/>
              <w:gridCol w:w="1290"/>
              <w:gridCol w:w="1147"/>
              <w:gridCol w:w="1147"/>
              <w:gridCol w:w="1328"/>
              <w:gridCol w:w="1507"/>
            </w:tblGrid>
            <w:tr w14:paraId="703C6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shd w:val="clear" w:color="auto" w:fill="auto"/>
                  <w:vAlign w:val="center"/>
                </w:tcPr>
                <w:p w14:paraId="55E509B9">
                  <w:pPr>
                    <w:snapToGrid w:val="0"/>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序号</w:t>
                  </w:r>
                </w:p>
              </w:tc>
              <w:tc>
                <w:tcPr>
                  <w:tcW w:w="1026" w:type="dxa"/>
                  <w:shd w:val="clear" w:color="auto" w:fill="auto"/>
                  <w:vAlign w:val="center"/>
                </w:tcPr>
                <w:p w14:paraId="4EB2E4A2">
                  <w:pPr>
                    <w:snapToGrid w:val="0"/>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固废名称</w:t>
                  </w:r>
                </w:p>
              </w:tc>
              <w:tc>
                <w:tcPr>
                  <w:tcW w:w="682" w:type="dxa"/>
                  <w:shd w:val="clear" w:color="auto" w:fill="auto"/>
                  <w:noWrap/>
                  <w:vAlign w:val="center"/>
                </w:tcPr>
                <w:p w14:paraId="3FFA004E">
                  <w:pPr>
                    <w:snapToGrid w:val="0"/>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性质</w:t>
                  </w:r>
                </w:p>
              </w:tc>
              <w:tc>
                <w:tcPr>
                  <w:tcW w:w="1098" w:type="dxa"/>
                  <w:shd w:val="clear" w:color="auto" w:fill="auto"/>
                  <w:vAlign w:val="center"/>
                </w:tcPr>
                <w:p w14:paraId="74EA87ED">
                  <w:pPr>
                    <w:snapToGrid w:val="0"/>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产生工序</w:t>
                  </w:r>
                </w:p>
              </w:tc>
              <w:tc>
                <w:tcPr>
                  <w:tcW w:w="1088" w:type="dxa"/>
                  <w:shd w:val="clear" w:color="auto" w:fill="auto"/>
                  <w:vAlign w:val="center"/>
                </w:tcPr>
                <w:p w14:paraId="646D75E6">
                  <w:pPr>
                    <w:snapToGrid w:val="0"/>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形态</w:t>
                  </w:r>
                </w:p>
              </w:tc>
              <w:tc>
                <w:tcPr>
                  <w:tcW w:w="1701" w:type="dxa"/>
                  <w:shd w:val="clear" w:color="auto" w:fill="auto"/>
                  <w:vAlign w:val="center"/>
                </w:tcPr>
                <w:p w14:paraId="5650DA7C">
                  <w:pPr>
                    <w:snapToGrid w:val="0"/>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主要成分</w:t>
                  </w:r>
                </w:p>
              </w:tc>
              <w:tc>
                <w:tcPr>
                  <w:tcW w:w="1134" w:type="dxa"/>
                  <w:shd w:val="clear" w:color="auto" w:fill="auto"/>
                  <w:vAlign w:val="center"/>
                </w:tcPr>
                <w:p w14:paraId="76DAB065">
                  <w:pPr>
                    <w:snapToGrid w:val="0"/>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产废周期</w:t>
                  </w:r>
                </w:p>
              </w:tc>
              <w:tc>
                <w:tcPr>
                  <w:tcW w:w="1275" w:type="dxa"/>
                  <w:shd w:val="clear" w:color="auto" w:fill="auto"/>
                  <w:vAlign w:val="center"/>
                </w:tcPr>
                <w:p w14:paraId="3EADFB5E">
                  <w:pPr>
                    <w:snapToGrid w:val="0"/>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危险特性鉴别方法</w:t>
                  </w:r>
                </w:p>
              </w:tc>
              <w:tc>
                <w:tcPr>
                  <w:tcW w:w="1134" w:type="dxa"/>
                  <w:shd w:val="clear" w:color="auto" w:fill="auto"/>
                  <w:vAlign w:val="center"/>
                </w:tcPr>
                <w:p w14:paraId="3391158C">
                  <w:pPr>
                    <w:snapToGrid w:val="0"/>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危险特性</w:t>
                  </w:r>
                </w:p>
              </w:tc>
              <w:tc>
                <w:tcPr>
                  <w:tcW w:w="1134" w:type="dxa"/>
                  <w:shd w:val="clear" w:color="auto" w:fill="auto"/>
                  <w:vAlign w:val="center"/>
                </w:tcPr>
                <w:p w14:paraId="5FF471E0">
                  <w:pPr>
                    <w:snapToGrid w:val="0"/>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废物类别</w:t>
                  </w:r>
                </w:p>
              </w:tc>
              <w:tc>
                <w:tcPr>
                  <w:tcW w:w="1312" w:type="dxa"/>
                  <w:shd w:val="clear" w:color="auto" w:fill="auto"/>
                  <w:vAlign w:val="center"/>
                </w:tcPr>
                <w:p w14:paraId="3FC18C4C">
                  <w:pPr>
                    <w:snapToGrid w:val="0"/>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废物代码</w:t>
                  </w:r>
                </w:p>
              </w:tc>
              <w:tc>
                <w:tcPr>
                  <w:tcW w:w="1489" w:type="dxa"/>
                  <w:shd w:val="clear" w:color="auto" w:fill="auto"/>
                  <w:vAlign w:val="center"/>
                </w:tcPr>
                <w:p w14:paraId="7F3004FD">
                  <w:pPr>
                    <w:snapToGrid w:val="0"/>
                    <w:jc w:val="center"/>
                    <w:rPr>
                      <w:rFonts w:eastAsia="仿宋"/>
                      <w:b/>
                      <w:bCs/>
                      <w:color w:val="000000" w:themeColor="text1"/>
                      <w:szCs w:val="21"/>
                      <w14:textFill>
                        <w14:solidFill>
                          <w14:schemeClr w14:val="tx1"/>
                        </w14:solidFill>
                      </w14:textFill>
                    </w:rPr>
                  </w:pPr>
                  <w:r>
                    <w:rPr>
                      <w:rFonts w:hint="eastAsia" w:eastAsia="仿宋"/>
                      <w:b/>
                      <w:bCs/>
                      <w:color w:val="000000" w:themeColor="text1"/>
                      <w:szCs w:val="21"/>
                      <w14:textFill>
                        <w14:solidFill>
                          <w14:schemeClr w14:val="tx1"/>
                        </w14:solidFill>
                      </w14:textFill>
                    </w:rPr>
                    <w:t>产生量（</w:t>
                  </w:r>
                  <w:r>
                    <w:rPr>
                      <w:rFonts w:eastAsia="仿宋"/>
                      <w:b/>
                      <w:bCs/>
                      <w:color w:val="000000" w:themeColor="text1"/>
                      <w:szCs w:val="21"/>
                      <w14:textFill>
                        <w14:solidFill>
                          <w14:schemeClr w14:val="tx1"/>
                        </w14:solidFill>
                      </w14:textFill>
                    </w:rPr>
                    <w:t>t/a</w:t>
                  </w:r>
                  <w:r>
                    <w:rPr>
                      <w:rFonts w:hint="eastAsia" w:eastAsia="仿宋"/>
                      <w:b/>
                      <w:bCs/>
                      <w:color w:val="000000" w:themeColor="text1"/>
                      <w:szCs w:val="21"/>
                      <w14:textFill>
                        <w14:solidFill>
                          <w14:schemeClr w14:val="tx1"/>
                        </w14:solidFill>
                      </w14:textFill>
                    </w:rPr>
                    <w:t>）</w:t>
                  </w:r>
                </w:p>
              </w:tc>
            </w:tr>
            <w:tr w14:paraId="336A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88317">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1</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9EB70">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废RO膜</w:t>
                  </w:r>
                </w:p>
              </w:tc>
              <w:tc>
                <w:tcPr>
                  <w:tcW w:w="682" w:type="dxa"/>
                  <w:shd w:val="clear" w:color="auto" w:fill="auto"/>
                  <w:noWrap/>
                  <w:vAlign w:val="center"/>
                </w:tcPr>
                <w:p w14:paraId="5D79F89C">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一般固废</w:t>
                  </w:r>
                </w:p>
              </w:tc>
              <w:tc>
                <w:tcPr>
                  <w:tcW w:w="10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3591B">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纯水制备</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E31E1">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固态</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C731D">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树脂</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8C201">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2</w:t>
                  </w:r>
                  <w:r>
                    <w:rPr>
                      <w:rFonts w:eastAsia="仿宋"/>
                      <w:color w:val="000000" w:themeColor="text1"/>
                      <w:szCs w:val="21"/>
                      <w14:textFill>
                        <w14:solidFill>
                          <w14:schemeClr w14:val="tx1"/>
                        </w14:solidFill>
                      </w14:textFill>
                    </w:rPr>
                    <w:t>-3a</w:t>
                  </w:r>
                </w:p>
              </w:tc>
              <w:tc>
                <w:tcPr>
                  <w:tcW w:w="1275" w:type="dxa"/>
                  <w:vMerge w:val="restart"/>
                  <w:shd w:val="clear" w:color="auto" w:fill="auto"/>
                  <w:noWrap/>
                  <w:vAlign w:val="center"/>
                </w:tcPr>
                <w:p w14:paraId="29A7691F">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《国家危险废物名录》（</w:t>
                  </w:r>
                  <w:r>
                    <w:rPr>
                      <w:rFonts w:eastAsia="仿宋"/>
                      <w:color w:val="000000" w:themeColor="text1"/>
                      <w:szCs w:val="21"/>
                      <w14:textFill>
                        <w14:solidFill>
                          <w14:schemeClr w14:val="tx1"/>
                        </w14:solidFill>
                      </w14:textFill>
                    </w:rPr>
                    <w:t>2025</w:t>
                  </w:r>
                  <w:r>
                    <w:rPr>
                      <w:rFonts w:hint="eastAsia" w:eastAsia="仿宋"/>
                      <w:color w:val="000000" w:themeColor="text1"/>
                      <w:szCs w:val="21"/>
                      <w14:textFill>
                        <w14:solidFill>
                          <w14:schemeClr w14:val="tx1"/>
                        </w14:solidFill>
                      </w14:textFill>
                    </w:rPr>
                    <w:t>年）、《一般固体废物分类与代码》（GB/T39198-2020）</w:t>
                  </w:r>
                </w:p>
              </w:tc>
              <w:tc>
                <w:tcPr>
                  <w:tcW w:w="1134" w:type="dxa"/>
                  <w:shd w:val="clear" w:color="auto" w:fill="auto"/>
                  <w:vAlign w:val="center"/>
                </w:tcPr>
                <w:p w14:paraId="16788C0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1134" w:type="dxa"/>
                  <w:shd w:val="clear" w:color="auto" w:fill="auto"/>
                  <w:vAlign w:val="center"/>
                </w:tcPr>
                <w:p w14:paraId="29A194A2">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14:textFill>
                        <w14:solidFill>
                          <w14:schemeClr w14:val="tx1"/>
                        </w14:solidFill>
                      </w14:textFill>
                    </w:rPr>
                    <w:t>9</w:t>
                  </w:r>
                  <w:r>
                    <w:rPr>
                      <w:rFonts w:eastAsia="仿宋"/>
                      <w:color w:val="000000" w:themeColor="text1"/>
                      <w14:textFill>
                        <w14:solidFill>
                          <w14:schemeClr w14:val="tx1"/>
                        </w14:solidFill>
                      </w14:textFill>
                    </w:rPr>
                    <w:t>9</w:t>
                  </w:r>
                </w:p>
              </w:tc>
              <w:tc>
                <w:tcPr>
                  <w:tcW w:w="1312" w:type="dxa"/>
                  <w:shd w:val="clear" w:color="auto" w:fill="auto"/>
                  <w:noWrap/>
                  <w:vAlign w:val="center"/>
                </w:tcPr>
                <w:p w14:paraId="36CFD063">
                  <w:pPr>
                    <w:snapToGrid w:val="0"/>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3</w:t>
                  </w:r>
                  <w:r>
                    <w:rPr>
                      <w:rFonts w:eastAsia="仿宋"/>
                      <w:color w:val="000000" w:themeColor="text1"/>
                      <w14:textFill>
                        <w14:solidFill>
                          <w14:schemeClr w14:val="tx1"/>
                        </w14:solidFill>
                      </w14:textFill>
                    </w:rPr>
                    <w:t>98-999-99</w:t>
                  </w:r>
                </w:p>
              </w:tc>
              <w:tc>
                <w:tcPr>
                  <w:tcW w:w="1489" w:type="dxa"/>
                  <w:shd w:val="clear" w:color="auto" w:fill="auto"/>
                  <w:noWrap/>
                  <w:vAlign w:val="center"/>
                </w:tcPr>
                <w:p w14:paraId="5D7A2F0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0.054t/2~3a</w:t>
                  </w:r>
                </w:p>
              </w:tc>
            </w:tr>
            <w:tr w14:paraId="7518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1141C">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2</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D3D35">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废包装桶/袋</w:t>
                  </w:r>
                </w:p>
              </w:tc>
              <w:tc>
                <w:tcPr>
                  <w:tcW w:w="682" w:type="dxa"/>
                  <w:vMerge w:val="restart"/>
                  <w:shd w:val="clear" w:color="auto" w:fill="auto"/>
                  <w:noWrap/>
                  <w:vAlign w:val="center"/>
                </w:tcPr>
                <w:p w14:paraId="04D1D53A">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危险废物</w:t>
                  </w:r>
                </w:p>
              </w:tc>
              <w:tc>
                <w:tcPr>
                  <w:tcW w:w="10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DC3AD">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原料使用</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880C4">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固态</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0AC87">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玻璃、酸、有机物、金属盐等</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7ADBB">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1</w:t>
                  </w:r>
                  <w:r>
                    <w:rPr>
                      <w:rFonts w:eastAsia="仿宋"/>
                      <w:color w:val="000000" w:themeColor="text1"/>
                      <w:szCs w:val="21"/>
                      <w14:textFill>
                        <w14:solidFill>
                          <w14:schemeClr w14:val="tx1"/>
                        </w14:solidFill>
                      </w14:textFill>
                    </w:rPr>
                    <w:t>d</w:t>
                  </w:r>
                </w:p>
              </w:tc>
              <w:tc>
                <w:tcPr>
                  <w:tcW w:w="1275" w:type="dxa"/>
                  <w:vMerge w:val="continue"/>
                  <w:shd w:val="clear" w:color="auto" w:fill="auto"/>
                  <w:noWrap/>
                  <w:vAlign w:val="center"/>
                </w:tcPr>
                <w:p w14:paraId="0070ADFD">
                  <w:pPr>
                    <w:snapToGrid w:val="0"/>
                    <w:jc w:val="center"/>
                    <w:rPr>
                      <w:rFonts w:eastAsia="仿宋"/>
                      <w:color w:val="000000" w:themeColor="text1"/>
                      <w:szCs w:val="21"/>
                      <w14:textFill>
                        <w14:solidFill>
                          <w14:schemeClr w14:val="tx1"/>
                        </w14:solidFill>
                      </w14:textFill>
                    </w:rPr>
                  </w:pPr>
                </w:p>
              </w:tc>
              <w:tc>
                <w:tcPr>
                  <w:tcW w:w="1134" w:type="dxa"/>
                  <w:shd w:val="clear" w:color="auto" w:fill="auto"/>
                  <w:vAlign w:val="center"/>
                </w:tcPr>
                <w:p w14:paraId="7DCF683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T/C/IR</w:t>
                  </w:r>
                </w:p>
              </w:tc>
              <w:tc>
                <w:tcPr>
                  <w:tcW w:w="1134" w:type="dxa"/>
                  <w:shd w:val="clear" w:color="auto" w:fill="auto"/>
                  <w:vAlign w:val="center"/>
                </w:tcPr>
                <w:p w14:paraId="18DE3E1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HW49</w:t>
                  </w:r>
                </w:p>
              </w:tc>
              <w:tc>
                <w:tcPr>
                  <w:tcW w:w="1312" w:type="dxa"/>
                  <w:shd w:val="clear" w:color="auto" w:fill="auto"/>
                  <w:noWrap/>
                  <w:vAlign w:val="center"/>
                </w:tcPr>
                <w:p w14:paraId="210075E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900-047-49</w:t>
                  </w:r>
                </w:p>
              </w:tc>
              <w:tc>
                <w:tcPr>
                  <w:tcW w:w="1489" w:type="dxa"/>
                  <w:shd w:val="clear" w:color="auto" w:fill="auto"/>
                  <w:noWrap/>
                  <w:vAlign w:val="center"/>
                </w:tcPr>
                <w:p w14:paraId="29B7392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0.2</w:t>
                  </w:r>
                </w:p>
              </w:tc>
            </w:tr>
            <w:tr w14:paraId="3B477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C6CC4">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3</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590EB">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实验室一次性用品</w:t>
                  </w:r>
                </w:p>
              </w:tc>
              <w:tc>
                <w:tcPr>
                  <w:tcW w:w="682" w:type="dxa"/>
                  <w:vMerge w:val="continue"/>
                  <w:shd w:val="clear" w:color="auto" w:fill="auto"/>
                  <w:noWrap/>
                  <w:vAlign w:val="center"/>
                </w:tcPr>
                <w:p w14:paraId="2955488F">
                  <w:pPr>
                    <w:snapToGrid w:val="0"/>
                    <w:jc w:val="center"/>
                    <w:rPr>
                      <w:rFonts w:eastAsia="仿宋"/>
                      <w:color w:val="000000" w:themeColor="text1"/>
                      <w:szCs w:val="21"/>
                      <w14:textFill>
                        <w14:solidFill>
                          <w14:schemeClr w14:val="tx1"/>
                        </w14:solidFill>
                      </w14:textFill>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D70D6">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检测</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EA83F">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固态</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93EF2">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塑料、酸、有机物、金属盐</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09D6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1d</w:t>
                  </w:r>
                </w:p>
              </w:tc>
              <w:tc>
                <w:tcPr>
                  <w:tcW w:w="1275" w:type="dxa"/>
                  <w:vMerge w:val="continue"/>
                  <w:shd w:val="clear" w:color="auto" w:fill="auto"/>
                  <w:noWrap/>
                  <w:vAlign w:val="center"/>
                </w:tcPr>
                <w:p w14:paraId="12129FC8">
                  <w:pPr>
                    <w:snapToGrid w:val="0"/>
                    <w:jc w:val="center"/>
                    <w:rPr>
                      <w:rFonts w:eastAsia="仿宋"/>
                      <w:color w:val="000000" w:themeColor="text1"/>
                      <w:szCs w:val="21"/>
                      <w14:textFill>
                        <w14:solidFill>
                          <w14:schemeClr w14:val="tx1"/>
                        </w14:solidFill>
                      </w14:textFill>
                    </w:rPr>
                  </w:pPr>
                </w:p>
              </w:tc>
              <w:tc>
                <w:tcPr>
                  <w:tcW w:w="1134" w:type="dxa"/>
                  <w:shd w:val="clear" w:color="auto" w:fill="auto"/>
                  <w:vAlign w:val="center"/>
                </w:tcPr>
                <w:p w14:paraId="6F8873B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T/C/IR</w:t>
                  </w:r>
                </w:p>
              </w:tc>
              <w:tc>
                <w:tcPr>
                  <w:tcW w:w="1134" w:type="dxa"/>
                  <w:shd w:val="clear" w:color="auto" w:fill="auto"/>
                  <w:vAlign w:val="center"/>
                </w:tcPr>
                <w:p w14:paraId="60CB952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HW49</w:t>
                  </w:r>
                </w:p>
              </w:tc>
              <w:tc>
                <w:tcPr>
                  <w:tcW w:w="1312" w:type="dxa"/>
                  <w:shd w:val="clear" w:color="auto" w:fill="auto"/>
                  <w:noWrap/>
                  <w:vAlign w:val="center"/>
                </w:tcPr>
                <w:p w14:paraId="7D2523F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900-047-49</w:t>
                  </w:r>
                </w:p>
              </w:tc>
              <w:tc>
                <w:tcPr>
                  <w:tcW w:w="1489" w:type="dxa"/>
                  <w:shd w:val="clear" w:color="auto" w:fill="auto"/>
                  <w:noWrap/>
                  <w:vAlign w:val="center"/>
                </w:tcPr>
                <w:p w14:paraId="14E1F38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0.02</w:t>
                  </w:r>
                </w:p>
              </w:tc>
            </w:tr>
            <w:tr w14:paraId="48DFC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3D0B8">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4</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AF723">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实验废液</w:t>
                  </w:r>
                </w:p>
              </w:tc>
              <w:tc>
                <w:tcPr>
                  <w:tcW w:w="682" w:type="dxa"/>
                  <w:vMerge w:val="continue"/>
                  <w:shd w:val="clear" w:color="auto" w:fill="auto"/>
                  <w:noWrap/>
                  <w:vAlign w:val="center"/>
                </w:tcPr>
                <w:p w14:paraId="4F27E0D1">
                  <w:pPr>
                    <w:snapToGrid w:val="0"/>
                    <w:jc w:val="center"/>
                    <w:rPr>
                      <w:rFonts w:eastAsia="仿宋"/>
                      <w:color w:val="000000" w:themeColor="text1"/>
                      <w:szCs w:val="21"/>
                      <w14:textFill>
                        <w14:solidFill>
                          <w14:schemeClr w14:val="tx1"/>
                        </w14:solidFill>
                      </w14:textFill>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8895E">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检测</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AB404">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固态</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8C143">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酸、有机物、金属盐、水等</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B0FF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1d</w:t>
                  </w:r>
                </w:p>
              </w:tc>
              <w:tc>
                <w:tcPr>
                  <w:tcW w:w="1275" w:type="dxa"/>
                  <w:vMerge w:val="continue"/>
                  <w:shd w:val="clear" w:color="auto" w:fill="auto"/>
                  <w:noWrap/>
                  <w:vAlign w:val="center"/>
                </w:tcPr>
                <w:p w14:paraId="4BCF59E8">
                  <w:pPr>
                    <w:snapToGrid w:val="0"/>
                    <w:jc w:val="center"/>
                    <w:rPr>
                      <w:rFonts w:eastAsia="仿宋"/>
                      <w:color w:val="000000" w:themeColor="text1"/>
                      <w:szCs w:val="21"/>
                      <w14:textFill>
                        <w14:solidFill>
                          <w14:schemeClr w14:val="tx1"/>
                        </w14:solidFill>
                      </w14:textFill>
                    </w:rPr>
                  </w:pPr>
                </w:p>
              </w:tc>
              <w:tc>
                <w:tcPr>
                  <w:tcW w:w="1134" w:type="dxa"/>
                  <w:shd w:val="clear" w:color="auto" w:fill="auto"/>
                  <w:vAlign w:val="center"/>
                </w:tcPr>
                <w:p w14:paraId="6CB8EC7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T/C/IR</w:t>
                  </w:r>
                </w:p>
              </w:tc>
              <w:tc>
                <w:tcPr>
                  <w:tcW w:w="1134" w:type="dxa"/>
                  <w:shd w:val="clear" w:color="auto" w:fill="auto"/>
                  <w:vAlign w:val="center"/>
                </w:tcPr>
                <w:p w14:paraId="0D53E97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HW49</w:t>
                  </w:r>
                </w:p>
              </w:tc>
              <w:tc>
                <w:tcPr>
                  <w:tcW w:w="1312" w:type="dxa"/>
                  <w:shd w:val="clear" w:color="auto" w:fill="auto"/>
                  <w:noWrap/>
                  <w:vAlign w:val="center"/>
                </w:tcPr>
                <w:p w14:paraId="672F830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900-047-49</w:t>
                  </w:r>
                </w:p>
              </w:tc>
              <w:tc>
                <w:tcPr>
                  <w:tcW w:w="1489" w:type="dxa"/>
                  <w:shd w:val="clear" w:color="auto" w:fill="auto"/>
                  <w:noWrap/>
                  <w:vAlign w:val="center"/>
                </w:tcPr>
                <w:p w14:paraId="24C2310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1.308</w:t>
                  </w:r>
                </w:p>
              </w:tc>
            </w:tr>
            <w:tr w14:paraId="3840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0DA3C">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5</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0FFE5">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废抹布手套</w:t>
                  </w:r>
                </w:p>
              </w:tc>
              <w:tc>
                <w:tcPr>
                  <w:tcW w:w="682" w:type="dxa"/>
                  <w:vMerge w:val="continue"/>
                  <w:shd w:val="clear" w:color="auto" w:fill="auto"/>
                  <w:noWrap/>
                  <w:vAlign w:val="center"/>
                </w:tcPr>
                <w:p w14:paraId="0E95D4B4">
                  <w:pPr>
                    <w:snapToGrid w:val="0"/>
                    <w:jc w:val="center"/>
                    <w:rPr>
                      <w:rFonts w:eastAsia="仿宋"/>
                      <w:color w:val="000000" w:themeColor="text1"/>
                      <w:szCs w:val="21"/>
                      <w14:textFill>
                        <w14:solidFill>
                          <w14:schemeClr w14:val="tx1"/>
                        </w14:solidFill>
                      </w14:textFill>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DAF12">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实验室清洁</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2096D">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固态</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063CD">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棉、酸、有机物、金属盐等</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19B12">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3</w:t>
                  </w:r>
                  <w:r>
                    <w:rPr>
                      <w:rFonts w:eastAsia="仿宋"/>
                      <w:color w:val="000000" w:themeColor="text1"/>
                      <w:szCs w:val="21"/>
                      <w14:textFill>
                        <w14:solidFill>
                          <w14:schemeClr w14:val="tx1"/>
                        </w14:solidFill>
                      </w14:textFill>
                    </w:rPr>
                    <w:t>0d</w:t>
                  </w:r>
                </w:p>
              </w:tc>
              <w:tc>
                <w:tcPr>
                  <w:tcW w:w="1275" w:type="dxa"/>
                  <w:vMerge w:val="continue"/>
                  <w:shd w:val="clear" w:color="auto" w:fill="auto"/>
                  <w:noWrap/>
                  <w:vAlign w:val="center"/>
                </w:tcPr>
                <w:p w14:paraId="1E56D516">
                  <w:pPr>
                    <w:snapToGrid w:val="0"/>
                    <w:jc w:val="center"/>
                    <w:rPr>
                      <w:rFonts w:eastAsia="仿宋"/>
                      <w:color w:val="000000" w:themeColor="text1"/>
                      <w:szCs w:val="21"/>
                      <w14:textFill>
                        <w14:solidFill>
                          <w14:schemeClr w14:val="tx1"/>
                        </w14:solidFill>
                      </w14:textFill>
                    </w:rPr>
                  </w:pPr>
                </w:p>
              </w:tc>
              <w:tc>
                <w:tcPr>
                  <w:tcW w:w="1134" w:type="dxa"/>
                  <w:shd w:val="clear" w:color="auto" w:fill="auto"/>
                  <w:vAlign w:val="center"/>
                </w:tcPr>
                <w:p w14:paraId="043974C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T/C/IR</w:t>
                  </w:r>
                </w:p>
              </w:tc>
              <w:tc>
                <w:tcPr>
                  <w:tcW w:w="1134" w:type="dxa"/>
                  <w:shd w:val="clear" w:color="auto" w:fill="auto"/>
                  <w:vAlign w:val="center"/>
                </w:tcPr>
                <w:p w14:paraId="2B41AA3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HW49</w:t>
                  </w:r>
                </w:p>
              </w:tc>
              <w:tc>
                <w:tcPr>
                  <w:tcW w:w="1312" w:type="dxa"/>
                  <w:shd w:val="clear" w:color="auto" w:fill="auto"/>
                  <w:noWrap/>
                  <w:vAlign w:val="center"/>
                </w:tcPr>
                <w:p w14:paraId="112BFB7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900-047-49</w:t>
                  </w:r>
                </w:p>
              </w:tc>
              <w:tc>
                <w:tcPr>
                  <w:tcW w:w="1489" w:type="dxa"/>
                  <w:shd w:val="clear" w:color="auto" w:fill="auto"/>
                  <w:noWrap/>
                  <w:vAlign w:val="center"/>
                </w:tcPr>
                <w:p w14:paraId="5F5AC4E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0.02</w:t>
                  </w:r>
                </w:p>
              </w:tc>
            </w:tr>
            <w:tr w14:paraId="0F981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337BF">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6</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E5DD3">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废试剂</w:t>
                  </w:r>
                </w:p>
              </w:tc>
              <w:tc>
                <w:tcPr>
                  <w:tcW w:w="682" w:type="dxa"/>
                  <w:vMerge w:val="continue"/>
                  <w:shd w:val="clear" w:color="auto" w:fill="auto"/>
                  <w:noWrap/>
                  <w:vAlign w:val="center"/>
                </w:tcPr>
                <w:p w14:paraId="51022D69">
                  <w:pPr>
                    <w:snapToGrid w:val="0"/>
                    <w:jc w:val="center"/>
                    <w:rPr>
                      <w:rFonts w:eastAsia="仿宋"/>
                      <w:color w:val="000000" w:themeColor="text1"/>
                      <w:szCs w:val="21"/>
                      <w14:textFill>
                        <w14:solidFill>
                          <w14:schemeClr w14:val="tx1"/>
                        </w14:solidFill>
                      </w14:textFill>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4F31A">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废气处理</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F241A">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液态</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8FCB9">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酸、碱、有机物、金属盐、水等</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401AC">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3</w:t>
                  </w:r>
                  <w:r>
                    <w:rPr>
                      <w:rFonts w:eastAsia="仿宋"/>
                      <w:color w:val="000000" w:themeColor="text1"/>
                      <w:szCs w:val="21"/>
                      <w14:textFill>
                        <w14:solidFill>
                          <w14:schemeClr w14:val="tx1"/>
                        </w14:solidFill>
                      </w14:textFill>
                    </w:rPr>
                    <w:t>00d</w:t>
                  </w:r>
                </w:p>
              </w:tc>
              <w:tc>
                <w:tcPr>
                  <w:tcW w:w="1275" w:type="dxa"/>
                  <w:vMerge w:val="continue"/>
                  <w:shd w:val="clear" w:color="auto" w:fill="auto"/>
                  <w:noWrap/>
                  <w:vAlign w:val="center"/>
                </w:tcPr>
                <w:p w14:paraId="3B2113BA">
                  <w:pPr>
                    <w:snapToGrid w:val="0"/>
                    <w:jc w:val="center"/>
                    <w:rPr>
                      <w:rFonts w:eastAsia="仿宋"/>
                      <w:color w:val="000000" w:themeColor="text1"/>
                      <w:szCs w:val="21"/>
                      <w14:textFill>
                        <w14:solidFill>
                          <w14:schemeClr w14:val="tx1"/>
                        </w14:solidFill>
                      </w14:textFill>
                    </w:rPr>
                  </w:pPr>
                </w:p>
              </w:tc>
              <w:tc>
                <w:tcPr>
                  <w:tcW w:w="1134" w:type="dxa"/>
                  <w:shd w:val="clear" w:color="auto" w:fill="auto"/>
                  <w:vAlign w:val="center"/>
                </w:tcPr>
                <w:p w14:paraId="7EFEA44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T/C/IR</w:t>
                  </w:r>
                </w:p>
              </w:tc>
              <w:tc>
                <w:tcPr>
                  <w:tcW w:w="1134" w:type="dxa"/>
                  <w:shd w:val="clear" w:color="auto" w:fill="auto"/>
                  <w:vAlign w:val="center"/>
                </w:tcPr>
                <w:p w14:paraId="09F2271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HW49</w:t>
                  </w:r>
                </w:p>
              </w:tc>
              <w:tc>
                <w:tcPr>
                  <w:tcW w:w="1312" w:type="dxa"/>
                  <w:shd w:val="clear" w:color="auto" w:fill="auto"/>
                  <w:noWrap/>
                  <w:vAlign w:val="center"/>
                </w:tcPr>
                <w:p w14:paraId="29D286C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900-047-49</w:t>
                  </w:r>
                </w:p>
              </w:tc>
              <w:tc>
                <w:tcPr>
                  <w:tcW w:w="1489" w:type="dxa"/>
                  <w:shd w:val="clear" w:color="auto" w:fill="auto"/>
                  <w:noWrap/>
                  <w:vAlign w:val="center"/>
                </w:tcPr>
                <w:p w14:paraId="0C896FF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0.02</w:t>
                  </w:r>
                </w:p>
              </w:tc>
            </w:tr>
            <w:tr w14:paraId="16F60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FC9C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BB946">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废活性炭</w:t>
                  </w:r>
                </w:p>
              </w:tc>
              <w:tc>
                <w:tcPr>
                  <w:tcW w:w="682" w:type="dxa"/>
                  <w:vMerge w:val="continue"/>
                  <w:shd w:val="clear" w:color="auto" w:fill="auto"/>
                  <w:noWrap/>
                  <w:vAlign w:val="center"/>
                </w:tcPr>
                <w:p w14:paraId="2DCF62D6">
                  <w:pPr>
                    <w:snapToGrid w:val="0"/>
                    <w:jc w:val="center"/>
                    <w:rPr>
                      <w:rFonts w:eastAsia="仿宋"/>
                      <w:color w:val="000000" w:themeColor="text1"/>
                      <w:szCs w:val="21"/>
                      <w14:textFill>
                        <w14:solidFill>
                          <w14:schemeClr w14:val="tx1"/>
                        </w14:solidFill>
                      </w14:textFill>
                    </w:rPr>
                  </w:pP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F6C42">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废气处理</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8E283">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固态</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6A0D2">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碳、有机物</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45AF9">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9</w:t>
                  </w:r>
                  <w:r>
                    <w:rPr>
                      <w:rFonts w:eastAsia="仿宋"/>
                      <w:color w:val="000000" w:themeColor="text1"/>
                      <w:szCs w:val="21"/>
                      <w14:textFill>
                        <w14:solidFill>
                          <w14:schemeClr w14:val="tx1"/>
                        </w14:solidFill>
                      </w14:textFill>
                    </w:rPr>
                    <w:t>0d</w:t>
                  </w:r>
                </w:p>
              </w:tc>
              <w:tc>
                <w:tcPr>
                  <w:tcW w:w="1275" w:type="dxa"/>
                  <w:vMerge w:val="continue"/>
                  <w:shd w:val="clear" w:color="auto" w:fill="auto"/>
                  <w:noWrap/>
                  <w:vAlign w:val="center"/>
                </w:tcPr>
                <w:p w14:paraId="2882F5A0">
                  <w:pPr>
                    <w:snapToGrid w:val="0"/>
                    <w:jc w:val="center"/>
                    <w:rPr>
                      <w:rFonts w:eastAsia="仿宋"/>
                      <w:color w:val="000000" w:themeColor="text1"/>
                      <w:szCs w:val="21"/>
                      <w14:textFill>
                        <w14:solidFill>
                          <w14:schemeClr w14:val="tx1"/>
                        </w14:solidFill>
                      </w14:textFill>
                    </w:rPr>
                  </w:pPr>
                </w:p>
              </w:tc>
              <w:tc>
                <w:tcPr>
                  <w:tcW w:w="1134" w:type="dxa"/>
                  <w:shd w:val="clear" w:color="auto" w:fill="auto"/>
                  <w:noWrap/>
                  <w:vAlign w:val="center"/>
                </w:tcPr>
                <w:p w14:paraId="4315B592">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T</w:t>
                  </w:r>
                </w:p>
              </w:tc>
              <w:tc>
                <w:tcPr>
                  <w:tcW w:w="1134" w:type="dxa"/>
                  <w:shd w:val="clear" w:color="auto" w:fill="auto"/>
                  <w:noWrap/>
                  <w:vAlign w:val="center"/>
                </w:tcPr>
                <w:p w14:paraId="32E36F97">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HW</w:t>
                  </w:r>
                  <w:r>
                    <w:rPr>
                      <w:rFonts w:eastAsia="仿宋"/>
                      <w:color w:val="000000" w:themeColor="text1"/>
                      <w:szCs w:val="21"/>
                      <w14:textFill>
                        <w14:solidFill>
                          <w14:schemeClr w14:val="tx1"/>
                        </w14:solidFill>
                      </w14:textFill>
                    </w:rPr>
                    <w:t>49</w:t>
                  </w:r>
                </w:p>
              </w:tc>
              <w:tc>
                <w:tcPr>
                  <w:tcW w:w="1312" w:type="dxa"/>
                  <w:shd w:val="clear" w:color="auto" w:fill="auto"/>
                  <w:noWrap/>
                  <w:vAlign w:val="center"/>
                </w:tcPr>
                <w:p w14:paraId="5A3CCD9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900-039-49</w:t>
                  </w:r>
                </w:p>
              </w:tc>
              <w:tc>
                <w:tcPr>
                  <w:tcW w:w="1489" w:type="dxa"/>
                  <w:shd w:val="clear" w:color="auto" w:fill="auto"/>
                  <w:noWrap/>
                  <w:vAlign w:val="center"/>
                </w:tcPr>
                <w:p w14:paraId="69A9177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2.261</w:t>
                  </w:r>
                </w:p>
              </w:tc>
            </w:tr>
            <w:tr w14:paraId="6D2C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9FFDF">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8</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A03A5">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生活垃圾</w:t>
                  </w:r>
                </w:p>
              </w:tc>
              <w:tc>
                <w:tcPr>
                  <w:tcW w:w="682" w:type="dxa"/>
                  <w:shd w:val="clear" w:color="auto" w:fill="auto"/>
                  <w:noWrap/>
                  <w:vAlign w:val="center"/>
                </w:tcPr>
                <w:p w14:paraId="474AD809">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w:t>
                  </w:r>
                </w:p>
              </w:tc>
              <w:tc>
                <w:tcPr>
                  <w:tcW w:w="10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EBE4B">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生产、办公</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701BC">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固态</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A75DE">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8A722">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1</w:t>
                  </w:r>
                  <w:r>
                    <w:rPr>
                      <w:rFonts w:eastAsia="仿宋"/>
                      <w:color w:val="000000" w:themeColor="text1"/>
                      <w:szCs w:val="21"/>
                      <w14:textFill>
                        <w14:solidFill>
                          <w14:schemeClr w14:val="tx1"/>
                        </w14:solidFill>
                      </w14:textFill>
                    </w:rPr>
                    <w:t>d</w:t>
                  </w:r>
                </w:p>
              </w:tc>
              <w:tc>
                <w:tcPr>
                  <w:tcW w:w="1275" w:type="dxa"/>
                  <w:vMerge w:val="continue"/>
                  <w:shd w:val="clear" w:color="auto" w:fill="auto"/>
                  <w:noWrap/>
                  <w:vAlign w:val="center"/>
                </w:tcPr>
                <w:p w14:paraId="66C082E4">
                  <w:pPr>
                    <w:snapToGrid w:val="0"/>
                    <w:jc w:val="center"/>
                    <w:rPr>
                      <w:rFonts w:eastAsia="仿宋"/>
                      <w:color w:val="000000" w:themeColor="text1"/>
                      <w:szCs w:val="21"/>
                      <w14:textFill>
                        <w14:solidFill>
                          <w14:schemeClr w14:val="tx1"/>
                        </w14:solidFill>
                      </w14:textFill>
                    </w:rPr>
                  </w:pPr>
                </w:p>
              </w:tc>
              <w:tc>
                <w:tcPr>
                  <w:tcW w:w="1134" w:type="dxa"/>
                  <w:shd w:val="clear" w:color="auto" w:fill="auto"/>
                  <w:noWrap/>
                  <w:vAlign w:val="center"/>
                </w:tcPr>
                <w:p w14:paraId="026A3FD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1134" w:type="dxa"/>
                  <w:shd w:val="clear" w:color="auto" w:fill="auto"/>
                  <w:noWrap/>
                  <w:vAlign w:val="center"/>
                </w:tcPr>
                <w:p w14:paraId="41210CB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1312" w:type="dxa"/>
                  <w:shd w:val="clear" w:color="auto" w:fill="auto"/>
                  <w:noWrap/>
                  <w:vAlign w:val="center"/>
                </w:tcPr>
                <w:p w14:paraId="2BF216B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1489" w:type="dxa"/>
                  <w:shd w:val="clear" w:color="auto" w:fill="auto"/>
                  <w:noWrap/>
                  <w:vAlign w:val="center"/>
                </w:tcPr>
                <w:p w14:paraId="015D23A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w:t>
                  </w:r>
                </w:p>
              </w:tc>
            </w:tr>
          </w:tbl>
          <w:p w14:paraId="1823C2D3">
            <w:pPr>
              <w:keepNext/>
              <w:spacing w:line="480" w:lineRule="exact"/>
              <w:jc w:val="center"/>
              <w:rPr>
                <w:rFonts w:eastAsia="仿宋"/>
                <w:b/>
                <w:color w:val="000000" w:themeColor="text1"/>
                <w:szCs w:val="21"/>
                <w14:textFill>
                  <w14:solidFill>
                    <w14:schemeClr w14:val="tx1"/>
                  </w14:solidFill>
                </w14:textFill>
              </w:rPr>
            </w:pPr>
          </w:p>
          <w:p w14:paraId="28CB41B7">
            <w:pPr>
              <w:keepNext/>
              <w:spacing w:line="480" w:lineRule="exact"/>
              <w:rPr>
                <w:rFonts w:eastAsia="仿宋"/>
                <w:b/>
                <w:color w:val="000000" w:themeColor="text1"/>
                <w:szCs w:val="21"/>
                <w14:textFill>
                  <w14:solidFill>
                    <w14:schemeClr w14:val="tx1"/>
                  </w14:solidFill>
                </w14:textFill>
              </w:rPr>
            </w:pPr>
          </w:p>
          <w:p w14:paraId="02932188">
            <w:pPr>
              <w:keepNext/>
              <w:spacing w:line="480" w:lineRule="exact"/>
              <w:jc w:val="center"/>
              <w:rPr>
                <w:rFonts w:eastAsia="仿宋"/>
                <w:b/>
                <w:color w:val="000000" w:themeColor="text1"/>
                <w:szCs w:val="21"/>
                <w14:textFill>
                  <w14:solidFill>
                    <w14:schemeClr w14:val="tx1"/>
                  </w14:solidFill>
                </w14:textFill>
              </w:rPr>
            </w:pPr>
          </w:p>
          <w:p w14:paraId="03E79965">
            <w:pPr>
              <w:spacing w:line="480" w:lineRule="exact"/>
              <w:rPr>
                <w:rFonts w:eastAsia="仿宋"/>
                <w:color w:val="000000" w:themeColor="text1"/>
                <w:sz w:val="24"/>
                <w14:textFill>
                  <w14:solidFill>
                    <w14:schemeClr w14:val="tx1"/>
                  </w14:solidFill>
                </w14:textFill>
              </w:rPr>
            </w:pPr>
          </w:p>
        </w:tc>
      </w:tr>
    </w:tbl>
    <w:p w14:paraId="2D924E35">
      <w:pPr>
        <w:pStyle w:val="21"/>
        <w:jc w:val="both"/>
        <w:outlineLvl w:val="9"/>
        <w:rPr>
          <w:color w:val="000000" w:themeColor="text1"/>
          <w14:textFill>
            <w14:solidFill>
              <w14:schemeClr w14:val="tx1"/>
            </w14:solidFill>
          </w14:textFill>
        </w:rPr>
        <w:sectPr>
          <w:pgSz w:w="16838" w:h="11906" w:orient="landscape"/>
          <w:pgMar w:top="1531" w:right="1701" w:bottom="1531" w:left="1701" w:header="851" w:footer="851" w:gutter="0"/>
          <w:cols w:space="720" w:num="1"/>
          <w:docGrid w:linePitch="312" w:charSpace="0"/>
        </w:sectPr>
      </w:pPr>
    </w:p>
    <w:tbl>
      <w:tblPr>
        <w:tblStyle w:val="24"/>
        <w:tblW w:w="553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3"/>
        <w:gridCol w:w="9321"/>
      </w:tblGrid>
      <w:tr w14:paraId="55142C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13" w:type="pct"/>
            <w:noWrap/>
            <w:tcMar>
              <w:left w:w="28" w:type="dxa"/>
              <w:right w:w="28" w:type="dxa"/>
            </w:tcMar>
            <w:vAlign w:val="center"/>
          </w:tcPr>
          <w:p w14:paraId="6388069C">
            <w:pPr>
              <w:adjustRightInd w:val="0"/>
              <w:snapToGrid w:val="0"/>
              <w:jc w:val="center"/>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运营期环境影响和保护措施</w:t>
            </w:r>
          </w:p>
        </w:tc>
        <w:tc>
          <w:tcPr>
            <w:tcW w:w="4687" w:type="pct"/>
            <w:noWrap/>
            <w:vAlign w:val="center"/>
          </w:tcPr>
          <w:p w14:paraId="7E417468">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2、污染防治措施及污染物排放分析</w:t>
            </w:r>
          </w:p>
          <w:p w14:paraId="301BBDBB">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（1）污染防治措施</w:t>
            </w:r>
          </w:p>
          <w:p w14:paraId="334A83D4">
            <w:pPr>
              <w:spacing w:line="480" w:lineRule="exact"/>
              <w:ind w:firstLine="480" w:firstLineChars="200"/>
              <w:rPr>
                <w:rFonts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①废RO膜外售综合利用；②废包装桶/袋、实验室一次性用品、检测废液、废抹布手套、废活性炭、废气吸收废液委托有资质单位处置</w:t>
            </w:r>
            <w:r>
              <w:rPr>
                <w:rFonts w:eastAsia="仿宋"/>
                <w:bCs/>
                <w:color w:val="000000" w:themeColor="text1"/>
                <w:sz w:val="24"/>
                <w14:textFill>
                  <w14:solidFill>
                    <w14:schemeClr w14:val="tx1"/>
                  </w14:solidFill>
                </w14:textFill>
              </w:rPr>
              <w:t>。</w:t>
            </w:r>
          </w:p>
          <w:p w14:paraId="4CB02E23">
            <w:pPr>
              <w:spacing w:line="480" w:lineRule="exact"/>
              <w:ind w:firstLine="480" w:firstLineChars="200"/>
              <w:rPr>
                <w:rFonts w:eastAsia="仿宋"/>
                <w:b/>
                <w:color w:val="000000" w:themeColor="text1"/>
                <w:szCs w:val="21"/>
                <w14:textFill>
                  <w14:solidFill>
                    <w14:schemeClr w14:val="tx1"/>
                  </w14:solidFill>
                </w14:textFill>
              </w:rPr>
            </w:pPr>
            <w:r>
              <w:rPr>
                <w:rFonts w:eastAsia="仿宋"/>
                <w:bCs/>
                <w:color w:val="000000" w:themeColor="text1"/>
                <w:sz w:val="24"/>
                <w14:textFill>
                  <w14:solidFill>
                    <w14:schemeClr w14:val="tx1"/>
                  </w14:solidFill>
                </w14:textFill>
              </w:rPr>
              <w:t>（2）排放情况</w:t>
            </w:r>
          </w:p>
          <w:p w14:paraId="1DE6D18E">
            <w:pPr>
              <w:keepNext/>
              <w:spacing w:line="480" w:lineRule="exact"/>
              <w:jc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表4</w:t>
            </w:r>
            <w:r>
              <w:rPr>
                <w:rFonts w:eastAsia="仿宋"/>
                <w:b/>
                <w:color w:val="000000" w:themeColor="text1"/>
                <w:szCs w:val="21"/>
                <w14:textFill>
                  <w14:solidFill>
                    <w14:schemeClr w14:val="tx1"/>
                  </w14:solidFill>
                </w14:textFill>
              </w:rPr>
              <w:t>-31 本项目固废排放情况一览表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901"/>
              <w:gridCol w:w="728"/>
              <w:gridCol w:w="729"/>
              <w:gridCol w:w="583"/>
              <w:gridCol w:w="1020"/>
              <w:gridCol w:w="697"/>
              <w:gridCol w:w="1344"/>
              <w:gridCol w:w="873"/>
              <w:gridCol w:w="874"/>
              <w:gridCol w:w="897"/>
            </w:tblGrid>
            <w:tr w14:paraId="12F7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jc w:val="center"/>
              </w:trPr>
              <w:tc>
                <w:tcPr>
                  <w:tcW w:w="436" w:type="dxa"/>
                  <w:shd w:val="clear" w:color="auto" w:fill="auto"/>
                  <w:vAlign w:val="center"/>
                </w:tcPr>
                <w:p w14:paraId="3B01EA16">
                  <w:pPr>
                    <w:snapToGrid w:val="0"/>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序号</w:t>
                  </w:r>
                </w:p>
              </w:tc>
              <w:tc>
                <w:tcPr>
                  <w:tcW w:w="885" w:type="dxa"/>
                  <w:shd w:val="clear" w:color="auto" w:fill="auto"/>
                  <w:vAlign w:val="center"/>
                </w:tcPr>
                <w:p w14:paraId="537E1BFE">
                  <w:pPr>
                    <w:snapToGrid w:val="0"/>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固废名称</w:t>
                  </w:r>
                </w:p>
              </w:tc>
              <w:tc>
                <w:tcPr>
                  <w:tcW w:w="715" w:type="dxa"/>
                  <w:shd w:val="clear" w:color="auto" w:fill="auto"/>
                  <w:noWrap/>
                  <w:vAlign w:val="center"/>
                </w:tcPr>
                <w:p w14:paraId="2804BC7C">
                  <w:pPr>
                    <w:snapToGrid w:val="0"/>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性质</w:t>
                  </w:r>
                </w:p>
              </w:tc>
              <w:tc>
                <w:tcPr>
                  <w:tcW w:w="716" w:type="dxa"/>
                  <w:shd w:val="clear" w:color="auto" w:fill="auto"/>
                  <w:vAlign w:val="center"/>
                </w:tcPr>
                <w:p w14:paraId="58BFB963">
                  <w:pPr>
                    <w:snapToGrid w:val="0"/>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产生工序</w:t>
                  </w:r>
                </w:p>
              </w:tc>
              <w:tc>
                <w:tcPr>
                  <w:tcW w:w="573" w:type="dxa"/>
                  <w:shd w:val="clear" w:color="auto" w:fill="auto"/>
                  <w:vAlign w:val="center"/>
                </w:tcPr>
                <w:p w14:paraId="4E37EAB9">
                  <w:pPr>
                    <w:snapToGrid w:val="0"/>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形态</w:t>
                  </w:r>
                </w:p>
              </w:tc>
              <w:tc>
                <w:tcPr>
                  <w:tcW w:w="1002" w:type="dxa"/>
                  <w:shd w:val="clear" w:color="auto" w:fill="auto"/>
                  <w:vAlign w:val="center"/>
                </w:tcPr>
                <w:p w14:paraId="52349A4A">
                  <w:pPr>
                    <w:snapToGrid w:val="0"/>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主要成分</w:t>
                  </w:r>
                </w:p>
              </w:tc>
              <w:tc>
                <w:tcPr>
                  <w:tcW w:w="685" w:type="dxa"/>
                  <w:shd w:val="clear" w:color="auto" w:fill="auto"/>
                  <w:vAlign w:val="center"/>
                </w:tcPr>
                <w:p w14:paraId="470FF5FA">
                  <w:pPr>
                    <w:snapToGrid w:val="0"/>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废物类别</w:t>
                  </w:r>
                </w:p>
              </w:tc>
              <w:tc>
                <w:tcPr>
                  <w:tcW w:w="1320" w:type="dxa"/>
                  <w:shd w:val="clear" w:color="auto" w:fill="auto"/>
                  <w:vAlign w:val="center"/>
                </w:tcPr>
                <w:p w14:paraId="4A5C63A4">
                  <w:pPr>
                    <w:snapToGrid w:val="0"/>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废物代码</w:t>
                  </w:r>
                </w:p>
              </w:tc>
              <w:tc>
                <w:tcPr>
                  <w:tcW w:w="858" w:type="dxa"/>
                  <w:shd w:val="clear" w:color="auto" w:fill="auto"/>
                  <w:vAlign w:val="center"/>
                </w:tcPr>
                <w:p w14:paraId="55677307">
                  <w:pPr>
                    <w:snapToGrid w:val="0"/>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产生量（t/a）</w:t>
                  </w:r>
                </w:p>
              </w:tc>
              <w:tc>
                <w:tcPr>
                  <w:tcW w:w="859" w:type="dxa"/>
                  <w:shd w:val="clear" w:color="auto" w:fill="auto"/>
                  <w:vAlign w:val="center"/>
                </w:tcPr>
                <w:p w14:paraId="7CB4B552">
                  <w:pPr>
                    <w:snapToGrid w:val="0"/>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排放量（t/a）</w:t>
                  </w:r>
                </w:p>
              </w:tc>
              <w:tc>
                <w:tcPr>
                  <w:tcW w:w="881" w:type="dxa"/>
                  <w:shd w:val="clear" w:color="auto" w:fill="auto"/>
                  <w:vAlign w:val="center"/>
                </w:tcPr>
                <w:p w14:paraId="3B9D0C91">
                  <w:pPr>
                    <w:snapToGrid w:val="0"/>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处置方式</w:t>
                  </w:r>
                </w:p>
              </w:tc>
            </w:tr>
            <w:tr w14:paraId="24AC1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36" w:type="dxa"/>
                  <w:shd w:val="clear" w:color="auto" w:fill="auto"/>
                  <w:vAlign w:val="center"/>
                </w:tcPr>
                <w:p w14:paraId="4A88640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176D1">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废RO膜</w:t>
                  </w:r>
                </w:p>
              </w:tc>
              <w:tc>
                <w:tcPr>
                  <w:tcW w:w="715" w:type="dxa"/>
                  <w:shd w:val="clear" w:color="auto" w:fill="auto"/>
                  <w:noWrap/>
                  <w:vAlign w:val="center"/>
                </w:tcPr>
                <w:p w14:paraId="34E824D1">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一般固废</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92730">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纯水制备</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13E4B">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固态</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FA5A1">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树脂</w:t>
                  </w:r>
                </w:p>
              </w:tc>
              <w:tc>
                <w:tcPr>
                  <w:tcW w:w="685" w:type="dxa"/>
                  <w:shd w:val="clear" w:color="auto" w:fill="auto"/>
                  <w:vAlign w:val="center"/>
                </w:tcPr>
                <w:p w14:paraId="0101D7ED">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14:textFill>
                        <w14:solidFill>
                          <w14:schemeClr w14:val="tx1"/>
                        </w14:solidFill>
                      </w14:textFill>
                    </w:rPr>
                    <w:t>9</w:t>
                  </w:r>
                  <w:r>
                    <w:rPr>
                      <w:rFonts w:eastAsia="仿宋"/>
                      <w:color w:val="000000" w:themeColor="text1"/>
                      <w14:textFill>
                        <w14:solidFill>
                          <w14:schemeClr w14:val="tx1"/>
                        </w14:solidFill>
                      </w14:textFill>
                    </w:rPr>
                    <w:t>9</w:t>
                  </w:r>
                </w:p>
              </w:tc>
              <w:tc>
                <w:tcPr>
                  <w:tcW w:w="1320" w:type="dxa"/>
                  <w:shd w:val="clear" w:color="auto" w:fill="auto"/>
                  <w:noWrap/>
                  <w:vAlign w:val="center"/>
                </w:tcPr>
                <w:p w14:paraId="3EC548AF">
                  <w:pPr>
                    <w:snapToGrid w:val="0"/>
                    <w:jc w:val="center"/>
                    <w:rPr>
                      <w:rFonts w:eastAsia="仿宋"/>
                      <w:color w:val="000000" w:themeColor="text1"/>
                      <w14:textFill>
                        <w14:solidFill>
                          <w14:schemeClr w14:val="tx1"/>
                        </w14:solidFill>
                      </w14:textFill>
                    </w:rPr>
                  </w:pPr>
                  <w:r>
                    <w:rPr>
                      <w:rFonts w:hint="eastAsia" w:eastAsia="仿宋"/>
                      <w:color w:val="000000" w:themeColor="text1"/>
                      <w14:textFill>
                        <w14:solidFill>
                          <w14:schemeClr w14:val="tx1"/>
                        </w14:solidFill>
                      </w14:textFill>
                    </w:rPr>
                    <w:t>3</w:t>
                  </w:r>
                  <w:r>
                    <w:rPr>
                      <w:rFonts w:eastAsia="仿宋"/>
                      <w:color w:val="000000" w:themeColor="text1"/>
                      <w14:textFill>
                        <w14:solidFill>
                          <w14:schemeClr w14:val="tx1"/>
                        </w14:solidFill>
                      </w14:textFill>
                    </w:rPr>
                    <w:t>98-999-99</w:t>
                  </w:r>
                </w:p>
              </w:tc>
              <w:tc>
                <w:tcPr>
                  <w:tcW w:w="858" w:type="dxa"/>
                  <w:shd w:val="clear" w:color="auto" w:fill="auto"/>
                  <w:noWrap/>
                  <w:vAlign w:val="center"/>
                </w:tcPr>
                <w:p w14:paraId="3182342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0.054t/2~3a</w:t>
                  </w:r>
                </w:p>
              </w:tc>
              <w:tc>
                <w:tcPr>
                  <w:tcW w:w="859" w:type="dxa"/>
                  <w:shd w:val="clear" w:color="auto" w:fill="auto"/>
                  <w:noWrap/>
                  <w:vAlign w:val="center"/>
                </w:tcPr>
                <w:p w14:paraId="6B175B30">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0</w:t>
                  </w:r>
                </w:p>
              </w:tc>
              <w:tc>
                <w:tcPr>
                  <w:tcW w:w="881" w:type="dxa"/>
                  <w:shd w:val="clear" w:color="auto" w:fill="auto"/>
                  <w:noWrap/>
                  <w:vAlign w:val="center"/>
                </w:tcPr>
                <w:p w14:paraId="7A1221EA">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外售综合利用</w:t>
                  </w:r>
                </w:p>
              </w:tc>
            </w:tr>
            <w:tr w14:paraId="2E20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436" w:type="dxa"/>
                  <w:shd w:val="clear" w:color="auto" w:fill="auto"/>
                  <w:vAlign w:val="center"/>
                </w:tcPr>
                <w:p w14:paraId="797BAA6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5756F">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废包装桶/袋</w:t>
                  </w:r>
                </w:p>
              </w:tc>
              <w:tc>
                <w:tcPr>
                  <w:tcW w:w="715" w:type="dxa"/>
                  <w:vMerge w:val="restart"/>
                  <w:shd w:val="clear" w:color="auto" w:fill="auto"/>
                  <w:noWrap/>
                  <w:vAlign w:val="center"/>
                </w:tcPr>
                <w:p w14:paraId="3BB6DD65">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危险废物</w:t>
                  </w: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83CC3">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原料使用</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FF335">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固态</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22786">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玻璃、酸、有机物、金属盐等</w:t>
                  </w:r>
                </w:p>
              </w:tc>
              <w:tc>
                <w:tcPr>
                  <w:tcW w:w="685" w:type="dxa"/>
                  <w:shd w:val="clear" w:color="auto" w:fill="auto"/>
                  <w:vAlign w:val="center"/>
                </w:tcPr>
                <w:p w14:paraId="30730F6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HW49</w:t>
                  </w:r>
                </w:p>
              </w:tc>
              <w:tc>
                <w:tcPr>
                  <w:tcW w:w="1320" w:type="dxa"/>
                  <w:shd w:val="clear" w:color="auto" w:fill="auto"/>
                  <w:noWrap/>
                  <w:vAlign w:val="center"/>
                </w:tcPr>
                <w:p w14:paraId="4922C67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900-047-49</w:t>
                  </w:r>
                </w:p>
              </w:tc>
              <w:tc>
                <w:tcPr>
                  <w:tcW w:w="858" w:type="dxa"/>
                  <w:shd w:val="clear" w:color="auto" w:fill="auto"/>
                  <w:noWrap/>
                  <w:vAlign w:val="center"/>
                </w:tcPr>
                <w:p w14:paraId="5623F00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0.2</w:t>
                  </w:r>
                </w:p>
              </w:tc>
              <w:tc>
                <w:tcPr>
                  <w:tcW w:w="859" w:type="dxa"/>
                  <w:shd w:val="clear" w:color="auto" w:fill="auto"/>
                  <w:noWrap/>
                  <w:vAlign w:val="center"/>
                </w:tcPr>
                <w:p w14:paraId="3BBD57D3">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0</w:t>
                  </w:r>
                </w:p>
              </w:tc>
              <w:tc>
                <w:tcPr>
                  <w:tcW w:w="881" w:type="dxa"/>
                  <w:vMerge w:val="restart"/>
                  <w:shd w:val="clear" w:color="auto" w:fill="auto"/>
                  <w:noWrap/>
                  <w:vAlign w:val="center"/>
                </w:tcPr>
                <w:p w14:paraId="69DF1477">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委托有资质单位处置</w:t>
                  </w:r>
                </w:p>
              </w:tc>
            </w:tr>
            <w:tr w14:paraId="6EB88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36" w:type="dxa"/>
                  <w:shd w:val="clear" w:color="auto" w:fill="auto"/>
                  <w:vAlign w:val="center"/>
                </w:tcPr>
                <w:p w14:paraId="41F4416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D1FB2">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实验室一次性用品</w:t>
                  </w:r>
                </w:p>
              </w:tc>
              <w:tc>
                <w:tcPr>
                  <w:tcW w:w="715" w:type="dxa"/>
                  <w:vMerge w:val="continue"/>
                  <w:shd w:val="clear" w:color="auto" w:fill="auto"/>
                  <w:noWrap/>
                  <w:vAlign w:val="center"/>
                </w:tcPr>
                <w:p w14:paraId="2535DA5D">
                  <w:pPr>
                    <w:snapToGrid w:val="0"/>
                    <w:jc w:val="center"/>
                    <w:rPr>
                      <w:rFonts w:eastAsia="仿宋"/>
                      <w:color w:val="000000" w:themeColor="text1"/>
                      <w:szCs w:val="21"/>
                      <w14:textFill>
                        <w14:solidFill>
                          <w14:schemeClr w14:val="tx1"/>
                        </w14:solidFill>
                      </w14:textFill>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6EE70">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检测</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61190">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固态</w:t>
                  </w:r>
                </w:p>
              </w:tc>
              <w:tc>
                <w:tcPr>
                  <w:tcW w:w="10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C70BF">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塑料、酸、有机物、金属盐</w:t>
                  </w:r>
                </w:p>
              </w:tc>
              <w:tc>
                <w:tcPr>
                  <w:tcW w:w="685" w:type="dxa"/>
                  <w:shd w:val="clear" w:color="auto" w:fill="auto"/>
                  <w:vAlign w:val="center"/>
                </w:tcPr>
                <w:p w14:paraId="014E020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HW49</w:t>
                  </w:r>
                </w:p>
              </w:tc>
              <w:tc>
                <w:tcPr>
                  <w:tcW w:w="1320" w:type="dxa"/>
                  <w:shd w:val="clear" w:color="auto" w:fill="auto"/>
                  <w:noWrap/>
                  <w:vAlign w:val="center"/>
                </w:tcPr>
                <w:p w14:paraId="28B10B6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900-047-49</w:t>
                  </w:r>
                </w:p>
              </w:tc>
              <w:tc>
                <w:tcPr>
                  <w:tcW w:w="858" w:type="dxa"/>
                  <w:shd w:val="clear" w:color="auto" w:fill="auto"/>
                  <w:noWrap/>
                  <w:vAlign w:val="center"/>
                </w:tcPr>
                <w:p w14:paraId="2B0E689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0.02</w:t>
                  </w:r>
                </w:p>
              </w:tc>
              <w:tc>
                <w:tcPr>
                  <w:tcW w:w="859" w:type="dxa"/>
                  <w:shd w:val="clear" w:color="auto" w:fill="auto"/>
                  <w:noWrap/>
                  <w:vAlign w:val="center"/>
                </w:tcPr>
                <w:p w14:paraId="62CF8B30">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0</w:t>
                  </w:r>
                </w:p>
              </w:tc>
              <w:tc>
                <w:tcPr>
                  <w:tcW w:w="881" w:type="dxa"/>
                  <w:vMerge w:val="continue"/>
                  <w:shd w:val="clear" w:color="auto" w:fill="auto"/>
                  <w:noWrap/>
                  <w:vAlign w:val="center"/>
                </w:tcPr>
                <w:p w14:paraId="4F1B8B36">
                  <w:pPr>
                    <w:snapToGrid w:val="0"/>
                    <w:jc w:val="center"/>
                    <w:rPr>
                      <w:rFonts w:eastAsia="仿宋"/>
                      <w:color w:val="000000" w:themeColor="text1"/>
                      <w:szCs w:val="21"/>
                      <w14:textFill>
                        <w14:solidFill>
                          <w14:schemeClr w14:val="tx1"/>
                        </w14:solidFill>
                      </w14:textFill>
                    </w:rPr>
                  </w:pPr>
                </w:p>
              </w:tc>
            </w:tr>
            <w:tr w14:paraId="47101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36" w:type="dxa"/>
                  <w:shd w:val="clear" w:color="auto" w:fill="auto"/>
                  <w:vAlign w:val="center"/>
                </w:tcPr>
                <w:p w14:paraId="37F24552">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4</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A1CA6">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实验废液</w:t>
                  </w:r>
                </w:p>
              </w:tc>
              <w:tc>
                <w:tcPr>
                  <w:tcW w:w="715" w:type="dxa"/>
                  <w:vMerge w:val="continue"/>
                  <w:shd w:val="clear" w:color="auto" w:fill="auto"/>
                  <w:noWrap/>
                  <w:vAlign w:val="center"/>
                </w:tcPr>
                <w:p w14:paraId="7009FF8B">
                  <w:pPr>
                    <w:snapToGrid w:val="0"/>
                    <w:jc w:val="center"/>
                    <w:rPr>
                      <w:rFonts w:eastAsia="仿宋"/>
                      <w:color w:val="000000" w:themeColor="text1"/>
                      <w:szCs w:val="21"/>
                      <w14:textFill>
                        <w14:solidFill>
                          <w14:schemeClr w14:val="tx1"/>
                        </w14:solidFill>
                      </w14:textFill>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D5F45">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检测</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CC9F0">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固态</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BB6EF">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酸、有机物、金属盐、水等</w:t>
                  </w:r>
                </w:p>
              </w:tc>
              <w:tc>
                <w:tcPr>
                  <w:tcW w:w="685" w:type="dxa"/>
                  <w:shd w:val="clear" w:color="auto" w:fill="auto"/>
                  <w:vAlign w:val="center"/>
                </w:tcPr>
                <w:p w14:paraId="1865B1E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HW49</w:t>
                  </w:r>
                </w:p>
              </w:tc>
              <w:tc>
                <w:tcPr>
                  <w:tcW w:w="1320" w:type="dxa"/>
                  <w:shd w:val="clear" w:color="auto" w:fill="auto"/>
                  <w:noWrap/>
                  <w:vAlign w:val="center"/>
                </w:tcPr>
                <w:p w14:paraId="10661AB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900-047-49</w:t>
                  </w:r>
                </w:p>
              </w:tc>
              <w:tc>
                <w:tcPr>
                  <w:tcW w:w="858" w:type="dxa"/>
                  <w:shd w:val="clear" w:color="auto" w:fill="auto"/>
                  <w:noWrap/>
                  <w:vAlign w:val="center"/>
                </w:tcPr>
                <w:p w14:paraId="381CDD9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1.308</w:t>
                  </w:r>
                </w:p>
              </w:tc>
              <w:tc>
                <w:tcPr>
                  <w:tcW w:w="859" w:type="dxa"/>
                  <w:shd w:val="clear" w:color="auto" w:fill="auto"/>
                  <w:noWrap/>
                  <w:vAlign w:val="center"/>
                </w:tcPr>
                <w:p w14:paraId="466DB948">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0</w:t>
                  </w:r>
                </w:p>
              </w:tc>
              <w:tc>
                <w:tcPr>
                  <w:tcW w:w="881" w:type="dxa"/>
                  <w:vMerge w:val="continue"/>
                  <w:shd w:val="clear" w:color="auto" w:fill="auto"/>
                  <w:noWrap/>
                  <w:vAlign w:val="center"/>
                </w:tcPr>
                <w:p w14:paraId="7A69C74F">
                  <w:pPr>
                    <w:snapToGrid w:val="0"/>
                    <w:jc w:val="center"/>
                    <w:rPr>
                      <w:rFonts w:eastAsia="仿宋"/>
                      <w:color w:val="000000" w:themeColor="text1"/>
                      <w:szCs w:val="21"/>
                      <w14:textFill>
                        <w14:solidFill>
                          <w14:schemeClr w14:val="tx1"/>
                        </w14:solidFill>
                      </w14:textFill>
                    </w:rPr>
                  </w:pPr>
                </w:p>
              </w:tc>
            </w:tr>
            <w:tr w14:paraId="09924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36" w:type="dxa"/>
                  <w:shd w:val="clear" w:color="auto" w:fill="auto"/>
                  <w:vAlign w:val="center"/>
                </w:tcPr>
                <w:p w14:paraId="507B920B">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5</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E8078">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废抹布手套</w:t>
                  </w:r>
                </w:p>
              </w:tc>
              <w:tc>
                <w:tcPr>
                  <w:tcW w:w="715" w:type="dxa"/>
                  <w:vMerge w:val="continue"/>
                  <w:shd w:val="clear" w:color="auto" w:fill="auto"/>
                  <w:noWrap/>
                  <w:vAlign w:val="center"/>
                </w:tcPr>
                <w:p w14:paraId="6EB35894">
                  <w:pPr>
                    <w:snapToGrid w:val="0"/>
                    <w:jc w:val="center"/>
                    <w:rPr>
                      <w:rFonts w:eastAsia="仿宋"/>
                      <w:color w:val="000000" w:themeColor="text1"/>
                      <w:szCs w:val="21"/>
                      <w14:textFill>
                        <w14:solidFill>
                          <w14:schemeClr w14:val="tx1"/>
                        </w14:solidFill>
                      </w14:textFill>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A0F90">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实验室清洁</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F370">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固态</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EC75C">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棉、酸、有机物、金属盐等</w:t>
                  </w:r>
                </w:p>
              </w:tc>
              <w:tc>
                <w:tcPr>
                  <w:tcW w:w="685" w:type="dxa"/>
                  <w:shd w:val="clear" w:color="auto" w:fill="auto"/>
                  <w:vAlign w:val="center"/>
                </w:tcPr>
                <w:p w14:paraId="0BE2ECB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HW49</w:t>
                  </w:r>
                </w:p>
              </w:tc>
              <w:tc>
                <w:tcPr>
                  <w:tcW w:w="1320" w:type="dxa"/>
                  <w:shd w:val="clear" w:color="auto" w:fill="auto"/>
                  <w:noWrap/>
                  <w:vAlign w:val="center"/>
                </w:tcPr>
                <w:p w14:paraId="1B9EF4B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900-047-49</w:t>
                  </w:r>
                </w:p>
              </w:tc>
              <w:tc>
                <w:tcPr>
                  <w:tcW w:w="858" w:type="dxa"/>
                  <w:shd w:val="clear" w:color="auto" w:fill="auto"/>
                  <w:noWrap/>
                  <w:vAlign w:val="center"/>
                </w:tcPr>
                <w:p w14:paraId="3C1F66C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0.02</w:t>
                  </w:r>
                </w:p>
              </w:tc>
              <w:tc>
                <w:tcPr>
                  <w:tcW w:w="859" w:type="dxa"/>
                  <w:shd w:val="clear" w:color="auto" w:fill="auto"/>
                  <w:noWrap/>
                  <w:vAlign w:val="center"/>
                </w:tcPr>
                <w:p w14:paraId="1BB6A6A7">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0</w:t>
                  </w:r>
                </w:p>
              </w:tc>
              <w:tc>
                <w:tcPr>
                  <w:tcW w:w="881" w:type="dxa"/>
                  <w:vMerge w:val="continue"/>
                  <w:shd w:val="clear" w:color="auto" w:fill="auto"/>
                  <w:noWrap/>
                  <w:vAlign w:val="center"/>
                </w:tcPr>
                <w:p w14:paraId="49241DA6">
                  <w:pPr>
                    <w:snapToGrid w:val="0"/>
                    <w:jc w:val="center"/>
                    <w:rPr>
                      <w:rFonts w:eastAsia="仿宋"/>
                      <w:color w:val="000000" w:themeColor="text1"/>
                      <w:szCs w:val="21"/>
                      <w14:textFill>
                        <w14:solidFill>
                          <w14:schemeClr w14:val="tx1"/>
                        </w14:solidFill>
                      </w14:textFill>
                    </w:rPr>
                  </w:pPr>
                </w:p>
              </w:tc>
            </w:tr>
            <w:tr w14:paraId="20B4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36" w:type="dxa"/>
                  <w:shd w:val="clear" w:color="auto" w:fill="auto"/>
                  <w:vAlign w:val="center"/>
                </w:tcPr>
                <w:p w14:paraId="4AADF98B">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6</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B3685">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废试剂</w:t>
                  </w:r>
                </w:p>
              </w:tc>
              <w:tc>
                <w:tcPr>
                  <w:tcW w:w="715" w:type="dxa"/>
                  <w:vMerge w:val="continue"/>
                  <w:shd w:val="clear" w:color="auto" w:fill="auto"/>
                  <w:noWrap/>
                  <w:vAlign w:val="center"/>
                </w:tcPr>
                <w:p w14:paraId="53774ACE">
                  <w:pPr>
                    <w:snapToGrid w:val="0"/>
                    <w:jc w:val="center"/>
                    <w:rPr>
                      <w:rFonts w:eastAsia="仿宋"/>
                      <w:color w:val="000000" w:themeColor="text1"/>
                      <w:szCs w:val="21"/>
                      <w14:textFill>
                        <w14:solidFill>
                          <w14:schemeClr w14:val="tx1"/>
                        </w14:solidFill>
                      </w14:textFill>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DAD69">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废气处理</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25030">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液态</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B2060">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酸、碱、有机物、金属盐、水等</w:t>
                  </w:r>
                </w:p>
              </w:tc>
              <w:tc>
                <w:tcPr>
                  <w:tcW w:w="685" w:type="dxa"/>
                  <w:shd w:val="clear" w:color="auto" w:fill="auto"/>
                  <w:vAlign w:val="center"/>
                </w:tcPr>
                <w:p w14:paraId="7495BBA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HW49</w:t>
                  </w:r>
                </w:p>
              </w:tc>
              <w:tc>
                <w:tcPr>
                  <w:tcW w:w="1320" w:type="dxa"/>
                  <w:shd w:val="clear" w:color="auto" w:fill="auto"/>
                  <w:noWrap/>
                  <w:vAlign w:val="center"/>
                </w:tcPr>
                <w:p w14:paraId="2F4D833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900-047-49</w:t>
                  </w:r>
                </w:p>
              </w:tc>
              <w:tc>
                <w:tcPr>
                  <w:tcW w:w="858" w:type="dxa"/>
                  <w:shd w:val="clear" w:color="auto" w:fill="auto"/>
                  <w:noWrap/>
                  <w:vAlign w:val="center"/>
                </w:tcPr>
                <w:p w14:paraId="4BAE89D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0.001</w:t>
                  </w:r>
                </w:p>
              </w:tc>
              <w:tc>
                <w:tcPr>
                  <w:tcW w:w="859" w:type="dxa"/>
                  <w:shd w:val="clear" w:color="auto" w:fill="auto"/>
                  <w:noWrap/>
                  <w:vAlign w:val="center"/>
                </w:tcPr>
                <w:p w14:paraId="01EB39A1">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0</w:t>
                  </w:r>
                </w:p>
              </w:tc>
              <w:tc>
                <w:tcPr>
                  <w:tcW w:w="881" w:type="dxa"/>
                  <w:vMerge w:val="continue"/>
                  <w:shd w:val="clear" w:color="auto" w:fill="auto"/>
                  <w:noWrap/>
                  <w:vAlign w:val="center"/>
                </w:tcPr>
                <w:p w14:paraId="380E8944">
                  <w:pPr>
                    <w:snapToGrid w:val="0"/>
                    <w:jc w:val="center"/>
                    <w:rPr>
                      <w:rFonts w:eastAsia="仿宋"/>
                      <w:color w:val="000000" w:themeColor="text1"/>
                      <w:szCs w:val="21"/>
                      <w14:textFill>
                        <w14:solidFill>
                          <w14:schemeClr w14:val="tx1"/>
                        </w14:solidFill>
                      </w14:textFill>
                    </w:rPr>
                  </w:pPr>
                </w:p>
              </w:tc>
            </w:tr>
            <w:tr w14:paraId="597FD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36" w:type="dxa"/>
                  <w:shd w:val="clear" w:color="auto" w:fill="auto"/>
                  <w:vAlign w:val="center"/>
                </w:tcPr>
                <w:p w14:paraId="50BF305F">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7</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F9988">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废活性炭</w:t>
                  </w:r>
                </w:p>
              </w:tc>
              <w:tc>
                <w:tcPr>
                  <w:tcW w:w="715" w:type="dxa"/>
                  <w:vMerge w:val="continue"/>
                  <w:shd w:val="clear" w:color="auto" w:fill="auto"/>
                  <w:noWrap/>
                  <w:vAlign w:val="center"/>
                </w:tcPr>
                <w:p w14:paraId="58A1DB42">
                  <w:pPr>
                    <w:snapToGrid w:val="0"/>
                    <w:jc w:val="center"/>
                    <w:rPr>
                      <w:rFonts w:eastAsia="仿宋"/>
                      <w:color w:val="000000" w:themeColor="text1"/>
                      <w:szCs w:val="21"/>
                      <w14:textFill>
                        <w14:solidFill>
                          <w14:schemeClr w14:val="tx1"/>
                        </w14:solidFill>
                      </w14:textFill>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55F8C">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废气处理</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F5F44">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固态</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692A2">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碳、有机物</w:t>
                  </w:r>
                </w:p>
              </w:tc>
              <w:tc>
                <w:tcPr>
                  <w:tcW w:w="685" w:type="dxa"/>
                  <w:shd w:val="clear" w:color="auto" w:fill="auto"/>
                  <w:noWrap/>
                  <w:vAlign w:val="center"/>
                </w:tcPr>
                <w:p w14:paraId="74F4565F">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HW</w:t>
                  </w:r>
                  <w:r>
                    <w:rPr>
                      <w:rFonts w:eastAsia="仿宋"/>
                      <w:color w:val="000000" w:themeColor="text1"/>
                      <w:szCs w:val="21"/>
                      <w14:textFill>
                        <w14:solidFill>
                          <w14:schemeClr w14:val="tx1"/>
                        </w14:solidFill>
                      </w14:textFill>
                    </w:rPr>
                    <w:t>49</w:t>
                  </w:r>
                </w:p>
              </w:tc>
              <w:tc>
                <w:tcPr>
                  <w:tcW w:w="1320" w:type="dxa"/>
                  <w:shd w:val="clear" w:color="auto" w:fill="auto"/>
                  <w:noWrap/>
                  <w:vAlign w:val="center"/>
                </w:tcPr>
                <w:p w14:paraId="5CA26EB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900-039-49</w:t>
                  </w:r>
                </w:p>
              </w:tc>
              <w:tc>
                <w:tcPr>
                  <w:tcW w:w="858" w:type="dxa"/>
                  <w:shd w:val="clear" w:color="auto" w:fill="auto"/>
                  <w:noWrap/>
                  <w:vAlign w:val="center"/>
                </w:tcPr>
                <w:p w14:paraId="5E7EA4E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2.261</w:t>
                  </w:r>
                </w:p>
              </w:tc>
              <w:tc>
                <w:tcPr>
                  <w:tcW w:w="859" w:type="dxa"/>
                  <w:shd w:val="clear" w:color="auto" w:fill="auto"/>
                  <w:noWrap/>
                  <w:vAlign w:val="center"/>
                </w:tcPr>
                <w:p w14:paraId="3B89B2EC">
                  <w:pPr>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0</w:t>
                  </w:r>
                </w:p>
              </w:tc>
              <w:tc>
                <w:tcPr>
                  <w:tcW w:w="881" w:type="dxa"/>
                  <w:vMerge w:val="continue"/>
                  <w:shd w:val="clear" w:color="auto" w:fill="auto"/>
                  <w:noWrap/>
                  <w:vAlign w:val="center"/>
                </w:tcPr>
                <w:p w14:paraId="2CA1E2A0">
                  <w:pPr>
                    <w:snapToGrid w:val="0"/>
                    <w:jc w:val="center"/>
                    <w:rPr>
                      <w:rFonts w:eastAsia="仿宋"/>
                      <w:color w:val="000000" w:themeColor="text1"/>
                      <w:szCs w:val="21"/>
                      <w14:textFill>
                        <w14:solidFill>
                          <w14:schemeClr w14:val="tx1"/>
                        </w14:solidFill>
                      </w14:textFill>
                    </w:rPr>
                  </w:pPr>
                </w:p>
              </w:tc>
            </w:tr>
          </w:tbl>
          <w:p w14:paraId="17FEFAC4">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（3）固废管理要求</w:t>
            </w:r>
          </w:p>
          <w:p w14:paraId="2BE6DE50">
            <w:pPr>
              <w:spacing w:line="480" w:lineRule="exact"/>
              <w:ind w:firstLine="480" w:firstLineChars="200"/>
              <w:rPr>
                <w:rFonts w:eastAsia="仿宋"/>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本项目设置</w:t>
            </w:r>
            <w:r>
              <w:rPr>
                <w:rFonts w:eastAsia="仿宋"/>
                <w:bCs/>
                <w:color w:val="000000" w:themeColor="text1"/>
                <w:sz w:val="24"/>
                <w14:textFill>
                  <w14:solidFill>
                    <w14:schemeClr w14:val="tx1"/>
                  </w14:solidFill>
                </w14:textFill>
              </w:rPr>
              <w:t>1</w:t>
            </w:r>
            <w:r>
              <w:rPr>
                <w:rFonts w:hint="eastAsia" w:eastAsia="仿宋"/>
                <w:bCs/>
                <w:color w:val="000000" w:themeColor="text1"/>
                <w:sz w:val="24"/>
                <w14:textFill>
                  <w14:solidFill>
                    <w14:schemeClr w14:val="tx1"/>
                  </w14:solidFill>
                </w14:textFill>
              </w:rPr>
              <w:t>座</w:t>
            </w:r>
            <w:r>
              <w:rPr>
                <w:rFonts w:eastAsia="仿宋"/>
                <w:bCs/>
                <w:color w:val="000000" w:themeColor="text1"/>
                <w:sz w:val="24"/>
                <w14:textFill>
                  <w14:solidFill>
                    <w14:schemeClr w14:val="tx1"/>
                  </w14:solidFill>
                </w14:textFill>
              </w:rPr>
              <w:t>7.5</w:t>
            </w:r>
            <w:r>
              <w:rPr>
                <w:rFonts w:hint="eastAsia" w:eastAsia="仿宋"/>
                <w:bCs/>
                <w:color w:val="000000" w:themeColor="text1"/>
                <w:sz w:val="24"/>
                <w14:textFill>
                  <w14:solidFill>
                    <w14:schemeClr w14:val="tx1"/>
                  </w14:solidFill>
                </w14:textFill>
              </w:rPr>
              <w:t>m</w:t>
            </w:r>
            <w:r>
              <w:rPr>
                <w:rFonts w:hint="eastAsia" w:eastAsia="仿宋"/>
                <w:bCs/>
                <w:color w:val="000000" w:themeColor="text1"/>
                <w:sz w:val="24"/>
                <w:vertAlign w:val="superscript"/>
                <w14:textFill>
                  <w14:solidFill>
                    <w14:schemeClr w14:val="tx1"/>
                  </w14:solidFill>
                </w14:textFill>
              </w:rPr>
              <w:t>2</w:t>
            </w:r>
            <w:r>
              <w:rPr>
                <w:rFonts w:hint="eastAsia" w:eastAsia="仿宋"/>
                <w:bCs/>
                <w:color w:val="000000" w:themeColor="text1"/>
                <w:sz w:val="24"/>
                <w14:textFill>
                  <w14:solidFill>
                    <w14:schemeClr w14:val="tx1"/>
                  </w14:solidFill>
                </w14:textFill>
              </w:rPr>
              <w:t>的危废仓库，考</w:t>
            </w:r>
            <w:r>
              <w:rPr>
                <w:rFonts w:hAnsi="仿宋" w:eastAsia="仿宋"/>
                <w:color w:val="000000" w:themeColor="text1"/>
                <w:sz w:val="24"/>
                <w14:textFill>
                  <w14:solidFill>
                    <w14:schemeClr w14:val="tx1"/>
                  </w14:solidFill>
                </w14:textFill>
              </w:rPr>
              <w:t>虑到进出口、过道等，有效存储面积按</w:t>
            </w:r>
            <w:r>
              <w:rPr>
                <w:rFonts w:eastAsia="仿宋"/>
                <w:color w:val="000000" w:themeColor="text1"/>
                <w:sz w:val="24"/>
                <w14:textFill>
                  <w14:solidFill>
                    <w14:schemeClr w14:val="tx1"/>
                  </w14:solidFill>
                </w14:textFill>
              </w:rPr>
              <w:t>80%</w:t>
            </w:r>
            <w:r>
              <w:rPr>
                <w:rFonts w:hAnsi="仿宋" w:eastAsia="仿宋"/>
                <w:color w:val="000000" w:themeColor="text1"/>
                <w:sz w:val="24"/>
                <w14:textFill>
                  <w14:solidFill>
                    <w14:schemeClr w14:val="tx1"/>
                  </w14:solidFill>
                </w14:textFill>
              </w:rPr>
              <w:t>计算，则有效存储面积为</w:t>
            </w:r>
            <w:r>
              <w:rPr>
                <w:rFonts w:eastAsia="仿宋"/>
                <w:color w:val="000000" w:themeColor="text1"/>
                <w:sz w:val="24"/>
                <w14:textFill>
                  <w14:solidFill>
                    <w14:schemeClr w14:val="tx1"/>
                  </w14:solidFill>
                </w14:textFill>
              </w:rPr>
              <w:t>6m</w:t>
            </w:r>
            <w:r>
              <w:rPr>
                <w:rFonts w:eastAsia="仿宋"/>
                <w:color w:val="000000" w:themeColor="text1"/>
                <w:sz w:val="24"/>
                <w:vertAlign w:val="superscript"/>
                <w14:textFill>
                  <w14:solidFill>
                    <w14:schemeClr w14:val="tx1"/>
                  </w14:solidFill>
                </w14:textFill>
              </w:rPr>
              <w:t>2</w:t>
            </w:r>
            <w:r>
              <w:rPr>
                <w:rFonts w:hAnsi="仿宋" w:eastAsia="仿宋"/>
                <w:color w:val="000000" w:themeColor="text1"/>
                <w:sz w:val="24"/>
                <w14:textFill>
                  <w14:solidFill>
                    <w14:schemeClr w14:val="tx1"/>
                  </w14:solidFill>
                </w14:textFill>
              </w:rPr>
              <w:t>，一次性可储存危废约3吨</w:t>
            </w:r>
            <w:r>
              <w:rPr>
                <w:rFonts w:hint="eastAsia" w:hAnsi="仿宋" w:eastAsia="仿宋"/>
                <w:color w:val="000000" w:themeColor="text1"/>
                <w:sz w:val="24"/>
                <w14:textFill>
                  <w14:solidFill>
                    <w14:schemeClr w14:val="tx1"/>
                  </w14:solidFill>
                </w14:textFill>
              </w:rPr>
              <w:t>，本项目危废最大产生量约为</w:t>
            </w:r>
            <w:r>
              <w:rPr>
                <w:rFonts w:hAnsi="仿宋" w:eastAsia="仿宋"/>
                <w:color w:val="000000" w:themeColor="text1"/>
                <w:sz w:val="24"/>
                <w14:textFill>
                  <w14:solidFill>
                    <w14:schemeClr w14:val="tx1"/>
                  </w14:solidFill>
                </w14:textFill>
              </w:rPr>
              <w:t>3.81</w:t>
            </w:r>
            <w:r>
              <w:rPr>
                <w:rFonts w:hint="eastAsia" w:hAnsi="仿宋" w:eastAsia="仿宋"/>
                <w:color w:val="000000" w:themeColor="text1"/>
                <w:sz w:val="24"/>
                <w14:textFill>
                  <w14:solidFill>
                    <w14:schemeClr w14:val="tx1"/>
                  </w14:solidFill>
                </w14:textFill>
              </w:rPr>
              <w:t>t/a，</w:t>
            </w:r>
            <w:r>
              <w:rPr>
                <w:rFonts w:hAnsi="仿宋" w:eastAsia="仿宋"/>
                <w:color w:val="000000" w:themeColor="text1"/>
                <w:sz w:val="24"/>
                <w14:textFill>
                  <w14:solidFill>
                    <w14:schemeClr w14:val="tx1"/>
                  </w14:solidFill>
                </w14:textFill>
              </w:rPr>
              <w:t>本项目</w:t>
            </w:r>
            <w:r>
              <w:rPr>
                <w:rFonts w:hint="eastAsia" w:hAnsi="仿宋" w:eastAsia="仿宋"/>
                <w:color w:val="000000" w:themeColor="text1"/>
                <w:sz w:val="24"/>
                <w14:textFill>
                  <w14:solidFill>
                    <w14:schemeClr w14:val="tx1"/>
                  </w14:solidFill>
                </w14:textFill>
              </w:rPr>
              <w:t>危废库</w:t>
            </w:r>
            <w:r>
              <w:rPr>
                <w:rFonts w:hAnsi="仿宋" w:eastAsia="仿宋"/>
                <w:color w:val="000000" w:themeColor="text1"/>
                <w:sz w:val="24"/>
                <w14:textFill>
                  <w14:solidFill>
                    <w14:schemeClr w14:val="tx1"/>
                  </w14:solidFill>
                </w14:textFill>
              </w:rPr>
              <w:t>完全能够满足企业危险废物的暂存需求。</w:t>
            </w:r>
          </w:p>
          <w:p w14:paraId="52EB63E0">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企业危险废物贮存场所（设施）基本情况见下表。</w:t>
            </w:r>
          </w:p>
          <w:p w14:paraId="2B6366C9">
            <w:pPr>
              <w:keepNext/>
              <w:spacing w:line="480" w:lineRule="exact"/>
              <w:jc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表4</w:t>
            </w:r>
            <w:r>
              <w:rPr>
                <w:rFonts w:eastAsia="仿宋"/>
                <w:b/>
                <w:color w:val="000000" w:themeColor="text1"/>
                <w:szCs w:val="21"/>
                <w14:textFill>
                  <w14:solidFill>
                    <w14:schemeClr w14:val="tx1"/>
                  </w14:solidFill>
                </w14:textFill>
              </w:rPr>
              <w:t>-32 本项目危险废物贮存场所（设施）基本情况表</w:t>
            </w:r>
          </w:p>
          <w:tbl>
            <w:tblPr>
              <w:tblStyle w:val="24"/>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866"/>
              <w:gridCol w:w="1009"/>
              <w:gridCol w:w="1032"/>
              <w:gridCol w:w="845"/>
              <w:gridCol w:w="720"/>
              <w:gridCol w:w="696"/>
              <w:gridCol w:w="1022"/>
              <w:gridCol w:w="1029"/>
              <w:gridCol w:w="891"/>
            </w:tblGrid>
            <w:tr w14:paraId="5149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538" w:type="pct"/>
                  <w:shd w:val="clear" w:color="auto" w:fill="auto"/>
                  <w:vAlign w:val="center"/>
                </w:tcPr>
                <w:p w14:paraId="1F6B01C4">
                  <w:pPr>
                    <w:widowControl/>
                    <w:jc w:val="center"/>
                    <w:textAlignment w:val="center"/>
                    <w:rPr>
                      <w:rFonts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kern w:val="0"/>
                      <w:szCs w:val="21"/>
                      <w:lang w:bidi="ar"/>
                      <w14:textFill>
                        <w14:solidFill>
                          <w14:schemeClr w14:val="tx1"/>
                        </w14:solidFill>
                      </w14:textFill>
                    </w:rPr>
                    <w:t>危废类别</w:t>
                  </w:r>
                </w:p>
              </w:tc>
              <w:tc>
                <w:tcPr>
                  <w:tcW w:w="476" w:type="pct"/>
                  <w:shd w:val="clear" w:color="auto" w:fill="auto"/>
                  <w:vAlign w:val="center"/>
                </w:tcPr>
                <w:p w14:paraId="672F8063">
                  <w:pPr>
                    <w:widowControl/>
                    <w:jc w:val="center"/>
                    <w:textAlignment w:val="center"/>
                    <w:rPr>
                      <w:rFonts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kern w:val="0"/>
                      <w:szCs w:val="21"/>
                      <w:lang w:bidi="ar"/>
                      <w14:textFill>
                        <w14:solidFill>
                          <w14:schemeClr w14:val="tx1"/>
                        </w14:solidFill>
                      </w14:textFill>
                    </w:rPr>
                    <w:t>处置量（</w:t>
                  </w:r>
                  <w:r>
                    <w:rPr>
                      <w:rFonts w:eastAsia="仿宋"/>
                      <w:b/>
                      <w:bCs/>
                      <w:color w:val="000000" w:themeColor="text1"/>
                      <w:kern w:val="0"/>
                      <w:szCs w:val="21"/>
                      <w:lang w:bidi="ar"/>
                      <w14:textFill>
                        <w14:solidFill>
                          <w14:schemeClr w14:val="tx1"/>
                        </w14:solidFill>
                      </w14:textFill>
                    </w:rPr>
                    <w:t>t/a</w:t>
                  </w:r>
                  <w:r>
                    <w:rPr>
                      <w:rFonts w:hint="eastAsia" w:ascii="仿宋" w:hAnsi="仿宋" w:eastAsia="仿宋" w:cs="仿宋"/>
                      <w:b/>
                      <w:bCs/>
                      <w:color w:val="000000" w:themeColor="text1"/>
                      <w:kern w:val="0"/>
                      <w:szCs w:val="21"/>
                      <w:lang w:bidi="ar"/>
                      <w14:textFill>
                        <w14:solidFill>
                          <w14:schemeClr w14:val="tx1"/>
                        </w14:solidFill>
                      </w14:textFill>
                    </w:rPr>
                    <w:t>）</w:t>
                  </w:r>
                </w:p>
              </w:tc>
              <w:tc>
                <w:tcPr>
                  <w:tcW w:w="555" w:type="pct"/>
                  <w:shd w:val="clear" w:color="auto" w:fill="auto"/>
                  <w:vAlign w:val="center"/>
                </w:tcPr>
                <w:p w14:paraId="245D3B0C">
                  <w:pPr>
                    <w:widowControl/>
                    <w:jc w:val="center"/>
                    <w:textAlignment w:val="center"/>
                    <w:rPr>
                      <w:rFonts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kern w:val="0"/>
                      <w:szCs w:val="21"/>
                      <w:lang w:bidi="ar"/>
                      <w14:textFill>
                        <w14:solidFill>
                          <w14:schemeClr w14:val="tx1"/>
                        </w14:solidFill>
                      </w14:textFill>
                    </w:rPr>
                    <w:t>年储存量（</w:t>
                  </w:r>
                  <w:r>
                    <w:rPr>
                      <w:rFonts w:eastAsia="仿宋"/>
                      <w:b/>
                      <w:bCs/>
                      <w:color w:val="000000" w:themeColor="text1"/>
                      <w:kern w:val="0"/>
                      <w:szCs w:val="21"/>
                      <w:lang w:bidi="ar"/>
                      <w14:textFill>
                        <w14:solidFill>
                          <w14:schemeClr w14:val="tx1"/>
                        </w14:solidFill>
                      </w14:textFill>
                    </w:rPr>
                    <w:t>t/a</w:t>
                  </w:r>
                  <w:r>
                    <w:rPr>
                      <w:rFonts w:hint="eastAsia" w:ascii="仿宋" w:hAnsi="仿宋" w:eastAsia="仿宋" w:cs="仿宋"/>
                      <w:b/>
                      <w:bCs/>
                      <w:color w:val="000000" w:themeColor="text1"/>
                      <w:kern w:val="0"/>
                      <w:szCs w:val="21"/>
                      <w:lang w:bidi="ar"/>
                      <w14:textFill>
                        <w14:solidFill>
                          <w14:schemeClr w14:val="tx1"/>
                        </w14:solidFill>
                      </w14:textFill>
                    </w:rPr>
                    <w:t>）</w:t>
                  </w:r>
                </w:p>
              </w:tc>
              <w:tc>
                <w:tcPr>
                  <w:tcW w:w="568" w:type="pct"/>
                  <w:shd w:val="clear" w:color="auto" w:fill="auto"/>
                  <w:vAlign w:val="center"/>
                </w:tcPr>
                <w:p w14:paraId="27AEF01C">
                  <w:pPr>
                    <w:widowControl/>
                    <w:jc w:val="center"/>
                    <w:textAlignment w:val="center"/>
                    <w:rPr>
                      <w:rFonts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kern w:val="0"/>
                      <w:szCs w:val="21"/>
                      <w:lang w:bidi="ar"/>
                      <w14:textFill>
                        <w14:solidFill>
                          <w14:schemeClr w14:val="tx1"/>
                        </w14:solidFill>
                      </w14:textFill>
                    </w:rPr>
                    <w:t>日储存量（</w:t>
                  </w:r>
                  <w:r>
                    <w:rPr>
                      <w:rFonts w:eastAsia="仿宋"/>
                      <w:b/>
                      <w:bCs/>
                      <w:color w:val="000000" w:themeColor="text1"/>
                      <w:kern w:val="0"/>
                      <w:szCs w:val="21"/>
                      <w:lang w:bidi="ar"/>
                      <w14:textFill>
                        <w14:solidFill>
                          <w14:schemeClr w14:val="tx1"/>
                        </w14:solidFill>
                      </w14:textFill>
                    </w:rPr>
                    <w:t>t/d</w:t>
                  </w:r>
                  <w:r>
                    <w:rPr>
                      <w:rFonts w:hint="eastAsia" w:ascii="仿宋" w:hAnsi="仿宋" w:eastAsia="仿宋" w:cs="仿宋"/>
                      <w:b/>
                      <w:bCs/>
                      <w:color w:val="000000" w:themeColor="text1"/>
                      <w:kern w:val="0"/>
                      <w:szCs w:val="21"/>
                      <w:lang w:bidi="ar"/>
                      <w14:textFill>
                        <w14:solidFill>
                          <w14:schemeClr w14:val="tx1"/>
                        </w14:solidFill>
                      </w14:textFill>
                    </w:rPr>
                    <w:t>）</w:t>
                  </w:r>
                </w:p>
              </w:tc>
              <w:tc>
                <w:tcPr>
                  <w:tcW w:w="465" w:type="pct"/>
                  <w:shd w:val="clear" w:color="auto" w:fill="auto"/>
                  <w:vAlign w:val="center"/>
                </w:tcPr>
                <w:p w14:paraId="7D3E3736">
                  <w:pPr>
                    <w:widowControl/>
                    <w:jc w:val="center"/>
                    <w:textAlignment w:val="center"/>
                    <w:rPr>
                      <w:rFonts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kern w:val="0"/>
                      <w:szCs w:val="21"/>
                      <w:lang w:bidi="ar"/>
                      <w14:textFill>
                        <w14:solidFill>
                          <w14:schemeClr w14:val="tx1"/>
                        </w14:solidFill>
                      </w14:textFill>
                    </w:rPr>
                    <w:t>贮存位置</w:t>
                  </w:r>
                </w:p>
              </w:tc>
              <w:tc>
                <w:tcPr>
                  <w:tcW w:w="396" w:type="pct"/>
                  <w:shd w:val="clear" w:color="auto" w:fill="auto"/>
                  <w:vAlign w:val="center"/>
                </w:tcPr>
                <w:p w14:paraId="56D9190A">
                  <w:pPr>
                    <w:widowControl/>
                    <w:jc w:val="center"/>
                    <w:textAlignment w:val="center"/>
                    <w:rPr>
                      <w:rFonts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kern w:val="0"/>
                      <w:szCs w:val="21"/>
                      <w:lang w:bidi="ar"/>
                      <w14:textFill>
                        <w14:solidFill>
                          <w14:schemeClr w14:val="tx1"/>
                        </w14:solidFill>
                      </w14:textFill>
                    </w:rPr>
                    <w:t>面积（</w:t>
                  </w:r>
                  <w:r>
                    <w:rPr>
                      <w:rFonts w:eastAsia="仿宋"/>
                      <w:b/>
                      <w:bCs/>
                      <w:color w:val="000000" w:themeColor="text1"/>
                      <w:kern w:val="0"/>
                      <w:szCs w:val="21"/>
                      <w:lang w:bidi="ar"/>
                      <w14:textFill>
                        <w14:solidFill>
                          <w14:schemeClr w14:val="tx1"/>
                        </w14:solidFill>
                      </w14:textFill>
                    </w:rPr>
                    <w:t>m</w:t>
                  </w:r>
                  <w:r>
                    <w:rPr>
                      <w:rFonts w:eastAsia="仿宋"/>
                      <w:b/>
                      <w:bCs/>
                      <w:color w:val="000000" w:themeColor="text1"/>
                      <w:kern w:val="0"/>
                      <w:szCs w:val="21"/>
                      <w:vertAlign w:val="superscript"/>
                      <w:lang w:bidi="ar"/>
                      <w14:textFill>
                        <w14:solidFill>
                          <w14:schemeClr w14:val="tx1"/>
                        </w14:solidFill>
                      </w14:textFill>
                    </w:rPr>
                    <w:t>2</w:t>
                  </w:r>
                  <w:r>
                    <w:rPr>
                      <w:rFonts w:hint="eastAsia" w:ascii="仿宋" w:hAnsi="仿宋" w:eastAsia="仿宋" w:cs="仿宋"/>
                      <w:b/>
                      <w:bCs/>
                      <w:color w:val="000000" w:themeColor="text1"/>
                      <w:kern w:val="0"/>
                      <w:szCs w:val="21"/>
                      <w:lang w:bidi="ar"/>
                      <w14:textFill>
                        <w14:solidFill>
                          <w14:schemeClr w14:val="tx1"/>
                        </w14:solidFill>
                      </w14:textFill>
                    </w:rPr>
                    <w:t>）</w:t>
                  </w:r>
                </w:p>
              </w:tc>
              <w:tc>
                <w:tcPr>
                  <w:tcW w:w="383" w:type="pct"/>
                  <w:shd w:val="clear" w:color="auto" w:fill="auto"/>
                  <w:vAlign w:val="center"/>
                </w:tcPr>
                <w:p w14:paraId="61A26960">
                  <w:pPr>
                    <w:widowControl/>
                    <w:jc w:val="center"/>
                    <w:textAlignment w:val="center"/>
                    <w:rPr>
                      <w:rFonts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kern w:val="0"/>
                      <w:szCs w:val="21"/>
                      <w:lang w:bidi="ar"/>
                      <w14:textFill>
                        <w14:solidFill>
                          <w14:schemeClr w14:val="tx1"/>
                        </w14:solidFill>
                      </w14:textFill>
                    </w:rPr>
                    <w:t>有效存储面积</w:t>
                  </w:r>
                </w:p>
              </w:tc>
              <w:tc>
                <w:tcPr>
                  <w:tcW w:w="562" w:type="pct"/>
                  <w:shd w:val="clear" w:color="auto" w:fill="auto"/>
                  <w:vAlign w:val="center"/>
                </w:tcPr>
                <w:p w14:paraId="2EB1726D">
                  <w:pPr>
                    <w:widowControl/>
                    <w:jc w:val="center"/>
                    <w:textAlignment w:val="center"/>
                    <w:rPr>
                      <w:rFonts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kern w:val="0"/>
                      <w:szCs w:val="21"/>
                      <w:lang w:bidi="ar"/>
                      <w14:textFill>
                        <w14:solidFill>
                          <w14:schemeClr w14:val="tx1"/>
                        </w14:solidFill>
                      </w14:textFill>
                    </w:rPr>
                    <w:t>核算每</w:t>
                  </w:r>
                  <w:r>
                    <w:rPr>
                      <w:rFonts w:eastAsia="仿宋"/>
                      <w:b/>
                      <w:bCs/>
                      <w:color w:val="000000" w:themeColor="text1"/>
                      <w:kern w:val="0"/>
                      <w:szCs w:val="21"/>
                      <w:lang w:bidi="ar"/>
                      <w14:textFill>
                        <w14:solidFill>
                          <w14:schemeClr w14:val="tx1"/>
                        </w14:solidFill>
                      </w14:textFill>
                    </w:rPr>
                    <w:t>m</w:t>
                  </w:r>
                  <w:r>
                    <w:rPr>
                      <w:rFonts w:eastAsia="仿宋"/>
                      <w:b/>
                      <w:bCs/>
                      <w:color w:val="000000" w:themeColor="text1"/>
                      <w:kern w:val="0"/>
                      <w:szCs w:val="21"/>
                      <w:vertAlign w:val="superscript"/>
                      <w:lang w:bidi="ar"/>
                      <w14:textFill>
                        <w14:solidFill>
                          <w14:schemeClr w14:val="tx1"/>
                        </w14:solidFill>
                      </w14:textFill>
                    </w:rPr>
                    <w:t>2</w:t>
                  </w:r>
                  <w:r>
                    <w:rPr>
                      <w:rFonts w:hint="eastAsia" w:ascii="仿宋" w:hAnsi="仿宋" w:eastAsia="仿宋" w:cs="仿宋"/>
                      <w:b/>
                      <w:bCs/>
                      <w:color w:val="000000" w:themeColor="text1"/>
                      <w:kern w:val="0"/>
                      <w:szCs w:val="21"/>
                      <w:lang w:bidi="ar"/>
                      <w14:textFill>
                        <w14:solidFill>
                          <w14:schemeClr w14:val="tx1"/>
                        </w14:solidFill>
                      </w14:textFill>
                    </w:rPr>
                    <w:t>存放量（吨）</w:t>
                  </w:r>
                </w:p>
              </w:tc>
              <w:tc>
                <w:tcPr>
                  <w:tcW w:w="566" w:type="pct"/>
                  <w:shd w:val="clear" w:color="auto" w:fill="auto"/>
                  <w:vAlign w:val="center"/>
                </w:tcPr>
                <w:p w14:paraId="687F7E4F">
                  <w:pPr>
                    <w:widowControl/>
                    <w:jc w:val="center"/>
                    <w:textAlignment w:val="center"/>
                    <w:rPr>
                      <w:rFonts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kern w:val="0"/>
                      <w:szCs w:val="21"/>
                      <w:lang w:bidi="ar"/>
                      <w14:textFill>
                        <w14:solidFill>
                          <w14:schemeClr w14:val="tx1"/>
                        </w14:solidFill>
                      </w14:textFill>
                    </w:rPr>
                    <w:t>核算最大贮存能力（吨）</w:t>
                  </w:r>
                </w:p>
              </w:tc>
              <w:tc>
                <w:tcPr>
                  <w:tcW w:w="490" w:type="pct"/>
                  <w:shd w:val="clear" w:color="auto" w:fill="auto"/>
                  <w:vAlign w:val="center"/>
                </w:tcPr>
                <w:p w14:paraId="7E1D9E2C">
                  <w:pPr>
                    <w:widowControl/>
                    <w:jc w:val="center"/>
                    <w:textAlignment w:val="center"/>
                    <w:rPr>
                      <w:rFonts w:ascii="仿宋" w:hAnsi="仿宋" w:eastAsia="仿宋" w:cs="仿宋"/>
                      <w:b/>
                      <w:bCs/>
                      <w:color w:val="000000" w:themeColor="text1"/>
                      <w:szCs w:val="21"/>
                      <w14:textFill>
                        <w14:solidFill>
                          <w14:schemeClr w14:val="tx1"/>
                        </w14:solidFill>
                      </w14:textFill>
                    </w:rPr>
                  </w:pPr>
                  <w:r>
                    <w:rPr>
                      <w:rFonts w:hint="eastAsia" w:ascii="仿宋" w:hAnsi="仿宋" w:eastAsia="仿宋" w:cs="仿宋"/>
                      <w:b/>
                      <w:bCs/>
                      <w:color w:val="000000" w:themeColor="text1"/>
                      <w:kern w:val="0"/>
                      <w:szCs w:val="21"/>
                      <w:lang w:bidi="ar"/>
                      <w14:textFill>
                        <w14:solidFill>
                          <w14:schemeClr w14:val="tx1"/>
                        </w14:solidFill>
                      </w14:textFill>
                    </w:rPr>
                    <w:t>可贮存天数（天）</w:t>
                  </w:r>
                </w:p>
              </w:tc>
            </w:tr>
            <w:tr w14:paraId="32BC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8" w:type="pct"/>
                  <w:shd w:val="clear" w:color="auto" w:fill="auto"/>
                  <w:vAlign w:val="center"/>
                </w:tcPr>
                <w:p w14:paraId="1DF15177">
                  <w:pPr>
                    <w:widowControl/>
                    <w:jc w:val="center"/>
                    <w:rPr>
                      <w:rFonts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废包装桶/袋</w:t>
                  </w:r>
                </w:p>
              </w:tc>
              <w:tc>
                <w:tcPr>
                  <w:tcW w:w="476" w:type="pct"/>
                  <w:shd w:val="clear" w:color="auto" w:fill="auto"/>
                  <w:noWrap/>
                  <w:vAlign w:val="center"/>
                </w:tcPr>
                <w:p w14:paraId="4DCEF76E">
                  <w:pPr>
                    <w:widowControl/>
                    <w:jc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0.2</w:t>
                  </w:r>
                </w:p>
              </w:tc>
              <w:tc>
                <w:tcPr>
                  <w:tcW w:w="555" w:type="pct"/>
                  <w:vMerge w:val="restart"/>
                  <w:shd w:val="clear" w:color="auto" w:fill="auto"/>
                  <w:noWrap/>
                  <w:vAlign w:val="center"/>
                </w:tcPr>
                <w:p w14:paraId="17F70F74">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3.81</w:t>
                  </w:r>
                </w:p>
              </w:tc>
              <w:tc>
                <w:tcPr>
                  <w:tcW w:w="568" w:type="pct"/>
                  <w:vMerge w:val="restart"/>
                  <w:shd w:val="clear" w:color="auto" w:fill="auto"/>
                  <w:vAlign w:val="center"/>
                </w:tcPr>
                <w:p w14:paraId="7C189C78">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0.012</w:t>
                  </w:r>
                </w:p>
              </w:tc>
              <w:tc>
                <w:tcPr>
                  <w:tcW w:w="465" w:type="pct"/>
                  <w:vMerge w:val="restart"/>
                  <w:shd w:val="clear" w:color="auto" w:fill="auto"/>
                  <w:vAlign w:val="center"/>
                </w:tcPr>
                <w:p w14:paraId="5737A4CC">
                  <w:pPr>
                    <w:widowControl/>
                    <w:jc w:val="center"/>
                    <w:textAlignment w:val="center"/>
                    <w:rPr>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危废仓库</w:t>
                  </w:r>
                </w:p>
              </w:tc>
              <w:tc>
                <w:tcPr>
                  <w:tcW w:w="396" w:type="pct"/>
                  <w:vMerge w:val="restart"/>
                  <w:shd w:val="clear" w:color="auto" w:fill="auto"/>
                  <w:noWrap/>
                  <w:vAlign w:val="center"/>
                </w:tcPr>
                <w:p w14:paraId="0CBA1408">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7.5</w:t>
                  </w:r>
                </w:p>
              </w:tc>
              <w:tc>
                <w:tcPr>
                  <w:tcW w:w="383" w:type="pct"/>
                  <w:vMerge w:val="restart"/>
                  <w:shd w:val="clear" w:color="auto" w:fill="auto"/>
                  <w:noWrap/>
                  <w:vAlign w:val="center"/>
                </w:tcPr>
                <w:p w14:paraId="599F3C4A">
                  <w:pPr>
                    <w:widowControl/>
                    <w:jc w:val="center"/>
                    <w:textAlignment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80%</w:t>
                  </w:r>
                </w:p>
              </w:tc>
              <w:tc>
                <w:tcPr>
                  <w:tcW w:w="562" w:type="pct"/>
                  <w:vMerge w:val="restart"/>
                  <w:shd w:val="clear" w:color="auto" w:fill="auto"/>
                  <w:noWrap/>
                  <w:vAlign w:val="center"/>
                </w:tcPr>
                <w:p w14:paraId="4CD8C45D">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0.5</w:t>
                  </w:r>
                </w:p>
              </w:tc>
              <w:tc>
                <w:tcPr>
                  <w:tcW w:w="566" w:type="pct"/>
                  <w:vMerge w:val="restart"/>
                  <w:shd w:val="clear" w:color="auto" w:fill="auto"/>
                  <w:noWrap/>
                  <w:vAlign w:val="center"/>
                </w:tcPr>
                <w:p w14:paraId="32F209B0">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w:t>
                  </w:r>
                </w:p>
              </w:tc>
              <w:tc>
                <w:tcPr>
                  <w:tcW w:w="490" w:type="pct"/>
                  <w:vMerge w:val="restart"/>
                  <w:shd w:val="clear" w:color="auto" w:fill="auto"/>
                  <w:noWrap/>
                  <w:vAlign w:val="center"/>
                </w:tcPr>
                <w:p w14:paraId="0A6A7FFB">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90</w:t>
                  </w:r>
                </w:p>
              </w:tc>
            </w:tr>
            <w:tr w14:paraId="4D2DB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8" w:type="pct"/>
                  <w:shd w:val="clear" w:color="auto" w:fill="auto"/>
                  <w:vAlign w:val="center"/>
                </w:tcPr>
                <w:p w14:paraId="00EAA060">
                  <w:pPr>
                    <w:jc w:val="center"/>
                    <w:rPr>
                      <w:rFonts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实验室一次性用品</w:t>
                  </w:r>
                </w:p>
              </w:tc>
              <w:tc>
                <w:tcPr>
                  <w:tcW w:w="476" w:type="pct"/>
                  <w:shd w:val="clear" w:color="auto" w:fill="auto"/>
                  <w:noWrap/>
                  <w:vAlign w:val="center"/>
                </w:tcPr>
                <w:p w14:paraId="441730BB">
                  <w:pPr>
                    <w:widowControl/>
                    <w:jc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0.02</w:t>
                  </w:r>
                </w:p>
              </w:tc>
              <w:tc>
                <w:tcPr>
                  <w:tcW w:w="555" w:type="pct"/>
                  <w:vMerge w:val="continue"/>
                  <w:shd w:val="clear" w:color="auto" w:fill="auto"/>
                  <w:noWrap/>
                  <w:vAlign w:val="center"/>
                </w:tcPr>
                <w:p w14:paraId="48B55611">
                  <w:pPr>
                    <w:widowControl/>
                    <w:jc w:val="center"/>
                    <w:textAlignment w:val="center"/>
                    <w:rPr>
                      <w:color w:val="000000" w:themeColor="text1"/>
                      <w:kern w:val="0"/>
                      <w:szCs w:val="21"/>
                      <w:lang w:bidi="ar"/>
                      <w14:textFill>
                        <w14:solidFill>
                          <w14:schemeClr w14:val="tx1"/>
                        </w14:solidFill>
                      </w14:textFill>
                    </w:rPr>
                  </w:pPr>
                </w:p>
              </w:tc>
              <w:tc>
                <w:tcPr>
                  <w:tcW w:w="568" w:type="pct"/>
                  <w:vMerge w:val="continue"/>
                  <w:shd w:val="clear" w:color="auto" w:fill="auto"/>
                  <w:vAlign w:val="center"/>
                </w:tcPr>
                <w:p w14:paraId="6FB3B133">
                  <w:pPr>
                    <w:widowControl/>
                    <w:jc w:val="center"/>
                    <w:textAlignment w:val="center"/>
                    <w:rPr>
                      <w:color w:val="000000" w:themeColor="text1"/>
                      <w:kern w:val="0"/>
                      <w:szCs w:val="21"/>
                      <w:lang w:bidi="ar"/>
                      <w14:textFill>
                        <w14:solidFill>
                          <w14:schemeClr w14:val="tx1"/>
                        </w14:solidFill>
                      </w14:textFill>
                    </w:rPr>
                  </w:pPr>
                </w:p>
              </w:tc>
              <w:tc>
                <w:tcPr>
                  <w:tcW w:w="465" w:type="pct"/>
                  <w:vMerge w:val="continue"/>
                  <w:shd w:val="clear" w:color="auto" w:fill="auto"/>
                  <w:vAlign w:val="center"/>
                </w:tcPr>
                <w:p w14:paraId="5BA1E85D">
                  <w:pPr>
                    <w:widowControl/>
                    <w:jc w:val="center"/>
                    <w:textAlignment w:val="center"/>
                    <w:rPr>
                      <w:color w:val="000000" w:themeColor="text1"/>
                      <w:kern w:val="0"/>
                      <w:szCs w:val="21"/>
                      <w:lang w:bidi="ar"/>
                      <w14:textFill>
                        <w14:solidFill>
                          <w14:schemeClr w14:val="tx1"/>
                        </w14:solidFill>
                      </w14:textFill>
                    </w:rPr>
                  </w:pPr>
                </w:p>
              </w:tc>
              <w:tc>
                <w:tcPr>
                  <w:tcW w:w="396" w:type="pct"/>
                  <w:vMerge w:val="continue"/>
                  <w:shd w:val="clear" w:color="auto" w:fill="auto"/>
                  <w:noWrap/>
                  <w:vAlign w:val="center"/>
                </w:tcPr>
                <w:p w14:paraId="6D5C14EB">
                  <w:pPr>
                    <w:widowControl/>
                    <w:jc w:val="center"/>
                    <w:textAlignment w:val="center"/>
                    <w:rPr>
                      <w:color w:val="000000" w:themeColor="text1"/>
                      <w:kern w:val="0"/>
                      <w:szCs w:val="21"/>
                      <w:lang w:bidi="ar"/>
                      <w14:textFill>
                        <w14:solidFill>
                          <w14:schemeClr w14:val="tx1"/>
                        </w14:solidFill>
                      </w14:textFill>
                    </w:rPr>
                  </w:pPr>
                </w:p>
              </w:tc>
              <w:tc>
                <w:tcPr>
                  <w:tcW w:w="383" w:type="pct"/>
                  <w:vMerge w:val="continue"/>
                  <w:shd w:val="clear" w:color="auto" w:fill="auto"/>
                  <w:noWrap/>
                  <w:vAlign w:val="center"/>
                </w:tcPr>
                <w:p w14:paraId="009B731C">
                  <w:pPr>
                    <w:widowControl/>
                    <w:jc w:val="center"/>
                    <w:textAlignment w:val="center"/>
                    <w:rPr>
                      <w:color w:val="000000" w:themeColor="text1"/>
                      <w:kern w:val="0"/>
                      <w:szCs w:val="21"/>
                      <w:lang w:bidi="ar"/>
                      <w14:textFill>
                        <w14:solidFill>
                          <w14:schemeClr w14:val="tx1"/>
                        </w14:solidFill>
                      </w14:textFill>
                    </w:rPr>
                  </w:pPr>
                </w:p>
              </w:tc>
              <w:tc>
                <w:tcPr>
                  <w:tcW w:w="562" w:type="pct"/>
                  <w:vMerge w:val="continue"/>
                  <w:shd w:val="clear" w:color="auto" w:fill="auto"/>
                  <w:noWrap/>
                  <w:vAlign w:val="center"/>
                </w:tcPr>
                <w:p w14:paraId="669BB6D6">
                  <w:pPr>
                    <w:widowControl/>
                    <w:jc w:val="center"/>
                    <w:textAlignment w:val="center"/>
                    <w:rPr>
                      <w:color w:val="000000" w:themeColor="text1"/>
                      <w:kern w:val="0"/>
                      <w:szCs w:val="21"/>
                      <w:lang w:bidi="ar"/>
                      <w14:textFill>
                        <w14:solidFill>
                          <w14:schemeClr w14:val="tx1"/>
                        </w14:solidFill>
                      </w14:textFill>
                    </w:rPr>
                  </w:pPr>
                </w:p>
              </w:tc>
              <w:tc>
                <w:tcPr>
                  <w:tcW w:w="566" w:type="pct"/>
                  <w:vMerge w:val="continue"/>
                  <w:shd w:val="clear" w:color="auto" w:fill="auto"/>
                  <w:noWrap/>
                  <w:vAlign w:val="center"/>
                </w:tcPr>
                <w:p w14:paraId="7EC21C63">
                  <w:pPr>
                    <w:widowControl/>
                    <w:jc w:val="center"/>
                    <w:textAlignment w:val="center"/>
                    <w:rPr>
                      <w:color w:val="000000" w:themeColor="text1"/>
                      <w:kern w:val="0"/>
                      <w:szCs w:val="21"/>
                      <w:lang w:bidi="ar"/>
                      <w14:textFill>
                        <w14:solidFill>
                          <w14:schemeClr w14:val="tx1"/>
                        </w14:solidFill>
                      </w14:textFill>
                    </w:rPr>
                  </w:pPr>
                </w:p>
              </w:tc>
              <w:tc>
                <w:tcPr>
                  <w:tcW w:w="490" w:type="pct"/>
                  <w:vMerge w:val="continue"/>
                  <w:shd w:val="clear" w:color="auto" w:fill="auto"/>
                  <w:noWrap/>
                  <w:vAlign w:val="center"/>
                </w:tcPr>
                <w:p w14:paraId="77C7F5CD">
                  <w:pPr>
                    <w:widowControl/>
                    <w:jc w:val="center"/>
                    <w:textAlignment w:val="center"/>
                    <w:rPr>
                      <w:color w:val="000000" w:themeColor="text1"/>
                      <w:kern w:val="0"/>
                      <w:szCs w:val="21"/>
                      <w:lang w:bidi="ar"/>
                      <w14:textFill>
                        <w14:solidFill>
                          <w14:schemeClr w14:val="tx1"/>
                        </w14:solidFill>
                      </w14:textFill>
                    </w:rPr>
                  </w:pPr>
                </w:p>
              </w:tc>
            </w:tr>
            <w:tr w14:paraId="3F654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8" w:type="pct"/>
                  <w:shd w:val="clear" w:color="auto" w:fill="auto"/>
                  <w:vAlign w:val="center"/>
                </w:tcPr>
                <w:p w14:paraId="6D307F7D">
                  <w:pPr>
                    <w:jc w:val="center"/>
                    <w:rPr>
                      <w:rFonts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检测废液</w:t>
                  </w:r>
                </w:p>
              </w:tc>
              <w:tc>
                <w:tcPr>
                  <w:tcW w:w="476" w:type="pct"/>
                  <w:shd w:val="clear" w:color="auto" w:fill="auto"/>
                  <w:noWrap/>
                  <w:vAlign w:val="center"/>
                </w:tcPr>
                <w:p w14:paraId="7897E0A2">
                  <w:pPr>
                    <w:widowControl/>
                    <w:jc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1.308</w:t>
                  </w:r>
                </w:p>
              </w:tc>
              <w:tc>
                <w:tcPr>
                  <w:tcW w:w="555" w:type="pct"/>
                  <w:vMerge w:val="continue"/>
                  <w:shd w:val="clear" w:color="auto" w:fill="auto"/>
                  <w:noWrap/>
                  <w:vAlign w:val="center"/>
                </w:tcPr>
                <w:p w14:paraId="75919B5D">
                  <w:pPr>
                    <w:widowControl/>
                    <w:jc w:val="center"/>
                    <w:textAlignment w:val="center"/>
                    <w:rPr>
                      <w:color w:val="000000" w:themeColor="text1"/>
                      <w:kern w:val="0"/>
                      <w:szCs w:val="21"/>
                      <w:lang w:bidi="ar"/>
                      <w14:textFill>
                        <w14:solidFill>
                          <w14:schemeClr w14:val="tx1"/>
                        </w14:solidFill>
                      </w14:textFill>
                    </w:rPr>
                  </w:pPr>
                </w:p>
              </w:tc>
              <w:tc>
                <w:tcPr>
                  <w:tcW w:w="568" w:type="pct"/>
                  <w:vMerge w:val="continue"/>
                  <w:shd w:val="clear" w:color="auto" w:fill="auto"/>
                  <w:vAlign w:val="center"/>
                </w:tcPr>
                <w:p w14:paraId="6E022A01">
                  <w:pPr>
                    <w:widowControl/>
                    <w:jc w:val="center"/>
                    <w:textAlignment w:val="center"/>
                    <w:rPr>
                      <w:color w:val="000000" w:themeColor="text1"/>
                      <w:kern w:val="0"/>
                      <w:szCs w:val="21"/>
                      <w:lang w:bidi="ar"/>
                      <w14:textFill>
                        <w14:solidFill>
                          <w14:schemeClr w14:val="tx1"/>
                        </w14:solidFill>
                      </w14:textFill>
                    </w:rPr>
                  </w:pPr>
                </w:p>
              </w:tc>
              <w:tc>
                <w:tcPr>
                  <w:tcW w:w="465" w:type="pct"/>
                  <w:vMerge w:val="continue"/>
                  <w:shd w:val="clear" w:color="auto" w:fill="auto"/>
                  <w:vAlign w:val="center"/>
                </w:tcPr>
                <w:p w14:paraId="641265DE">
                  <w:pPr>
                    <w:widowControl/>
                    <w:jc w:val="center"/>
                    <w:textAlignment w:val="center"/>
                    <w:rPr>
                      <w:color w:val="000000" w:themeColor="text1"/>
                      <w:kern w:val="0"/>
                      <w:szCs w:val="21"/>
                      <w:lang w:bidi="ar"/>
                      <w14:textFill>
                        <w14:solidFill>
                          <w14:schemeClr w14:val="tx1"/>
                        </w14:solidFill>
                      </w14:textFill>
                    </w:rPr>
                  </w:pPr>
                </w:p>
              </w:tc>
              <w:tc>
                <w:tcPr>
                  <w:tcW w:w="396" w:type="pct"/>
                  <w:vMerge w:val="continue"/>
                  <w:shd w:val="clear" w:color="auto" w:fill="auto"/>
                  <w:noWrap/>
                  <w:vAlign w:val="center"/>
                </w:tcPr>
                <w:p w14:paraId="30DAD914">
                  <w:pPr>
                    <w:widowControl/>
                    <w:jc w:val="center"/>
                    <w:textAlignment w:val="center"/>
                    <w:rPr>
                      <w:color w:val="000000" w:themeColor="text1"/>
                      <w:kern w:val="0"/>
                      <w:szCs w:val="21"/>
                      <w:lang w:bidi="ar"/>
                      <w14:textFill>
                        <w14:solidFill>
                          <w14:schemeClr w14:val="tx1"/>
                        </w14:solidFill>
                      </w14:textFill>
                    </w:rPr>
                  </w:pPr>
                </w:p>
              </w:tc>
              <w:tc>
                <w:tcPr>
                  <w:tcW w:w="383" w:type="pct"/>
                  <w:vMerge w:val="continue"/>
                  <w:shd w:val="clear" w:color="auto" w:fill="auto"/>
                  <w:noWrap/>
                  <w:vAlign w:val="center"/>
                </w:tcPr>
                <w:p w14:paraId="56C6AF87">
                  <w:pPr>
                    <w:widowControl/>
                    <w:jc w:val="center"/>
                    <w:textAlignment w:val="center"/>
                    <w:rPr>
                      <w:color w:val="000000" w:themeColor="text1"/>
                      <w:kern w:val="0"/>
                      <w:szCs w:val="21"/>
                      <w:lang w:bidi="ar"/>
                      <w14:textFill>
                        <w14:solidFill>
                          <w14:schemeClr w14:val="tx1"/>
                        </w14:solidFill>
                      </w14:textFill>
                    </w:rPr>
                  </w:pPr>
                </w:p>
              </w:tc>
              <w:tc>
                <w:tcPr>
                  <w:tcW w:w="562" w:type="pct"/>
                  <w:vMerge w:val="continue"/>
                  <w:shd w:val="clear" w:color="auto" w:fill="auto"/>
                  <w:noWrap/>
                  <w:vAlign w:val="center"/>
                </w:tcPr>
                <w:p w14:paraId="1F48B107">
                  <w:pPr>
                    <w:widowControl/>
                    <w:jc w:val="center"/>
                    <w:textAlignment w:val="center"/>
                    <w:rPr>
                      <w:color w:val="000000" w:themeColor="text1"/>
                      <w:kern w:val="0"/>
                      <w:szCs w:val="21"/>
                      <w:lang w:bidi="ar"/>
                      <w14:textFill>
                        <w14:solidFill>
                          <w14:schemeClr w14:val="tx1"/>
                        </w14:solidFill>
                      </w14:textFill>
                    </w:rPr>
                  </w:pPr>
                </w:p>
              </w:tc>
              <w:tc>
                <w:tcPr>
                  <w:tcW w:w="566" w:type="pct"/>
                  <w:vMerge w:val="continue"/>
                  <w:shd w:val="clear" w:color="auto" w:fill="auto"/>
                  <w:noWrap/>
                  <w:vAlign w:val="center"/>
                </w:tcPr>
                <w:p w14:paraId="42BC0AFF">
                  <w:pPr>
                    <w:widowControl/>
                    <w:jc w:val="center"/>
                    <w:textAlignment w:val="center"/>
                    <w:rPr>
                      <w:color w:val="000000" w:themeColor="text1"/>
                      <w:kern w:val="0"/>
                      <w:szCs w:val="21"/>
                      <w:lang w:bidi="ar"/>
                      <w14:textFill>
                        <w14:solidFill>
                          <w14:schemeClr w14:val="tx1"/>
                        </w14:solidFill>
                      </w14:textFill>
                    </w:rPr>
                  </w:pPr>
                </w:p>
              </w:tc>
              <w:tc>
                <w:tcPr>
                  <w:tcW w:w="490" w:type="pct"/>
                  <w:vMerge w:val="continue"/>
                  <w:shd w:val="clear" w:color="auto" w:fill="auto"/>
                  <w:noWrap/>
                  <w:vAlign w:val="center"/>
                </w:tcPr>
                <w:p w14:paraId="42FEADFB">
                  <w:pPr>
                    <w:widowControl/>
                    <w:jc w:val="center"/>
                    <w:textAlignment w:val="center"/>
                    <w:rPr>
                      <w:color w:val="000000" w:themeColor="text1"/>
                      <w:kern w:val="0"/>
                      <w:szCs w:val="21"/>
                      <w:lang w:bidi="ar"/>
                      <w14:textFill>
                        <w14:solidFill>
                          <w14:schemeClr w14:val="tx1"/>
                        </w14:solidFill>
                      </w14:textFill>
                    </w:rPr>
                  </w:pPr>
                </w:p>
              </w:tc>
            </w:tr>
            <w:tr w14:paraId="33E61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8" w:type="pct"/>
                  <w:shd w:val="clear" w:color="auto" w:fill="auto"/>
                  <w:vAlign w:val="center"/>
                </w:tcPr>
                <w:p w14:paraId="2C17EF3A">
                  <w:pPr>
                    <w:jc w:val="center"/>
                    <w:rPr>
                      <w:rFonts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废抹布手套</w:t>
                  </w:r>
                </w:p>
              </w:tc>
              <w:tc>
                <w:tcPr>
                  <w:tcW w:w="476" w:type="pct"/>
                  <w:shd w:val="clear" w:color="auto" w:fill="auto"/>
                  <w:noWrap/>
                  <w:vAlign w:val="center"/>
                </w:tcPr>
                <w:p w14:paraId="2D413BD2">
                  <w:pPr>
                    <w:widowControl/>
                    <w:jc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0.02</w:t>
                  </w:r>
                </w:p>
              </w:tc>
              <w:tc>
                <w:tcPr>
                  <w:tcW w:w="555" w:type="pct"/>
                  <w:vMerge w:val="continue"/>
                  <w:shd w:val="clear" w:color="auto" w:fill="auto"/>
                  <w:noWrap/>
                  <w:vAlign w:val="center"/>
                </w:tcPr>
                <w:p w14:paraId="3AA0A029">
                  <w:pPr>
                    <w:widowControl/>
                    <w:jc w:val="center"/>
                    <w:textAlignment w:val="center"/>
                    <w:rPr>
                      <w:color w:val="000000" w:themeColor="text1"/>
                      <w:kern w:val="0"/>
                      <w:szCs w:val="21"/>
                      <w:lang w:bidi="ar"/>
                      <w14:textFill>
                        <w14:solidFill>
                          <w14:schemeClr w14:val="tx1"/>
                        </w14:solidFill>
                      </w14:textFill>
                    </w:rPr>
                  </w:pPr>
                </w:p>
              </w:tc>
              <w:tc>
                <w:tcPr>
                  <w:tcW w:w="568" w:type="pct"/>
                  <w:vMerge w:val="continue"/>
                  <w:shd w:val="clear" w:color="auto" w:fill="auto"/>
                  <w:vAlign w:val="center"/>
                </w:tcPr>
                <w:p w14:paraId="3F2D1990">
                  <w:pPr>
                    <w:widowControl/>
                    <w:jc w:val="center"/>
                    <w:textAlignment w:val="center"/>
                    <w:rPr>
                      <w:color w:val="000000" w:themeColor="text1"/>
                      <w:kern w:val="0"/>
                      <w:szCs w:val="21"/>
                      <w:lang w:bidi="ar"/>
                      <w14:textFill>
                        <w14:solidFill>
                          <w14:schemeClr w14:val="tx1"/>
                        </w14:solidFill>
                      </w14:textFill>
                    </w:rPr>
                  </w:pPr>
                </w:p>
              </w:tc>
              <w:tc>
                <w:tcPr>
                  <w:tcW w:w="465" w:type="pct"/>
                  <w:vMerge w:val="continue"/>
                  <w:shd w:val="clear" w:color="auto" w:fill="auto"/>
                  <w:vAlign w:val="center"/>
                </w:tcPr>
                <w:p w14:paraId="403A8CE4">
                  <w:pPr>
                    <w:widowControl/>
                    <w:jc w:val="center"/>
                    <w:textAlignment w:val="center"/>
                    <w:rPr>
                      <w:color w:val="000000" w:themeColor="text1"/>
                      <w:kern w:val="0"/>
                      <w:szCs w:val="21"/>
                      <w:lang w:bidi="ar"/>
                      <w14:textFill>
                        <w14:solidFill>
                          <w14:schemeClr w14:val="tx1"/>
                        </w14:solidFill>
                      </w14:textFill>
                    </w:rPr>
                  </w:pPr>
                </w:p>
              </w:tc>
              <w:tc>
                <w:tcPr>
                  <w:tcW w:w="396" w:type="pct"/>
                  <w:vMerge w:val="continue"/>
                  <w:shd w:val="clear" w:color="auto" w:fill="auto"/>
                  <w:noWrap/>
                  <w:vAlign w:val="center"/>
                </w:tcPr>
                <w:p w14:paraId="213BF008">
                  <w:pPr>
                    <w:widowControl/>
                    <w:jc w:val="center"/>
                    <w:textAlignment w:val="center"/>
                    <w:rPr>
                      <w:color w:val="000000" w:themeColor="text1"/>
                      <w:kern w:val="0"/>
                      <w:szCs w:val="21"/>
                      <w:lang w:bidi="ar"/>
                      <w14:textFill>
                        <w14:solidFill>
                          <w14:schemeClr w14:val="tx1"/>
                        </w14:solidFill>
                      </w14:textFill>
                    </w:rPr>
                  </w:pPr>
                </w:p>
              </w:tc>
              <w:tc>
                <w:tcPr>
                  <w:tcW w:w="383" w:type="pct"/>
                  <w:vMerge w:val="continue"/>
                  <w:shd w:val="clear" w:color="auto" w:fill="auto"/>
                  <w:noWrap/>
                  <w:vAlign w:val="center"/>
                </w:tcPr>
                <w:p w14:paraId="13741749">
                  <w:pPr>
                    <w:widowControl/>
                    <w:jc w:val="center"/>
                    <w:textAlignment w:val="center"/>
                    <w:rPr>
                      <w:color w:val="000000" w:themeColor="text1"/>
                      <w:kern w:val="0"/>
                      <w:szCs w:val="21"/>
                      <w:lang w:bidi="ar"/>
                      <w14:textFill>
                        <w14:solidFill>
                          <w14:schemeClr w14:val="tx1"/>
                        </w14:solidFill>
                      </w14:textFill>
                    </w:rPr>
                  </w:pPr>
                </w:p>
              </w:tc>
              <w:tc>
                <w:tcPr>
                  <w:tcW w:w="562" w:type="pct"/>
                  <w:vMerge w:val="continue"/>
                  <w:shd w:val="clear" w:color="auto" w:fill="auto"/>
                  <w:noWrap/>
                  <w:vAlign w:val="center"/>
                </w:tcPr>
                <w:p w14:paraId="67ADFDB8">
                  <w:pPr>
                    <w:widowControl/>
                    <w:jc w:val="center"/>
                    <w:textAlignment w:val="center"/>
                    <w:rPr>
                      <w:color w:val="000000" w:themeColor="text1"/>
                      <w:kern w:val="0"/>
                      <w:szCs w:val="21"/>
                      <w:lang w:bidi="ar"/>
                      <w14:textFill>
                        <w14:solidFill>
                          <w14:schemeClr w14:val="tx1"/>
                        </w14:solidFill>
                      </w14:textFill>
                    </w:rPr>
                  </w:pPr>
                </w:p>
              </w:tc>
              <w:tc>
                <w:tcPr>
                  <w:tcW w:w="566" w:type="pct"/>
                  <w:vMerge w:val="continue"/>
                  <w:shd w:val="clear" w:color="auto" w:fill="auto"/>
                  <w:noWrap/>
                  <w:vAlign w:val="center"/>
                </w:tcPr>
                <w:p w14:paraId="18EB7083">
                  <w:pPr>
                    <w:widowControl/>
                    <w:jc w:val="center"/>
                    <w:textAlignment w:val="center"/>
                    <w:rPr>
                      <w:color w:val="000000" w:themeColor="text1"/>
                      <w:kern w:val="0"/>
                      <w:szCs w:val="21"/>
                      <w:lang w:bidi="ar"/>
                      <w14:textFill>
                        <w14:solidFill>
                          <w14:schemeClr w14:val="tx1"/>
                        </w14:solidFill>
                      </w14:textFill>
                    </w:rPr>
                  </w:pPr>
                </w:p>
              </w:tc>
              <w:tc>
                <w:tcPr>
                  <w:tcW w:w="490" w:type="pct"/>
                  <w:vMerge w:val="continue"/>
                  <w:shd w:val="clear" w:color="auto" w:fill="auto"/>
                  <w:noWrap/>
                  <w:vAlign w:val="center"/>
                </w:tcPr>
                <w:p w14:paraId="1B47FDF3">
                  <w:pPr>
                    <w:widowControl/>
                    <w:jc w:val="center"/>
                    <w:textAlignment w:val="center"/>
                    <w:rPr>
                      <w:color w:val="000000" w:themeColor="text1"/>
                      <w:kern w:val="0"/>
                      <w:szCs w:val="21"/>
                      <w:lang w:bidi="ar"/>
                      <w14:textFill>
                        <w14:solidFill>
                          <w14:schemeClr w14:val="tx1"/>
                        </w14:solidFill>
                      </w14:textFill>
                    </w:rPr>
                  </w:pPr>
                </w:p>
              </w:tc>
            </w:tr>
            <w:tr w14:paraId="756A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8" w:type="pct"/>
                  <w:shd w:val="clear" w:color="auto" w:fill="auto"/>
                  <w:vAlign w:val="center"/>
                </w:tcPr>
                <w:p w14:paraId="1DABC89C">
                  <w:pPr>
                    <w:jc w:val="center"/>
                    <w:rPr>
                      <w:rFonts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废活性炭</w:t>
                  </w:r>
                </w:p>
              </w:tc>
              <w:tc>
                <w:tcPr>
                  <w:tcW w:w="476" w:type="pct"/>
                  <w:shd w:val="clear" w:color="auto" w:fill="auto"/>
                  <w:noWrap/>
                  <w:vAlign w:val="center"/>
                </w:tcPr>
                <w:p w14:paraId="623BD9AB">
                  <w:pPr>
                    <w:widowControl/>
                    <w:jc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2.261</w:t>
                  </w:r>
                </w:p>
              </w:tc>
              <w:tc>
                <w:tcPr>
                  <w:tcW w:w="555" w:type="pct"/>
                  <w:vMerge w:val="continue"/>
                  <w:shd w:val="clear" w:color="auto" w:fill="auto"/>
                  <w:noWrap/>
                  <w:vAlign w:val="center"/>
                </w:tcPr>
                <w:p w14:paraId="2D1A5C86">
                  <w:pPr>
                    <w:widowControl/>
                    <w:jc w:val="center"/>
                    <w:textAlignment w:val="center"/>
                    <w:rPr>
                      <w:color w:val="000000" w:themeColor="text1"/>
                      <w:kern w:val="0"/>
                      <w:szCs w:val="21"/>
                      <w:lang w:bidi="ar"/>
                      <w14:textFill>
                        <w14:solidFill>
                          <w14:schemeClr w14:val="tx1"/>
                        </w14:solidFill>
                      </w14:textFill>
                    </w:rPr>
                  </w:pPr>
                </w:p>
              </w:tc>
              <w:tc>
                <w:tcPr>
                  <w:tcW w:w="568" w:type="pct"/>
                  <w:vMerge w:val="continue"/>
                  <w:shd w:val="clear" w:color="auto" w:fill="auto"/>
                  <w:vAlign w:val="center"/>
                </w:tcPr>
                <w:p w14:paraId="675C4DA1">
                  <w:pPr>
                    <w:widowControl/>
                    <w:jc w:val="center"/>
                    <w:textAlignment w:val="center"/>
                    <w:rPr>
                      <w:color w:val="000000" w:themeColor="text1"/>
                      <w:kern w:val="0"/>
                      <w:szCs w:val="21"/>
                      <w:lang w:bidi="ar"/>
                      <w14:textFill>
                        <w14:solidFill>
                          <w14:schemeClr w14:val="tx1"/>
                        </w14:solidFill>
                      </w14:textFill>
                    </w:rPr>
                  </w:pPr>
                </w:p>
              </w:tc>
              <w:tc>
                <w:tcPr>
                  <w:tcW w:w="465" w:type="pct"/>
                  <w:vMerge w:val="continue"/>
                  <w:shd w:val="clear" w:color="auto" w:fill="auto"/>
                  <w:vAlign w:val="center"/>
                </w:tcPr>
                <w:p w14:paraId="5B1B083B">
                  <w:pPr>
                    <w:widowControl/>
                    <w:jc w:val="center"/>
                    <w:textAlignment w:val="center"/>
                    <w:rPr>
                      <w:color w:val="000000" w:themeColor="text1"/>
                      <w:kern w:val="0"/>
                      <w:szCs w:val="21"/>
                      <w:lang w:bidi="ar"/>
                      <w14:textFill>
                        <w14:solidFill>
                          <w14:schemeClr w14:val="tx1"/>
                        </w14:solidFill>
                      </w14:textFill>
                    </w:rPr>
                  </w:pPr>
                </w:p>
              </w:tc>
              <w:tc>
                <w:tcPr>
                  <w:tcW w:w="396" w:type="pct"/>
                  <w:vMerge w:val="continue"/>
                  <w:shd w:val="clear" w:color="auto" w:fill="auto"/>
                  <w:noWrap/>
                  <w:vAlign w:val="center"/>
                </w:tcPr>
                <w:p w14:paraId="3717AB1B">
                  <w:pPr>
                    <w:widowControl/>
                    <w:jc w:val="center"/>
                    <w:textAlignment w:val="center"/>
                    <w:rPr>
                      <w:color w:val="000000" w:themeColor="text1"/>
                      <w:kern w:val="0"/>
                      <w:szCs w:val="21"/>
                      <w:lang w:bidi="ar"/>
                      <w14:textFill>
                        <w14:solidFill>
                          <w14:schemeClr w14:val="tx1"/>
                        </w14:solidFill>
                      </w14:textFill>
                    </w:rPr>
                  </w:pPr>
                </w:p>
              </w:tc>
              <w:tc>
                <w:tcPr>
                  <w:tcW w:w="383" w:type="pct"/>
                  <w:vMerge w:val="continue"/>
                  <w:shd w:val="clear" w:color="auto" w:fill="auto"/>
                  <w:noWrap/>
                  <w:vAlign w:val="center"/>
                </w:tcPr>
                <w:p w14:paraId="220C0553">
                  <w:pPr>
                    <w:widowControl/>
                    <w:jc w:val="center"/>
                    <w:textAlignment w:val="center"/>
                    <w:rPr>
                      <w:color w:val="000000" w:themeColor="text1"/>
                      <w:kern w:val="0"/>
                      <w:szCs w:val="21"/>
                      <w:lang w:bidi="ar"/>
                      <w14:textFill>
                        <w14:solidFill>
                          <w14:schemeClr w14:val="tx1"/>
                        </w14:solidFill>
                      </w14:textFill>
                    </w:rPr>
                  </w:pPr>
                </w:p>
              </w:tc>
              <w:tc>
                <w:tcPr>
                  <w:tcW w:w="562" w:type="pct"/>
                  <w:vMerge w:val="continue"/>
                  <w:shd w:val="clear" w:color="auto" w:fill="auto"/>
                  <w:noWrap/>
                  <w:vAlign w:val="center"/>
                </w:tcPr>
                <w:p w14:paraId="423504D0">
                  <w:pPr>
                    <w:widowControl/>
                    <w:jc w:val="center"/>
                    <w:textAlignment w:val="center"/>
                    <w:rPr>
                      <w:color w:val="000000" w:themeColor="text1"/>
                      <w:kern w:val="0"/>
                      <w:szCs w:val="21"/>
                      <w:lang w:bidi="ar"/>
                      <w14:textFill>
                        <w14:solidFill>
                          <w14:schemeClr w14:val="tx1"/>
                        </w14:solidFill>
                      </w14:textFill>
                    </w:rPr>
                  </w:pPr>
                </w:p>
              </w:tc>
              <w:tc>
                <w:tcPr>
                  <w:tcW w:w="566" w:type="pct"/>
                  <w:vMerge w:val="continue"/>
                  <w:shd w:val="clear" w:color="auto" w:fill="auto"/>
                  <w:noWrap/>
                  <w:vAlign w:val="center"/>
                </w:tcPr>
                <w:p w14:paraId="07067A3B">
                  <w:pPr>
                    <w:widowControl/>
                    <w:jc w:val="center"/>
                    <w:textAlignment w:val="center"/>
                    <w:rPr>
                      <w:color w:val="000000" w:themeColor="text1"/>
                      <w:kern w:val="0"/>
                      <w:szCs w:val="21"/>
                      <w:lang w:bidi="ar"/>
                      <w14:textFill>
                        <w14:solidFill>
                          <w14:schemeClr w14:val="tx1"/>
                        </w14:solidFill>
                      </w14:textFill>
                    </w:rPr>
                  </w:pPr>
                </w:p>
              </w:tc>
              <w:tc>
                <w:tcPr>
                  <w:tcW w:w="490" w:type="pct"/>
                  <w:vMerge w:val="continue"/>
                  <w:shd w:val="clear" w:color="auto" w:fill="auto"/>
                  <w:noWrap/>
                  <w:vAlign w:val="center"/>
                </w:tcPr>
                <w:p w14:paraId="1E8BD4AB">
                  <w:pPr>
                    <w:widowControl/>
                    <w:jc w:val="center"/>
                    <w:textAlignment w:val="center"/>
                    <w:rPr>
                      <w:color w:val="000000" w:themeColor="text1"/>
                      <w:kern w:val="0"/>
                      <w:szCs w:val="21"/>
                      <w:lang w:bidi="ar"/>
                      <w14:textFill>
                        <w14:solidFill>
                          <w14:schemeClr w14:val="tx1"/>
                        </w14:solidFill>
                      </w14:textFill>
                    </w:rPr>
                  </w:pPr>
                </w:p>
              </w:tc>
            </w:tr>
            <w:tr w14:paraId="78D7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38" w:type="pct"/>
                  <w:shd w:val="clear" w:color="auto" w:fill="auto"/>
                  <w:vAlign w:val="center"/>
                </w:tcPr>
                <w:p w14:paraId="105284D8">
                  <w:pPr>
                    <w:jc w:val="center"/>
                    <w:rPr>
                      <w:rFonts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废试剂</w:t>
                  </w:r>
                </w:p>
              </w:tc>
              <w:tc>
                <w:tcPr>
                  <w:tcW w:w="476" w:type="pct"/>
                  <w:shd w:val="clear" w:color="auto" w:fill="auto"/>
                  <w:noWrap/>
                  <w:vAlign w:val="center"/>
                </w:tcPr>
                <w:p w14:paraId="48BF1DEC">
                  <w:pPr>
                    <w:widowControl/>
                    <w:jc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0.001</w:t>
                  </w:r>
                </w:p>
              </w:tc>
              <w:tc>
                <w:tcPr>
                  <w:tcW w:w="555" w:type="pct"/>
                  <w:vMerge w:val="continue"/>
                  <w:shd w:val="clear" w:color="auto" w:fill="auto"/>
                  <w:noWrap/>
                  <w:vAlign w:val="center"/>
                </w:tcPr>
                <w:p w14:paraId="66EBBD33">
                  <w:pPr>
                    <w:jc w:val="center"/>
                    <w:rPr>
                      <w:rFonts w:ascii="宋体" w:hAnsi="宋体" w:cs="宋体"/>
                      <w:color w:val="000000" w:themeColor="text1"/>
                      <w:sz w:val="22"/>
                      <w:szCs w:val="22"/>
                      <w14:textFill>
                        <w14:solidFill>
                          <w14:schemeClr w14:val="tx1"/>
                        </w14:solidFill>
                      </w14:textFill>
                    </w:rPr>
                  </w:pPr>
                </w:p>
              </w:tc>
              <w:tc>
                <w:tcPr>
                  <w:tcW w:w="568" w:type="pct"/>
                  <w:vMerge w:val="continue"/>
                  <w:shd w:val="clear" w:color="auto" w:fill="auto"/>
                  <w:vAlign w:val="center"/>
                </w:tcPr>
                <w:p w14:paraId="7CC63EE4">
                  <w:pPr>
                    <w:jc w:val="center"/>
                    <w:rPr>
                      <w:rFonts w:ascii="宋体" w:hAnsi="宋体" w:cs="宋体"/>
                      <w:color w:val="000000" w:themeColor="text1"/>
                      <w:sz w:val="22"/>
                      <w:szCs w:val="22"/>
                      <w14:textFill>
                        <w14:solidFill>
                          <w14:schemeClr w14:val="tx1"/>
                        </w14:solidFill>
                      </w14:textFill>
                    </w:rPr>
                  </w:pPr>
                </w:p>
              </w:tc>
              <w:tc>
                <w:tcPr>
                  <w:tcW w:w="465" w:type="pct"/>
                  <w:vMerge w:val="continue"/>
                  <w:shd w:val="clear" w:color="auto" w:fill="auto"/>
                  <w:vAlign w:val="center"/>
                </w:tcPr>
                <w:p w14:paraId="5C67AA36">
                  <w:pPr>
                    <w:jc w:val="center"/>
                    <w:rPr>
                      <w:rFonts w:ascii="宋体" w:hAnsi="宋体" w:cs="宋体"/>
                      <w:color w:val="000000" w:themeColor="text1"/>
                      <w:sz w:val="22"/>
                      <w:szCs w:val="22"/>
                      <w14:textFill>
                        <w14:solidFill>
                          <w14:schemeClr w14:val="tx1"/>
                        </w14:solidFill>
                      </w14:textFill>
                    </w:rPr>
                  </w:pPr>
                </w:p>
              </w:tc>
              <w:tc>
                <w:tcPr>
                  <w:tcW w:w="396" w:type="pct"/>
                  <w:vMerge w:val="continue"/>
                  <w:shd w:val="clear" w:color="auto" w:fill="auto"/>
                  <w:noWrap/>
                  <w:vAlign w:val="center"/>
                </w:tcPr>
                <w:p w14:paraId="0FF9BD5A">
                  <w:pPr>
                    <w:jc w:val="center"/>
                    <w:rPr>
                      <w:rFonts w:ascii="宋体" w:hAnsi="宋体" w:cs="宋体"/>
                      <w:color w:val="000000" w:themeColor="text1"/>
                      <w:sz w:val="22"/>
                      <w:szCs w:val="22"/>
                      <w14:textFill>
                        <w14:solidFill>
                          <w14:schemeClr w14:val="tx1"/>
                        </w14:solidFill>
                      </w14:textFill>
                    </w:rPr>
                  </w:pPr>
                </w:p>
              </w:tc>
              <w:tc>
                <w:tcPr>
                  <w:tcW w:w="383" w:type="pct"/>
                  <w:vMerge w:val="continue"/>
                  <w:shd w:val="clear" w:color="auto" w:fill="auto"/>
                  <w:noWrap/>
                  <w:vAlign w:val="center"/>
                </w:tcPr>
                <w:p w14:paraId="7AE1D01A">
                  <w:pPr>
                    <w:jc w:val="center"/>
                    <w:rPr>
                      <w:rFonts w:ascii="宋体" w:hAnsi="宋体" w:cs="宋体"/>
                      <w:color w:val="000000" w:themeColor="text1"/>
                      <w:sz w:val="22"/>
                      <w:szCs w:val="22"/>
                      <w14:textFill>
                        <w14:solidFill>
                          <w14:schemeClr w14:val="tx1"/>
                        </w14:solidFill>
                      </w14:textFill>
                    </w:rPr>
                  </w:pPr>
                </w:p>
              </w:tc>
              <w:tc>
                <w:tcPr>
                  <w:tcW w:w="562" w:type="pct"/>
                  <w:vMerge w:val="continue"/>
                  <w:shd w:val="clear" w:color="auto" w:fill="auto"/>
                  <w:noWrap/>
                  <w:vAlign w:val="center"/>
                </w:tcPr>
                <w:p w14:paraId="43F96E4E">
                  <w:pPr>
                    <w:jc w:val="center"/>
                    <w:rPr>
                      <w:rFonts w:ascii="宋体" w:hAnsi="宋体" w:cs="宋体"/>
                      <w:color w:val="000000" w:themeColor="text1"/>
                      <w:sz w:val="22"/>
                      <w:szCs w:val="22"/>
                      <w14:textFill>
                        <w14:solidFill>
                          <w14:schemeClr w14:val="tx1"/>
                        </w14:solidFill>
                      </w14:textFill>
                    </w:rPr>
                  </w:pPr>
                </w:p>
              </w:tc>
              <w:tc>
                <w:tcPr>
                  <w:tcW w:w="566" w:type="pct"/>
                  <w:vMerge w:val="continue"/>
                  <w:shd w:val="clear" w:color="auto" w:fill="auto"/>
                  <w:noWrap/>
                  <w:vAlign w:val="center"/>
                </w:tcPr>
                <w:p w14:paraId="53097FB9">
                  <w:pPr>
                    <w:jc w:val="center"/>
                    <w:rPr>
                      <w:rFonts w:ascii="宋体" w:hAnsi="宋体" w:cs="宋体"/>
                      <w:color w:val="000000" w:themeColor="text1"/>
                      <w:sz w:val="22"/>
                      <w:szCs w:val="22"/>
                      <w14:textFill>
                        <w14:solidFill>
                          <w14:schemeClr w14:val="tx1"/>
                        </w14:solidFill>
                      </w14:textFill>
                    </w:rPr>
                  </w:pPr>
                </w:p>
              </w:tc>
              <w:tc>
                <w:tcPr>
                  <w:tcW w:w="490" w:type="pct"/>
                  <w:vMerge w:val="continue"/>
                  <w:shd w:val="clear" w:color="auto" w:fill="auto"/>
                  <w:noWrap/>
                  <w:vAlign w:val="center"/>
                </w:tcPr>
                <w:p w14:paraId="2E75D0CC">
                  <w:pPr>
                    <w:jc w:val="center"/>
                    <w:rPr>
                      <w:rFonts w:ascii="宋体" w:hAnsi="宋体" w:cs="宋体"/>
                      <w:color w:val="000000" w:themeColor="text1"/>
                      <w:sz w:val="22"/>
                      <w:szCs w:val="22"/>
                      <w14:textFill>
                        <w14:solidFill>
                          <w14:schemeClr w14:val="tx1"/>
                        </w14:solidFill>
                      </w14:textFill>
                    </w:rPr>
                  </w:pPr>
                </w:p>
              </w:tc>
            </w:tr>
            <w:tr w14:paraId="149CF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538" w:type="pct"/>
                  <w:shd w:val="clear" w:color="auto" w:fill="auto"/>
                  <w:vAlign w:val="center"/>
                </w:tcPr>
                <w:p w14:paraId="0ECD0344">
                  <w:pPr>
                    <w:widowControl/>
                    <w:jc w:val="center"/>
                    <w:rPr>
                      <w:rFonts w:ascii="仿宋" w:hAnsi="仿宋" w:eastAsia="仿宋" w:cs="仿宋"/>
                      <w:color w:val="000000" w:themeColor="text1"/>
                      <w:kern w:val="0"/>
                      <w:szCs w:val="21"/>
                      <w:lang w:bidi="ar"/>
                      <w14:textFill>
                        <w14:solidFill>
                          <w14:schemeClr w14:val="tx1"/>
                        </w14:solidFill>
                      </w14:textFill>
                    </w:rPr>
                  </w:pPr>
                  <w:r>
                    <w:rPr>
                      <w:rFonts w:hint="eastAsia" w:ascii="仿宋" w:hAnsi="仿宋" w:eastAsia="仿宋" w:cs="仿宋"/>
                      <w:color w:val="000000" w:themeColor="text1"/>
                      <w:kern w:val="0"/>
                      <w:szCs w:val="21"/>
                      <w:lang w:bidi="ar"/>
                      <w14:textFill>
                        <w14:solidFill>
                          <w14:schemeClr w14:val="tx1"/>
                        </w14:solidFill>
                      </w14:textFill>
                    </w:rPr>
                    <w:t>废包装桶/袋</w:t>
                  </w:r>
                </w:p>
              </w:tc>
              <w:tc>
                <w:tcPr>
                  <w:tcW w:w="476" w:type="pct"/>
                  <w:shd w:val="clear" w:color="auto" w:fill="auto"/>
                  <w:noWrap/>
                  <w:vAlign w:val="center"/>
                </w:tcPr>
                <w:p w14:paraId="6A03025F">
                  <w:pPr>
                    <w:widowControl/>
                    <w:jc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0.2</w:t>
                  </w:r>
                </w:p>
              </w:tc>
              <w:tc>
                <w:tcPr>
                  <w:tcW w:w="555" w:type="pct"/>
                  <w:vMerge w:val="continue"/>
                  <w:shd w:val="clear" w:color="auto" w:fill="auto"/>
                  <w:noWrap/>
                  <w:vAlign w:val="center"/>
                </w:tcPr>
                <w:p w14:paraId="107ED8F9">
                  <w:pPr>
                    <w:jc w:val="center"/>
                    <w:rPr>
                      <w:rFonts w:ascii="宋体" w:hAnsi="宋体" w:cs="宋体"/>
                      <w:color w:val="000000" w:themeColor="text1"/>
                      <w:sz w:val="22"/>
                      <w:szCs w:val="22"/>
                      <w14:textFill>
                        <w14:solidFill>
                          <w14:schemeClr w14:val="tx1"/>
                        </w14:solidFill>
                      </w14:textFill>
                    </w:rPr>
                  </w:pPr>
                </w:p>
              </w:tc>
              <w:tc>
                <w:tcPr>
                  <w:tcW w:w="568" w:type="pct"/>
                  <w:vMerge w:val="continue"/>
                  <w:shd w:val="clear" w:color="auto" w:fill="auto"/>
                  <w:vAlign w:val="center"/>
                </w:tcPr>
                <w:p w14:paraId="6D566F7E">
                  <w:pPr>
                    <w:jc w:val="center"/>
                    <w:rPr>
                      <w:rFonts w:ascii="宋体" w:hAnsi="宋体" w:cs="宋体"/>
                      <w:color w:val="000000" w:themeColor="text1"/>
                      <w:sz w:val="22"/>
                      <w:szCs w:val="22"/>
                      <w14:textFill>
                        <w14:solidFill>
                          <w14:schemeClr w14:val="tx1"/>
                        </w14:solidFill>
                      </w14:textFill>
                    </w:rPr>
                  </w:pPr>
                </w:p>
              </w:tc>
              <w:tc>
                <w:tcPr>
                  <w:tcW w:w="465" w:type="pct"/>
                  <w:vMerge w:val="continue"/>
                  <w:shd w:val="clear" w:color="auto" w:fill="auto"/>
                  <w:vAlign w:val="center"/>
                </w:tcPr>
                <w:p w14:paraId="280026F7">
                  <w:pPr>
                    <w:jc w:val="center"/>
                    <w:rPr>
                      <w:rFonts w:ascii="宋体" w:hAnsi="宋体" w:cs="宋体"/>
                      <w:color w:val="000000" w:themeColor="text1"/>
                      <w:sz w:val="22"/>
                      <w:szCs w:val="22"/>
                      <w14:textFill>
                        <w14:solidFill>
                          <w14:schemeClr w14:val="tx1"/>
                        </w14:solidFill>
                      </w14:textFill>
                    </w:rPr>
                  </w:pPr>
                </w:p>
              </w:tc>
              <w:tc>
                <w:tcPr>
                  <w:tcW w:w="396" w:type="pct"/>
                  <w:vMerge w:val="continue"/>
                  <w:shd w:val="clear" w:color="auto" w:fill="auto"/>
                  <w:noWrap/>
                  <w:vAlign w:val="center"/>
                </w:tcPr>
                <w:p w14:paraId="28E3A4AE">
                  <w:pPr>
                    <w:jc w:val="center"/>
                    <w:rPr>
                      <w:rFonts w:ascii="宋体" w:hAnsi="宋体" w:cs="宋体"/>
                      <w:color w:val="000000" w:themeColor="text1"/>
                      <w:sz w:val="22"/>
                      <w:szCs w:val="22"/>
                      <w14:textFill>
                        <w14:solidFill>
                          <w14:schemeClr w14:val="tx1"/>
                        </w14:solidFill>
                      </w14:textFill>
                    </w:rPr>
                  </w:pPr>
                </w:p>
              </w:tc>
              <w:tc>
                <w:tcPr>
                  <w:tcW w:w="383" w:type="pct"/>
                  <w:vMerge w:val="continue"/>
                  <w:shd w:val="clear" w:color="auto" w:fill="auto"/>
                  <w:noWrap/>
                  <w:vAlign w:val="center"/>
                </w:tcPr>
                <w:p w14:paraId="40315D9C">
                  <w:pPr>
                    <w:jc w:val="center"/>
                    <w:rPr>
                      <w:rFonts w:ascii="宋体" w:hAnsi="宋体" w:cs="宋体"/>
                      <w:color w:val="000000" w:themeColor="text1"/>
                      <w:sz w:val="22"/>
                      <w:szCs w:val="22"/>
                      <w14:textFill>
                        <w14:solidFill>
                          <w14:schemeClr w14:val="tx1"/>
                        </w14:solidFill>
                      </w14:textFill>
                    </w:rPr>
                  </w:pPr>
                </w:p>
              </w:tc>
              <w:tc>
                <w:tcPr>
                  <w:tcW w:w="562" w:type="pct"/>
                  <w:vMerge w:val="continue"/>
                  <w:shd w:val="clear" w:color="auto" w:fill="auto"/>
                  <w:noWrap/>
                  <w:vAlign w:val="center"/>
                </w:tcPr>
                <w:p w14:paraId="40E0FE91">
                  <w:pPr>
                    <w:jc w:val="center"/>
                    <w:rPr>
                      <w:rFonts w:ascii="宋体" w:hAnsi="宋体" w:cs="宋体"/>
                      <w:color w:val="000000" w:themeColor="text1"/>
                      <w:sz w:val="22"/>
                      <w:szCs w:val="22"/>
                      <w14:textFill>
                        <w14:solidFill>
                          <w14:schemeClr w14:val="tx1"/>
                        </w14:solidFill>
                      </w14:textFill>
                    </w:rPr>
                  </w:pPr>
                </w:p>
              </w:tc>
              <w:tc>
                <w:tcPr>
                  <w:tcW w:w="566" w:type="pct"/>
                  <w:vMerge w:val="continue"/>
                  <w:shd w:val="clear" w:color="auto" w:fill="auto"/>
                  <w:noWrap/>
                  <w:vAlign w:val="center"/>
                </w:tcPr>
                <w:p w14:paraId="1292D2CD">
                  <w:pPr>
                    <w:jc w:val="center"/>
                    <w:rPr>
                      <w:rFonts w:ascii="宋体" w:hAnsi="宋体" w:cs="宋体"/>
                      <w:color w:val="000000" w:themeColor="text1"/>
                      <w:sz w:val="22"/>
                      <w:szCs w:val="22"/>
                      <w14:textFill>
                        <w14:solidFill>
                          <w14:schemeClr w14:val="tx1"/>
                        </w14:solidFill>
                      </w14:textFill>
                    </w:rPr>
                  </w:pPr>
                </w:p>
              </w:tc>
              <w:tc>
                <w:tcPr>
                  <w:tcW w:w="490" w:type="pct"/>
                  <w:vMerge w:val="continue"/>
                  <w:shd w:val="clear" w:color="auto" w:fill="auto"/>
                  <w:noWrap/>
                  <w:vAlign w:val="center"/>
                </w:tcPr>
                <w:p w14:paraId="25ADB8F3">
                  <w:pPr>
                    <w:jc w:val="center"/>
                    <w:rPr>
                      <w:rFonts w:ascii="宋体" w:hAnsi="宋体" w:cs="宋体"/>
                      <w:color w:val="000000" w:themeColor="text1"/>
                      <w:sz w:val="22"/>
                      <w:szCs w:val="22"/>
                      <w14:textFill>
                        <w14:solidFill>
                          <w14:schemeClr w14:val="tx1"/>
                        </w14:solidFill>
                      </w14:textFill>
                    </w:rPr>
                  </w:pPr>
                </w:p>
              </w:tc>
            </w:tr>
          </w:tbl>
          <w:p w14:paraId="64DA5B4B">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3、环境管理要求</w:t>
            </w:r>
          </w:p>
          <w:p w14:paraId="27ED2975">
            <w:pPr>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1）根据《危险废物管理计划和管理台账制定技术导则》（HJ1259-2022）：①产生危险废物的单位，应当按照本标准规定的分类管理要求，制定危险废物管理计划，内容应当包括减少危险废物产生量和降低危险废物危害性的措施以及危险废物贮存、利用、处置措施；建立危险废物管理台账，如实记录危险废物的种类、产生量、流向、贮存、利用、处置等有关信息；通过国家危险废物信息管理系统向所在地生态环境主管部门备案危险废物管理计划，申报危险废物有关资料。②产生危险废物的单位应当按照实际情况填写记录有关内容，并对内容的真实性、准确性和完整性负责。</w:t>
            </w:r>
          </w:p>
          <w:p w14:paraId="505C45D8">
            <w:pPr>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2）根据《危险废物贮存污染控制标准》（GB18597-2023）、《省生态环境厅关于印发江苏省固体废物全过程环境监管工作意见》（苏环办〔2024〕16号）要求：①强化危废申报登记。应按规定申报危废产生、贮存、转移、利用处置等信息，制定危险废物年度管理计划，并在“江苏省危险废物动态管理信息系统”中备案。管理计划如需调整变更的，应重新在系统中申请备案。应结合自身实际，建立危废台账，如实记载危险废物种类、数量、性质、产生环节、流向、贮存、利用处理等信息，并在“江苏省危险废物动态管理信息系统”中进行如实规范申报，申报数据应与台账、管理计划数据相一致。②落实信息公开制度。按照要求在厂门口显著位置设置危险废物信息公开栏，主动公开危险废物产生、利用处置等情况；有官方网站的，在官网同时公开相关信息。</w:t>
            </w:r>
          </w:p>
          <w:p w14:paraId="7EF04F39">
            <w:pPr>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危险固废（常温常压下不水解、不挥发、不相互反应）均使用包装材料包装后分类堆放于场内，并粘贴符合要求的标签。</w:t>
            </w:r>
          </w:p>
          <w:p w14:paraId="641C4327">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（3）一般固废贮运要求</w:t>
            </w:r>
          </w:p>
          <w:p w14:paraId="2B491C57">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根据《一般工业固体废物贮存和填埋污染控制标准》（GB18599-2020），一般工业固体废物贮存、处置场运行管理要求如下：</w:t>
            </w:r>
          </w:p>
          <w:p w14:paraId="2ED10209">
            <w:pPr>
              <w:spacing w:line="480" w:lineRule="exact"/>
              <w:ind w:firstLine="480" w:firstLineChars="200"/>
              <w:rPr>
                <w:rFonts w:eastAsia="仿宋"/>
                <w:color w:val="000000" w:themeColor="text1"/>
                <w:sz w:val="24"/>
                <w14:textFill>
                  <w14:solidFill>
                    <w14:schemeClr w14:val="tx1"/>
                  </w14:solidFill>
                </w14:textFill>
              </w:rPr>
            </w:pPr>
            <w:r>
              <w:rPr>
                <w:rFonts w:hint="eastAsia" w:ascii="宋体" w:hAnsi="宋体" w:cs="宋体"/>
                <w:color w:val="000000" w:themeColor="text1"/>
                <w:sz w:val="24"/>
                <w:lang w:eastAsia="ja-JP"/>
                <w14:textFill>
                  <w14:solidFill>
                    <w14:schemeClr w14:val="tx1"/>
                  </w14:solidFill>
                </w14:textFill>
              </w:rPr>
              <w:t>①</w:t>
            </w:r>
            <w:r>
              <w:rPr>
                <w:rFonts w:eastAsia="仿宋"/>
                <w:color w:val="000000" w:themeColor="text1"/>
                <w:sz w:val="24"/>
                <w14:textFill>
                  <w14:solidFill>
                    <w14:schemeClr w14:val="tx1"/>
                  </w14:solidFill>
                </w14:textFill>
              </w:rPr>
              <w:t>一般工业固体废物贮存、处置场，禁止危险废物和生活垃圾混入。</w:t>
            </w:r>
          </w:p>
          <w:p w14:paraId="2347D13D">
            <w:pPr>
              <w:spacing w:line="480" w:lineRule="exact"/>
              <w:ind w:firstLine="480" w:firstLineChars="200"/>
              <w:rPr>
                <w:rFonts w:eastAsia="仿宋"/>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rFonts w:eastAsia="仿宋"/>
                <w:color w:val="000000" w:themeColor="text1"/>
                <w:sz w:val="24"/>
                <w14:textFill>
                  <w14:solidFill>
                    <w14:schemeClr w14:val="tx1"/>
                  </w14:solidFill>
                </w14:textFill>
              </w:rPr>
              <w:t>贮存、处置场使用单位，应建立检查维护制度。定期检查维护堤、坝、挡土墙、导流渠等设施，发现有损坏可能或异常，应及时采取必要措施，以保障正常运行。</w:t>
            </w:r>
          </w:p>
          <w:p w14:paraId="1532CCF5">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（4）危险废物相关要求</w:t>
            </w:r>
          </w:p>
          <w:p w14:paraId="58ED8488">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企业危废仓库需落实防雨、防火、防雷、防扬散、防渗漏措施，设置环氧树脂地坪，设置导流沟、导流槽，设置消防措施，设有观察口、照明设施，危废分类别堆放，粘贴危废标签、记录危废进出库时间、数量等。</w:t>
            </w:r>
          </w:p>
          <w:p w14:paraId="2B0231B8">
            <w:pPr>
              <w:spacing w:line="480" w:lineRule="exact"/>
              <w:ind w:firstLine="480" w:firstLineChars="200"/>
              <w:rPr>
                <w:rFonts w:eastAsia="仿宋"/>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rFonts w:eastAsia="仿宋"/>
                <w:color w:val="000000" w:themeColor="text1"/>
                <w:sz w:val="24"/>
                <w14:textFill>
                  <w14:solidFill>
                    <w14:schemeClr w14:val="tx1"/>
                  </w14:solidFill>
                </w14:textFill>
              </w:rPr>
              <w:t>危险固废储存及储存场所防护措施</w:t>
            </w:r>
          </w:p>
          <w:p w14:paraId="0E3A314B">
            <w:pPr>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根据《危险废物贮存污染控制标准》（GB18597-2023）、《危险废物识别标志设置技术规范》（HJ1276-2022）以及《危险废物收集、贮存、运输技术规范》（HJ2025-2012），对危险废物的贮存要求如下：</w:t>
            </w:r>
          </w:p>
          <w:p w14:paraId="6981CEBA">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A、对已产生的危险废物，若暂时不能回收利用或进行处理处置的，其产生单位需建设专门的危险废物贮存设施进行贮存，并建立危险废物标志，禁止将危险废物以任何形式转移给无许可证的单位，或转移到非危险废物贮存设施中。危险废物贮存设施应有相应的配套设施并按有关规定进行管理；</w:t>
            </w:r>
          </w:p>
          <w:p w14:paraId="33E4B686">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B、危险废物的贮存设施应建有堵截泄漏的裙脚，地面与裙脚要用坚固防渗的材料建造，应有防风、防晒、防雨设施；</w:t>
            </w:r>
          </w:p>
          <w:p w14:paraId="683AFD4E">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C、基础防渗层为粘土层的，其厚度应在1米以上，渗透系数应小于1.0×10</w:t>
            </w:r>
            <w:r>
              <w:rPr>
                <w:rFonts w:eastAsia="仿宋"/>
                <w:color w:val="000000" w:themeColor="text1"/>
                <w:sz w:val="24"/>
                <w:vertAlign w:val="superscript"/>
                <w14:textFill>
                  <w14:solidFill>
                    <w14:schemeClr w14:val="tx1"/>
                  </w14:solidFill>
                </w14:textFill>
              </w:rPr>
              <w:t>-7</w:t>
            </w:r>
            <w:r>
              <w:rPr>
                <w:rFonts w:eastAsia="仿宋"/>
                <w:color w:val="000000" w:themeColor="text1"/>
                <w:sz w:val="24"/>
                <w14:textFill>
                  <w14:solidFill>
                    <w14:schemeClr w14:val="tx1"/>
                  </w14:solidFill>
                </w14:textFill>
              </w:rPr>
              <w:t>厘米/秒；基础防渗层也可用厚度在2毫米以上的高密度聚乙烯或其他人工防渗材料组成，渗透系数应小于1.0×10</w:t>
            </w:r>
            <w:r>
              <w:rPr>
                <w:rFonts w:eastAsia="仿宋"/>
                <w:color w:val="000000" w:themeColor="text1"/>
                <w:sz w:val="24"/>
                <w:vertAlign w:val="superscript"/>
                <w14:textFill>
                  <w14:solidFill>
                    <w14:schemeClr w14:val="tx1"/>
                  </w14:solidFill>
                </w14:textFill>
              </w:rPr>
              <w:t>-10</w:t>
            </w:r>
            <w:r>
              <w:rPr>
                <w:rFonts w:eastAsia="仿宋"/>
                <w:color w:val="000000" w:themeColor="text1"/>
                <w:sz w:val="24"/>
                <w14:textFill>
                  <w14:solidFill>
                    <w14:schemeClr w14:val="tx1"/>
                  </w14:solidFill>
                </w14:textFill>
              </w:rPr>
              <w:t>厘米/秒；</w:t>
            </w:r>
          </w:p>
          <w:p w14:paraId="3A14963E">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D、用于存放液体、半固体危险废物的地方，还须有耐腐蚀的硬化地面，地面无裂隙；</w:t>
            </w:r>
          </w:p>
          <w:p w14:paraId="42D49A7F">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E、不相容的危险废物堆放区必须有隔离间隔断。</w:t>
            </w:r>
          </w:p>
          <w:p w14:paraId="7137C909">
            <w:pPr>
              <w:spacing w:line="480" w:lineRule="exact"/>
              <w:ind w:firstLine="480" w:firstLineChars="200"/>
              <w:rPr>
                <w:rFonts w:eastAsia="仿宋"/>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rFonts w:eastAsia="仿宋"/>
                <w:color w:val="000000" w:themeColor="text1"/>
                <w:sz w:val="24"/>
                <w14:textFill>
                  <w14:solidFill>
                    <w14:schemeClr w14:val="tx1"/>
                  </w14:solidFill>
                </w14:textFill>
              </w:rPr>
              <w:t>根据《危险废物贮存污染控制标准》（GB18597-2023），对危险废物的贮存要求如下：</w:t>
            </w:r>
          </w:p>
          <w:p w14:paraId="04284261">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A、</w:t>
            </w:r>
            <w:r>
              <w:rPr>
                <w:rFonts w:hint="eastAsia" w:eastAsia="仿宋"/>
                <w:color w:val="000000" w:themeColor="text1"/>
                <w:sz w:val="24"/>
                <w14:textFill>
                  <w14:solidFill>
                    <w14:schemeClr w14:val="tx1"/>
                  </w14:solidFill>
                </w14:textFill>
              </w:rPr>
              <w:t>在常温常压下不易水解、不易挥发的固态危险废物可分类堆放贮存，其他固态危险废物应装入容器或包装物内贮存</w:t>
            </w:r>
            <w:r>
              <w:rPr>
                <w:rFonts w:eastAsia="仿宋"/>
                <w:color w:val="000000" w:themeColor="text1"/>
                <w:sz w:val="24"/>
                <w14:textFill>
                  <w14:solidFill>
                    <w14:schemeClr w14:val="tx1"/>
                  </w14:solidFill>
                </w14:textFill>
              </w:rPr>
              <w:t>；</w:t>
            </w:r>
          </w:p>
          <w:p w14:paraId="17872A21">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B、</w:t>
            </w:r>
            <w:r>
              <w:rPr>
                <w:rFonts w:hint="eastAsia" w:eastAsia="仿宋"/>
                <w:color w:val="000000" w:themeColor="text1"/>
                <w:sz w:val="24"/>
                <w14:textFill>
                  <w14:solidFill>
                    <w14:schemeClr w14:val="tx1"/>
                  </w14:solidFill>
                </w14:textFill>
              </w:rPr>
              <w:t>液态危险废物应装入容器内贮存，或直接采用贮存池、贮存罐区贮存</w:t>
            </w:r>
            <w:r>
              <w:rPr>
                <w:rFonts w:eastAsia="仿宋"/>
                <w:color w:val="000000" w:themeColor="text1"/>
                <w:sz w:val="24"/>
                <w14:textFill>
                  <w14:solidFill>
                    <w14:schemeClr w14:val="tx1"/>
                  </w14:solidFill>
                </w14:textFill>
              </w:rPr>
              <w:t>；</w:t>
            </w:r>
          </w:p>
          <w:p w14:paraId="3767F1E1">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C、</w:t>
            </w:r>
            <w:r>
              <w:rPr>
                <w:rFonts w:hint="eastAsia" w:eastAsia="仿宋"/>
                <w:color w:val="000000" w:themeColor="text1"/>
                <w:sz w:val="24"/>
                <w14:textFill>
                  <w14:solidFill>
                    <w14:schemeClr w14:val="tx1"/>
                  </w14:solidFill>
                </w14:textFill>
              </w:rPr>
              <w:t>半固态危险废物应装入容器或包装袋内贮存，或直接采用贮存池贮存</w:t>
            </w:r>
            <w:r>
              <w:rPr>
                <w:rFonts w:eastAsia="仿宋"/>
                <w:color w:val="000000" w:themeColor="text1"/>
                <w:sz w:val="24"/>
                <w14:textFill>
                  <w14:solidFill>
                    <w14:schemeClr w14:val="tx1"/>
                  </w14:solidFill>
                </w14:textFill>
              </w:rPr>
              <w:t>；</w:t>
            </w:r>
          </w:p>
          <w:p w14:paraId="29B71FED">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D、</w:t>
            </w:r>
            <w:r>
              <w:rPr>
                <w:rFonts w:hint="eastAsia" w:eastAsia="仿宋"/>
                <w:color w:val="000000" w:themeColor="text1"/>
                <w:sz w:val="24"/>
                <w14:textFill>
                  <w14:solidFill>
                    <w14:schemeClr w14:val="tx1"/>
                  </w14:solidFill>
                </w14:textFill>
              </w:rPr>
              <w:t>具有热塑性的危险废物应装入容器或包装袋内进行贮存；</w:t>
            </w:r>
          </w:p>
          <w:p w14:paraId="7150A31B">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E</w:t>
            </w:r>
            <w:r>
              <w:rPr>
                <w:rFonts w:hint="eastAsia" w:eastAsia="仿宋"/>
                <w:color w:val="000000" w:themeColor="text1"/>
                <w:sz w:val="24"/>
                <w14:textFill>
                  <w14:solidFill>
                    <w14:schemeClr w14:val="tx1"/>
                  </w14:solidFill>
                </w14:textFill>
              </w:rPr>
              <w:t>、易产生粉尘、VOCs、酸雾、有毒有害大气污染物和刺激性气味气体的危险废物应装入闭口容器或包装物内贮存；</w:t>
            </w:r>
          </w:p>
          <w:p w14:paraId="3D8E451C">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F</w:t>
            </w:r>
            <w:r>
              <w:rPr>
                <w:rFonts w:hint="eastAsia" w:eastAsia="仿宋"/>
                <w:color w:val="000000" w:themeColor="text1"/>
                <w:sz w:val="24"/>
                <w14:textFill>
                  <w14:solidFill>
                    <w14:schemeClr w14:val="tx1"/>
                  </w14:solidFill>
                </w14:textFill>
              </w:rPr>
              <w:t>、危险废物贮存过程中易产生粉尘等无组织排放的，应采取抑尘等有效措施。</w:t>
            </w:r>
          </w:p>
          <w:p w14:paraId="15FE1838">
            <w:pPr>
              <w:spacing w:line="500" w:lineRule="exact"/>
              <w:ind w:firstLine="480" w:firstLineChars="200"/>
              <w:rPr>
                <w:rFonts w:eastAsia="仿宋"/>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rFonts w:eastAsia="仿宋"/>
                <w:color w:val="000000" w:themeColor="text1"/>
                <w:sz w:val="24"/>
                <w14:textFill>
                  <w14:solidFill>
                    <w14:schemeClr w14:val="tx1"/>
                  </w14:solidFill>
                </w14:textFill>
              </w:rPr>
              <w:t>危险废物贮存容器要求</w:t>
            </w:r>
          </w:p>
          <w:p w14:paraId="4FF3D60A">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根据《危险废物贮存污染控制标准》（GB18597-2023）</w:t>
            </w:r>
            <w:r>
              <w:rPr>
                <w:rFonts w:hint="eastAsia" w:eastAsia="仿宋"/>
                <w:color w:val="000000" w:themeColor="text1"/>
                <w:sz w:val="24"/>
                <w14:textFill>
                  <w14:solidFill>
                    <w14:schemeClr w14:val="tx1"/>
                  </w14:solidFill>
                </w14:textFill>
              </w:rPr>
              <w:t>，</w:t>
            </w:r>
            <w:r>
              <w:rPr>
                <w:rFonts w:eastAsia="仿宋"/>
                <w:color w:val="000000" w:themeColor="text1"/>
                <w:sz w:val="24"/>
                <w14:textFill>
                  <w14:solidFill>
                    <w14:schemeClr w14:val="tx1"/>
                  </w14:solidFill>
                </w14:textFill>
              </w:rPr>
              <w:t>危险废物贮存容器要求如下：</w:t>
            </w:r>
          </w:p>
          <w:p w14:paraId="5867123A">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A、</w:t>
            </w:r>
            <w:r>
              <w:rPr>
                <w:rFonts w:hint="eastAsia" w:eastAsia="仿宋"/>
                <w:color w:val="000000" w:themeColor="text1"/>
                <w:sz w:val="24"/>
                <w14:textFill>
                  <w14:solidFill>
                    <w14:schemeClr w14:val="tx1"/>
                  </w14:solidFill>
                </w14:textFill>
              </w:rPr>
              <w:t>容器和包装物材质、内衬应与盛装的危险废物相容</w:t>
            </w:r>
            <w:r>
              <w:rPr>
                <w:rFonts w:eastAsia="仿宋"/>
                <w:color w:val="000000" w:themeColor="text1"/>
                <w:sz w:val="24"/>
                <w14:textFill>
                  <w14:solidFill>
                    <w14:schemeClr w14:val="tx1"/>
                  </w14:solidFill>
                </w14:textFill>
              </w:rPr>
              <w:t>；</w:t>
            </w:r>
          </w:p>
          <w:p w14:paraId="053317B0">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B、</w:t>
            </w:r>
            <w:r>
              <w:rPr>
                <w:rFonts w:hint="eastAsia" w:eastAsia="仿宋"/>
                <w:color w:val="000000" w:themeColor="text1"/>
                <w:sz w:val="24"/>
                <w14:textFill>
                  <w14:solidFill>
                    <w14:schemeClr w14:val="tx1"/>
                  </w14:solidFill>
                </w14:textFill>
              </w:rPr>
              <w:t>针对不同类别、形态、物理化学性质的危险废物，其容器和包装物应满足相应的防渗、防漏、防腐和强度等要求</w:t>
            </w:r>
            <w:r>
              <w:rPr>
                <w:rFonts w:eastAsia="仿宋"/>
                <w:color w:val="000000" w:themeColor="text1"/>
                <w:sz w:val="24"/>
                <w14:textFill>
                  <w14:solidFill>
                    <w14:schemeClr w14:val="tx1"/>
                  </w14:solidFill>
                </w14:textFill>
              </w:rPr>
              <w:t>；</w:t>
            </w:r>
          </w:p>
          <w:p w14:paraId="14205B89">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C、</w:t>
            </w:r>
            <w:r>
              <w:rPr>
                <w:rFonts w:hint="eastAsia" w:eastAsia="仿宋"/>
                <w:color w:val="000000" w:themeColor="text1"/>
                <w:sz w:val="24"/>
                <w14:textFill>
                  <w14:solidFill>
                    <w14:schemeClr w14:val="tx1"/>
                  </w14:solidFill>
                </w14:textFill>
              </w:rPr>
              <w:t>硬质容器和包装物及其支护结构堆叠码放时不应有明显变形，无破损泄漏</w:t>
            </w:r>
            <w:r>
              <w:rPr>
                <w:rFonts w:eastAsia="仿宋"/>
                <w:color w:val="000000" w:themeColor="text1"/>
                <w:sz w:val="24"/>
                <w14:textFill>
                  <w14:solidFill>
                    <w14:schemeClr w14:val="tx1"/>
                  </w14:solidFill>
                </w14:textFill>
              </w:rPr>
              <w:t>；</w:t>
            </w:r>
          </w:p>
          <w:p w14:paraId="38644AC5">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D、</w:t>
            </w:r>
            <w:r>
              <w:rPr>
                <w:rFonts w:hint="eastAsia" w:eastAsia="仿宋"/>
                <w:color w:val="000000" w:themeColor="text1"/>
                <w:sz w:val="24"/>
                <w14:textFill>
                  <w14:solidFill>
                    <w14:schemeClr w14:val="tx1"/>
                  </w14:solidFill>
                </w14:textFill>
              </w:rPr>
              <w:t>柔性容器和包装物堆叠码放时应封口严密，无破损泄漏</w:t>
            </w:r>
            <w:r>
              <w:rPr>
                <w:rFonts w:eastAsia="仿宋"/>
                <w:color w:val="000000" w:themeColor="text1"/>
                <w:sz w:val="24"/>
                <w14:textFill>
                  <w14:solidFill>
                    <w14:schemeClr w14:val="tx1"/>
                  </w14:solidFill>
                </w14:textFill>
              </w:rPr>
              <w:t>；</w:t>
            </w:r>
          </w:p>
          <w:p w14:paraId="7A9543A6">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E、</w:t>
            </w:r>
            <w:r>
              <w:rPr>
                <w:rFonts w:hint="eastAsia" w:eastAsia="仿宋"/>
                <w:color w:val="000000" w:themeColor="text1"/>
                <w:sz w:val="24"/>
                <w14:textFill>
                  <w14:solidFill>
                    <w14:schemeClr w14:val="tx1"/>
                  </w14:solidFill>
                </w14:textFill>
              </w:rPr>
              <w:t>使用容器盛装液态、半固态危险废物时，容器内部应留有适当的空间，以适应因温度变化等可能引发的收缩和膨胀，防止其导致容器渗漏或永久变形；</w:t>
            </w:r>
          </w:p>
          <w:p w14:paraId="4B514093">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F</w:t>
            </w:r>
            <w:r>
              <w:rPr>
                <w:rFonts w:hint="eastAsia" w:eastAsia="仿宋"/>
                <w:color w:val="000000" w:themeColor="text1"/>
                <w:sz w:val="24"/>
                <w14:textFill>
                  <w14:solidFill>
                    <w14:schemeClr w14:val="tx1"/>
                  </w14:solidFill>
                </w14:textFill>
              </w:rPr>
              <w:t>、容器和包装物外表面应保持清洁。</w:t>
            </w:r>
          </w:p>
          <w:p w14:paraId="07271841">
            <w:pPr>
              <w:spacing w:line="480" w:lineRule="exact"/>
              <w:ind w:firstLine="480" w:firstLineChars="200"/>
              <w:rPr>
                <w:rFonts w:eastAsia="仿宋"/>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w:t>
            </w:r>
            <w:r>
              <w:rPr>
                <w:rFonts w:eastAsia="仿宋"/>
                <w:color w:val="000000" w:themeColor="text1"/>
                <w:sz w:val="24"/>
                <w14:textFill>
                  <w14:solidFill>
                    <w14:schemeClr w14:val="tx1"/>
                  </w14:solidFill>
                </w14:textFill>
              </w:rPr>
              <w:t>危险废物处理过程要求</w:t>
            </w:r>
          </w:p>
          <w:p w14:paraId="01DA28B8">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A、项目在危险废物的转移时，按有关规定签订危险废物转移单，并需得到有关环境行政主管部门的批准。同时，在危险固废转移前，要设立专门场地严格按要求保存，不得随意堆放，防止对周围环境造成影响。</w:t>
            </w:r>
          </w:p>
          <w:p w14:paraId="2958C9AD">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B、处置单位应严格按照有关处置规定对废物进行处置，不得产生二次污染。</w:t>
            </w:r>
          </w:p>
          <w:p w14:paraId="4E3DB97B">
            <w:pPr>
              <w:spacing w:line="480" w:lineRule="exact"/>
              <w:ind w:firstLine="480" w:firstLineChars="200"/>
              <w:rPr>
                <w:rFonts w:eastAsia="仿宋"/>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⑤</w:t>
            </w:r>
            <w:r>
              <w:rPr>
                <w:rFonts w:eastAsia="仿宋"/>
                <w:color w:val="000000" w:themeColor="text1"/>
                <w:sz w:val="24"/>
                <w14:textFill>
                  <w14:solidFill>
                    <w14:schemeClr w14:val="tx1"/>
                  </w14:solidFill>
                </w14:textFill>
              </w:rPr>
              <w:t>危废是否易燃易爆分析</w:t>
            </w:r>
          </w:p>
          <w:p w14:paraId="3101870A">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本项目危废无需进行预处理，不属于易燃易爆物质，但在存储过程中应注意通风换气，确保不出现火灾事故。</w:t>
            </w:r>
          </w:p>
          <w:p w14:paraId="22A65EEE">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由上可见，项目的固体废物得到了妥善的处置。但本项目危险固废在</w:t>
            </w:r>
            <w:r>
              <w:rPr>
                <w:rFonts w:hint="eastAsia" w:eastAsia="仿宋"/>
                <w:color w:val="000000" w:themeColor="text1"/>
                <w:sz w:val="24"/>
                <w14:textFill>
                  <w14:solidFill>
                    <w14:schemeClr w14:val="tx1"/>
                  </w14:solidFill>
                </w14:textFill>
              </w:rPr>
              <w:t>实验室</w:t>
            </w:r>
            <w:r>
              <w:rPr>
                <w:rFonts w:eastAsia="仿宋"/>
                <w:color w:val="000000" w:themeColor="text1"/>
                <w:sz w:val="24"/>
                <w14:textFill>
                  <w14:solidFill>
                    <w14:schemeClr w14:val="tx1"/>
                  </w14:solidFill>
                </w14:textFill>
              </w:rPr>
              <w:t>内暂存期间如管理不善，发生流失、渗漏，易造成土壤及水环境污染。因此，固体废物在</w:t>
            </w:r>
            <w:r>
              <w:rPr>
                <w:rFonts w:hint="eastAsia" w:eastAsia="仿宋"/>
                <w:color w:val="000000" w:themeColor="text1"/>
                <w:sz w:val="24"/>
                <w14:textFill>
                  <w14:solidFill>
                    <w14:schemeClr w14:val="tx1"/>
                  </w14:solidFill>
                </w14:textFill>
              </w:rPr>
              <w:t>实验室</w:t>
            </w:r>
            <w:r>
              <w:rPr>
                <w:rFonts w:eastAsia="仿宋"/>
                <w:color w:val="000000" w:themeColor="text1"/>
                <w:sz w:val="24"/>
                <w14:textFill>
                  <w14:solidFill>
                    <w14:schemeClr w14:val="tx1"/>
                  </w14:solidFill>
                </w14:textFill>
              </w:rPr>
              <w:t>内暂存期间应根据《危险废物贮存污染控制标准》（GB18597-2023）等文件要求加强管理，堆放场地应防渗、防流失措施。</w:t>
            </w:r>
          </w:p>
          <w:p w14:paraId="63949132">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此外，固体废物在外运过程可能发生抛洒、泄漏，造成土壤及水环境污染，对大气环境造成影响，危害沿线居民健康。因此，项目在危险废物的转移时，按有关规定签订危险废物转移单，并需得到有关环境行政主管部门的批准，且必须委托专门的危险废物运输单位，需具备一定的应急能力。</w:t>
            </w:r>
          </w:p>
          <w:p w14:paraId="559328F8">
            <w:pPr>
              <w:spacing w:line="480" w:lineRule="exact"/>
              <w:ind w:firstLine="480" w:firstLineChars="200"/>
              <w:rPr>
                <w:rFonts w:eastAsia="仿宋"/>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⑥</w:t>
            </w:r>
            <w:r>
              <w:rPr>
                <w:rFonts w:eastAsia="仿宋"/>
                <w:color w:val="000000" w:themeColor="text1"/>
                <w:sz w:val="24"/>
                <w14:textFill>
                  <w14:solidFill>
                    <w14:schemeClr w14:val="tx1"/>
                  </w14:solidFill>
                </w14:textFill>
              </w:rPr>
              <w:t>危险废物的堆放</w:t>
            </w:r>
          </w:p>
          <w:p w14:paraId="09978AF6">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A、危险废物在堆场内分类存放。一般包装容器底座设置木垫不直接与地面接触。</w:t>
            </w:r>
          </w:p>
          <w:p w14:paraId="15BAC32E">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B、堆场周边设置径流疏导系统雨水收集。</w:t>
            </w:r>
          </w:p>
          <w:p w14:paraId="38DE7DF3">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C、废物堆做好“三防”（防扬散、防流失、防渗漏）和防腐措施。</w:t>
            </w:r>
          </w:p>
          <w:p w14:paraId="4A929CA2">
            <w:pPr>
              <w:spacing w:line="480" w:lineRule="exact"/>
              <w:ind w:firstLine="480" w:firstLineChars="200"/>
              <w:rPr>
                <w:rFonts w:eastAsia="仿宋"/>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⑦</w:t>
            </w:r>
            <w:r>
              <w:rPr>
                <w:rFonts w:eastAsia="仿宋"/>
                <w:color w:val="000000" w:themeColor="text1"/>
                <w:sz w:val="24"/>
                <w14:textFill>
                  <w14:solidFill>
                    <w14:schemeClr w14:val="tx1"/>
                  </w14:solidFill>
                </w14:textFill>
              </w:rPr>
              <w:t>固废申报</w:t>
            </w:r>
          </w:p>
          <w:p w14:paraId="758FC605">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按照《江苏省固体废物污染环境防治条例》第十条、第二十六条要求，产生工业固体废物及危险废物的各有关单位都必须进行申报登记。企业每年对全年产生工业固体废物及危险废物的种类、产生量、流向、贮存、处置等情况进行申报。</w:t>
            </w:r>
          </w:p>
          <w:p w14:paraId="27AC9F7C">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此外，对照《省生态环境厅关于印发江苏省危险废物贮存规范化管理专项整治行动方案的通知》（苏环办〔2019〕149号）中排查内容及整治要求：</w:t>
            </w:r>
          </w:p>
          <w:p w14:paraId="246F20A8">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本项目需在明显位置按照《环境保护图形标志固体废物贮存（处置）场》（GB 15562.2-1995）设置警示标志，配备通讯设备、照明设施和消防设施；在出入口、设施内部等关键位置设置视频监控，并与中控室联网；按照危险废物的种类和特性进行分区、分类贮存，设置防雨、防火、防雷、防扬尘装置；按照标准在危险废物的容器和包装物上设置危险废物识别标志，并按规定填写信息；对易爆、易燃及排出有毒气体的危险废物进行预处理后进入贮存设施贮存，否则按易爆、易燃危险品贮存；贮存废弃剧毒化学品的，采用双钥匙封闭式管理，且有专人24小时看管。</w:t>
            </w:r>
          </w:p>
          <w:p w14:paraId="564480E1">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建立规范的危险废物贮存台账，如实记录废物名称、种类、数量、来源、出入库时间、去向、交接人签字等内容；产生废弃危险化学品的单位根据《关于废弃危险化学品纳入危险废物管理的条件和程序的复函》（环办土壤函﹝2018﹞245号）要求，将拟抛弃或者放弃的危险化学品种类、数量等信息纳入危险废物管理计划，向属地生态环境部门申报，经生态环境部门备案后，将贮存设施和贮存情况纳入环境监管范围。</w:t>
            </w:r>
          </w:p>
          <w:p w14:paraId="1D112C41">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定期检查易燃、易爆及排出有毒气体的危险废物的规范贮存情况，形成危险废物贮存设施清单。清单内容包括危险废物贮存设施的名称、编号、位置、面积和贮存危险废物种类、危险特性、贮存方式、贮存容积、周转周期等，清单应张贴在厂区醒目位置。</w:t>
            </w:r>
          </w:p>
          <w:p w14:paraId="36DB7E66">
            <w:pPr>
              <w:spacing w:line="480" w:lineRule="exact"/>
              <w:jc w:val="center"/>
              <w:rPr>
                <w:rFonts w:eastAsia="仿宋"/>
                <w:b/>
                <w:bCs/>
                <w:color w:val="000000" w:themeColor="text1"/>
                <w14:textFill>
                  <w14:solidFill>
                    <w14:schemeClr w14:val="tx1"/>
                  </w14:solidFill>
                </w14:textFill>
              </w:rPr>
            </w:pPr>
            <w:r>
              <w:rPr>
                <w:rFonts w:hint="eastAsia" w:eastAsia="仿宋"/>
                <w:b/>
                <w:bCs/>
                <w:color w:val="000000" w:themeColor="text1"/>
                <w14:textFill>
                  <w14:solidFill>
                    <w14:schemeClr w14:val="tx1"/>
                  </w14:solidFill>
                </w14:textFill>
              </w:rPr>
              <w:t>表4</w:t>
            </w:r>
            <w:r>
              <w:rPr>
                <w:rFonts w:eastAsia="仿宋"/>
                <w:b/>
                <w:bCs/>
                <w:color w:val="000000" w:themeColor="text1"/>
                <w14:textFill>
                  <w14:solidFill>
                    <w14:schemeClr w14:val="tx1"/>
                  </w14:solidFill>
                </w14:textFill>
              </w:rPr>
              <w:t>-33 危险废物管理要求汇总表</w:t>
            </w:r>
          </w:p>
          <w:tbl>
            <w:tblPr>
              <w:tblStyle w:val="24"/>
              <w:tblW w:w="88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1"/>
              <w:gridCol w:w="3404"/>
              <w:gridCol w:w="1549"/>
            </w:tblGrid>
            <w:tr w14:paraId="03DEF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6"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1D8CDF28">
                  <w:pPr>
                    <w:snapToGrid w:val="0"/>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文件要求</w:t>
                  </w:r>
                </w:p>
              </w:tc>
              <w:tc>
                <w:tcPr>
                  <w:tcW w:w="1920" w:type="pct"/>
                  <w:tcBorders>
                    <w:top w:val="single" w:color="auto" w:sz="4" w:space="0"/>
                    <w:left w:val="single" w:color="auto" w:sz="4" w:space="0"/>
                    <w:right w:val="single" w:color="auto" w:sz="4" w:space="0"/>
                    <w:tl2br w:val="nil"/>
                    <w:tr2bl w:val="nil"/>
                  </w:tcBorders>
                  <w:tcMar>
                    <w:left w:w="0" w:type="dxa"/>
                    <w:right w:w="0" w:type="dxa"/>
                  </w:tcMar>
                  <w:vAlign w:val="center"/>
                </w:tcPr>
                <w:p w14:paraId="4059BBAD">
                  <w:pPr>
                    <w:snapToGrid w:val="0"/>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本项目危废仓库情况</w:t>
                  </w:r>
                </w:p>
              </w:tc>
              <w:tc>
                <w:tcPr>
                  <w:tcW w:w="875" w:type="pct"/>
                  <w:tcBorders>
                    <w:top w:val="single" w:color="auto" w:sz="4" w:space="0"/>
                    <w:left w:val="single" w:color="auto" w:sz="4" w:space="0"/>
                    <w:right w:val="single" w:color="auto" w:sz="4" w:space="0"/>
                    <w:tl2br w:val="nil"/>
                    <w:tr2bl w:val="nil"/>
                  </w:tcBorders>
                  <w:tcMar>
                    <w:left w:w="0" w:type="dxa"/>
                    <w:right w:w="0" w:type="dxa"/>
                  </w:tcMar>
                  <w:vAlign w:val="center"/>
                </w:tcPr>
                <w:p w14:paraId="4D81B3E3">
                  <w:pPr>
                    <w:snapToGrid w:val="0"/>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是否相符</w:t>
                  </w:r>
                </w:p>
              </w:tc>
            </w:tr>
            <w:tr w14:paraId="43E82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6"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1B8536B0">
                  <w:pPr>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危废仓库大小需满足最多贮存三个月危废的量。应根据危险废物的种类和特性进行分区、分类贮存。危废仓库设置防雨、防火、防雷、防扬散、防渗漏。</w:t>
                  </w:r>
                </w:p>
              </w:tc>
              <w:tc>
                <w:tcPr>
                  <w:tcW w:w="1920"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608FC32B">
                  <w:pPr>
                    <w:snapToGrid w:val="0"/>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本项目新建一座7</w:t>
                  </w:r>
                  <w:r>
                    <w:rPr>
                      <w:rFonts w:eastAsia="仿宋"/>
                      <w:color w:val="000000" w:themeColor="text1"/>
                      <w:szCs w:val="21"/>
                      <w14:textFill>
                        <w14:solidFill>
                          <w14:schemeClr w14:val="tx1"/>
                        </w14:solidFill>
                      </w14:textFill>
                    </w:rPr>
                    <w:t>.5 m</w:t>
                  </w:r>
                  <w:r>
                    <w:rPr>
                      <w:rFonts w:eastAsia="仿宋"/>
                      <w:color w:val="000000" w:themeColor="text1"/>
                      <w:szCs w:val="21"/>
                      <w:vertAlign w:val="superscript"/>
                      <w14:textFill>
                        <w14:solidFill>
                          <w14:schemeClr w14:val="tx1"/>
                        </w14:solidFill>
                      </w14:textFill>
                    </w:rPr>
                    <w:t>2</w:t>
                  </w:r>
                  <w:r>
                    <w:rPr>
                      <w:rFonts w:hint="eastAsia" w:eastAsia="仿宋"/>
                      <w:color w:val="000000" w:themeColor="text1"/>
                      <w:szCs w:val="21"/>
                      <w14:textFill>
                        <w14:solidFill>
                          <w14:schemeClr w14:val="tx1"/>
                        </w14:solidFill>
                      </w14:textFill>
                    </w:rPr>
                    <w:t>的危废仓库</w:t>
                  </w:r>
                  <w:r>
                    <w:rPr>
                      <w:rFonts w:eastAsia="仿宋"/>
                      <w:color w:val="000000" w:themeColor="text1"/>
                      <w:szCs w:val="21"/>
                      <w14:textFill>
                        <w14:solidFill>
                          <w14:schemeClr w14:val="tx1"/>
                        </w14:solidFill>
                      </w14:textFill>
                    </w:rPr>
                    <w:t>；根据工程分析，本项目生产经营过程产生的危废分区分类贮存，危废仓库大小满足需求。危废仓库设置防雨、防火、防雷、防扬散、防渗漏。</w:t>
                  </w:r>
                </w:p>
              </w:tc>
              <w:tc>
                <w:tcPr>
                  <w:tcW w:w="875"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063F428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是</w:t>
                  </w:r>
                </w:p>
              </w:tc>
            </w:tr>
            <w:tr w14:paraId="70496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6"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3B9AC2BA">
                  <w:pPr>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按照《环境保护图形标志固体废物贮存（处置）场》（GB 15562.2-1995）和危险废物识别标识设置规范设置标志。</w:t>
                  </w:r>
                </w:p>
              </w:tc>
              <w:tc>
                <w:tcPr>
                  <w:tcW w:w="1920"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3B2D2EB1">
                  <w:pPr>
                    <w:snapToGrid w:val="0"/>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实验室</w:t>
                  </w:r>
                  <w:r>
                    <w:rPr>
                      <w:rFonts w:eastAsia="仿宋"/>
                      <w:color w:val="000000" w:themeColor="text1"/>
                      <w:szCs w:val="21"/>
                      <w14:textFill>
                        <w14:solidFill>
                          <w14:schemeClr w14:val="tx1"/>
                        </w14:solidFill>
                      </w14:textFill>
                    </w:rPr>
                    <w:t>建好后将危废仓库标志牌按规定张贴于指定位置。</w:t>
                  </w:r>
                </w:p>
              </w:tc>
              <w:tc>
                <w:tcPr>
                  <w:tcW w:w="875"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4F64FCF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是</w:t>
                  </w:r>
                </w:p>
              </w:tc>
            </w:tr>
            <w:tr w14:paraId="32BA7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6"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49FC87E0">
                  <w:pPr>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危废仓库需配备通讯设备、照明设施和消防设施，在出入口、设施内部、危险废物运输车辆通道等关键位置按照危险废物贮存设施视频监控布设要求设置视频监控，并与中控室联网。鼓励有条件的企业采用云存储方式保存视频监控数据。</w:t>
                  </w:r>
                </w:p>
              </w:tc>
              <w:tc>
                <w:tcPr>
                  <w:tcW w:w="1920"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77F5863F">
                  <w:pPr>
                    <w:snapToGrid w:val="0"/>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实验室</w:t>
                  </w:r>
                  <w:r>
                    <w:rPr>
                      <w:rFonts w:eastAsia="仿宋"/>
                      <w:color w:val="000000" w:themeColor="text1"/>
                      <w:szCs w:val="21"/>
                      <w14:textFill>
                        <w14:solidFill>
                          <w14:schemeClr w14:val="tx1"/>
                        </w14:solidFill>
                      </w14:textFill>
                    </w:rPr>
                    <w:t>危废仓库按规范配备通讯设备、照明设施和消防设施，在出入口、设施内部、危险废物运输车辆通道等关键位置按照危险废物贮存设施视频监控布设要求设置视频监控。</w:t>
                  </w:r>
                </w:p>
              </w:tc>
              <w:tc>
                <w:tcPr>
                  <w:tcW w:w="875" w:type="pct"/>
                  <w:tcBorders>
                    <w:top w:val="single" w:color="auto" w:sz="4" w:space="0"/>
                    <w:left w:val="single" w:color="auto" w:sz="4" w:space="0"/>
                    <w:bottom w:val="single" w:color="auto" w:sz="4" w:space="0"/>
                    <w:right w:val="single" w:color="auto" w:sz="4" w:space="0"/>
                    <w:tl2br w:val="nil"/>
                    <w:tr2bl w:val="nil"/>
                  </w:tcBorders>
                  <w:tcMar>
                    <w:left w:w="0" w:type="dxa"/>
                    <w:right w:w="0" w:type="dxa"/>
                  </w:tcMar>
                  <w:vAlign w:val="center"/>
                </w:tcPr>
                <w:p w14:paraId="212C11F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是</w:t>
                  </w:r>
                </w:p>
              </w:tc>
            </w:tr>
          </w:tbl>
          <w:p w14:paraId="3C0B0101">
            <w:pPr>
              <w:spacing w:line="480" w:lineRule="exact"/>
              <w:ind w:firstLine="480" w:firstLineChars="200"/>
              <w:rPr>
                <w:rFonts w:ascii="仿宋" w:hAnsi="仿宋" w:eastAsia="仿宋"/>
                <w:color w:val="000000" w:themeColor="text1"/>
                <w:sz w:val="24"/>
                <w14:textFill>
                  <w14:solidFill>
                    <w14:schemeClr w14:val="tx1"/>
                  </w14:solidFill>
                </w14:textFill>
              </w:rPr>
            </w:pPr>
          </w:p>
          <w:p w14:paraId="5F3FD04C">
            <w:pPr>
              <w:spacing w:line="480" w:lineRule="exact"/>
              <w:ind w:firstLine="480" w:firstLineChars="200"/>
              <w:rPr>
                <w:rFonts w:ascii="仿宋" w:hAnsi="仿宋" w:eastAsia="仿宋"/>
                <w:color w:val="000000" w:themeColor="text1"/>
                <w:sz w:val="24"/>
                <w14:textFill>
                  <w14:solidFill>
                    <w14:schemeClr w14:val="tx1"/>
                  </w14:solidFill>
                </w14:textFill>
              </w:rPr>
            </w:pPr>
          </w:p>
          <w:p w14:paraId="2117ACCA">
            <w:pPr>
              <w:spacing w:line="480" w:lineRule="exact"/>
              <w:ind w:firstLine="480" w:firstLineChars="200"/>
              <w:rPr>
                <w:rFonts w:ascii="仿宋" w:hAnsi="仿宋" w:eastAsia="仿宋"/>
                <w:color w:val="000000" w:themeColor="text1"/>
                <w:sz w:val="24"/>
                <w14:textFill>
                  <w14:solidFill>
                    <w14:schemeClr w14:val="tx1"/>
                  </w14:solidFill>
                </w14:textFill>
              </w:rPr>
            </w:pPr>
          </w:p>
          <w:p w14:paraId="259EBCEA">
            <w:pPr>
              <w:spacing w:line="480" w:lineRule="exact"/>
              <w:ind w:firstLine="480" w:firstLineChars="200"/>
              <w:rPr>
                <w:rFonts w:ascii="仿宋" w:hAnsi="仿宋" w:eastAsia="仿宋"/>
                <w:color w:val="000000" w:themeColor="text1"/>
                <w:sz w:val="24"/>
                <w14:textFill>
                  <w14:solidFill>
                    <w14:schemeClr w14:val="tx1"/>
                  </w14:solidFill>
                </w14:textFill>
              </w:rPr>
            </w:pPr>
          </w:p>
          <w:p w14:paraId="11BFCE0F">
            <w:pPr>
              <w:spacing w:line="480" w:lineRule="exact"/>
              <w:ind w:firstLine="480" w:firstLineChars="200"/>
              <w:rPr>
                <w:rFonts w:ascii="仿宋" w:hAnsi="仿宋" w:eastAsia="仿宋"/>
                <w:color w:val="000000" w:themeColor="text1"/>
                <w:sz w:val="24"/>
                <w14:textFill>
                  <w14:solidFill>
                    <w14:schemeClr w14:val="tx1"/>
                  </w14:solidFill>
                </w14:textFill>
              </w:rPr>
            </w:pPr>
          </w:p>
          <w:p w14:paraId="37738E11">
            <w:pPr>
              <w:spacing w:line="480" w:lineRule="exact"/>
              <w:ind w:firstLine="480" w:firstLineChars="200"/>
              <w:rPr>
                <w:rFonts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危废贮存场所管理要求见下表。</w:t>
            </w:r>
          </w:p>
          <w:p w14:paraId="671DFB90">
            <w:pPr>
              <w:spacing w:line="480" w:lineRule="exact"/>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表4-34 危险废物贮存场所管理要求一览表</w:t>
            </w:r>
          </w:p>
          <w:tbl>
            <w:tblPr>
              <w:tblStyle w:val="24"/>
              <w:tblW w:w="8864" w:type="dxa"/>
              <w:jc w:val="center"/>
              <w:tblLayout w:type="fixed"/>
              <w:tblCellMar>
                <w:top w:w="0" w:type="dxa"/>
                <w:left w:w="108" w:type="dxa"/>
                <w:bottom w:w="0" w:type="dxa"/>
                <w:right w:w="108" w:type="dxa"/>
              </w:tblCellMar>
            </w:tblPr>
            <w:tblGrid>
              <w:gridCol w:w="1075"/>
              <w:gridCol w:w="7789"/>
            </w:tblGrid>
            <w:tr w14:paraId="1A286677">
              <w:tblPrEx>
                <w:tblCellMar>
                  <w:top w:w="0" w:type="dxa"/>
                  <w:left w:w="108" w:type="dxa"/>
                  <w:bottom w:w="0" w:type="dxa"/>
                  <w:right w:w="108" w:type="dxa"/>
                </w:tblCellMar>
              </w:tblPrEx>
              <w:trPr>
                <w:trHeight w:val="510" w:hRule="atLeast"/>
                <w:jc w:val="center"/>
              </w:trPr>
              <w:tc>
                <w:tcPr>
                  <w:tcW w:w="1075" w:type="dxa"/>
                  <w:tcBorders>
                    <w:top w:val="single" w:color="auto" w:sz="4" w:space="0"/>
                    <w:left w:val="single" w:color="auto" w:sz="4" w:space="0"/>
                    <w:bottom w:val="single" w:color="auto" w:sz="4" w:space="0"/>
                    <w:right w:val="single" w:color="auto" w:sz="4" w:space="0"/>
                  </w:tcBorders>
                  <w:vAlign w:val="center"/>
                </w:tcPr>
                <w:p w14:paraId="0448B7E8">
                  <w:pPr>
                    <w:jc w:val="center"/>
                    <w:rPr>
                      <w:rFonts w:eastAsia="仿宋"/>
                      <w:b/>
                      <w:bCs/>
                      <w:color w:val="000000" w:themeColor="text1"/>
                      <w:kern w:val="0"/>
                      <w:szCs w:val="21"/>
                      <w14:textFill>
                        <w14:solidFill>
                          <w14:schemeClr w14:val="tx1"/>
                        </w14:solidFill>
                      </w14:textFill>
                    </w:rPr>
                  </w:pPr>
                  <w:r>
                    <w:rPr>
                      <w:rFonts w:ascii="仿宋" w:hAnsi="仿宋" w:eastAsia="仿宋"/>
                      <w:b/>
                      <w:bCs/>
                      <w:color w:val="000000" w:themeColor="text1"/>
                      <w:kern w:val="0"/>
                      <w:szCs w:val="21"/>
                      <w14:textFill>
                        <w14:solidFill>
                          <w14:schemeClr w14:val="tx1"/>
                        </w14:solidFill>
                      </w14:textFill>
                    </w:rPr>
                    <w:t>管理类别</w:t>
                  </w:r>
                </w:p>
              </w:tc>
              <w:tc>
                <w:tcPr>
                  <w:tcW w:w="7789" w:type="dxa"/>
                  <w:tcBorders>
                    <w:top w:val="single" w:color="auto" w:sz="4" w:space="0"/>
                    <w:left w:val="single" w:color="auto" w:sz="4" w:space="0"/>
                    <w:bottom w:val="single" w:color="auto" w:sz="4" w:space="0"/>
                    <w:right w:val="single" w:color="auto" w:sz="4" w:space="0"/>
                  </w:tcBorders>
                  <w:vAlign w:val="center"/>
                </w:tcPr>
                <w:p w14:paraId="74C3E4AB">
                  <w:pPr>
                    <w:jc w:val="center"/>
                    <w:rPr>
                      <w:rFonts w:eastAsia="仿宋"/>
                      <w:b/>
                      <w:bCs/>
                      <w:color w:val="000000" w:themeColor="text1"/>
                      <w:kern w:val="0"/>
                      <w:szCs w:val="21"/>
                      <w14:textFill>
                        <w14:solidFill>
                          <w14:schemeClr w14:val="tx1"/>
                        </w14:solidFill>
                      </w14:textFill>
                    </w:rPr>
                  </w:pPr>
                  <w:r>
                    <w:rPr>
                      <w:rFonts w:ascii="仿宋" w:hAnsi="仿宋" w:eastAsia="仿宋"/>
                      <w:b/>
                      <w:bCs/>
                      <w:color w:val="000000" w:themeColor="text1"/>
                      <w:kern w:val="0"/>
                      <w:szCs w:val="21"/>
                      <w14:textFill>
                        <w14:solidFill>
                          <w14:schemeClr w14:val="tx1"/>
                        </w14:solidFill>
                      </w14:textFill>
                    </w:rPr>
                    <w:t>管理要求</w:t>
                  </w:r>
                </w:p>
              </w:tc>
            </w:tr>
            <w:tr w14:paraId="32A8377E">
              <w:tblPrEx>
                <w:tblCellMar>
                  <w:top w:w="0" w:type="dxa"/>
                  <w:left w:w="108" w:type="dxa"/>
                  <w:bottom w:w="0" w:type="dxa"/>
                  <w:right w:w="108" w:type="dxa"/>
                </w:tblCellMar>
              </w:tblPrEx>
              <w:trPr>
                <w:trHeight w:val="510" w:hRule="atLeast"/>
                <w:jc w:val="center"/>
              </w:trPr>
              <w:tc>
                <w:tcPr>
                  <w:tcW w:w="1075" w:type="dxa"/>
                  <w:tcBorders>
                    <w:top w:val="single" w:color="auto" w:sz="4" w:space="0"/>
                    <w:left w:val="single" w:color="auto" w:sz="4" w:space="0"/>
                    <w:bottom w:val="single" w:color="auto" w:sz="4" w:space="0"/>
                    <w:right w:val="single" w:color="auto" w:sz="4" w:space="0"/>
                  </w:tcBorders>
                  <w:vAlign w:val="center"/>
                </w:tcPr>
                <w:p w14:paraId="1AEF9DE7">
                  <w:pPr>
                    <w:jc w:val="center"/>
                    <w:rPr>
                      <w:rFonts w:eastAsia="仿宋"/>
                      <w:color w:val="000000" w:themeColor="text1"/>
                      <w:kern w:val="0"/>
                      <w:szCs w:val="21"/>
                      <w14:textFill>
                        <w14:solidFill>
                          <w14:schemeClr w14:val="tx1"/>
                        </w14:solidFill>
                      </w14:textFill>
                    </w:rPr>
                  </w:pPr>
                  <w:r>
                    <w:rPr>
                      <w:rFonts w:ascii="仿宋" w:hAnsi="仿宋" w:eastAsia="仿宋"/>
                      <w:color w:val="000000" w:themeColor="text1"/>
                      <w:kern w:val="0"/>
                      <w:szCs w:val="21"/>
                      <w14:textFill>
                        <w14:solidFill>
                          <w14:schemeClr w14:val="tx1"/>
                        </w14:solidFill>
                      </w14:textFill>
                    </w:rPr>
                    <w:t>强化危险废物申报登记</w:t>
                  </w:r>
                </w:p>
              </w:tc>
              <w:tc>
                <w:tcPr>
                  <w:tcW w:w="7789" w:type="dxa"/>
                  <w:tcBorders>
                    <w:top w:val="single" w:color="auto" w:sz="4" w:space="0"/>
                    <w:left w:val="single" w:color="auto" w:sz="4" w:space="0"/>
                    <w:bottom w:val="single" w:color="auto" w:sz="4" w:space="0"/>
                    <w:right w:val="single" w:color="auto" w:sz="4" w:space="0"/>
                  </w:tcBorders>
                  <w:vAlign w:val="center"/>
                </w:tcPr>
                <w:p w14:paraId="75896302">
                  <w:pPr>
                    <w:rPr>
                      <w:rFonts w:eastAsia="仿宋"/>
                      <w:color w:val="000000" w:themeColor="text1"/>
                      <w:kern w:val="0"/>
                      <w:szCs w:val="21"/>
                      <w14:textFill>
                        <w14:solidFill>
                          <w14:schemeClr w14:val="tx1"/>
                        </w14:solidFill>
                      </w14:textFill>
                    </w:rPr>
                  </w:pPr>
                  <w:r>
                    <w:rPr>
                      <w:rFonts w:ascii="仿宋" w:hAnsi="仿宋" w:eastAsia="仿宋"/>
                      <w:color w:val="000000" w:themeColor="text1"/>
                      <w:kern w:val="0"/>
                      <w:szCs w:val="21"/>
                      <w14:textFill>
                        <w14:solidFill>
                          <w14:schemeClr w14:val="tx1"/>
                        </w14:solidFill>
                      </w14:textFill>
                    </w:rPr>
                    <w:t>危险废物产生单位应按规定申报危险废物产生、贮存、转移、利用处置等信息，制定危险废物年度管理计划，并在</w:t>
                  </w:r>
                  <w:r>
                    <w:rPr>
                      <w:rFonts w:eastAsia="仿宋"/>
                      <w:color w:val="000000" w:themeColor="text1"/>
                      <w:kern w:val="0"/>
                      <w:szCs w:val="21"/>
                      <w14:textFill>
                        <w14:solidFill>
                          <w14:schemeClr w14:val="tx1"/>
                        </w14:solidFill>
                      </w14:textFill>
                    </w:rPr>
                    <w:t>“</w:t>
                  </w:r>
                  <w:r>
                    <w:rPr>
                      <w:rFonts w:ascii="仿宋" w:hAnsi="仿宋" w:eastAsia="仿宋"/>
                      <w:color w:val="000000" w:themeColor="text1"/>
                      <w:kern w:val="0"/>
                      <w:szCs w:val="21"/>
                      <w14:textFill>
                        <w14:solidFill>
                          <w14:schemeClr w14:val="tx1"/>
                        </w14:solidFill>
                      </w14:textFill>
                    </w:rPr>
                    <w:t>江苏省危险废物动态管理信息系统</w:t>
                  </w:r>
                  <w:r>
                    <w:rPr>
                      <w:rFonts w:eastAsia="仿宋"/>
                      <w:color w:val="000000" w:themeColor="text1"/>
                      <w:kern w:val="0"/>
                      <w:szCs w:val="21"/>
                      <w14:textFill>
                        <w14:solidFill>
                          <w14:schemeClr w14:val="tx1"/>
                        </w14:solidFill>
                      </w14:textFill>
                    </w:rPr>
                    <w:t>”</w:t>
                  </w:r>
                  <w:r>
                    <w:rPr>
                      <w:rFonts w:ascii="仿宋" w:hAnsi="仿宋" w:eastAsia="仿宋"/>
                      <w:color w:val="000000" w:themeColor="text1"/>
                      <w:kern w:val="0"/>
                      <w:szCs w:val="21"/>
                      <w14:textFill>
                        <w14:solidFill>
                          <w14:schemeClr w14:val="tx1"/>
                        </w14:solidFill>
                      </w14:textFill>
                    </w:rPr>
                    <w:t>中备案。管理计划如需调整变更的，应重新在系统中申请备案。</w:t>
                  </w:r>
                </w:p>
              </w:tc>
            </w:tr>
            <w:tr w14:paraId="387CE77B">
              <w:tblPrEx>
                <w:tblCellMar>
                  <w:top w:w="0" w:type="dxa"/>
                  <w:left w:w="108" w:type="dxa"/>
                  <w:bottom w:w="0" w:type="dxa"/>
                  <w:right w:w="108" w:type="dxa"/>
                </w:tblCellMar>
              </w:tblPrEx>
              <w:trPr>
                <w:trHeight w:val="510" w:hRule="atLeast"/>
                <w:jc w:val="center"/>
              </w:trPr>
              <w:tc>
                <w:tcPr>
                  <w:tcW w:w="1075" w:type="dxa"/>
                  <w:tcBorders>
                    <w:top w:val="single" w:color="auto" w:sz="4" w:space="0"/>
                    <w:left w:val="single" w:color="auto" w:sz="4" w:space="0"/>
                    <w:bottom w:val="single" w:color="auto" w:sz="4" w:space="0"/>
                    <w:right w:val="single" w:color="auto" w:sz="4" w:space="0"/>
                  </w:tcBorders>
                  <w:vAlign w:val="center"/>
                </w:tcPr>
                <w:p w14:paraId="7A65A8AC">
                  <w:pPr>
                    <w:jc w:val="center"/>
                    <w:rPr>
                      <w:rFonts w:eastAsia="仿宋"/>
                      <w:color w:val="000000" w:themeColor="text1"/>
                      <w:kern w:val="0"/>
                      <w:szCs w:val="21"/>
                      <w14:textFill>
                        <w14:solidFill>
                          <w14:schemeClr w14:val="tx1"/>
                        </w14:solidFill>
                      </w14:textFill>
                    </w:rPr>
                  </w:pPr>
                  <w:r>
                    <w:rPr>
                      <w:rFonts w:ascii="仿宋" w:hAnsi="仿宋" w:eastAsia="仿宋"/>
                      <w:color w:val="000000" w:themeColor="text1"/>
                      <w:kern w:val="0"/>
                      <w:szCs w:val="21"/>
                      <w14:textFill>
                        <w14:solidFill>
                          <w14:schemeClr w14:val="tx1"/>
                        </w14:solidFill>
                      </w14:textFill>
                    </w:rPr>
                    <w:t>落实信息公开制度</w:t>
                  </w:r>
                </w:p>
              </w:tc>
              <w:tc>
                <w:tcPr>
                  <w:tcW w:w="7789" w:type="dxa"/>
                  <w:tcBorders>
                    <w:top w:val="single" w:color="auto" w:sz="4" w:space="0"/>
                    <w:left w:val="single" w:color="auto" w:sz="4" w:space="0"/>
                    <w:bottom w:val="single" w:color="auto" w:sz="4" w:space="0"/>
                    <w:right w:val="single" w:color="auto" w:sz="4" w:space="0"/>
                  </w:tcBorders>
                  <w:vAlign w:val="center"/>
                </w:tcPr>
                <w:p w14:paraId="2904CEC3">
                  <w:pPr>
                    <w:rPr>
                      <w:rFonts w:eastAsia="仿宋"/>
                      <w:color w:val="000000" w:themeColor="text1"/>
                      <w:kern w:val="0"/>
                      <w:szCs w:val="21"/>
                      <w14:textFill>
                        <w14:solidFill>
                          <w14:schemeClr w14:val="tx1"/>
                        </w14:solidFill>
                      </w14:textFill>
                    </w:rPr>
                  </w:pPr>
                  <w:r>
                    <w:rPr>
                      <w:rFonts w:ascii="仿宋" w:hAnsi="仿宋" w:eastAsia="仿宋"/>
                      <w:color w:val="000000" w:themeColor="text1"/>
                      <w:kern w:val="0"/>
                      <w:szCs w:val="21"/>
                      <w14:textFill>
                        <w14:solidFill>
                          <w14:schemeClr w14:val="tx1"/>
                        </w14:solidFill>
                      </w14:textFill>
                    </w:rPr>
                    <w:t>加大企业危险废物信息公开力度，纳入重点排污单位的涉危企业应每年定期向社会发布企业年度环境报告。各地生态环境部门应督促危险废物产生单位和经营单位按照附件</w:t>
                  </w:r>
                  <w:r>
                    <w:rPr>
                      <w:rFonts w:eastAsia="仿宋"/>
                      <w:color w:val="000000" w:themeColor="text1"/>
                      <w:kern w:val="0"/>
                      <w:szCs w:val="21"/>
                      <w14:textFill>
                        <w14:solidFill>
                          <w14:schemeClr w14:val="tx1"/>
                        </w14:solidFill>
                      </w14:textFill>
                    </w:rPr>
                    <w:t>1</w:t>
                  </w:r>
                  <w:r>
                    <w:rPr>
                      <w:rFonts w:ascii="仿宋" w:hAnsi="仿宋" w:eastAsia="仿宋"/>
                      <w:color w:val="000000" w:themeColor="text1"/>
                      <w:kern w:val="0"/>
                      <w:szCs w:val="21"/>
                      <w14:textFill>
                        <w14:solidFill>
                          <w14:schemeClr w14:val="tx1"/>
                        </w14:solidFill>
                      </w14:textFill>
                    </w:rPr>
                    <w:t>要求在厂区门口显著位置设置危险废物信息公开栏，主动公开危险废物产生、利用处置等情况；企业有官方网站的，在官网上同时公开相关信</w:t>
                  </w:r>
                </w:p>
              </w:tc>
            </w:tr>
            <w:tr w14:paraId="410AB3C1">
              <w:tblPrEx>
                <w:tblCellMar>
                  <w:top w:w="0" w:type="dxa"/>
                  <w:left w:w="108" w:type="dxa"/>
                  <w:bottom w:w="0" w:type="dxa"/>
                  <w:right w:w="108" w:type="dxa"/>
                </w:tblCellMar>
              </w:tblPrEx>
              <w:trPr>
                <w:trHeight w:val="510" w:hRule="atLeast"/>
                <w:jc w:val="center"/>
              </w:trPr>
              <w:tc>
                <w:tcPr>
                  <w:tcW w:w="1075" w:type="dxa"/>
                  <w:vMerge w:val="restart"/>
                  <w:tcBorders>
                    <w:top w:val="nil"/>
                    <w:left w:val="single" w:color="auto" w:sz="4" w:space="0"/>
                    <w:bottom w:val="single" w:color="auto" w:sz="4" w:space="0"/>
                    <w:right w:val="single" w:color="auto" w:sz="4" w:space="0"/>
                  </w:tcBorders>
                  <w:vAlign w:val="center"/>
                </w:tcPr>
                <w:p w14:paraId="2AC92EF4">
                  <w:pPr>
                    <w:jc w:val="center"/>
                    <w:rPr>
                      <w:rFonts w:eastAsia="仿宋"/>
                      <w:color w:val="000000" w:themeColor="text1"/>
                      <w:kern w:val="0"/>
                      <w:szCs w:val="21"/>
                      <w14:textFill>
                        <w14:solidFill>
                          <w14:schemeClr w14:val="tx1"/>
                        </w14:solidFill>
                      </w14:textFill>
                    </w:rPr>
                  </w:pPr>
                  <w:r>
                    <w:rPr>
                      <w:rFonts w:ascii="仿宋" w:hAnsi="仿宋" w:eastAsia="仿宋"/>
                      <w:color w:val="000000" w:themeColor="text1"/>
                      <w:kern w:val="0"/>
                      <w:szCs w:val="21"/>
                      <w14:textFill>
                        <w14:solidFill>
                          <w14:schemeClr w14:val="tx1"/>
                        </w14:solidFill>
                      </w14:textFill>
                    </w:rPr>
                    <w:t>规范危险废物贮存设施</w:t>
                  </w:r>
                </w:p>
              </w:tc>
              <w:tc>
                <w:tcPr>
                  <w:tcW w:w="7789" w:type="dxa"/>
                  <w:tcBorders>
                    <w:top w:val="single" w:color="auto" w:sz="4" w:space="0"/>
                    <w:left w:val="single" w:color="auto" w:sz="4" w:space="0"/>
                    <w:bottom w:val="single" w:color="auto" w:sz="4" w:space="0"/>
                    <w:right w:val="single" w:color="auto" w:sz="4" w:space="0"/>
                  </w:tcBorders>
                  <w:vAlign w:val="center"/>
                </w:tcPr>
                <w:p w14:paraId="031B153F">
                  <w:pPr>
                    <w:rPr>
                      <w:rFonts w:eastAsia="仿宋"/>
                      <w:color w:val="000000" w:themeColor="text1"/>
                      <w:kern w:val="0"/>
                      <w:szCs w:val="21"/>
                      <w14:textFill>
                        <w14:solidFill>
                          <w14:schemeClr w14:val="tx1"/>
                        </w14:solidFill>
                      </w14:textFill>
                    </w:rPr>
                  </w:pPr>
                  <w:r>
                    <w:rPr>
                      <w:rFonts w:ascii="仿宋" w:hAnsi="仿宋" w:eastAsia="仿宋"/>
                      <w:color w:val="000000" w:themeColor="text1"/>
                      <w:kern w:val="0"/>
                      <w:szCs w:val="21"/>
                      <w14:textFill>
                        <w14:solidFill>
                          <w14:schemeClr w14:val="tx1"/>
                        </w14:solidFill>
                      </w14:textFill>
                    </w:rPr>
                    <w:t>按照《环境保护图形标志固体废物贮存（处置）场》（</w:t>
                  </w:r>
                  <w:r>
                    <w:rPr>
                      <w:rFonts w:eastAsia="仿宋"/>
                      <w:color w:val="000000" w:themeColor="text1"/>
                      <w:kern w:val="0"/>
                      <w:szCs w:val="21"/>
                      <w14:textFill>
                        <w14:solidFill>
                          <w14:schemeClr w14:val="tx1"/>
                        </w14:solidFill>
                      </w14:textFill>
                    </w:rPr>
                    <w:t>GB15562.2-1995</w:t>
                  </w:r>
                  <w:r>
                    <w:rPr>
                      <w:rFonts w:ascii="仿宋" w:hAnsi="仿宋" w:eastAsia="仿宋"/>
                      <w:color w:val="000000" w:themeColor="text1"/>
                      <w:kern w:val="0"/>
                      <w:szCs w:val="21"/>
                      <w14:textFill>
                        <w14:solidFill>
                          <w14:schemeClr w14:val="tx1"/>
                        </w14:solidFill>
                      </w14:textFill>
                    </w:rPr>
                    <w:t>）和危险废物识别标识设置规范设置标志，配备通讯设备、照明设施和消防设施，设置气体导出口及气体净化装置，确保废气达标排放；在出入口、设施内部、危险废物运输车辆通道等关键位置按照危险废物贮存设施视频监控布设要求设置视频监控，并与中控室联网。</w:t>
                  </w:r>
                </w:p>
              </w:tc>
            </w:tr>
            <w:tr w14:paraId="4A732358">
              <w:tblPrEx>
                <w:tblCellMar>
                  <w:top w:w="0" w:type="dxa"/>
                  <w:left w:w="108" w:type="dxa"/>
                  <w:bottom w:w="0" w:type="dxa"/>
                  <w:right w:w="108" w:type="dxa"/>
                </w:tblCellMar>
              </w:tblPrEx>
              <w:trPr>
                <w:trHeight w:val="510" w:hRule="atLeast"/>
                <w:jc w:val="center"/>
              </w:trPr>
              <w:tc>
                <w:tcPr>
                  <w:tcW w:w="1075" w:type="dxa"/>
                  <w:vMerge w:val="continue"/>
                  <w:tcBorders>
                    <w:top w:val="nil"/>
                    <w:left w:val="single" w:color="auto" w:sz="4" w:space="0"/>
                    <w:bottom w:val="single" w:color="auto" w:sz="4" w:space="0"/>
                    <w:right w:val="single" w:color="auto" w:sz="4" w:space="0"/>
                  </w:tcBorders>
                  <w:vAlign w:val="center"/>
                </w:tcPr>
                <w:p w14:paraId="529ED0DA">
                  <w:pPr>
                    <w:widowControl/>
                    <w:jc w:val="left"/>
                    <w:rPr>
                      <w:rFonts w:eastAsia="仿宋"/>
                      <w:color w:val="000000" w:themeColor="text1"/>
                      <w:kern w:val="0"/>
                      <w:szCs w:val="21"/>
                      <w14:textFill>
                        <w14:solidFill>
                          <w14:schemeClr w14:val="tx1"/>
                        </w14:solidFill>
                      </w14:textFill>
                    </w:rPr>
                  </w:pPr>
                </w:p>
              </w:tc>
              <w:tc>
                <w:tcPr>
                  <w:tcW w:w="7789" w:type="dxa"/>
                  <w:tcBorders>
                    <w:top w:val="single" w:color="auto" w:sz="4" w:space="0"/>
                    <w:left w:val="single" w:color="auto" w:sz="4" w:space="0"/>
                    <w:bottom w:val="single" w:color="auto" w:sz="4" w:space="0"/>
                    <w:right w:val="single" w:color="auto" w:sz="4" w:space="0"/>
                  </w:tcBorders>
                  <w:vAlign w:val="center"/>
                </w:tcPr>
                <w:p w14:paraId="31BF0E97">
                  <w:pPr>
                    <w:rPr>
                      <w:rFonts w:eastAsia="仿宋"/>
                      <w:color w:val="000000" w:themeColor="text1"/>
                      <w:kern w:val="0"/>
                      <w:szCs w:val="21"/>
                      <w14:textFill>
                        <w14:solidFill>
                          <w14:schemeClr w14:val="tx1"/>
                        </w14:solidFill>
                      </w14:textFill>
                    </w:rPr>
                  </w:pPr>
                  <w:r>
                    <w:rPr>
                      <w:rFonts w:ascii="仿宋" w:hAnsi="仿宋" w:eastAsia="仿宋"/>
                      <w:color w:val="000000" w:themeColor="text1"/>
                      <w:kern w:val="0"/>
                      <w:szCs w:val="21"/>
                      <w14:textFill>
                        <w14:solidFill>
                          <w14:schemeClr w14:val="tx1"/>
                        </w14:solidFill>
                      </w14:textFill>
                    </w:rPr>
                    <w:t>企业应根据危险废物的种类和特性进行分区、分类贮存，设置防雨、防火、防雷、防扬散、防渗漏装置及泄漏液体收集装置。对易爆、易燃及排出有毒气体的危险废物进行预处理，稳定后贮存，否则按易爆、易燃危险品贮存。贮存废弃剧毒化学品的，应按照公安机关要求落实治安防范措施。危险废物经营单位需制定废物入场控制措施，并不得接受核准经营许可以外的种类；贮存设施周转的累积贮存量不得超过年许可经营能力的六分之一，贮存期限原则上不得超过一年。</w:t>
                  </w:r>
                </w:p>
                <w:p w14:paraId="099F9711">
                  <w:pPr>
                    <w:rPr>
                      <w:rFonts w:eastAsia="仿宋"/>
                      <w:color w:val="000000" w:themeColor="text1"/>
                      <w:kern w:val="0"/>
                      <w:szCs w:val="21"/>
                      <w14:textFill>
                        <w14:solidFill>
                          <w14:schemeClr w14:val="tx1"/>
                        </w14:solidFill>
                      </w14:textFill>
                    </w:rPr>
                  </w:pPr>
                  <w:r>
                    <w:rPr>
                      <w:rFonts w:ascii="仿宋" w:hAnsi="仿宋" w:eastAsia="仿宋"/>
                      <w:color w:val="000000" w:themeColor="text1"/>
                      <w:kern w:val="0"/>
                      <w:szCs w:val="21"/>
                      <w14:textFill>
                        <w14:solidFill>
                          <w14:schemeClr w14:val="tx1"/>
                        </w14:solidFill>
                      </w14:textFill>
                    </w:rPr>
                    <w:t>对不满足识别标识设置规范（危险废物信息公开栏、贮存设施警示标志牌、包装识别标签）、未完成关键位置视频监控布设的企业，属地生态环境部门要责令其自本意见印发之日起三个月内完成整改，逾期未完成的，依法依规进行处理。</w:t>
                  </w:r>
                </w:p>
              </w:tc>
            </w:tr>
            <w:tr w14:paraId="0947D8D8">
              <w:tblPrEx>
                <w:tblCellMar>
                  <w:top w:w="0" w:type="dxa"/>
                  <w:left w:w="108" w:type="dxa"/>
                  <w:bottom w:w="0" w:type="dxa"/>
                  <w:right w:w="108" w:type="dxa"/>
                </w:tblCellMar>
              </w:tblPrEx>
              <w:trPr>
                <w:trHeight w:val="510" w:hRule="atLeast"/>
                <w:jc w:val="center"/>
              </w:trPr>
              <w:tc>
                <w:tcPr>
                  <w:tcW w:w="1075" w:type="dxa"/>
                  <w:tcBorders>
                    <w:top w:val="single" w:color="auto" w:sz="4" w:space="0"/>
                    <w:left w:val="single" w:color="auto" w:sz="4" w:space="0"/>
                    <w:bottom w:val="single" w:color="auto" w:sz="4" w:space="0"/>
                    <w:right w:val="single" w:color="auto" w:sz="4" w:space="0"/>
                  </w:tcBorders>
                  <w:vAlign w:val="center"/>
                </w:tcPr>
                <w:p w14:paraId="3E1FBB57">
                  <w:pPr>
                    <w:jc w:val="center"/>
                    <w:rPr>
                      <w:rFonts w:eastAsia="仿宋"/>
                      <w:color w:val="000000" w:themeColor="text1"/>
                      <w:kern w:val="0"/>
                      <w:szCs w:val="21"/>
                      <w14:textFill>
                        <w14:solidFill>
                          <w14:schemeClr w14:val="tx1"/>
                        </w14:solidFill>
                      </w14:textFill>
                    </w:rPr>
                  </w:pPr>
                  <w:r>
                    <w:rPr>
                      <w:rFonts w:ascii="仿宋" w:hAnsi="仿宋" w:eastAsia="仿宋"/>
                      <w:color w:val="000000" w:themeColor="text1"/>
                      <w:kern w:val="0"/>
                      <w:szCs w:val="21"/>
                      <w14:textFill>
                        <w14:solidFill>
                          <w14:schemeClr w14:val="tx1"/>
                        </w14:solidFill>
                      </w14:textFill>
                    </w:rPr>
                    <w:t>危险废物识别标识设置规范</w:t>
                  </w:r>
                </w:p>
              </w:tc>
              <w:tc>
                <w:tcPr>
                  <w:tcW w:w="7789" w:type="dxa"/>
                  <w:tcBorders>
                    <w:top w:val="single" w:color="auto" w:sz="4" w:space="0"/>
                    <w:left w:val="single" w:color="auto" w:sz="4" w:space="0"/>
                    <w:bottom w:val="single" w:color="auto" w:sz="4" w:space="0"/>
                    <w:right w:val="single" w:color="auto" w:sz="4" w:space="0"/>
                  </w:tcBorders>
                  <w:vAlign w:val="center"/>
                </w:tcPr>
                <w:p w14:paraId="6262C04F">
                  <w:pPr>
                    <w:rPr>
                      <w:rFonts w:eastAsia="仿宋"/>
                      <w:color w:val="000000" w:themeColor="text1"/>
                      <w:kern w:val="0"/>
                      <w:szCs w:val="21"/>
                      <w14:textFill>
                        <w14:solidFill>
                          <w14:schemeClr w14:val="tx1"/>
                        </w14:solidFill>
                      </w14:textFill>
                    </w:rPr>
                  </w:pPr>
                  <w:r>
                    <w:rPr>
                      <w:rFonts w:ascii="仿宋" w:hAnsi="仿宋" w:eastAsia="仿宋"/>
                      <w:color w:val="000000" w:themeColor="text1"/>
                      <w:kern w:val="0"/>
                      <w:szCs w:val="21"/>
                      <w14:textFill>
                        <w14:solidFill>
                          <w14:schemeClr w14:val="tx1"/>
                        </w14:solidFill>
                      </w14:textFill>
                    </w:rPr>
                    <w:t>《中华人民共和国环境保护法》第五十二条规定，</w:t>
                  </w:r>
                  <w:r>
                    <w:rPr>
                      <w:rFonts w:eastAsia="仿宋"/>
                      <w:color w:val="000000" w:themeColor="text1"/>
                      <w:kern w:val="0"/>
                      <w:szCs w:val="21"/>
                      <w14:textFill>
                        <w14:solidFill>
                          <w14:schemeClr w14:val="tx1"/>
                        </w14:solidFill>
                      </w14:textFill>
                    </w:rPr>
                    <w:t>“</w:t>
                  </w:r>
                  <w:r>
                    <w:rPr>
                      <w:rFonts w:ascii="仿宋" w:hAnsi="仿宋" w:eastAsia="仿宋"/>
                      <w:color w:val="000000" w:themeColor="text1"/>
                      <w:kern w:val="0"/>
                      <w:szCs w:val="21"/>
                      <w14:textFill>
                        <w14:solidFill>
                          <w14:schemeClr w14:val="tx1"/>
                        </w14:solidFill>
                      </w14:textFill>
                    </w:rPr>
                    <w:t>对危险废物的容器和包装物以及收集、贮存、运输、处置危险废物的设施、场所，必须设置危险废物识别标志</w:t>
                  </w:r>
                  <w:r>
                    <w:rPr>
                      <w:rFonts w:eastAsia="仿宋"/>
                      <w:color w:val="000000" w:themeColor="text1"/>
                      <w:kern w:val="0"/>
                      <w:szCs w:val="21"/>
                      <w14:textFill>
                        <w14:solidFill>
                          <w14:schemeClr w14:val="tx1"/>
                        </w14:solidFill>
                      </w14:textFill>
                    </w:rPr>
                    <w:t>”</w:t>
                  </w:r>
                  <w:r>
                    <w:rPr>
                      <w:rFonts w:ascii="仿宋" w:hAnsi="仿宋" w:eastAsia="仿宋"/>
                      <w:color w:val="000000" w:themeColor="text1"/>
                      <w:kern w:val="0"/>
                      <w:szCs w:val="21"/>
                      <w14:textFill>
                        <w14:solidFill>
                          <w14:schemeClr w14:val="tx1"/>
                        </w14:solidFill>
                      </w14:textFill>
                    </w:rPr>
                    <w:t>。根据《危险废物贮存污染控制标准》（</w:t>
                  </w:r>
                  <w:r>
                    <w:rPr>
                      <w:rFonts w:eastAsia="仿宋"/>
                      <w:color w:val="000000" w:themeColor="text1"/>
                      <w:kern w:val="0"/>
                      <w:szCs w:val="21"/>
                      <w14:textFill>
                        <w14:solidFill>
                          <w14:schemeClr w14:val="tx1"/>
                        </w14:solidFill>
                      </w14:textFill>
                    </w:rPr>
                    <w:t>GB18597-2023</w:t>
                  </w:r>
                  <w:r>
                    <w:rPr>
                      <w:rFonts w:ascii="仿宋" w:hAnsi="仿宋" w:eastAsia="仿宋"/>
                      <w:color w:val="000000" w:themeColor="text1"/>
                      <w:kern w:val="0"/>
                      <w:szCs w:val="21"/>
                      <w14:textFill>
                        <w14:solidFill>
                          <w14:schemeClr w14:val="tx1"/>
                        </w14:solidFill>
                      </w14:textFill>
                    </w:rPr>
                    <w:t>）、《危险废物收集 贮存 运输技术规范》（</w:t>
                  </w:r>
                  <w:r>
                    <w:rPr>
                      <w:rFonts w:eastAsia="仿宋"/>
                      <w:color w:val="000000" w:themeColor="text1"/>
                      <w:kern w:val="0"/>
                      <w:szCs w:val="21"/>
                      <w14:textFill>
                        <w14:solidFill>
                          <w14:schemeClr w14:val="tx1"/>
                        </w14:solidFill>
                      </w14:textFill>
                    </w:rPr>
                    <w:t>HB/T2025-2012</w:t>
                  </w:r>
                  <w:r>
                    <w:rPr>
                      <w:rFonts w:ascii="仿宋" w:hAnsi="仿宋" w:eastAsia="仿宋"/>
                      <w:color w:val="000000" w:themeColor="text1"/>
                      <w:kern w:val="0"/>
                      <w:szCs w:val="21"/>
                      <w14:textFill>
                        <w14:solidFill>
                          <w14:schemeClr w14:val="tx1"/>
                        </w14:solidFill>
                      </w14:textFill>
                    </w:rPr>
                    <w:t>）《环境保护图形标志 固体废物贮存（处置）场（</w:t>
                  </w:r>
                  <w:r>
                    <w:rPr>
                      <w:rFonts w:eastAsia="仿宋"/>
                      <w:color w:val="000000" w:themeColor="text1"/>
                      <w:kern w:val="0"/>
                      <w:szCs w:val="21"/>
                      <w14:textFill>
                        <w14:solidFill>
                          <w14:schemeClr w14:val="tx1"/>
                        </w14:solidFill>
                      </w14:textFill>
                    </w:rPr>
                    <w:t>GB15562.2-1995</w:t>
                  </w:r>
                  <w:r>
                    <w:rPr>
                      <w:rFonts w:ascii="仿宋" w:hAnsi="仿宋" w:eastAsia="仿宋"/>
                      <w:color w:val="000000" w:themeColor="text1"/>
                      <w:kern w:val="0"/>
                      <w:szCs w:val="21"/>
                      <w14:textFill>
                        <w14:solidFill>
                          <w14:schemeClr w14:val="tx1"/>
                        </w14:solidFill>
                      </w14:textFill>
                    </w:rPr>
                    <w:t>）》等文件要求，为规范我省企业危险废物信息公开、贮存设施警示标志设置等，对识别标识的设置位置、规格参数、公开内容等作出具体规定。</w:t>
                  </w:r>
                </w:p>
                <w:p w14:paraId="01789063">
                  <w:pPr>
                    <w:rPr>
                      <w:rFonts w:eastAsia="仿宋"/>
                      <w:color w:val="000000" w:themeColor="text1"/>
                      <w:kern w:val="0"/>
                      <w:szCs w:val="21"/>
                      <w14:textFill>
                        <w14:solidFill>
                          <w14:schemeClr w14:val="tx1"/>
                        </w14:solidFill>
                      </w14:textFill>
                    </w:rPr>
                  </w:pPr>
                  <w:r>
                    <w:rPr>
                      <w:rFonts w:ascii="仿宋" w:hAnsi="仿宋" w:eastAsia="仿宋"/>
                      <w:color w:val="000000" w:themeColor="text1"/>
                      <w:kern w:val="0"/>
                      <w:szCs w:val="21"/>
                      <w14:textFill>
                        <w14:solidFill>
                          <w14:schemeClr w14:val="tx1"/>
                        </w14:solidFill>
                      </w14:textFill>
                    </w:rPr>
                    <w:t>在识别标识外观质量上，应确保公开栏、标志牌、立柱、支架无明显变形；立柱、支架的材料、内外径大小及地下部分高度应确保公开栏、标志牌等安全、稳定固定，避免发生倾倒情况；公开栏、标志牌、立柱、支架等均应经过防腐处理；公开栏、标志牌表面无气泡，膜或搪瓷无脱落，无开裂、脱落及其它破损；公开栏、标志牌、标签等图案清晰，色泽一致，不得有明显缺损。当发现形象损坏、颜色污染或有变化、退色等情况时，应及时修复或更换。</w:t>
                  </w:r>
                </w:p>
              </w:tc>
            </w:tr>
          </w:tbl>
          <w:p w14:paraId="245696C3">
            <w:pPr>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根据《省生态环境厅关于进一步加强危险废物污染防治工作的实施意见》（苏环办〔2021〕207号）要求：①产废单位必须将危险废物提供或者委托给有资质单位从事收集、贮存、利用处置活动，并有危险废物利用处置合同、资金往来、废物交接等相关证明材料。②产废单位通过“江苏环保脸谱”，进行产生和贮存现场实时申报，自动生成二维码包装标识，对危险废物从产生到贮存进行信息化监管。③使用危险废物转移电子联单，危险废物通过全生命周期监控系统扫描二维码转移。④将豁免管理危险废物产生、贮存、运输、利用、处置等情况纳入全生命周期监控系统。⑤按照《固体废物污染环境防治法》《国家危险废物名录》（20</w:t>
            </w:r>
            <w:r>
              <w:rPr>
                <w:rFonts w:eastAsia="仿宋"/>
                <w:color w:val="000000" w:themeColor="text1"/>
                <w:sz w:val="24"/>
                <w14:textFill>
                  <w14:solidFill>
                    <w14:schemeClr w14:val="tx1"/>
                  </w14:solidFill>
                </w14:textFill>
              </w:rPr>
              <w:t>25</w:t>
            </w:r>
            <w:r>
              <w:rPr>
                <w:rFonts w:hint="eastAsia" w:eastAsia="仿宋"/>
                <w:color w:val="000000" w:themeColor="text1"/>
                <w:sz w:val="24"/>
                <w14:textFill>
                  <w14:solidFill>
                    <w14:schemeClr w14:val="tx1"/>
                  </w14:solidFill>
                </w14:textFill>
              </w:rPr>
              <w:t>版）等要求，需采取应急处置或行政代处置的相关部门和单位，要科学制定处置方案并按要求向有关生态环境部门和地方政府报备。</w:t>
            </w:r>
            <w:r>
              <w:rPr>
                <w:rFonts w:eastAsia="仿宋"/>
                <w:color w:val="000000" w:themeColor="text1"/>
                <w:sz w:val="24"/>
                <w14:textFill>
                  <w14:solidFill>
                    <w14:schemeClr w14:val="tx1"/>
                  </w14:solidFill>
                </w14:textFill>
              </w:rPr>
              <w:t>危废贮存场所视频监控设施布设基本要求见下表。</w:t>
            </w:r>
          </w:p>
          <w:p w14:paraId="28E26FF9">
            <w:pPr>
              <w:spacing w:line="480" w:lineRule="exact"/>
              <w:jc w:val="center"/>
              <w:rPr>
                <w:rFonts w:eastAsia="仿宋"/>
                <w:b/>
                <w:bCs/>
                <w:color w:val="000000" w:themeColor="text1"/>
                <w14:textFill>
                  <w14:solidFill>
                    <w14:schemeClr w14:val="tx1"/>
                  </w14:solidFill>
                </w14:textFill>
              </w:rPr>
            </w:pPr>
            <w:r>
              <w:rPr>
                <w:rFonts w:hint="eastAsia" w:eastAsia="仿宋"/>
                <w:b/>
                <w:bCs/>
                <w:color w:val="000000" w:themeColor="text1"/>
                <w14:textFill>
                  <w14:solidFill>
                    <w14:schemeClr w14:val="tx1"/>
                  </w14:solidFill>
                </w14:textFill>
              </w:rPr>
              <w:t>表4</w:t>
            </w:r>
            <w:r>
              <w:rPr>
                <w:rFonts w:eastAsia="仿宋"/>
                <w:b/>
                <w:bCs/>
                <w:color w:val="000000" w:themeColor="text1"/>
                <w14:textFill>
                  <w14:solidFill>
                    <w14:schemeClr w14:val="tx1"/>
                  </w14:solidFill>
                </w14:textFill>
              </w:rPr>
              <w:t>-35 危险废物贮存场所（设施）监控设施布设要求表</w:t>
            </w:r>
          </w:p>
          <w:tbl>
            <w:tblPr>
              <w:tblStyle w:val="84"/>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722"/>
              <w:gridCol w:w="1584"/>
              <w:gridCol w:w="1875"/>
              <w:gridCol w:w="2453"/>
              <w:gridCol w:w="1884"/>
            </w:tblGrid>
            <w:tr w14:paraId="19033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gridSpan w:val="2"/>
                  <w:vMerge w:val="restart"/>
                  <w:vAlign w:val="center"/>
                </w:tcPr>
                <w:p w14:paraId="11EE7D56">
                  <w:pPr>
                    <w:jc w:val="center"/>
                    <w:rPr>
                      <w:rFonts w:eastAsia="仿宋"/>
                      <w:b/>
                      <w:bCs/>
                      <w:color w:val="000000" w:themeColor="text1"/>
                      <w:kern w:val="0"/>
                      <w:szCs w:val="21"/>
                      <w14:textFill>
                        <w14:solidFill>
                          <w14:schemeClr w14:val="tx1"/>
                        </w14:solidFill>
                      </w14:textFill>
                    </w:rPr>
                  </w:pPr>
                  <w:r>
                    <w:rPr>
                      <w:rFonts w:eastAsia="仿宋"/>
                      <w:b/>
                      <w:bCs/>
                      <w:color w:val="000000" w:themeColor="text1"/>
                      <w:kern w:val="0"/>
                      <w:szCs w:val="21"/>
                      <w14:textFill>
                        <w14:solidFill>
                          <w14:schemeClr w14:val="tx1"/>
                        </w14:solidFill>
                      </w14:textFill>
                    </w:rPr>
                    <w:t>设置位置</w:t>
                  </w:r>
                </w:p>
              </w:tc>
              <w:tc>
                <w:tcPr>
                  <w:tcW w:w="871" w:type="pct"/>
                  <w:vMerge w:val="restart"/>
                  <w:vAlign w:val="center"/>
                </w:tcPr>
                <w:p w14:paraId="054B0E38">
                  <w:pPr>
                    <w:jc w:val="center"/>
                    <w:rPr>
                      <w:rFonts w:eastAsia="仿宋"/>
                      <w:b/>
                      <w:bCs/>
                      <w:color w:val="000000" w:themeColor="text1"/>
                      <w:kern w:val="0"/>
                      <w:szCs w:val="21"/>
                      <w14:textFill>
                        <w14:solidFill>
                          <w14:schemeClr w14:val="tx1"/>
                        </w14:solidFill>
                      </w14:textFill>
                    </w:rPr>
                  </w:pPr>
                  <w:r>
                    <w:rPr>
                      <w:rFonts w:eastAsia="仿宋"/>
                      <w:b/>
                      <w:bCs/>
                      <w:color w:val="000000" w:themeColor="text1"/>
                      <w:kern w:val="0"/>
                      <w:szCs w:val="21"/>
                      <w14:textFill>
                        <w14:solidFill>
                          <w14:schemeClr w14:val="tx1"/>
                        </w14:solidFill>
                      </w14:textFill>
                    </w:rPr>
                    <w:t>监控范围</w:t>
                  </w:r>
                </w:p>
              </w:tc>
              <w:tc>
                <w:tcPr>
                  <w:tcW w:w="3416" w:type="pct"/>
                  <w:gridSpan w:val="3"/>
                  <w:vAlign w:val="center"/>
                </w:tcPr>
                <w:p w14:paraId="2B6D3E7E">
                  <w:pPr>
                    <w:jc w:val="center"/>
                    <w:rPr>
                      <w:rFonts w:eastAsia="仿宋"/>
                      <w:b/>
                      <w:bCs/>
                      <w:color w:val="000000" w:themeColor="text1"/>
                      <w:kern w:val="0"/>
                      <w:szCs w:val="21"/>
                      <w14:textFill>
                        <w14:solidFill>
                          <w14:schemeClr w14:val="tx1"/>
                        </w14:solidFill>
                      </w14:textFill>
                    </w:rPr>
                  </w:pPr>
                  <w:r>
                    <w:rPr>
                      <w:rFonts w:eastAsia="仿宋"/>
                      <w:b/>
                      <w:bCs/>
                      <w:color w:val="000000" w:themeColor="text1"/>
                      <w:kern w:val="0"/>
                      <w:szCs w:val="21"/>
                      <w14:textFill>
                        <w14:solidFill>
                          <w14:schemeClr w14:val="tx1"/>
                        </w14:solidFill>
                      </w14:textFill>
                    </w:rPr>
                    <w:t>监控系统要求</w:t>
                  </w:r>
                </w:p>
              </w:tc>
            </w:tr>
            <w:tr w14:paraId="23288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gridSpan w:val="2"/>
                  <w:vMerge w:val="continue"/>
                  <w:vAlign w:val="center"/>
                </w:tcPr>
                <w:p w14:paraId="2B42996E">
                  <w:pPr>
                    <w:jc w:val="center"/>
                    <w:rPr>
                      <w:rFonts w:eastAsia="仿宋"/>
                      <w:b/>
                      <w:bCs/>
                      <w:color w:val="000000" w:themeColor="text1"/>
                      <w:kern w:val="0"/>
                      <w:szCs w:val="21"/>
                      <w14:textFill>
                        <w14:solidFill>
                          <w14:schemeClr w14:val="tx1"/>
                        </w14:solidFill>
                      </w14:textFill>
                    </w:rPr>
                  </w:pPr>
                </w:p>
              </w:tc>
              <w:tc>
                <w:tcPr>
                  <w:tcW w:w="871" w:type="pct"/>
                  <w:vMerge w:val="continue"/>
                  <w:vAlign w:val="center"/>
                </w:tcPr>
                <w:p w14:paraId="3504E5D1">
                  <w:pPr>
                    <w:jc w:val="center"/>
                    <w:rPr>
                      <w:rFonts w:eastAsia="仿宋"/>
                      <w:b/>
                      <w:bCs/>
                      <w:color w:val="000000" w:themeColor="text1"/>
                      <w:kern w:val="0"/>
                      <w:szCs w:val="21"/>
                      <w14:textFill>
                        <w14:solidFill>
                          <w14:schemeClr w14:val="tx1"/>
                        </w14:solidFill>
                      </w14:textFill>
                    </w:rPr>
                  </w:pPr>
                </w:p>
              </w:tc>
              <w:tc>
                <w:tcPr>
                  <w:tcW w:w="1031" w:type="pct"/>
                  <w:vAlign w:val="center"/>
                </w:tcPr>
                <w:p w14:paraId="17F164BF">
                  <w:pPr>
                    <w:jc w:val="center"/>
                    <w:rPr>
                      <w:rFonts w:eastAsia="仿宋"/>
                      <w:b/>
                      <w:bCs/>
                      <w:color w:val="000000" w:themeColor="text1"/>
                      <w:kern w:val="0"/>
                      <w:szCs w:val="21"/>
                      <w14:textFill>
                        <w14:solidFill>
                          <w14:schemeClr w14:val="tx1"/>
                        </w14:solidFill>
                      </w14:textFill>
                    </w:rPr>
                  </w:pPr>
                  <w:r>
                    <w:rPr>
                      <w:rFonts w:eastAsia="仿宋"/>
                      <w:b/>
                      <w:bCs/>
                      <w:color w:val="000000" w:themeColor="text1"/>
                      <w:kern w:val="0"/>
                      <w:szCs w:val="21"/>
                      <w14:textFill>
                        <w14:solidFill>
                          <w14:schemeClr w14:val="tx1"/>
                        </w14:solidFill>
                      </w14:textFill>
                    </w:rPr>
                    <w:t>设置标准</w:t>
                  </w:r>
                </w:p>
              </w:tc>
              <w:tc>
                <w:tcPr>
                  <w:tcW w:w="1349" w:type="pct"/>
                  <w:vAlign w:val="center"/>
                </w:tcPr>
                <w:p w14:paraId="22B2BF1B">
                  <w:pPr>
                    <w:jc w:val="center"/>
                    <w:rPr>
                      <w:rFonts w:eastAsia="仿宋"/>
                      <w:b/>
                      <w:bCs/>
                      <w:color w:val="000000" w:themeColor="text1"/>
                      <w:kern w:val="0"/>
                      <w:szCs w:val="21"/>
                      <w14:textFill>
                        <w14:solidFill>
                          <w14:schemeClr w14:val="tx1"/>
                        </w14:solidFill>
                      </w14:textFill>
                    </w:rPr>
                  </w:pPr>
                  <w:r>
                    <w:rPr>
                      <w:rFonts w:eastAsia="仿宋"/>
                      <w:b/>
                      <w:bCs/>
                      <w:color w:val="000000" w:themeColor="text1"/>
                      <w:kern w:val="0"/>
                      <w:szCs w:val="21"/>
                      <w14:textFill>
                        <w14:solidFill>
                          <w14:schemeClr w14:val="tx1"/>
                        </w14:solidFill>
                      </w14:textFill>
                    </w:rPr>
                    <w:t>监控质量要求</w:t>
                  </w:r>
                </w:p>
              </w:tc>
              <w:tc>
                <w:tcPr>
                  <w:tcW w:w="1036" w:type="pct"/>
                  <w:vAlign w:val="center"/>
                </w:tcPr>
                <w:p w14:paraId="3E5A241F">
                  <w:pPr>
                    <w:jc w:val="center"/>
                    <w:rPr>
                      <w:rFonts w:eastAsia="仿宋"/>
                      <w:b/>
                      <w:bCs/>
                      <w:color w:val="000000" w:themeColor="text1"/>
                      <w:kern w:val="0"/>
                      <w:szCs w:val="21"/>
                      <w14:textFill>
                        <w14:solidFill>
                          <w14:schemeClr w14:val="tx1"/>
                        </w14:solidFill>
                      </w14:textFill>
                    </w:rPr>
                  </w:pPr>
                  <w:r>
                    <w:rPr>
                      <w:rFonts w:eastAsia="仿宋"/>
                      <w:b/>
                      <w:bCs/>
                      <w:color w:val="000000" w:themeColor="text1"/>
                      <w:kern w:val="0"/>
                      <w:szCs w:val="21"/>
                      <w14:textFill>
                        <w14:solidFill>
                          <w14:schemeClr w14:val="tx1"/>
                        </w14:solidFill>
                      </w14:textFill>
                    </w:rPr>
                    <w:t>存储传输</w:t>
                  </w:r>
                </w:p>
              </w:tc>
            </w:tr>
            <w:tr w14:paraId="40A95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vMerge w:val="restart"/>
                  <w:vAlign w:val="center"/>
                </w:tcPr>
                <w:p w14:paraId="651D7F8C">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一、贮存设施</w:t>
                  </w:r>
                </w:p>
              </w:tc>
              <w:tc>
                <w:tcPr>
                  <w:tcW w:w="396" w:type="pct"/>
                  <w:vAlign w:val="center"/>
                </w:tcPr>
                <w:p w14:paraId="37B30BEE">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全封闭式仓库出入口</w:t>
                  </w:r>
                </w:p>
              </w:tc>
              <w:tc>
                <w:tcPr>
                  <w:tcW w:w="871" w:type="pct"/>
                  <w:vAlign w:val="center"/>
                </w:tcPr>
                <w:p w14:paraId="6ADD7CC7">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全景视频监控，清晰记录危险废物入库、出库行为。</w:t>
                  </w:r>
                </w:p>
              </w:tc>
              <w:tc>
                <w:tcPr>
                  <w:tcW w:w="1031" w:type="pct"/>
                  <w:vMerge w:val="restart"/>
                  <w:vAlign w:val="center"/>
                </w:tcPr>
                <w:p w14:paraId="453580EB">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监控系统须满足《公共安全视频监控联网系统信息传输、交换、控制技术要求》（GB/T28181-2016），《安全防范高清视频监控系统技术要求》（GA/T1211-2014）等标准；2、所有摄像机须支持0NVIF、GB/T28181-2016标准协议。</w:t>
                  </w:r>
                </w:p>
              </w:tc>
              <w:tc>
                <w:tcPr>
                  <w:tcW w:w="1349" w:type="pct"/>
                  <w:vMerge w:val="restart"/>
                  <w:vAlign w:val="center"/>
                </w:tcPr>
                <w:p w14:paraId="5BB7F4B2">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须连续记录危险废物出入库情况和物流情况，包含录制日期及时间显示，不得对原始影像文件进行拼接、剪辑和编辑，保证影像连贯；2、摄像头距离监控对象的位置应保证监控对象全部摄入监控视频中，同时避免人员、设备、建筑物等的遮挡，清楚辨识贮存、处理等关键环节；3、监控区域24小时须有足够的光源以保证画面清晰辨识。无法保证24小时足够光源的区域，应安装全景红外夜视高清视频监控；4、视频监控录像画面分辨率须达到300万像素以上。</w:t>
                  </w:r>
                </w:p>
              </w:tc>
              <w:tc>
                <w:tcPr>
                  <w:tcW w:w="1036" w:type="pct"/>
                  <w:vMerge w:val="restart"/>
                  <w:vAlign w:val="center"/>
                </w:tcPr>
                <w:p w14:paraId="366AF798">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包含储罐、贮槽液位计在内的视频监控系统应与中控室联网，并存储于中控系统。没有配备中控系统的，应采用硬盘或其他安全的方式存储，鼓励使用云存储方式，将视频记录传输至网络云端按相关规定存储；2、企业应当做好备用电源、视频双备份等保障措施，确保视频监控全天24小时不间断录像，监控视频保存时间至少为3个月。</w:t>
                  </w:r>
                </w:p>
              </w:tc>
            </w:tr>
            <w:tr w14:paraId="3E1B4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vMerge w:val="continue"/>
                  <w:vAlign w:val="center"/>
                </w:tcPr>
                <w:p w14:paraId="3BC1E2AF">
                  <w:pPr>
                    <w:jc w:val="center"/>
                    <w:rPr>
                      <w:rFonts w:eastAsia="仿宋"/>
                      <w:color w:val="000000" w:themeColor="text1"/>
                      <w:kern w:val="0"/>
                      <w:szCs w:val="21"/>
                      <w14:textFill>
                        <w14:solidFill>
                          <w14:schemeClr w14:val="tx1"/>
                        </w14:solidFill>
                      </w14:textFill>
                    </w:rPr>
                  </w:pPr>
                </w:p>
              </w:tc>
              <w:tc>
                <w:tcPr>
                  <w:tcW w:w="396" w:type="pct"/>
                  <w:vAlign w:val="center"/>
                </w:tcPr>
                <w:p w14:paraId="18221E5B">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全封闭式仓库内部</w:t>
                  </w:r>
                </w:p>
              </w:tc>
              <w:tc>
                <w:tcPr>
                  <w:tcW w:w="871" w:type="pct"/>
                  <w:vAlign w:val="center"/>
                </w:tcPr>
                <w:p w14:paraId="6FF3472C">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全景视频监控，清晰记录仓库内部所有位置危险废物情况。</w:t>
                  </w:r>
                </w:p>
              </w:tc>
              <w:tc>
                <w:tcPr>
                  <w:tcW w:w="1031" w:type="pct"/>
                  <w:vMerge w:val="continue"/>
                  <w:vAlign w:val="center"/>
                </w:tcPr>
                <w:p w14:paraId="62FE5313">
                  <w:pPr>
                    <w:jc w:val="center"/>
                    <w:rPr>
                      <w:rFonts w:eastAsia="仿宋"/>
                      <w:color w:val="000000" w:themeColor="text1"/>
                      <w:kern w:val="0"/>
                      <w:szCs w:val="21"/>
                      <w14:textFill>
                        <w14:solidFill>
                          <w14:schemeClr w14:val="tx1"/>
                        </w14:solidFill>
                      </w14:textFill>
                    </w:rPr>
                  </w:pPr>
                </w:p>
              </w:tc>
              <w:tc>
                <w:tcPr>
                  <w:tcW w:w="1349" w:type="pct"/>
                  <w:vMerge w:val="continue"/>
                  <w:vAlign w:val="center"/>
                </w:tcPr>
                <w:p w14:paraId="51C5F5EA">
                  <w:pPr>
                    <w:jc w:val="center"/>
                    <w:rPr>
                      <w:rFonts w:eastAsia="仿宋"/>
                      <w:color w:val="000000" w:themeColor="text1"/>
                      <w:kern w:val="0"/>
                      <w:szCs w:val="21"/>
                      <w14:textFill>
                        <w14:solidFill>
                          <w14:schemeClr w14:val="tx1"/>
                        </w14:solidFill>
                      </w14:textFill>
                    </w:rPr>
                  </w:pPr>
                </w:p>
              </w:tc>
              <w:tc>
                <w:tcPr>
                  <w:tcW w:w="1036" w:type="pct"/>
                  <w:vMerge w:val="continue"/>
                  <w:vAlign w:val="center"/>
                </w:tcPr>
                <w:p w14:paraId="3277EF12">
                  <w:pPr>
                    <w:jc w:val="center"/>
                    <w:rPr>
                      <w:rFonts w:eastAsia="仿宋"/>
                      <w:color w:val="000000" w:themeColor="text1"/>
                      <w:kern w:val="0"/>
                      <w:szCs w:val="21"/>
                      <w14:textFill>
                        <w14:solidFill>
                          <w14:schemeClr w14:val="tx1"/>
                        </w14:solidFill>
                      </w14:textFill>
                    </w:rPr>
                  </w:pPr>
                </w:p>
              </w:tc>
            </w:tr>
            <w:tr w14:paraId="25C73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6" w:type="pct"/>
                  <w:vMerge w:val="continue"/>
                  <w:vAlign w:val="center"/>
                </w:tcPr>
                <w:p w14:paraId="38D6B88D">
                  <w:pPr>
                    <w:jc w:val="center"/>
                    <w:rPr>
                      <w:rFonts w:eastAsia="仿宋"/>
                      <w:color w:val="000000" w:themeColor="text1"/>
                      <w:kern w:val="0"/>
                      <w:szCs w:val="21"/>
                      <w14:textFill>
                        <w14:solidFill>
                          <w14:schemeClr w14:val="tx1"/>
                        </w14:solidFill>
                      </w14:textFill>
                    </w:rPr>
                  </w:pPr>
                </w:p>
              </w:tc>
              <w:tc>
                <w:tcPr>
                  <w:tcW w:w="396" w:type="pct"/>
                  <w:vAlign w:val="center"/>
                </w:tcPr>
                <w:p w14:paraId="2072D78F">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围墙、防护栅栏隔离区域</w:t>
                  </w:r>
                </w:p>
              </w:tc>
              <w:tc>
                <w:tcPr>
                  <w:tcW w:w="871" w:type="pct"/>
                  <w:vAlign w:val="center"/>
                </w:tcPr>
                <w:p w14:paraId="70C456B9">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全景视频监控，画面须完全覆盖围墙围挡区域、防护栅栏隔离区域。</w:t>
                  </w:r>
                </w:p>
              </w:tc>
              <w:tc>
                <w:tcPr>
                  <w:tcW w:w="1031" w:type="pct"/>
                  <w:vMerge w:val="continue"/>
                  <w:vAlign w:val="center"/>
                </w:tcPr>
                <w:p w14:paraId="373FE5E1">
                  <w:pPr>
                    <w:jc w:val="center"/>
                    <w:rPr>
                      <w:rFonts w:eastAsia="仿宋"/>
                      <w:color w:val="000000" w:themeColor="text1"/>
                      <w:kern w:val="0"/>
                      <w:szCs w:val="21"/>
                      <w14:textFill>
                        <w14:solidFill>
                          <w14:schemeClr w14:val="tx1"/>
                        </w14:solidFill>
                      </w14:textFill>
                    </w:rPr>
                  </w:pPr>
                </w:p>
              </w:tc>
              <w:tc>
                <w:tcPr>
                  <w:tcW w:w="1349" w:type="pct"/>
                  <w:vMerge w:val="continue"/>
                  <w:vAlign w:val="center"/>
                </w:tcPr>
                <w:p w14:paraId="2962A728">
                  <w:pPr>
                    <w:jc w:val="center"/>
                    <w:rPr>
                      <w:rFonts w:eastAsia="仿宋"/>
                      <w:color w:val="000000" w:themeColor="text1"/>
                      <w:kern w:val="0"/>
                      <w:szCs w:val="21"/>
                      <w14:textFill>
                        <w14:solidFill>
                          <w14:schemeClr w14:val="tx1"/>
                        </w14:solidFill>
                      </w14:textFill>
                    </w:rPr>
                  </w:pPr>
                </w:p>
              </w:tc>
              <w:tc>
                <w:tcPr>
                  <w:tcW w:w="1036" w:type="pct"/>
                  <w:vMerge w:val="continue"/>
                  <w:vAlign w:val="center"/>
                </w:tcPr>
                <w:p w14:paraId="48B368C5">
                  <w:pPr>
                    <w:jc w:val="center"/>
                    <w:rPr>
                      <w:rFonts w:eastAsia="仿宋"/>
                      <w:color w:val="000000" w:themeColor="text1"/>
                      <w:kern w:val="0"/>
                      <w:szCs w:val="21"/>
                      <w14:textFill>
                        <w14:solidFill>
                          <w14:schemeClr w14:val="tx1"/>
                        </w14:solidFill>
                      </w14:textFill>
                    </w:rPr>
                  </w:pPr>
                </w:p>
              </w:tc>
            </w:tr>
            <w:tr w14:paraId="05F77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gridSpan w:val="2"/>
                  <w:vAlign w:val="center"/>
                </w:tcPr>
                <w:p w14:paraId="65FFFE47">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二、装卸区域</w:t>
                  </w:r>
                </w:p>
              </w:tc>
              <w:tc>
                <w:tcPr>
                  <w:tcW w:w="871" w:type="pct"/>
                  <w:vAlign w:val="center"/>
                </w:tcPr>
                <w:p w14:paraId="28CACC7A">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全景视频监控，能清晰记录装卸过程，抓拍驾驶员和运输车辆车牌号码等信息。</w:t>
                  </w:r>
                </w:p>
              </w:tc>
              <w:tc>
                <w:tcPr>
                  <w:tcW w:w="1031" w:type="pct"/>
                  <w:vAlign w:val="center"/>
                </w:tcPr>
                <w:p w14:paraId="07132044">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同上</w:t>
                  </w:r>
                </w:p>
              </w:tc>
              <w:tc>
                <w:tcPr>
                  <w:tcW w:w="1349" w:type="pct"/>
                  <w:vAlign w:val="center"/>
                </w:tcPr>
                <w:p w14:paraId="03C9902C">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同上</w:t>
                  </w:r>
                </w:p>
              </w:tc>
              <w:tc>
                <w:tcPr>
                  <w:tcW w:w="1036" w:type="pct"/>
                  <w:vAlign w:val="center"/>
                </w:tcPr>
                <w:p w14:paraId="66AC95B0">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同上</w:t>
                  </w:r>
                </w:p>
              </w:tc>
            </w:tr>
            <w:tr w14:paraId="1A5D2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pct"/>
                  <w:gridSpan w:val="2"/>
                  <w:vAlign w:val="center"/>
                </w:tcPr>
                <w:p w14:paraId="01FCE0F2">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三、危废运输车辆通道（含车辆出口和入口）</w:t>
                  </w:r>
                </w:p>
              </w:tc>
              <w:tc>
                <w:tcPr>
                  <w:tcW w:w="871" w:type="pct"/>
                  <w:vAlign w:val="center"/>
                </w:tcPr>
                <w:p w14:paraId="212AECA0">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1、全景视频监控，清晰记录车辆出入况；2、摄像机应具备抓拍驾驶员和车牌号码功能。</w:t>
                  </w:r>
                </w:p>
              </w:tc>
              <w:tc>
                <w:tcPr>
                  <w:tcW w:w="1031" w:type="pct"/>
                  <w:vAlign w:val="center"/>
                </w:tcPr>
                <w:p w14:paraId="06C48075">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同上</w:t>
                  </w:r>
                </w:p>
              </w:tc>
              <w:tc>
                <w:tcPr>
                  <w:tcW w:w="1349" w:type="pct"/>
                  <w:vAlign w:val="center"/>
                </w:tcPr>
                <w:p w14:paraId="3B80C32C">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同上</w:t>
                  </w:r>
                </w:p>
              </w:tc>
              <w:tc>
                <w:tcPr>
                  <w:tcW w:w="1036" w:type="pct"/>
                  <w:vAlign w:val="center"/>
                </w:tcPr>
                <w:p w14:paraId="55CC5170">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同上</w:t>
                  </w:r>
                </w:p>
              </w:tc>
            </w:tr>
          </w:tbl>
          <w:p w14:paraId="030C12F9">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4、固体废物环境影响分析</w:t>
            </w:r>
          </w:p>
          <w:p w14:paraId="0140870B">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本项目固体废物利用、处置及处理率达到100%，不直接排向外环境，固体废物对周围环境无直接影响。</w:t>
            </w:r>
          </w:p>
          <w:p w14:paraId="23896766">
            <w:pPr>
              <w:spacing w:line="48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（五）地下水及土壤污染防治措施及环境影响分析</w:t>
            </w:r>
          </w:p>
          <w:p w14:paraId="69507995">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根据本项目的特点，本项目可能会通过以下途径污染地下水和土壤：一是厂区污水直接排放污染地下水；二是污水在排放的过程中通过土壤渗入地下水；三是污染土壤受降雨淋滤，污染物迁移至地下水。此外，本项目危险废物贮存仓库发生火灾事故时，产生的消防废水亦有渗透污染地下水的风险；可能的主要污染源来自</w:t>
            </w:r>
            <w:r>
              <w:rPr>
                <w:rFonts w:hint="eastAsia" w:eastAsia="仿宋"/>
                <w:color w:val="000000" w:themeColor="text1"/>
                <w:sz w:val="24"/>
                <w14:textFill>
                  <w14:solidFill>
                    <w14:schemeClr w14:val="tx1"/>
                  </w14:solidFill>
                </w14:textFill>
              </w:rPr>
              <w:t>实验室</w:t>
            </w:r>
            <w:r>
              <w:rPr>
                <w:rFonts w:eastAsia="仿宋"/>
                <w:color w:val="000000" w:themeColor="text1"/>
                <w:sz w:val="24"/>
                <w14:textFill>
                  <w14:solidFill>
                    <w14:schemeClr w14:val="tx1"/>
                  </w14:solidFill>
                </w14:textFill>
              </w:rPr>
              <w:t>、危废贮存仓库等。</w:t>
            </w:r>
          </w:p>
          <w:p w14:paraId="4F552567">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地下水及土壤保护应以预防为主，减少污染物进入地下水、土壤含水层的几率和途径，并制定和实施地下水、土壤监测井长期监测计划，一旦发现地下水遭、土壤受污染，应及时采取补救措施。针对本项目可能发生的地下水、土壤污染，防治措施按照“源头控制、分区防护、污染监控、应急响应”相结合的原则，从污染物的产生、入渗、扩散、应急响应全方位进行控制。</w:t>
            </w:r>
          </w:p>
          <w:p w14:paraId="1088C187">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1、地下水、土壤污染分析</w:t>
            </w:r>
          </w:p>
          <w:p w14:paraId="69751B1A">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（1）地下水、土壤污染源分析</w:t>
            </w:r>
          </w:p>
          <w:p w14:paraId="4C9DA417">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w:t>
            </w:r>
            <w:r>
              <w:rPr>
                <w:rFonts w:hint="eastAsia" w:eastAsia="仿宋"/>
                <w:color w:val="000000" w:themeColor="text1"/>
                <w:sz w:val="24"/>
                <w14:textFill>
                  <w14:solidFill>
                    <w14:schemeClr w14:val="tx1"/>
                  </w14:solidFill>
                </w14:textFill>
              </w:rPr>
              <w:t>位于联合厂房二层，且厂房一楼区域地面均</w:t>
            </w:r>
            <w:r>
              <w:rPr>
                <w:rFonts w:eastAsia="仿宋"/>
                <w:color w:val="000000" w:themeColor="text1"/>
                <w:sz w:val="24"/>
                <w14:textFill>
                  <w14:solidFill>
                    <w14:schemeClr w14:val="tx1"/>
                  </w14:solidFill>
                </w14:textFill>
              </w:rPr>
              <w:t>采取防渗处理，故造成地下水、土壤污染影响的区域以及污染的可能性较小。此外，本项目危险废物贮存仓库发生火灾事故时，产生的消防废水亦会渗透污染地下水的风险。若不加强本项目固废贮存仓库的防渗处理和及时处置，存在污染地下水的可能。</w:t>
            </w:r>
          </w:p>
          <w:p w14:paraId="56ACD28E">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（2）地下水、土壤污染情景分析</w:t>
            </w:r>
          </w:p>
          <w:p w14:paraId="3F168760">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事故情况下，若出现设施故障、管道破裂、防渗层损坏开裂等现象，物料将对地下水造成点源污染，污染物可能下渗至孔隙潜水及承压层中，从而在含水层中运移。</w:t>
            </w:r>
          </w:p>
          <w:p w14:paraId="5E543608">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（3）地下水、土壤污染途径分析</w:t>
            </w:r>
          </w:p>
          <w:p w14:paraId="5FA9A7AC">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中，污染物泄漏后进入地下，首先在包气带中垂直向下迁移，并进入到含水层中。污染物进入地下水后，以对流作用和弥散作用为主。另外，污染物在含水层中的迁移行为还包括吸附解析、挥发和生物降解。</w:t>
            </w:r>
          </w:p>
          <w:p w14:paraId="0A92585D">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2、地下水、土壤污染防控措施</w:t>
            </w:r>
          </w:p>
          <w:p w14:paraId="2B54AA53">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（1）源头控制措施</w:t>
            </w:r>
          </w:p>
          <w:p w14:paraId="6A16F104">
            <w:pPr>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本项目实验室</w:t>
            </w:r>
            <w:r>
              <w:rPr>
                <w:rFonts w:eastAsia="仿宋"/>
                <w:color w:val="000000" w:themeColor="text1"/>
                <w:sz w:val="24"/>
                <w14:textFill>
                  <w14:solidFill>
                    <w14:schemeClr w14:val="tx1"/>
                  </w14:solidFill>
                </w14:textFill>
              </w:rPr>
              <w:t>内参照《一般工业固体废物贮存和填埋污染控制标准》（GB18599-2020）进行建设基础防渗层，防止污染物的跑、冒、滴、漏，将污染物泄漏的可能性降到最低限度。对于危废</w:t>
            </w:r>
            <w:r>
              <w:rPr>
                <w:rFonts w:hint="eastAsia" w:eastAsia="仿宋"/>
                <w:color w:val="000000" w:themeColor="text1"/>
                <w:sz w:val="24"/>
                <w14:textFill>
                  <w14:solidFill>
                    <w14:schemeClr w14:val="tx1"/>
                  </w14:solidFill>
                </w14:textFill>
              </w:rPr>
              <w:t>仓库</w:t>
            </w:r>
            <w:r>
              <w:rPr>
                <w:rFonts w:eastAsia="仿宋"/>
                <w:color w:val="000000" w:themeColor="text1"/>
                <w:sz w:val="24"/>
                <w14:textFill>
                  <w14:solidFill>
                    <w14:schemeClr w14:val="tx1"/>
                  </w14:solidFill>
                </w14:textFill>
              </w:rPr>
              <w:t>间周边设地沟、导流槽，确保泄漏物料统一收集。建立有效的事故废水收集系统，污水和雨水排放口设置雨水截止阀。尽快将地面上的废水收集进入废水收集系统，减少废水在地面上的停留时间并防止废水进入雨水系统进而污染地下水。</w:t>
            </w:r>
          </w:p>
          <w:p w14:paraId="0D290F82">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（2）分区防渗措施</w:t>
            </w:r>
          </w:p>
          <w:p w14:paraId="7B4494A9">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根据《环境影响评价技术导则 地下水环境》（HJ610-2016），对已颁布污染控制国家标准或防渗技术规范的行业，防渗技术要求按照相应标准或规范执行，故危废贮存仓库的防渗技术要求按照《危险废物贮存污染控制标准》（GB18597-2023）要求执行。</w:t>
            </w:r>
          </w:p>
          <w:p w14:paraId="11081E91">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重点防渗区：</w:t>
            </w:r>
          </w:p>
          <w:p w14:paraId="7F896E39">
            <w:pPr>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本项目</w:t>
            </w:r>
            <w:r>
              <w:rPr>
                <w:rFonts w:eastAsia="仿宋"/>
                <w:color w:val="000000" w:themeColor="text1"/>
                <w:sz w:val="24"/>
                <w14:textFill>
                  <w14:solidFill>
                    <w14:schemeClr w14:val="tx1"/>
                  </w14:solidFill>
                </w14:textFill>
              </w:rPr>
              <w:t>的重点防渗区主要为危废仓库</w:t>
            </w:r>
            <w:r>
              <w:rPr>
                <w:rFonts w:hint="eastAsia" w:eastAsia="仿宋"/>
                <w:color w:val="000000" w:themeColor="text1"/>
                <w:sz w:val="24"/>
                <w14:textFill>
                  <w14:solidFill>
                    <w14:schemeClr w14:val="tx1"/>
                  </w14:solidFill>
                </w14:textFill>
              </w:rPr>
              <w:t>、</w:t>
            </w:r>
            <w:r>
              <w:rPr>
                <w:rFonts w:eastAsia="仿宋"/>
                <w:color w:val="000000" w:themeColor="text1"/>
                <w:sz w:val="24"/>
                <w14:textFill>
                  <w14:solidFill>
                    <w14:schemeClr w14:val="tx1"/>
                  </w14:solidFill>
                </w14:textFill>
              </w:rPr>
              <w:t>事故应急池</w:t>
            </w:r>
            <w:r>
              <w:rPr>
                <w:rFonts w:hint="eastAsia" w:eastAsia="仿宋"/>
                <w:color w:val="000000" w:themeColor="text1"/>
                <w:sz w:val="24"/>
                <w14:textFill>
                  <w14:solidFill>
                    <w14:schemeClr w14:val="tx1"/>
                  </w14:solidFill>
                </w14:textFill>
              </w:rPr>
              <w:t>、危化品库所在区域，已</w:t>
            </w:r>
            <w:r>
              <w:rPr>
                <w:rFonts w:eastAsia="仿宋"/>
                <w:color w:val="000000" w:themeColor="text1"/>
                <w:sz w:val="24"/>
                <w14:textFill>
                  <w14:solidFill>
                    <w14:schemeClr w14:val="tx1"/>
                  </w14:solidFill>
                </w14:textFill>
              </w:rPr>
              <w:t>参照《危险废物贮存污染控制标准》（GB18597-2023）和《危险废物安全填埋处置工程建设技术要求》执行，基础必须防渗，防渗层为至少1m厚粘土层（渗透系数≤10</w:t>
            </w:r>
            <w:r>
              <w:rPr>
                <w:rFonts w:eastAsia="仿宋"/>
                <w:color w:val="000000" w:themeColor="text1"/>
                <w:sz w:val="24"/>
                <w:vertAlign w:val="superscript"/>
                <w14:textFill>
                  <w14:solidFill>
                    <w14:schemeClr w14:val="tx1"/>
                  </w14:solidFill>
                </w14:textFill>
              </w:rPr>
              <w:t>-7</w:t>
            </w:r>
            <w:r>
              <w:rPr>
                <w:rFonts w:eastAsia="仿宋"/>
                <w:color w:val="000000" w:themeColor="text1"/>
                <w:sz w:val="24"/>
                <w14:textFill>
                  <w14:solidFill>
                    <w14:schemeClr w14:val="tx1"/>
                  </w14:solidFill>
                </w14:textFill>
              </w:rPr>
              <w:t>cm/s），并进行0.1m的混凝土浇筑，最上层为2.5mm的环氧树脂防腐防渗涂层，防渗系数≤10</w:t>
            </w:r>
            <w:r>
              <w:rPr>
                <w:rFonts w:eastAsia="仿宋"/>
                <w:color w:val="000000" w:themeColor="text1"/>
                <w:sz w:val="24"/>
                <w:vertAlign w:val="superscript"/>
                <w14:textFill>
                  <w14:solidFill>
                    <w14:schemeClr w14:val="tx1"/>
                  </w14:solidFill>
                </w14:textFill>
              </w:rPr>
              <w:t>-10</w:t>
            </w:r>
            <w:r>
              <w:rPr>
                <w:rFonts w:eastAsia="仿宋"/>
                <w:color w:val="000000" w:themeColor="text1"/>
                <w:sz w:val="24"/>
                <w14:textFill>
                  <w14:solidFill>
                    <w14:schemeClr w14:val="tx1"/>
                  </w14:solidFill>
                </w14:textFill>
              </w:rPr>
              <w:t>cm/s。</w:t>
            </w:r>
          </w:p>
          <w:p w14:paraId="565680D5">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一般防渗区：</w:t>
            </w:r>
          </w:p>
          <w:p w14:paraId="4F995C98">
            <w:pPr>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本项目</w:t>
            </w:r>
            <w:r>
              <w:rPr>
                <w:rFonts w:eastAsia="仿宋"/>
                <w:color w:val="000000" w:themeColor="text1"/>
                <w:sz w:val="24"/>
                <w14:textFill>
                  <w14:solidFill>
                    <w14:schemeClr w14:val="tx1"/>
                  </w14:solidFill>
                </w14:textFill>
              </w:rPr>
              <w:t>涉及的一般防渗区主要为</w:t>
            </w:r>
            <w:r>
              <w:rPr>
                <w:rFonts w:hint="eastAsia" w:eastAsia="仿宋"/>
                <w:color w:val="000000" w:themeColor="text1"/>
                <w:sz w:val="24"/>
                <w14:textFill>
                  <w14:solidFill>
                    <w14:schemeClr w14:val="tx1"/>
                  </w14:solidFill>
                </w14:textFill>
              </w:rPr>
              <w:t>物料储存室所在区域</w:t>
            </w:r>
            <w:r>
              <w:rPr>
                <w:rFonts w:eastAsia="仿宋"/>
                <w:color w:val="000000" w:themeColor="text1"/>
                <w:sz w:val="24"/>
                <w14:textFill>
                  <w14:solidFill>
                    <w14:schemeClr w14:val="tx1"/>
                  </w14:solidFill>
                </w14:textFill>
              </w:rPr>
              <w:t>，</w:t>
            </w:r>
            <w:r>
              <w:rPr>
                <w:rFonts w:hint="eastAsia" w:eastAsia="仿宋"/>
                <w:color w:val="000000" w:themeColor="text1"/>
                <w:sz w:val="24"/>
                <w14:textFill>
                  <w14:solidFill>
                    <w14:schemeClr w14:val="tx1"/>
                  </w14:solidFill>
                </w14:textFill>
              </w:rPr>
              <w:t>已</w:t>
            </w:r>
            <w:r>
              <w:rPr>
                <w:rFonts w:eastAsia="仿宋"/>
                <w:color w:val="000000" w:themeColor="text1"/>
                <w:sz w:val="24"/>
                <w14:textFill>
                  <w14:solidFill>
                    <w14:schemeClr w14:val="tx1"/>
                  </w14:solidFill>
                </w14:textFill>
              </w:rPr>
              <w:t>参照《一般工业固体废物贮存和填埋污染控制标准》（GB18599-2020）进行建设，基础防渗层为1.0厚粘土层（渗透系数≤10</w:t>
            </w:r>
            <w:r>
              <w:rPr>
                <w:rFonts w:eastAsia="仿宋"/>
                <w:color w:val="000000" w:themeColor="text1"/>
                <w:sz w:val="24"/>
                <w:vertAlign w:val="superscript"/>
                <w14:textFill>
                  <w14:solidFill>
                    <w14:schemeClr w14:val="tx1"/>
                  </w14:solidFill>
                </w14:textFill>
              </w:rPr>
              <w:t>-7</w:t>
            </w:r>
            <w:r>
              <w:rPr>
                <w:rFonts w:eastAsia="仿宋"/>
                <w:color w:val="000000" w:themeColor="text1"/>
                <w:sz w:val="24"/>
                <w14:textFill>
                  <w14:solidFill>
                    <w14:schemeClr w14:val="tx1"/>
                  </w14:solidFill>
                </w14:textFill>
              </w:rPr>
              <w:t>cm/s），并进行0.1m的混凝土浇筑。</w:t>
            </w:r>
          </w:p>
          <w:p w14:paraId="49821EAA">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（3）应急响应措施</w:t>
            </w:r>
          </w:p>
          <w:p w14:paraId="1FDF4BBB">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制定风险事故应急响应的目的是为了在发生风险事故时，能以最快的速度发挥最大的效能，尽快控制事态的发展，降低事故对地下水及土壤的污染。根据地下水跟踪监测结果，一旦发现地下水和土壤污染事故，应立即启动应急预案。控制污染源，使用吸附材料及时处理泄漏污染物，或者将泄漏的液体引流到</w:t>
            </w:r>
            <w:r>
              <w:rPr>
                <w:rFonts w:hint="eastAsia" w:eastAsia="仿宋"/>
                <w:color w:val="000000" w:themeColor="text1"/>
                <w:sz w:val="24"/>
                <w14:textFill>
                  <w14:solidFill>
                    <w14:schemeClr w14:val="tx1"/>
                  </w14:solidFill>
                </w14:textFill>
              </w:rPr>
              <w:t>事故应急池</w:t>
            </w:r>
            <w:r>
              <w:rPr>
                <w:rFonts w:eastAsia="仿宋"/>
                <w:color w:val="000000" w:themeColor="text1"/>
                <w:sz w:val="24"/>
                <w14:textFill>
                  <w14:solidFill>
                    <w14:schemeClr w14:val="tx1"/>
                  </w14:solidFill>
                </w14:textFill>
              </w:rPr>
              <w:t>，切断污染物的入渗，并查清渗漏点，对渗漏点进行及时修复，采用灰浆帷幕法等各种物理屏障，将受污染水体圈闭起来，以防止污染物进一步扩散蔓延，对已经受污染的地下水采取抽出-处理-回灌的方法进行处理，并继续跟踪监测地下水的水质状况。</w:t>
            </w:r>
          </w:p>
          <w:p w14:paraId="546914F5">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3、地下水、土壤环境影响分析</w:t>
            </w:r>
          </w:p>
          <w:p w14:paraId="5E55D48B">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本项目可能对地下水、土壤产生影响的主要区域在危废仓库</w:t>
            </w:r>
            <w:r>
              <w:rPr>
                <w:rFonts w:hint="eastAsia" w:eastAsia="仿宋"/>
                <w:color w:val="000000" w:themeColor="text1"/>
                <w:sz w:val="24"/>
                <w14:textFill>
                  <w14:solidFill>
                    <w14:schemeClr w14:val="tx1"/>
                  </w14:solidFill>
                </w14:textFill>
              </w:rPr>
              <w:t>、</w:t>
            </w:r>
            <w:r>
              <w:rPr>
                <w:rFonts w:eastAsia="仿宋"/>
                <w:color w:val="000000" w:themeColor="text1"/>
                <w:sz w:val="24"/>
                <w14:textFill>
                  <w14:solidFill>
                    <w14:schemeClr w14:val="tx1"/>
                  </w14:solidFill>
                </w14:textFill>
              </w:rPr>
              <w:t>事故应急池</w:t>
            </w:r>
            <w:r>
              <w:rPr>
                <w:rFonts w:hint="eastAsia" w:eastAsia="仿宋"/>
                <w:color w:val="000000" w:themeColor="text1"/>
                <w:sz w:val="24"/>
                <w14:textFill>
                  <w14:solidFill>
                    <w14:schemeClr w14:val="tx1"/>
                  </w14:solidFill>
                </w14:textFill>
              </w:rPr>
              <w:t>、危化品库所在区域</w:t>
            </w:r>
            <w:r>
              <w:rPr>
                <w:rFonts w:eastAsia="仿宋"/>
                <w:color w:val="000000" w:themeColor="text1"/>
                <w:sz w:val="24"/>
                <w14:textFill>
                  <w14:solidFill>
                    <w14:schemeClr w14:val="tx1"/>
                  </w14:solidFill>
                </w14:textFill>
              </w:rPr>
              <w:t>，本项目</w:t>
            </w:r>
            <w:r>
              <w:rPr>
                <w:rFonts w:hint="eastAsia" w:eastAsia="仿宋"/>
                <w:color w:val="000000" w:themeColor="text1"/>
                <w:sz w:val="24"/>
                <w14:textFill>
                  <w14:solidFill>
                    <w14:schemeClr w14:val="tx1"/>
                  </w14:solidFill>
                </w14:textFill>
              </w:rPr>
              <w:t>物料储存室</w:t>
            </w:r>
            <w:r>
              <w:rPr>
                <w:rFonts w:eastAsia="仿宋"/>
                <w:color w:val="000000" w:themeColor="text1"/>
                <w:sz w:val="24"/>
                <w14:textFill>
                  <w14:solidFill>
                    <w14:schemeClr w14:val="tx1"/>
                  </w14:solidFill>
                </w14:textFill>
              </w:rPr>
              <w:t>建设的一般防渗区。正常生产时</w:t>
            </w:r>
            <w:r>
              <w:rPr>
                <w:rFonts w:hint="eastAsia" w:eastAsia="仿宋"/>
                <w:color w:val="000000" w:themeColor="text1"/>
                <w:sz w:val="24"/>
                <w14:textFill>
                  <w14:solidFill>
                    <w14:schemeClr w14:val="tx1"/>
                  </w14:solidFill>
                </w14:textFill>
              </w:rPr>
              <w:t>实验室</w:t>
            </w:r>
            <w:r>
              <w:rPr>
                <w:rFonts w:eastAsia="仿宋"/>
                <w:color w:val="000000" w:themeColor="text1"/>
                <w:sz w:val="24"/>
                <w14:textFill>
                  <w14:solidFill>
                    <w14:schemeClr w14:val="tx1"/>
                  </w14:solidFill>
                </w14:textFill>
              </w:rPr>
              <w:t>的跑冒滴漏不会下渗到地下水、土壤中。室外管道和阀门的跑冒滴漏水量较小，且本项目用地现状为工业用地，确保各项防渗措施得以落实、加强维护和厂区环境管理的前提下，正常工况下对地下水、土壤基本无渗漏，污染较小。</w:t>
            </w:r>
          </w:p>
          <w:p w14:paraId="1DC7B4A9">
            <w:pPr>
              <w:spacing w:line="50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（六）环境风险评价</w:t>
            </w:r>
          </w:p>
          <w:p w14:paraId="116A7AE8">
            <w:pPr>
              <w:spacing w:line="500" w:lineRule="exact"/>
              <w:ind w:firstLine="48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本次环境影响评价依据《建设项目环境风险评价技术导则》（HJ169-2018）开展风险分析工作。</w:t>
            </w:r>
          </w:p>
          <w:p w14:paraId="3CF9E302">
            <w:pPr>
              <w:spacing w:line="480" w:lineRule="exact"/>
              <w:ind w:firstLine="482"/>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1</w:t>
            </w:r>
            <w:r>
              <w:rPr>
                <w:rFonts w:eastAsia="仿宋"/>
                <w:color w:val="000000" w:themeColor="text1"/>
                <w:sz w:val="24"/>
                <w14:textFill>
                  <w14:solidFill>
                    <w14:schemeClr w14:val="tx1"/>
                  </w14:solidFill>
                </w14:textFill>
              </w:rPr>
              <w:t>、危险物质及工艺系统危险性（P）</w:t>
            </w:r>
          </w:p>
          <w:p w14:paraId="59869D90">
            <w:pPr>
              <w:spacing w:line="480" w:lineRule="exact"/>
              <w:ind w:firstLine="482"/>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（1）危险物质数量与临界量比值（Q）</w:t>
            </w:r>
          </w:p>
          <w:p w14:paraId="1C57955A">
            <w:pPr>
              <w:spacing w:line="480" w:lineRule="exact"/>
              <w:ind w:firstLine="482"/>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对照附录B，计算所涉及的每种危险物质在厂界内的最大存在总量与其在附录B中对应临界量的比值Q。</w:t>
            </w:r>
          </w:p>
          <w:p w14:paraId="670950B8">
            <w:pPr>
              <w:spacing w:line="480" w:lineRule="exact"/>
              <w:ind w:firstLine="482"/>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当只涉及一种危险物质时，计算该物质的总量与其临界量比值，即为Q；</w:t>
            </w:r>
          </w:p>
          <w:p w14:paraId="6B6A976E">
            <w:pPr>
              <w:spacing w:line="480" w:lineRule="exact"/>
              <w:ind w:firstLine="482"/>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当存在多种危险物质时，则按下式计算物质总量与其临界量比值（Q）：</w:t>
            </w:r>
          </w:p>
          <w:p w14:paraId="73404913">
            <w:pPr>
              <w:widowControl/>
              <w:snapToGrid w:val="0"/>
              <w:ind w:firstLine="422" w:firstLineChars="200"/>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drawing>
                <wp:inline distT="0" distB="0" distL="0" distR="0">
                  <wp:extent cx="1656080" cy="431165"/>
                  <wp:effectExtent l="0" t="0" r="127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656080" cy="431165"/>
                          </a:xfrm>
                          <a:prstGeom prst="rect">
                            <a:avLst/>
                          </a:prstGeom>
                          <a:noFill/>
                          <a:ln>
                            <a:noFill/>
                          </a:ln>
                        </pic:spPr>
                      </pic:pic>
                    </a:graphicData>
                  </a:graphic>
                </wp:inline>
              </w:drawing>
            </w:r>
          </w:p>
          <w:p w14:paraId="04405052">
            <w:pPr>
              <w:spacing w:line="480" w:lineRule="exact"/>
              <w:ind w:firstLine="482"/>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式中：q1，q2，...，qn——每种危险物质的最大存在总量，t；</w:t>
            </w:r>
          </w:p>
          <w:p w14:paraId="32561B5A">
            <w:pPr>
              <w:spacing w:line="480" w:lineRule="exact"/>
              <w:ind w:firstLine="482"/>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Q1,Q2,...,Qn——每种危险物质的临界量，t。</w:t>
            </w:r>
          </w:p>
          <w:p w14:paraId="2C642310">
            <w:pPr>
              <w:spacing w:line="480" w:lineRule="exact"/>
              <w:ind w:firstLine="482"/>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当Q&lt;1时，该项目环境风险潜势为</w:t>
            </w:r>
            <w:r>
              <w:rPr>
                <w:rFonts w:hint="eastAsia" w:eastAsia="仿宋"/>
                <w:color w:val="000000" w:themeColor="text1"/>
                <w:sz w:val="24"/>
                <w14:textFill>
                  <w14:solidFill>
                    <w14:schemeClr w14:val="tx1"/>
                  </w14:solidFill>
                </w14:textFill>
              </w:rPr>
              <w:t>Ⅰ</w:t>
            </w:r>
            <w:r>
              <w:rPr>
                <w:rFonts w:eastAsia="仿宋"/>
                <w:color w:val="000000" w:themeColor="text1"/>
                <w:sz w:val="24"/>
                <w14:textFill>
                  <w14:solidFill>
                    <w14:schemeClr w14:val="tx1"/>
                  </w14:solidFill>
                </w14:textFill>
              </w:rPr>
              <w:t>。</w:t>
            </w:r>
          </w:p>
          <w:p w14:paraId="18A1EEB6">
            <w:pPr>
              <w:spacing w:line="480" w:lineRule="exact"/>
              <w:ind w:firstLine="482"/>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当Q≥1时，将Q值划分为：</w:t>
            </w:r>
            <w:r>
              <w:rPr>
                <w:rFonts w:hint="eastAsia" w:eastAsia="仿宋"/>
                <w:color w:val="000000" w:themeColor="text1"/>
                <w:sz w:val="24"/>
                <w14:textFill>
                  <w14:solidFill>
                    <w14:schemeClr w14:val="tx1"/>
                  </w14:solidFill>
                </w14:textFill>
              </w:rPr>
              <w:t>①</w:t>
            </w:r>
            <w:r>
              <w:rPr>
                <w:rFonts w:eastAsia="仿宋"/>
                <w:color w:val="000000" w:themeColor="text1"/>
                <w:sz w:val="24"/>
                <w14:textFill>
                  <w14:solidFill>
                    <w14:schemeClr w14:val="tx1"/>
                  </w14:solidFill>
                </w14:textFill>
              </w:rPr>
              <w:t>1≤Q&lt;10；</w:t>
            </w:r>
            <w:r>
              <w:rPr>
                <w:rFonts w:hint="eastAsia" w:eastAsia="仿宋"/>
                <w:color w:val="000000" w:themeColor="text1"/>
                <w:sz w:val="24"/>
                <w14:textFill>
                  <w14:solidFill>
                    <w14:schemeClr w14:val="tx1"/>
                  </w14:solidFill>
                </w14:textFill>
              </w:rPr>
              <w:t>②</w:t>
            </w:r>
            <w:r>
              <w:rPr>
                <w:rFonts w:eastAsia="仿宋"/>
                <w:color w:val="000000" w:themeColor="text1"/>
                <w:sz w:val="24"/>
                <w14:textFill>
                  <w14:solidFill>
                    <w14:schemeClr w14:val="tx1"/>
                  </w14:solidFill>
                </w14:textFill>
              </w:rPr>
              <w:t>10≤Q&lt;100；</w:t>
            </w:r>
            <w:r>
              <w:rPr>
                <w:rFonts w:hint="eastAsia" w:eastAsia="仿宋"/>
                <w:color w:val="000000" w:themeColor="text1"/>
                <w:sz w:val="24"/>
                <w14:textFill>
                  <w14:solidFill>
                    <w14:schemeClr w14:val="tx1"/>
                  </w14:solidFill>
                </w14:textFill>
              </w:rPr>
              <w:t>③</w:t>
            </w:r>
            <w:r>
              <w:rPr>
                <w:rFonts w:eastAsia="仿宋"/>
                <w:color w:val="000000" w:themeColor="text1"/>
                <w:sz w:val="24"/>
                <w14:textFill>
                  <w14:solidFill>
                    <w14:schemeClr w14:val="tx1"/>
                  </w14:solidFill>
                </w14:textFill>
              </w:rPr>
              <w:t>Q≥100。</w:t>
            </w:r>
          </w:p>
          <w:p w14:paraId="174F840D">
            <w:pPr>
              <w:spacing w:line="480" w:lineRule="exact"/>
              <w:ind w:firstLine="482"/>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厂区内所有</w:t>
            </w:r>
            <w:r>
              <w:rPr>
                <w:rFonts w:hint="eastAsia" w:eastAsia="仿宋"/>
                <w:color w:val="000000" w:themeColor="text1"/>
                <w:sz w:val="24"/>
                <w14:textFill>
                  <w14:solidFill>
                    <w14:schemeClr w14:val="tx1"/>
                  </w14:solidFill>
                </w14:textFill>
              </w:rPr>
              <w:t>实验</w:t>
            </w:r>
            <w:r>
              <w:rPr>
                <w:rFonts w:eastAsia="仿宋"/>
                <w:color w:val="000000" w:themeColor="text1"/>
                <w:sz w:val="24"/>
                <w14:textFill>
                  <w14:solidFill>
                    <w14:schemeClr w14:val="tx1"/>
                  </w14:solidFill>
                </w14:textFill>
              </w:rPr>
              <w:t>物质与附录B对照情况见下表</w:t>
            </w:r>
            <w:r>
              <w:rPr>
                <w:rFonts w:hint="eastAsia" w:eastAsia="仿宋"/>
                <w:color w:val="000000" w:themeColor="text1"/>
                <w:sz w:val="24"/>
                <w14:textFill>
                  <w14:solidFill>
                    <w14:schemeClr w14:val="tx1"/>
                  </w14:solidFill>
                </w14:textFill>
              </w:rPr>
              <w:t>。</w:t>
            </w:r>
          </w:p>
          <w:p w14:paraId="03A47CAB">
            <w:pPr>
              <w:spacing w:line="480" w:lineRule="exact"/>
              <w:jc w:val="center"/>
              <w:rPr>
                <w:rFonts w:eastAsia="仿宋"/>
                <w:b/>
                <w:color w:val="000000" w:themeColor="text1"/>
                <w:szCs w:val="21"/>
                <w14:textFill>
                  <w14:solidFill>
                    <w14:schemeClr w14:val="tx1"/>
                  </w14:solidFill>
                </w14:textFill>
              </w:rPr>
            </w:pPr>
          </w:p>
          <w:p w14:paraId="76447713">
            <w:pPr>
              <w:spacing w:line="480" w:lineRule="exact"/>
              <w:jc w:val="center"/>
              <w:rPr>
                <w:rFonts w:eastAsia="仿宋"/>
                <w:b/>
                <w:color w:val="000000" w:themeColor="text1"/>
                <w:szCs w:val="21"/>
                <w14:textFill>
                  <w14:solidFill>
                    <w14:schemeClr w14:val="tx1"/>
                  </w14:solidFill>
                </w14:textFill>
              </w:rPr>
            </w:pPr>
          </w:p>
          <w:p w14:paraId="6089A895">
            <w:pPr>
              <w:spacing w:line="480" w:lineRule="exact"/>
              <w:jc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表4</w:t>
            </w:r>
            <w:r>
              <w:rPr>
                <w:rFonts w:eastAsia="仿宋"/>
                <w:b/>
                <w:color w:val="000000" w:themeColor="text1"/>
                <w:szCs w:val="21"/>
                <w14:textFill>
                  <w14:solidFill>
                    <w14:schemeClr w14:val="tx1"/>
                  </w14:solidFill>
                </w14:textFill>
              </w:rPr>
              <w:t xml:space="preserve">-36 </w:t>
            </w:r>
            <w:r>
              <w:rPr>
                <w:rFonts w:hint="eastAsia" w:eastAsia="仿宋"/>
                <w:b/>
                <w:color w:val="000000" w:themeColor="text1"/>
                <w:szCs w:val="21"/>
                <w14:textFill>
                  <w14:solidFill>
                    <w14:schemeClr w14:val="tx1"/>
                  </w14:solidFill>
                </w14:textFill>
              </w:rPr>
              <w:t>全实验室</w:t>
            </w:r>
            <w:r>
              <w:rPr>
                <w:rFonts w:eastAsia="仿宋"/>
                <w:b/>
                <w:color w:val="000000" w:themeColor="text1"/>
                <w:szCs w:val="21"/>
                <w14:textFill>
                  <w14:solidFill>
                    <w14:schemeClr w14:val="tx1"/>
                  </w14:solidFill>
                </w14:textFill>
              </w:rPr>
              <w:t>Q值计算结果一览表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2481"/>
              <w:gridCol w:w="1272"/>
              <w:gridCol w:w="1355"/>
              <w:gridCol w:w="1257"/>
              <w:gridCol w:w="1493"/>
            </w:tblGrid>
            <w:tr w14:paraId="4C170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shd w:val="clear" w:color="auto" w:fill="auto"/>
                  <w:vAlign w:val="center"/>
                </w:tcPr>
                <w:p w14:paraId="1C154F5F">
                  <w:pPr>
                    <w:widowControl/>
                    <w:jc w:val="center"/>
                    <w:textAlignment w:val="center"/>
                    <w:rPr>
                      <w:rFonts w:eastAsia="仿宋"/>
                      <w:b/>
                      <w:bCs/>
                      <w:color w:val="000000" w:themeColor="text1"/>
                      <w:szCs w:val="21"/>
                      <w14:textFill>
                        <w14:solidFill>
                          <w14:schemeClr w14:val="tx1"/>
                        </w14:solidFill>
                      </w14:textFill>
                    </w:rPr>
                  </w:pPr>
                  <w:r>
                    <w:rPr>
                      <w:rFonts w:eastAsia="仿宋"/>
                      <w:b/>
                      <w:bCs/>
                      <w:color w:val="000000" w:themeColor="text1"/>
                      <w:kern w:val="0"/>
                      <w:szCs w:val="21"/>
                      <w:lang w:bidi="ar"/>
                      <w14:textFill>
                        <w14:solidFill>
                          <w14:schemeClr w14:val="tx1"/>
                        </w14:solidFill>
                      </w14:textFill>
                    </w:rPr>
                    <w:t>序号</w:t>
                  </w:r>
                </w:p>
              </w:tc>
              <w:tc>
                <w:tcPr>
                  <w:tcW w:w="1364" w:type="pct"/>
                  <w:shd w:val="clear" w:color="auto" w:fill="auto"/>
                  <w:vAlign w:val="center"/>
                </w:tcPr>
                <w:p w14:paraId="7892B0EC">
                  <w:pPr>
                    <w:widowControl/>
                    <w:jc w:val="center"/>
                    <w:textAlignment w:val="center"/>
                    <w:rPr>
                      <w:rFonts w:eastAsia="仿宋"/>
                      <w:b/>
                      <w:bCs/>
                      <w:color w:val="000000" w:themeColor="text1"/>
                      <w:szCs w:val="21"/>
                      <w14:textFill>
                        <w14:solidFill>
                          <w14:schemeClr w14:val="tx1"/>
                        </w14:solidFill>
                      </w14:textFill>
                    </w:rPr>
                  </w:pPr>
                  <w:r>
                    <w:rPr>
                      <w:rFonts w:eastAsia="仿宋"/>
                      <w:b/>
                      <w:bCs/>
                      <w:color w:val="000000" w:themeColor="text1"/>
                      <w:kern w:val="0"/>
                      <w:szCs w:val="21"/>
                      <w:lang w:bidi="ar"/>
                      <w14:textFill>
                        <w14:solidFill>
                          <w14:schemeClr w14:val="tx1"/>
                        </w14:solidFill>
                      </w14:textFill>
                    </w:rPr>
                    <w:t>危险物质名称</w:t>
                  </w:r>
                </w:p>
              </w:tc>
              <w:tc>
                <w:tcPr>
                  <w:tcW w:w="699" w:type="pct"/>
                  <w:shd w:val="clear" w:color="auto" w:fill="auto"/>
                  <w:vAlign w:val="center"/>
                </w:tcPr>
                <w:p w14:paraId="2E9A3D87">
                  <w:pPr>
                    <w:widowControl/>
                    <w:jc w:val="center"/>
                    <w:textAlignment w:val="center"/>
                    <w:rPr>
                      <w:rFonts w:eastAsia="仿宋"/>
                      <w:b/>
                      <w:bCs/>
                      <w:color w:val="000000" w:themeColor="text1"/>
                      <w:szCs w:val="21"/>
                      <w14:textFill>
                        <w14:solidFill>
                          <w14:schemeClr w14:val="tx1"/>
                        </w14:solidFill>
                      </w14:textFill>
                    </w:rPr>
                  </w:pPr>
                  <w:r>
                    <w:rPr>
                      <w:rFonts w:eastAsia="仿宋"/>
                      <w:b/>
                      <w:bCs/>
                      <w:color w:val="000000" w:themeColor="text1"/>
                      <w:kern w:val="0"/>
                      <w:szCs w:val="21"/>
                      <w:lang w:bidi="ar"/>
                      <w14:textFill>
                        <w14:solidFill>
                          <w14:schemeClr w14:val="tx1"/>
                        </w14:solidFill>
                      </w14:textFill>
                    </w:rPr>
                    <w:t>CAS号</w:t>
                  </w:r>
                </w:p>
              </w:tc>
              <w:tc>
                <w:tcPr>
                  <w:tcW w:w="745" w:type="pct"/>
                  <w:shd w:val="clear" w:color="auto" w:fill="auto"/>
                  <w:vAlign w:val="center"/>
                </w:tcPr>
                <w:p w14:paraId="6E373E2E">
                  <w:pPr>
                    <w:widowControl/>
                    <w:jc w:val="center"/>
                    <w:textAlignment w:val="center"/>
                    <w:rPr>
                      <w:rFonts w:eastAsia="仿宋"/>
                      <w:b/>
                      <w:bCs/>
                      <w:color w:val="000000" w:themeColor="text1"/>
                      <w:szCs w:val="21"/>
                      <w14:textFill>
                        <w14:solidFill>
                          <w14:schemeClr w14:val="tx1"/>
                        </w14:solidFill>
                      </w14:textFill>
                    </w:rPr>
                  </w:pPr>
                  <w:r>
                    <w:rPr>
                      <w:rFonts w:eastAsia="仿宋"/>
                      <w:b/>
                      <w:bCs/>
                      <w:color w:val="000000" w:themeColor="text1"/>
                      <w:kern w:val="0"/>
                      <w:szCs w:val="21"/>
                      <w:lang w:bidi="ar"/>
                      <w14:textFill>
                        <w14:solidFill>
                          <w14:schemeClr w14:val="tx1"/>
                        </w14:solidFill>
                      </w14:textFill>
                    </w:rPr>
                    <w:t>最大存在总量 qn/t</w:t>
                  </w:r>
                </w:p>
              </w:tc>
              <w:tc>
                <w:tcPr>
                  <w:tcW w:w="691" w:type="pct"/>
                  <w:shd w:val="clear" w:color="auto" w:fill="auto"/>
                  <w:vAlign w:val="center"/>
                </w:tcPr>
                <w:p w14:paraId="58595841">
                  <w:pPr>
                    <w:widowControl/>
                    <w:jc w:val="center"/>
                    <w:textAlignment w:val="center"/>
                    <w:rPr>
                      <w:rFonts w:eastAsia="仿宋"/>
                      <w:b/>
                      <w:bCs/>
                      <w:color w:val="000000" w:themeColor="text1"/>
                      <w:szCs w:val="21"/>
                      <w14:textFill>
                        <w14:solidFill>
                          <w14:schemeClr w14:val="tx1"/>
                        </w14:solidFill>
                      </w14:textFill>
                    </w:rPr>
                  </w:pPr>
                  <w:r>
                    <w:rPr>
                      <w:rFonts w:eastAsia="仿宋"/>
                      <w:b/>
                      <w:bCs/>
                      <w:color w:val="000000" w:themeColor="text1"/>
                      <w:kern w:val="0"/>
                      <w:szCs w:val="21"/>
                      <w:lang w:bidi="ar"/>
                      <w14:textFill>
                        <w14:solidFill>
                          <w14:schemeClr w14:val="tx1"/>
                        </w14:solidFill>
                      </w14:textFill>
                    </w:rPr>
                    <w:t>临界量 Qn/t</w:t>
                  </w:r>
                </w:p>
              </w:tc>
              <w:tc>
                <w:tcPr>
                  <w:tcW w:w="821" w:type="pct"/>
                  <w:shd w:val="clear" w:color="auto" w:fill="auto"/>
                  <w:vAlign w:val="center"/>
                </w:tcPr>
                <w:p w14:paraId="769BA507">
                  <w:pPr>
                    <w:widowControl/>
                    <w:jc w:val="center"/>
                    <w:textAlignment w:val="center"/>
                    <w:rPr>
                      <w:rFonts w:eastAsia="仿宋"/>
                      <w:b/>
                      <w:bCs/>
                      <w:color w:val="000000" w:themeColor="text1"/>
                      <w:szCs w:val="21"/>
                      <w14:textFill>
                        <w14:solidFill>
                          <w14:schemeClr w14:val="tx1"/>
                        </w14:solidFill>
                      </w14:textFill>
                    </w:rPr>
                  </w:pPr>
                  <w:r>
                    <w:rPr>
                      <w:rFonts w:eastAsia="仿宋"/>
                      <w:b/>
                      <w:bCs/>
                      <w:color w:val="000000" w:themeColor="text1"/>
                      <w:kern w:val="0"/>
                      <w:szCs w:val="21"/>
                      <w:lang w:bidi="ar"/>
                      <w14:textFill>
                        <w14:solidFill>
                          <w14:schemeClr w14:val="tx1"/>
                        </w14:solidFill>
                      </w14:textFill>
                    </w:rPr>
                    <w:t>该种危险物质 Q值</w:t>
                  </w:r>
                </w:p>
              </w:tc>
            </w:tr>
            <w:tr w14:paraId="10E9E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shd w:val="clear" w:color="auto" w:fill="auto"/>
                  <w:vAlign w:val="center"/>
                </w:tcPr>
                <w:p w14:paraId="29A3F39D">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1</w:t>
                  </w:r>
                </w:p>
              </w:tc>
              <w:tc>
                <w:tcPr>
                  <w:tcW w:w="1364" w:type="pct"/>
                  <w:shd w:val="clear" w:color="auto" w:fill="auto"/>
                  <w:vAlign w:val="center"/>
                </w:tcPr>
                <w:p w14:paraId="11C5A302">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正己烷</w:t>
                  </w:r>
                </w:p>
              </w:tc>
              <w:tc>
                <w:tcPr>
                  <w:tcW w:w="699" w:type="pct"/>
                  <w:shd w:val="clear" w:color="auto" w:fill="auto"/>
                  <w:vAlign w:val="center"/>
                </w:tcPr>
                <w:p w14:paraId="660B3673">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110-54-3</w:t>
                  </w:r>
                </w:p>
              </w:tc>
              <w:tc>
                <w:tcPr>
                  <w:tcW w:w="745" w:type="pct"/>
                  <w:shd w:val="clear" w:color="auto" w:fill="auto"/>
                  <w:vAlign w:val="center"/>
                </w:tcPr>
                <w:p w14:paraId="5734D8DB">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1"/>
                      <w14:textFill>
                        <w14:solidFill>
                          <w14:schemeClr w14:val="tx1"/>
                        </w14:solidFill>
                      </w14:textFill>
                    </w:rPr>
                    <w:t>0.008</w:t>
                  </w:r>
                </w:p>
              </w:tc>
              <w:tc>
                <w:tcPr>
                  <w:tcW w:w="691" w:type="pct"/>
                  <w:shd w:val="clear" w:color="auto" w:fill="auto"/>
                  <w:vAlign w:val="center"/>
                </w:tcPr>
                <w:p w14:paraId="217025C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821" w:type="pct"/>
                  <w:shd w:val="clear" w:color="auto" w:fill="auto"/>
                  <w:vAlign w:val="center"/>
                </w:tcPr>
                <w:p w14:paraId="6666CD9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8.00E-04</w:t>
                  </w:r>
                </w:p>
              </w:tc>
            </w:tr>
            <w:tr w14:paraId="60E09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shd w:val="clear" w:color="auto" w:fill="auto"/>
                  <w:vAlign w:val="center"/>
                </w:tcPr>
                <w:p w14:paraId="77A1A314">
                  <w:pPr>
                    <w:widowControl/>
                    <w:jc w:val="center"/>
                    <w:textAlignment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2</w:t>
                  </w:r>
                </w:p>
              </w:tc>
              <w:tc>
                <w:tcPr>
                  <w:tcW w:w="1364" w:type="pct"/>
                  <w:shd w:val="clear" w:color="auto" w:fill="auto"/>
                  <w:vAlign w:val="center"/>
                </w:tcPr>
                <w:p w14:paraId="0EFA2AC8">
                  <w:pPr>
                    <w:widowControl/>
                    <w:jc w:val="center"/>
                    <w:textAlignment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异丙醇</w:t>
                  </w:r>
                </w:p>
              </w:tc>
              <w:tc>
                <w:tcPr>
                  <w:tcW w:w="699" w:type="pct"/>
                  <w:shd w:val="clear" w:color="auto" w:fill="auto"/>
                  <w:vAlign w:val="center"/>
                </w:tcPr>
                <w:p w14:paraId="2E47FF84">
                  <w:pPr>
                    <w:widowControl/>
                    <w:jc w:val="center"/>
                    <w:textAlignment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67-63-0</w:t>
                  </w:r>
                </w:p>
              </w:tc>
              <w:tc>
                <w:tcPr>
                  <w:tcW w:w="745" w:type="pct"/>
                  <w:shd w:val="clear" w:color="auto" w:fill="auto"/>
                  <w:vAlign w:val="center"/>
                </w:tcPr>
                <w:p w14:paraId="1B22420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0.00785</w:t>
                  </w:r>
                </w:p>
              </w:tc>
              <w:tc>
                <w:tcPr>
                  <w:tcW w:w="691" w:type="pct"/>
                  <w:shd w:val="clear" w:color="auto" w:fill="auto"/>
                  <w:vAlign w:val="center"/>
                </w:tcPr>
                <w:p w14:paraId="0C4B963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821" w:type="pct"/>
                  <w:shd w:val="clear" w:color="auto" w:fill="auto"/>
                  <w:vAlign w:val="center"/>
                </w:tcPr>
                <w:p w14:paraId="4ACE214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7.85E-04</w:t>
                  </w:r>
                </w:p>
              </w:tc>
            </w:tr>
            <w:tr w14:paraId="501A5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shd w:val="clear" w:color="auto" w:fill="auto"/>
                  <w:vAlign w:val="center"/>
                </w:tcPr>
                <w:p w14:paraId="229D04C7">
                  <w:pPr>
                    <w:widowControl/>
                    <w:jc w:val="center"/>
                    <w:textAlignment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3</w:t>
                  </w:r>
                </w:p>
              </w:tc>
              <w:tc>
                <w:tcPr>
                  <w:tcW w:w="1364" w:type="pct"/>
                  <w:shd w:val="clear" w:color="auto" w:fill="auto"/>
                  <w:vAlign w:val="center"/>
                </w:tcPr>
                <w:p w14:paraId="7CCD0D66">
                  <w:pPr>
                    <w:widowControl/>
                    <w:jc w:val="center"/>
                    <w:textAlignment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乙醚</w:t>
                  </w:r>
                </w:p>
              </w:tc>
              <w:tc>
                <w:tcPr>
                  <w:tcW w:w="699" w:type="pct"/>
                  <w:shd w:val="clear" w:color="auto" w:fill="auto"/>
                  <w:vAlign w:val="center"/>
                </w:tcPr>
                <w:p w14:paraId="6187EA5A">
                  <w:pPr>
                    <w:widowControl/>
                    <w:jc w:val="center"/>
                    <w:textAlignment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60-29-7</w:t>
                  </w:r>
                </w:p>
              </w:tc>
              <w:tc>
                <w:tcPr>
                  <w:tcW w:w="745" w:type="pct"/>
                  <w:shd w:val="clear" w:color="auto" w:fill="auto"/>
                  <w:vAlign w:val="center"/>
                </w:tcPr>
                <w:p w14:paraId="363678E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0.000714</w:t>
                  </w:r>
                </w:p>
              </w:tc>
              <w:tc>
                <w:tcPr>
                  <w:tcW w:w="691" w:type="pct"/>
                  <w:shd w:val="clear" w:color="auto" w:fill="auto"/>
                  <w:vAlign w:val="center"/>
                </w:tcPr>
                <w:p w14:paraId="62C9199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821" w:type="pct"/>
                  <w:shd w:val="clear" w:color="auto" w:fill="auto"/>
                  <w:vAlign w:val="center"/>
                </w:tcPr>
                <w:p w14:paraId="57E6E63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7.14E-05</w:t>
                  </w:r>
                </w:p>
              </w:tc>
            </w:tr>
            <w:tr w14:paraId="55F8B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shd w:val="clear" w:color="auto" w:fill="auto"/>
                  <w:vAlign w:val="center"/>
                </w:tcPr>
                <w:p w14:paraId="1D5D24F4">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4</w:t>
                  </w:r>
                </w:p>
              </w:tc>
              <w:tc>
                <w:tcPr>
                  <w:tcW w:w="1364" w:type="pct"/>
                  <w:shd w:val="clear" w:color="auto" w:fill="auto"/>
                  <w:vAlign w:val="center"/>
                </w:tcPr>
                <w:p w14:paraId="195F6F6C">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乙腈</w:t>
                  </w:r>
                </w:p>
              </w:tc>
              <w:tc>
                <w:tcPr>
                  <w:tcW w:w="699" w:type="pct"/>
                  <w:shd w:val="clear" w:color="auto" w:fill="auto"/>
                  <w:vAlign w:val="center"/>
                </w:tcPr>
                <w:p w14:paraId="7D424059">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75-05-8</w:t>
                  </w:r>
                </w:p>
              </w:tc>
              <w:tc>
                <w:tcPr>
                  <w:tcW w:w="745" w:type="pct"/>
                  <w:shd w:val="clear" w:color="auto" w:fill="auto"/>
                  <w:vAlign w:val="center"/>
                </w:tcPr>
                <w:p w14:paraId="71AB866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0.012576</w:t>
                  </w:r>
                </w:p>
              </w:tc>
              <w:tc>
                <w:tcPr>
                  <w:tcW w:w="691" w:type="pct"/>
                  <w:shd w:val="clear" w:color="auto" w:fill="auto"/>
                  <w:vAlign w:val="center"/>
                </w:tcPr>
                <w:p w14:paraId="5C50D33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821" w:type="pct"/>
                  <w:shd w:val="clear" w:color="auto" w:fill="auto"/>
                  <w:vAlign w:val="center"/>
                </w:tcPr>
                <w:p w14:paraId="23C4F50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1.26E-03</w:t>
                  </w:r>
                </w:p>
              </w:tc>
            </w:tr>
            <w:tr w14:paraId="5BC98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shd w:val="clear" w:color="auto" w:fill="auto"/>
                  <w:vAlign w:val="center"/>
                </w:tcPr>
                <w:p w14:paraId="41CCDD1A">
                  <w:pPr>
                    <w:widowControl/>
                    <w:jc w:val="center"/>
                    <w:textAlignment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5</w:t>
                  </w:r>
                </w:p>
              </w:tc>
              <w:tc>
                <w:tcPr>
                  <w:tcW w:w="1364" w:type="pct"/>
                  <w:shd w:val="clear" w:color="auto" w:fill="auto"/>
                  <w:vAlign w:val="center"/>
                </w:tcPr>
                <w:p w14:paraId="6B4B0D27">
                  <w:pPr>
                    <w:widowControl/>
                    <w:jc w:val="center"/>
                    <w:textAlignment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乙醇</w:t>
                  </w:r>
                </w:p>
              </w:tc>
              <w:tc>
                <w:tcPr>
                  <w:tcW w:w="699" w:type="pct"/>
                  <w:shd w:val="clear" w:color="auto" w:fill="auto"/>
                  <w:vAlign w:val="center"/>
                </w:tcPr>
                <w:p w14:paraId="394481C9">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64-17-5</w:t>
                  </w:r>
                </w:p>
              </w:tc>
              <w:tc>
                <w:tcPr>
                  <w:tcW w:w="745" w:type="pct"/>
                  <w:shd w:val="clear" w:color="auto" w:fill="auto"/>
                  <w:vAlign w:val="center"/>
                </w:tcPr>
                <w:p w14:paraId="1433D62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0.003945</w:t>
                  </w:r>
                </w:p>
              </w:tc>
              <w:tc>
                <w:tcPr>
                  <w:tcW w:w="691" w:type="pct"/>
                  <w:shd w:val="clear" w:color="auto" w:fill="auto"/>
                  <w:vAlign w:val="center"/>
                </w:tcPr>
                <w:p w14:paraId="23ABAA1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500</w:t>
                  </w:r>
                </w:p>
              </w:tc>
              <w:tc>
                <w:tcPr>
                  <w:tcW w:w="821" w:type="pct"/>
                  <w:shd w:val="clear" w:color="auto" w:fill="auto"/>
                  <w:vAlign w:val="center"/>
                </w:tcPr>
                <w:p w14:paraId="0BA88A2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7.89E-06</w:t>
                  </w:r>
                </w:p>
              </w:tc>
            </w:tr>
            <w:tr w14:paraId="389F8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shd w:val="clear" w:color="auto" w:fill="auto"/>
                  <w:vAlign w:val="center"/>
                </w:tcPr>
                <w:p w14:paraId="5DB4C8C8">
                  <w:pPr>
                    <w:widowControl/>
                    <w:jc w:val="center"/>
                    <w:textAlignment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6</w:t>
                  </w:r>
                </w:p>
              </w:tc>
              <w:tc>
                <w:tcPr>
                  <w:tcW w:w="1364" w:type="pct"/>
                  <w:shd w:val="clear" w:color="auto" w:fill="auto"/>
                  <w:vAlign w:val="center"/>
                </w:tcPr>
                <w:p w14:paraId="7B878D4D">
                  <w:pPr>
                    <w:widowControl/>
                    <w:jc w:val="center"/>
                    <w:textAlignment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盐酸</w:t>
                  </w:r>
                </w:p>
              </w:tc>
              <w:tc>
                <w:tcPr>
                  <w:tcW w:w="699" w:type="pct"/>
                  <w:shd w:val="clear" w:color="auto" w:fill="auto"/>
                  <w:vAlign w:val="center"/>
                </w:tcPr>
                <w:p w14:paraId="1A44AB5A">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7647-01-0</w:t>
                  </w:r>
                </w:p>
              </w:tc>
              <w:tc>
                <w:tcPr>
                  <w:tcW w:w="745" w:type="pct"/>
                  <w:shd w:val="clear" w:color="auto" w:fill="auto"/>
                  <w:vAlign w:val="center"/>
                </w:tcPr>
                <w:p w14:paraId="576E503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0.0011789</w:t>
                  </w:r>
                </w:p>
              </w:tc>
              <w:tc>
                <w:tcPr>
                  <w:tcW w:w="691" w:type="pct"/>
                  <w:shd w:val="clear" w:color="auto" w:fill="auto"/>
                  <w:vAlign w:val="center"/>
                </w:tcPr>
                <w:p w14:paraId="3E085AD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7.5</w:t>
                  </w:r>
                </w:p>
              </w:tc>
              <w:tc>
                <w:tcPr>
                  <w:tcW w:w="821" w:type="pct"/>
                  <w:shd w:val="clear" w:color="auto" w:fill="auto"/>
                  <w:vAlign w:val="center"/>
                </w:tcPr>
                <w:p w14:paraId="6191FCE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1.57E-04</w:t>
                  </w:r>
                </w:p>
              </w:tc>
            </w:tr>
            <w:tr w14:paraId="08F76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shd w:val="clear" w:color="auto" w:fill="auto"/>
                  <w:vAlign w:val="center"/>
                </w:tcPr>
                <w:p w14:paraId="5B896CC9">
                  <w:pPr>
                    <w:widowControl/>
                    <w:jc w:val="center"/>
                    <w:textAlignment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7</w:t>
                  </w:r>
                </w:p>
              </w:tc>
              <w:tc>
                <w:tcPr>
                  <w:tcW w:w="1364" w:type="pct"/>
                  <w:shd w:val="clear" w:color="auto" w:fill="auto"/>
                  <w:vAlign w:val="center"/>
                </w:tcPr>
                <w:p w14:paraId="421F396E">
                  <w:pPr>
                    <w:widowControl/>
                    <w:jc w:val="center"/>
                    <w:textAlignment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硝酸</w:t>
                  </w:r>
                </w:p>
              </w:tc>
              <w:tc>
                <w:tcPr>
                  <w:tcW w:w="699" w:type="pct"/>
                  <w:shd w:val="clear" w:color="auto" w:fill="auto"/>
                  <w:vAlign w:val="center"/>
                </w:tcPr>
                <w:p w14:paraId="42EB05B4">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7697-37-2</w:t>
                  </w:r>
                </w:p>
              </w:tc>
              <w:tc>
                <w:tcPr>
                  <w:tcW w:w="745" w:type="pct"/>
                  <w:shd w:val="clear" w:color="auto" w:fill="auto"/>
                  <w:vAlign w:val="center"/>
                </w:tcPr>
                <w:p w14:paraId="4D46B4F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0.00144</w:t>
                  </w:r>
                </w:p>
              </w:tc>
              <w:tc>
                <w:tcPr>
                  <w:tcW w:w="691" w:type="pct"/>
                  <w:shd w:val="clear" w:color="auto" w:fill="auto"/>
                  <w:vAlign w:val="center"/>
                </w:tcPr>
                <w:p w14:paraId="2C98404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7.5</w:t>
                  </w:r>
                </w:p>
              </w:tc>
              <w:tc>
                <w:tcPr>
                  <w:tcW w:w="821" w:type="pct"/>
                  <w:shd w:val="clear" w:color="auto" w:fill="auto"/>
                  <w:vAlign w:val="center"/>
                </w:tcPr>
                <w:p w14:paraId="67E64BD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1.92E-04</w:t>
                  </w:r>
                </w:p>
              </w:tc>
            </w:tr>
            <w:tr w14:paraId="7248F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shd w:val="clear" w:color="auto" w:fill="auto"/>
                  <w:vAlign w:val="center"/>
                </w:tcPr>
                <w:p w14:paraId="160FBB28">
                  <w:pPr>
                    <w:widowControl/>
                    <w:jc w:val="center"/>
                    <w:textAlignment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8</w:t>
                  </w:r>
                </w:p>
              </w:tc>
              <w:tc>
                <w:tcPr>
                  <w:tcW w:w="1364" w:type="pct"/>
                  <w:shd w:val="clear" w:color="auto" w:fill="auto"/>
                  <w:vAlign w:val="center"/>
                </w:tcPr>
                <w:p w14:paraId="748B9BC2">
                  <w:pPr>
                    <w:widowControl/>
                    <w:jc w:val="center"/>
                    <w:textAlignment w:val="center"/>
                    <w:rPr>
                      <w:rFonts w:eastAsia="仿宋"/>
                      <w:color w:val="000000" w:themeColor="text1"/>
                      <w:kern w:val="0"/>
                      <w:szCs w:val="21"/>
                      <w:lang w:bidi="ar"/>
                      <w14:textFill>
                        <w14:solidFill>
                          <w14:schemeClr w14:val="tx1"/>
                        </w14:solidFill>
                      </w14:textFill>
                    </w:rPr>
                  </w:pPr>
                  <w:r>
                    <w:rPr>
                      <w:rFonts w:eastAsia="仿宋"/>
                      <w:color w:val="000000" w:themeColor="text1"/>
                      <w:szCs w:val="21"/>
                      <w14:textFill>
                        <w14:solidFill>
                          <w14:schemeClr w14:val="tx1"/>
                        </w14:solidFill>
                      </w14:textFill>
                    </w:rPr>
                    <w:t>砷</w:t>
                  </w:r>
                </w:p>
              </w:tc>
              <w:tc>
                <w:tcPr>
                  <w:tcW w:w="699" w:type="pct"/>
                  <w:shd w:val="clear" w:color="auto" w:fill="auto"/>
                  <w:vAlign w:val="center"/>
                </w:tcPr>
                <w:p w14:paraId="2AE36474">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7440-38-2</w:t>
                  </w:r>
                </w:p>
              </w:tc>
              <w:tc>
                <w:tcPr>
                  <w:tcW w:w="745" w:type="pct"/>
                  <w:shd w:val="clear" w:color="auto" w:fill="auto"/>
                  <w:vAlign w:val="center"/>
                </w:tcPr>
                <w:p w14:paraId="70917D1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0.00000005</w:t>
                  </w:r>
                </w:p>
              </w:tc>
              <w:tc>
                <w:tcPr>
                  <w:tcW w:w="691" w:type="pct"/>
                  <w:shd w:val="clear" w:color="auto" w:fill="auto"/>
                  <w:vAlign w:val="center"/>
                </w:tcPr>
                <w:p w14:paraId="1879027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0.25</w:t>
                  </w:r>
                </w:p>
              </w:tc>
              <w:tc>
                <w:tcPr>
                  <w:tcW w:w="821" w:type="pct"/>
                  <w:shd w:val="clear" w:color="auto" w:fill="auto"/>
                  <w:vAlign w:val="center"/>
                </w:tcPr>
                <w:p w14:paraId="755FABA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2.00E-07</w:t>
                  </w:r>
                </w:p>
              </w:tc>
            </w:tr>
            <w:tr w14:paraId="00DBD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shd w:val="clear" w:color="auto" w:fill="auto"/>
                  <w:vAlign w:val="center"/>
                </w:tcPr>
                <w:p w14:paraId="7331AA8F">
                  <w:pPr>
                    <w:widowControl/>
                    <w:jc w:val="center"/>
                    <w:textAlignment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9</w:t>
                  </w:r>
                </w:p>
              </w:tc>
              <w:tc>
                <w:tcPr>
                  <w:tcW w:w="1364" w:type="pct"/>
                  <w:shd w:val="clear" w:color="auto" w:fill="auto"/>
                  <w:vAlign w:val="center"/>
                </w:tcPr>
                <w:p w14:paraId="5369182C">
                  <w:pPr>
                    <w:widowControl/>
                    <w:jc w:val="center"/>
                    <w:textAlignment w:val="center"/>
                    <w:rPr>
                      <w:rFonts w:eastAsia="仿宋"/>
                      <w:color w:val="000000" w:themeColor="text1"/>
                      <w:kern w:val="0"/>
                      <w:szCs w:val="21"/>
                      <w:lang w:bidi="ar"/>
                      <w14:textFill>
                        <w14:solidFill>
                          <w14:schemeClr w14:val="tx1"/>
                        </w14:solidFill>
                      </w14:textFill>
                    </w:rPr>
                  </w:pPr>
                  <w:r>
                    <w:rPr>
                      <w:rFonts w:eastAsia="仿宋"/>
                      <w:color w:val="000000" w:themeColor="text1"/>
                      <w:szCs w:val="21"/>
                      <w14:textFill>
                        <w14:solidFill>
                          <w14:schemeClr w14:val="tx1"/>
                        </w14:solidFill>
                      </w14:textFill>
                    </w:rPr>
                    <w:t>浓氨溶液（25%）</w:t>
                  </w:r>
                </w:p>
              </w:tc>
              <w:tc>
                <w:tcPr>
                  <w:tcW w:w="699" w:type="pct"/>
                  <w:shd w:val="clear" w:color="auto" w:fill="auto"/>
                  <w:vAlign w:val="center"/>
                </w:tcPr>
                <w:p w14:paraId="01D1434E">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1336-21-6</w:t>
                  </w:r>
                </w:p>
              </w:tc>
              <w:tc>
                <w:tcPr>
                  <w:tcW w:w="745" w:type="pct"/>
                  <w:shd w:val="clear" w:color="auto" w:fill="auto"/>
                  <w:vAlign w:val="center"/>
                </w:tcPr>
                <w:p w14:paraId="540FA95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0.000455</w:t>
                  </w:r>
                </w:p>
              </w:tc>
              <w:tc>
                <w:tcPr>
                  <w:tcW w:w="691" w:type="pct"/>
                  <w:shd w:val="clear" w:color="auto" w:fill="auto"/>
                  <w:vAlign w:val="center"/>
                </w:tcPr>
                <w:p w14:paraId="77E0CD5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821" w:type="pct"/>
                  <w:shd w:val="clear" w:color="auto" w:fill="auto"/>
                  <w:vAlign w:val="center"/>
                </w:tcPr>
                <w:p w14:paraId="063380A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4.55E-05</w:t>
                  </w:r>
                </w:p>
              </w:tc>
            </w:tr>
            <w:tr w14:paraId="6639F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shd w:val="clear" w:color="auto" w:fill="auto"/>
                  <w:vAlign w:val="center"/>
                </w:tcPr>
                <w:p w14:paraId="0D6559D8">
                  <w:pPr>
                    <w:widowControl/>
                    <w:jc w:val="center"/>
                    <w:textAlignment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10</w:t>
                  </w:r>
                </w:p>
              </w:tc>
              <w:tc>
                <w:tcPr>
                  <w:tcW w:w="1364" w:type="pct"/>
                  <w:shd w:val="clear" w:color="auto" w:fill="auto"/>
                  <w:vAlign w:val="center"/>
                </w:tcPr>
                <w:p w14:paraId="04345A83">
                  <w:pPr>
                    <w:widowControl/>
                    <w:jc w:val="center"/>
                    <w:textAlignment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氯酸钾</w:t>
                  </w:r>
                </w:p>
              </w:tc>
              <w:tc>
                <w:tcPr>
                  <w:tcW w:w="699" w:type="pct"/>
                  <w:shd w:val="clear" w:color="auto" w:fill="auto"/>
                  <w:vAlign w:val="center"/>
                </w:tcPr>
                <w:p w14:paraId="6781048E">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3811-04-9</w:t>
                  </w:r>
                </w:p>
              </w:tc>
              <w:tc>
                <w:tcPr>
                  <w:tcW w:w="745" w:type="pct"/>
                  <w:shd w:val="clear" w:color="auto" w:fill="auto"/>
                  <w:vAlign w:val="center"/>
                </w:tcPr>
                <w:p w14:paraId="5B989D2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0.0005</w:t>
                  </w:r>
                </w:p>
              </w:tc>
              <w:tc>
                <w:tcPr>
                  <w:tcW w:w="691" w:type="pct"/>
                  <w:shd w:val="clear" w:color="auto" w:fill="auto"/>
                  <w:vAlign w:val="center"/>
                </w:tcPr>
                <w:p w14:paraId="08D2CAE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w:t>
                  </w:r>
                </w:p>
              </w:tc>
              <w:tc>
                <w:tcPr>
                  <w:tcW w:w="821" w:type="pct"/>
                  <w:shd w:val="clear" w:color="auto" w:fill="auto"/>
                  <w:vAlign w:val="center"/>
                </w:tcPr>
                <w:p w14:paraId="19BF981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5.00E-06</w:t>
                  </w:r>
                </w:p>
              </w:tc>
            </w:tr>
            <w:tr w14:paraId="6F87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shd w:val="clear" w:color="auto" w:fill="auto"/>
                  <w:vAlign w:val="center"/>
                </w:tcPr>
                <w:p w14:paraId="57D2627A">
                  <w:pPr>
                    <w:widowControl/>
                    <w:jc w:val="center"/>
                    <w:textAlignment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11</w:t>
                  </w:r>
                </w:p>
              </w:tc>
              <w:tc>
                <w:tcPr>
                  <w:tcW w:w="1364" w:type="pct"/>
                  <w:shd w:val="clear" w:color="auto" w:fill="auto"/>
                  <w:vAlign w:val="center"/>
                </w:tcPr>
                <w:p w14:paraId="3D18CF6B">
                  <w:pPr>
                    <w:widowControl/>
                    <w:jc w:val="center"/>
                    <w:textAlignment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钴及其化合物（以钴计）</w:t>
                  </w:r>
                </w:p>
              </w:tc>
              <w:tc>
                <w:tcPr>
                  <w:tcW w:w="699" w:type="pct"/>
                  <w:shd w:val="clear" w:color="auto" w:fill="auto"/>
                  <w:vAlign w:val="center"/>
                </w:tcPr>
                <w:p w14:paraId="7BDA0154">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745" w:type="pct"/>
                  <w:shd w:val="clear" w:color="auto" w:fill="auto"/>
                  <w:vAlign w:val="center"/>
                </w:tcPr>
                <w:p w14:paraId="7571DBF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0.0005</w:t>
                  </w:r>
                </w:p>
              </w:tc>
              <w:tc>
                <w:tcPr>
                  <w:tcW w:w="691" w:type="pct"/>
                  <w:shd w:val="clear" w:color="auto" w:fill="auto"/>
                  <w:vAlign w:val="center"/>
                </w:tcPr>
                <w:p w14:paraId="2C1074A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0.25</w:t>
                  </w:r>
                </w:p>
              </w:tc>
              <w:tc>
                <w:tcPr>
                  <w:tcW w:w="821" w:type="pct"/>
                  <w:shd w:val="clear" w:color="auto" w:fill="auto"/>
                  <w:vAlign w:val="center"/>
                </w:tcPr>
                <w:p w14:paraId="0E5860D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0.002</w:t>
                  </w:r>
                </w:p>
              </w:tc>
            </w:tr>
            <w:tr w14:paraId="0DDD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shd w:val="clear" w:color="auto" w:fill="auto"/>
                  <w:vAlign w:val="center"/>
                </w:tcPr>
                <w:p w14:paraId="2E1FAA3E">
                  <w:pPr>
                    <w:widowControl/>
                    <w:jc w:val="center"/>
                    <w:textAlignment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12</w:t>
                  </w:r>
                </w:p>
              </w:tc>
              <w:tc>
                <w:tcPr>
                  <w:tcW w:w="1364" w:type="pct"/>
                  <w:shd w:val="clear" w:color="auto" w:fill="auto"/>
                  <w:vAlign w:val="center"/>
                </w:tcPr>
                <w:p w14:paraId="0FD2DC07">
                  <w:pPr>
                    <w:widowControl/>
                    <w:jc w:val="center"/>
                    <w:textAlignment w:val="center"/>
                    <w:rPr>
                      <w:rFonts w:eastAsia="仿宋"/>
                      <w:color w:val="000000" w:themeColor="text1"/>
                      <w:kern w:val="0"/>
                      <w:szCs w:val="21"/>
                      <w:lang w:bidi="ar"/>
                      <w14:textFill>
                        <w14:solidFill>
                          <w14:schemeClr w14:val="tx1"/>
                        </w14:solidFill>
                      </w14:textFill>
                    </w:rPr>
                  </w:pPr>
                  <w:r>
                    <w:rPr>
                      <w:rFonts w:eastAsia="仿宋"/>
                      <w:color w:val="000000" w:themeColor="text1"/>
                      <w:szCs w:val="21"/>
                      <w14:textFill>
                        <w14:solidFill>
                          <w14:schemeClr w14:val="tx1"/>
                        </w14:solidFill>
                      </w14:textFill>
                    </w:rPr>
                    <w:t>硫酸</w:t>
                  </w:r>
                </w:p>
              </w:tc>
              <w:tc>
                <w:tcPr>
                  <w:tcW w:w="699" w:type="pct"/>
                  <w:shd w:val="clear" w:color="auto" w:fill="auto"/>
                  <w:vAlign w:val="center"/>
                </w:tcPr>
                <w:p w14:paraId="274FA14E">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7664-93-9</w:t>
                  </w:r>
                </w:p>
              </w:tc>
              <w:tc>
                <w:tcPr>
                  <w:tcW w:w="745" w:type="pct"/>
                  <w:shd w:val="clear" w:color="auto" w:fill="auto"/>
                  <w:vAlign w:val="center"/>
                </w:tcPr>
                <w:p w14:paraId="34EBFFF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0.0092</w:t>
                  </w:r>
                </w:p>
              </w:tc>
              <w:tc>
                <w:tcPr>
                  <w:tcW w:w="691" w:type="pct"/>
                  <w:shd w:val="clear" w:color="auto" w:fill="auto"/>
                  <w:vAlign w:val="center"/>
                </w:tcPr>
                <w:p w14:paraId="5CC8276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821" w:type="pct"/>
                  <w:shd w:val="clear" w:color="auto" w:fill="auto"/>
                  <w:vAlign w:val="center"/>
                </w:tcPr>
                <w:p w14:paraId="059DB2B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9.20E-04</w:t>
                  </w:r>
                </w:p>
              </w:tc>
            </w:tr>
            <w:tr w14:paraId="56B89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shd w:val="clear" w:color="auto" w:fill="auto"/>
                  <w:vAlign w:val="center"/>
                </w:tcPr>
                <w:p w14:paraId="03B88204">
                  <w:pPr>
                    <w:widowControl/>
                    <w:jc w:val="center"/>
                    <w:textAlignment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13</w:t>
                  </w:r>
                </w:p>
              </w:tc>
              <w:tc>
                <w:tcPr>
                  <w:tcW w:w="1364" w:type="pct"/>
                  <w:shd w:val="clear" w:color="auto" w:fill="auto"/>
                  <w:vAlign w:val="center"/>
                </w:tcPr>
                <w:p w14:paraId="58608EA5">
                  <w:pPr>
                    <w:widowControl/>
                    <w:jc w:val="center"/>
                    <w:textAlignment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甲醇</w:t>
                  </w:r>
                </w:p>
              </w:tc>
              <w:tc>
                <w:tcPr>
                  <w:tcW w:w="699" w:type="pct"/>
                  <w:shd w:val="clear" w:color="auto" w:fill="auto"/>
                  <w:vAlign w:val="center"/>
                </w:tcPr>
                <w:p w14:paraId="0B4D3CD1">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67-56-1</w:t>
                  </w:r>
                </w:p>
              </w:tc>
              <w:tc>
                <w:tcPr>
                  <w:tcW w:w="745" w:type="pct"/>
                  <w:shd w:val="clear" w:color="auto" w:fill="auto"/>
                  <w:vAlign w:val="center"/>
                </w:tcPr>
                <w:p w14:paraId="2D22CE7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0.007918</w:t>
                  </w:r>
                </w:p>
              </w:tc>
              <w:tc>
                <w:tcPr>
                  <w:tcW w:w="691" w:type="pct"/>
                  <w:shd w:val="clear" w:color="auto" w:fill="auto"/>
                  <w:vAlign w:val="center"/>
                </w:tcPr>
                <w:p w14:paraId="2B58132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821" w:type="pct"/>
                  <w:shd w:val="clear" w:color="auto" w:fill="auto"/>
                  <w:vAlign w:val="center"/>
                </w:tcPr>
                <w:p w14:paraId="6CE2E00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7.92E-04</w:t>
                  </w:r>
                </w:p>
              </w:tc>
            </w:tr>
            <w:tr w14:paraId="47E4B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shd w:val="clear" w:color="auto" w:fill="auto"/>
                  <w:vAlign w:val="center"/>
                </w:tcPr>
                <w:p w14:paraId="01E0E57A">
                  <w:pPr>
                    <w:widowControl/>
                    <w:jc w:val="center"/>
                    <w:textAlignment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14</w:t>
                  </w:r>
                </w:p>
              </w:tc>
              <w:tc>
                <w:tcPr>
                  <w:tcW w:w="1364" w:type="pct"/>
                  <w:shd w:val="clear" w:color="auto" w:fill="auto"/>
                  <w:vAlign w:val="center"/>
                </w:tcPr>
                <w:p w14:paraId="2BD023E2">
                  <w:pPr>
                    <w:widowControl/>
                    <w:jc w:val="center"/>
                    <w:rPr>
                      <w:rFonts w:eastAsia="仿宋"/>
                      <w:color w:val="000000" w:themeColor="text1"/>
                      <w:kern w:val="0"/>
                      <w:szCs w:val="21"/>
                      <w:lang w:bidi="ar"/>
                      <w14:textFill>
                        <w14:solidFill>
                          <w14:schemeClr w14:val="tx1"/>
                        </w14:solidFill>
                      </w14:textFill>
                    </w:rPr>
                  </w:pPr>
                  <w:r>
                    <w:rPr>
                      <w:rFonts w:hint="eastAsia" w:eastAsia="仿宋"/>
                      <w:color w:val="000000" w:themeColor="text1"/>
                      <w:kern w:val="0"/>
                      <w:szCs w:val="21"/>
                      <w:lang w:bidi="ar"/>
                      <w14:textFill>
                        <w14:solidFill>
                          <w14:schemeClr w14:val="tx1"/>
                        </w14:solidFill>
                      </w14:textFill>
                    </w:rPr>
                    <w:t>实验废液</w:t>
                  </w:r>
                  <w:r>
                    <w:rPr>
                      <w:rFonts w:eastAsia="仿宋"/>
                      <w:color w:val="000000" w:themeColor="text1"/>
                      <w:kern w:val="0"/>
                      <w:szCs w:val="21"/>
                      <w:lang w:bidi="ar"/>
                      <w14:textFill>
                        <w14:solidFill>
                          <w14:schemeClr w14:val="tx1"/>
                        </w14:solidFill>
                      </w14:textFill>
                    </w:rPr>
                    <w:t>（</w:t>
                  </w:r>
                  <w:r>
                    <w:rPr>
                      <w:rFonts w:eastAsia="仿宋"/>
                      <w:color w:val="000000" w:themeColor="text1"/>
                      <w:kern w:val="0"/>
                      <w:szCs w:val="21"/>
                      <w14:textFill>
                        <w14:solidFill>
                          <w14:schemeClr w14:val="tx1"/>
                        </w14:solidFill>
                      </w14:textFill>
                    </w:rPr>
                    <w:t>COD</w:t>
                  </w:r>
                  <w:r>
                    <w:rPr>
                      <w:rFonts w:eastAsia="仿宋"/>
                      <w:color w:val="000000" w:themeColor="text1"/>
                      <w:kern w:val="0"/>
                      <w:szCs w:val="21"/>
                      <w:vertAlign w:val="subscript"/>
                      <w14:textFill>
                        <w14:solidFill>
                          <w14:schemeClr w14:val="tx1"/>
                        </w14:solidFill>
                      </w14:textFill>
                    </w:rPr>
                    <w:t>Cr</w:t>
                  </w:r>
                  <w:r>
                    <w:rPr>
                      <w:rFonts w:eastAsia="仿宋"/>
                      <w:color w:val="000000" w:themeColor="text1"/>
                      <w:kern w:val="0"/>
                      <w:szCs w:val="21"/>
                      <w14:textFill>
                        <w14:solidFill>
                          <w14:schemeClr w14:val="tx1"/>
                        </w14:solidFill>
                      </w14:textFill>
                    </w:rPr>
                    <w:t>浓度≥10000mg/L的有机废液</w:t>
                  </w:r>
                  <w:r>
                    <w:rPr>
                      <w:rFonts w:eastAsia="仿宋"/>
                      <w:color w:val="000000" w:themeColor="text1"/>
                      <w:kern w:val="0"/>
                      <w:szCs w:val="21"/>
                      <w:lang w:bidi="ar"/>
                      <w14:textFill>
                        <w14:solidFill>
                          <w14:schemeClr w14:val="tx1"/>
                        </w14:solidFill>
                      </w14:textFill>
                    </w:rPr>
                    <w:t>）</w:t>
                  </w:r>
                </w:p>
              </w:tc>
              <w:tc>
                <w:tcPr>
                  <w:tcW w:w="699" w:type="pct"/>
                  <w:shd w:val="clear" w:color="auto" w:fill="auto"/>
                  <w:vAlign w:val="center"/>
                </w:tcPr>
                <w:p w14:paraId="6AFD4F2C">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745" w:type="pct"/>
                  <w:shd w:val="clear" w:color="auto" w:fill="auto"/>
                  <w:vAlign w:val="center"/>
                </w:tcPr>
                <w:p w14:paraId="12D3331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w:t>
                  </w:r>
                </w:p>
              </w:tc>
              <w:tc>
                <w:tcPr>
                  <w:tcW w:w="691" w:type="pct"/>
                  <w:shd w:val="clear" w:color="auto" w:fill="auto"/>
                  <w:vAlign w:val="center"/>
                </w:tcPr>
                <w:p w14:paraId="4B5AABD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w:t>
                  </w:r>
                </w:p>
              </w:tc>
              <w:tc>
                <w:tcPr>
                  <w:tcW w:w="821" w:type="pct"/>
                  <w:shd w:val="clear" w:color="auto" w:fill="auto"/>
                  <w:vAlign w:val="center"/>
                </w:tcPr>
                <w:p w14:paraId="707EB4A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0.12</w:t>
                  </w:r>
                </w:p>
              </w:tc>
            </w:tr>
            <w:tr w14:paraId="6A892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pct"/>
                  <w:shd w:val="clear" w:color="auto" w:fill="auto"/>
                  <w:vAlign w:val="center"/>
                </w:tcPr>
                <w:p w14:paraId="2D126C59">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15</w:t>
                  </w:r>
                </w:p>
              </w:tc>
              <w:tc>
                <w:tcPr>
                  <w:tcW w:w="1364" w:type="pct"/>
                  <w:shd w:val="clear" w:color="auto" w:fill="auto"/>
                  <w:vAlign w:val="center"/>
                </w:tcPr>
                <w:p w14:paraId="36D35FCF">
                  <w:pPr>
                    <w:widowControl/>
                    <w:jc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危险废物（健康危险急性毒性物质（类别2，类别3））</w:t>
                  </w:r>
                </w:p>
              </w:tc>
              <w:tc>
                <w:tcPr>
                  <w:tcW w:w="699" w:type="pct"/>
                  <w:shd w:val="clear" w:color="auto" w:fill="auto"/>
                  <w:vAlign w:val="center"/>
                </w:tcPr>
                <w:p w14:paraId="660F5AFE">
                  <w:pPr>
                    <w:widowControl/>
                    <w:jc w:val="center"/>
                    <w:textAlignment w:val="center"/>
                    <w:rPr>
                      <w:rFonts w:eastAsia="仿宋"/>
                      <w:color w:val="000000" w:themeColor="text1"/>
                      <w:kern w:val="0"/>
                      <w:szCs w:val="21"/>
                      <w:lang w:bidi="ar"/>
                      <w14:textFill>
                        <w14:solidFill>
                          <w14:schemeClr w14:val="tx1"/>
                        </w14:solidFill>
                      </w14:textFill>
                    </w:rPr>
                  </w:pPr>
                  <w:r>
                    <w:rPr>
                      <w:rFonts w:eastAsia="仿宋"/>
                      <w:color w:val="000000" w:themeColor="text1"/>
                      <w:kern w:val="0"/>
                      <w:szCs w:val="21"/>
                      <w:lang w:bidi="ar"/>
                      <w14:textFill>
                        <w14:solidFill>
                          <w14:schemeClr w14:val="tx1"/>
                        </w14:solidFill>
                      </w14:textFill>
                    </w:rPr>
                    <w:t>/</w:t>
                  </w:r>
                </w:p>
              </w:tc>
              <w:tc>
                <w:tcPr>
                  <w:tcW w:w="745" w:type="pct"/>
                  <w:shd w:val="clear" w:color="auto" w:fill="auto"/>
                  <w:vAlign w:val="center"/>
                </w:tcPr>
                <w:p w14:paraId="7622B77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691" w:type="pct"/>
                  <w:shd w:val="clear" w:color="auto" w:fill="auto"/>
                  <w:vAlign w:val="center"/>
                </w:tcPr>
                <w:p w14:paraId="2CE5070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w:t>
                  </w:r>
                </w:p>
              </w:tc>
              <w:tc>
                <w:tcPr>
                  <w:tcW w:w="821" w:type="pct"/>
                  <w:shd w:val="clear" w:color="auto" w:fill="auto"/>
                  <w:vAlign w:val="center"/>
                </w:tcPr>
                <w:p w14:paraId="694A82C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0.04</w:t>
                  </w:r>
                </w:p>
              </w:tc>
            </w:tr>
            <w:tr w14:paraId="0E53A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9" w:type="pct"/>
                  <w:gridSpan w:val="5"/>
                  <w:shd w:val="clear" w:color="auto" w:fill="auto"/>
                  <w:vAlign w:val="center"/>
                </w:tcPr>
                <w:p w14:paraId="2B1EE8F3">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项目Q值Σ</w:t>
                  </w:r>
                </w:p>
              </w:tc>
              <w:tc>
                <w:tcPr>
                  <w:tcW w:w="821" w:type="pct"/>
                  <w:shd w:val="clear" w:color="auto" w:fill="auto"/>
                  <w:vAlign w:val="center"/>
                </w:tcPr>
                <w:p w14:paraId="5BDB7CE8">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0.167</w:t>
                  </w:r>
                </w:p>
              </w:tc>
            </w:tr>
          </w:tbl>
          <w:p w14:paraId="3A33BEA0">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szCs w:val="22"/>
                <w14:textFill>
                  <w14:solidFill>
                    <w14:schemeClr w14:val="tx1"/>
                  </w14:solidFill>
                </w14:textFill>
              </w:rPr>
              <w:t>由上表可知，Q值为0.167</w:t>
            </w:r>
            <w:r>
              <w:rPr>
                <w:rFonts w:hint="eastAsia" w:eastAsia="仿宋"/>
                <w:color w:val="000000" w:themeColor="text1"/>
                <w:sz w:val="24"/>
                <w:szCs w:val="22"/>
                <w14:textFill>
                  <w14:solidFill>
                    <w14:schemeClr w14:val="tx1"/>
                  </w14:solidFill>
                </w14:textFill>
              </w:rPr>
              <w:t>（Q＜1）</w:t>
            </w:r>
            <w:r>
              <w:rPr>
                <w:rFonts w:eastAsia="仿宋"/>
                <w:color w:val="000000" w:themeColor="text1"/>
                <w:sz w:val="24"/>
                <w:szCs w:val="22"/>
                <w14:textFill>
                  <w14:solidFill>
                    <w14:schemeClr w14:val="tx1"/>
                  </w14:solidFill>
                </w14:textFill>
              </w:rPr>
              <w:t>，判定本项目风险潜势</w:t>
            </w:r>
            <w:r>
              <w:rPr>
                <w:rFonts w:hint="eastAsia" w:ascii="宋体" w:hAnsi="宋体" w:cs="宋体"/>
                <w:color w:val="000000" w:themeColor="text1"/>
                <w:sz w:val="24"/>
                <w:szCs w:val="22"/>
                <w14:textFill>
                  <w14:solidFill>
                    <w14:schemeClr w14:val="tx1"/>
                  </w14:solidFill>
                </w14:textFill>
              </w:rPr>
              <w:t>Ⅰ</w:t>
            </w:r>
            <w:r>
              <w:rPr>
                <w:rFonts w:eastAsia="仿宋"/>
                <w:color w:val="000000" w:themeColor="text1"/>
                <w:sz w:val="24"/>
                <w:szCs w:val="22"/>
                <w14:textFill>
                  <w14:solidFill>
                    <w14:schemeClr w14:val="tx1"/>
                  </w14:solidFill>
                </w14:textFill>
              </w:rPr>
              <w:t>。</w:t>
            </w:r>
          </w:p>
          <w:p w14:paraId="6E24CF06">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w:t>
            </w:r>
            <w:r>
              <w:rPr>
                <w:rFonts w:hint="eastAsia" w:eastAsia="仿宋"/>
                <w:color w:val="000000" w:themeColor="text1"/>
                <w:sz w:val="24"/>
                <w14:textFill>
                  <w14:solidFill>
                    <w14:schemeClr w14:val="tx1"/>
                  </w14:solidFill>
                </w14:textFill>
              </w:rPr>
              <w:t>2</w:t>
            </w:r>
            <w:r>
              <w:rPr>
                <w:rFonts w:eastAsia="仿宋"/>
                <w:color w:val="000000" w:themeColor="text1"/>
                <w:sz w:val="24"/>
                <w14:textFill>
                  <w14:solidFill>
                    <w14:schemeClr w14:val="tx1"/>
                  </w14:solidFill>
                </w14:textFill>
              </w:rPr>
              <w:t>）</w:t>
            </w:r>
            <w:r>
              <w:rPr>
                <w:rFonts w:hint="eastAsia" w:eastAsia="仿宋"/>
                <w:color w:val="000000" w:themeColor="text1"/>
                <w:sz w:val="24"/>
                <w14:textFill>
                  <w14:solidFill>
                    <w14:schemeClr w14:val="tx1"/>
                  </w14:solidFill>
                </w14:textFill>
              </w:rPr>
              <w:t>环境风险评价工作</w:t>
            </w:r>
            <w:r>
              <w:rPr>
                <w:rFonts w:eastAsia="仿宋"/>
                <w:color w:val="000000" w:themeColor="text1"/>
                <w:sz w:val="24"/>
                <w14:textFill>
                  <w14:solidFill>
                    <w14:schemeClr w14:val="tx1"/>
                  </w14:solidFill>
                </w14:textFill>
              </w:rPr>
              <w:t>等级确定</w:t>
            </w:r>
          </w:p>
          <w:p w14:paraId="1526FD49">
            <w:pPr>
              <w:spacing w:line="480" w:lineRule="exact"/>
              <w:jc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表4</w:t>
            </w:r>
            <w:r>
              <w:rPr>
                <w:rFonts w:eastAsia="仿宋"/>
                <w:b/>
                <w:color w:val="000000" w:themeColor="text1"/>
                <w:szCs w:val="21"/>
                <w14:textFill>
                  <w14:solidFill>
                    <w14:schemeClr w14:val="tx1"/>
                  </w14:solidFill>
                </w14:textFill>
              </w:rPr>
              <w:t>-37 环境风险评价工作级别判定标准</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70"/>
              <w:gridCol w:w="1574"/>
              <w:gridCol w:w="1806"/>
              <w:gridCol w:w="1806"/>
              <w:gridCol w:w="2039"/>
            </w:tblGrid>
            <w:tr w14:paraId="7DC8A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8" w:type="pct"/>
                  <w:vAlign w:val="center"/>
                </w:tcPr>
                <w:p w14:paraId="13CFA6C6">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环境风险潜势</w:t>
                  </w:r>
                </w:p>
              </w:tc>
              <w:tc>
                <w:tcPr>
                  <w:tcW w:w="865" w:type="pct"/>
                  <w:vAlign w:val="center"/>
                </w:tcPr>
                <w:p w14:paraId="203DB7D3">
                  <w:pPr>
                    <w:jc w:val="center"/>
                    <w:rPr>
                      <w:rFonts w:eastAsia="仿宋"/>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Ⅳ</w:t>
                  </w:r>
                  <w:r>
                    <w:rPr>
                      <w:rFonts w:eastAsia="仿宋"/>
                      <w:color w:val="000000" w:themeColor="text1"/>
                      <w:kern w:val="0"/>
                      <w:szCs w:val="21"/>
                      <w14:textFill>
                        <w14:solidFill>
                          <w14:schemeClr w14:val="tx1"/>
                        </w14:solidFill>
                      </w14:textFill>
                    </w:rPr>
                    <w:t>、</w:t>
                  </w:r>
                  <w:r>
                    <w:rPr>
                      <w:rFonts w:hint="eastAsia" w:ascii="宋体" w:hAnsi="宋体" w:cs="宋体"/>
                      <w:color w:val="000000" w:themeColor="text1"/>
                      <w:kern w:val="0"/>
                      <w:szCs w:val="21"/>
                      <w14:textFill>
                        <w14:solidFill>
                          <w14:schemeClr w14:val="tx1"/>
                        </w14:solidFill>
                      </w14:textFill>
                    </w:rPr>
                    <w:t>Ⅳ</w:t>
                  </w:r>
                  <w:r>
                    <w:rPr>
                      <w:rFonts w:eastAsia="仿宋"/>
                      <w:color w:val="000000" w:themeColor="text1"/>
                      <w:kern w:val="0"/>
                      <w:szCs w:val="21"/>
                      <w14:textFill>
                        <w14:solidFill>
                          <w14:schemeClr w14:val="tx1"/>
                        </w14:solidFill>
                      </w14:textFill>
                    </w:rPr>
                    <w:t>+</w:t>
                  </w:r>
                </w:p>
              </w:tc>
              <w:tc>
                <w:tcPr>
                  <w:tcW w:w="993" w:type="pct"/>
                  <w:vAlign w:val="center"/>
                </w:tcPr>
                <w:p w14:paraId="7AC1CE79">
                  <w:pPr>
                    <w:jc w:val="center"/>
                    <w:rPr>
                      <w:rFonts w:eastAsia="仿宋"/>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Ⅲ</w:t>
                  </w:r>
                </w:p>
              </w:tc>
              <w:tc>
                <w:tcPr>
                  <w:tcW w:w="993" w:type="pct"/>
                  <w:vAlign w:val="center"/>
                </w:tcPr>
                <w:p w14:paraId="781AFA54">
                  <w:pPr>
                    <w:jc w:val="center"/>
                    <w:rPr>
                      <w:rFonts w:eastAsia="仿宋"/>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Ⅱ</w:t>
                  </w:r>
                </w:p>
              </w:tc>
              <w:tc>
                <w:tcPr>
                  <w:tcW w:w="1122" w:type="pct"/>
                  <w:vAlign w:val="center"/>
                </w:tcPr>
                <w:p w14:paraId="3E026AD1">
                  <w:pPr>
                    <w:jc w:val="center"/>
                    <w:rPr>
                      <w:rFonts w:eastAsia="仿宋"/>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Ⅰ</w:t>
                  </w:r>
                </w:p>
              </w:tc>
            </w:tr>
            <w:tr w14:paraId="4080E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28" w:type="pct"/>
                  <w:vAlign w:val="center"/>
                </w:tcPr>
                <w:p w14:paraId="16071228">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评价工作等级</w:t>
                  </w:r>
                </w:p>
              </w:tc>
              <w:tc>
                <w:tcPr>
                  <w:tcW w:w="865" w:type="pct"/>
                  <w:vAlign w:val="center"/>
                </w:tcPr>
                <w:p w14:paraId="285036EA">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一</w:t>
                  </w:r>
                </w:p>
              </w:tc>
              <w:tc>
                <w:tcPr>
                  <w:tcW w:w="993" w:type="pct"/>
                  <w:vAlign w:val="center"/>
                </w:tcPr>
                <w:p w14:paraId="28577332">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二</w:t>
                  </w:r>
                </w:p>
              </w:tc>
              <w:tc>
                <w:tcPr>
                  <w:tcW w:w="993" w:type="pct"/>
                  <w:vAlign w:val="center"/>
                </w:tcPr>
                <w:p w14:paraId="3DEB03E1">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三</w:t>
                  </w:r>
                </w:p>
              </w:tc>
              <w:tc>
                <w:tcPr>
                  <w:tcW w:w="1122" w:type="pct"/>
                  <w:vAlign w:val="center"/>
                </w:tcPr>
                <w:p w14:paraId="7C00A9D9">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简单分析*</w:t>
                  </w:r>
                </w:p>
              </w:tc>
            </w:tr>
          </w:tbl>
          <w:p w14:paraId="2BE7354B">
            <w:pPr>
              <w:ind w:firstLine="360"/>
              <w:rPr>
                <w:rFonts w:ascii="华文仿宋" w:hAnsi="华文仿宋" w:eastAsia="华文仿宋"/>
                <w:b/>
                <w:color w:val="000000" w:themeColor="text1"/>
                <w:sz w:val="15"/>
                <w:szCs w:val="18"/>
                <w14:textFill>
                  <w14:solidFill>
                    <w14:schemeClr w14:val="tx1"/>
                  </w14:solidFill>
                </w14:textFill>
              </w:rPr>
            </w:pPr>
            <w:r>
              <w:rPr>
                <w:rFonts w:eastAsia="仿宋"/>
                <w:b/>
                <w:color w:val="000000" w:themeColor="text1"/>
                <w:szCs w:val="22"/>
                <w14:textFill>
                  <w14:solidFill>
                    <w14:schemeClr w14:val="tx1"/>
                  </w14:solidFill>
                </w14:textFill>
              </w:rPr>
              <w:t>注：简单分析是相对于详细评价工作内容而言，在描述危险物质、环境影响途径、环境危害后果、风险防范措施等方面给出定性的说明。</w:t>
            </w:r>
          </w:p>
          <w:p w14:paraId="5FF459CF">
            <w:pPr>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2</w:t>
            </w:r>
            <w:r>
              <w:rPr>
                <w:rFonts w:eastAsia="仿宋"/>
                <w:color w:val="000000" w:themeColor="text1"/>
                <w:sz w:val="24"/>
                <w14:textFill>
                  <w14:solidFill>
                    <w14:schemeClr w14:val="tx1"/>
                  </w14:solidFill>
                </w14:textFill>
              </w:rPr>
              <w:t>、</w:t>
            </w:r>
            <w:r>
              <w:rPr>
                <w:rFonts w:hint="eastAsia" w:eastAsia="仿宋"/>
                <w:color w:val="000000" w:themeColor="text1"/>
                <w:sz w:val="24"/>
                <w14:textFill>
                  <w14:solidFill>
                    <w14:schemeClr w14:val="tx1"/>
                  </w14:solidFill>
                </w14:textFill>
              </w:rPr>
              <w:t>环境风险</w:t>
            </w:r>
          </w:p>
          <w:p w14:paraId="3C2632B1">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（1）环境风险识别及分析</w:t>
            </w:r>
          </w:p>
          <w:p w14:paraId="207377A3">
            <w:pPr>
              <w:spacing w:line="480" w:lineRule="exact"/>
              <w:ind w:firstLine="480" w:firstLineChars="200"/>
              <w:rPr>
                <w:rFonts w:eastAsia="仿宋"/>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rFonts w:eastAsia="仿宋"/>
                <w:color w:val="000000" w:themeColor="text1"/>
                <w:sz w:val="24"/>
                <w14:textFill>
                  <w14:solidFill>
                    <w14:schemeClr w14:val="tx1"/>
                  </w14:solidFill>
                </w14:textFill>
              </w:rPr>
              <w:t>物质危险性识别</w:t>
            </w:r>
          </w:p>
          <w:p w14:paraId="08C158B2">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根据《建设项目环境风险影响评价技术导则》（HJ169-2018）及《危险化学品重大危险源辨识》（GB18218-2018），本项目涉及的危险物质主要为部分原辅料（</w:t>
            </w:r>
            <w:r>
              <w:rPr>
                <w:rFonts w:hint="eastAsia" w:eastAsia="仿宋"/>
                <w:color w:val="000000" w:themeColor="text1"/>
                <w:sz w:val="24"/>
                <w14:textFill>
                  <w14:solidFill>
                    <w14:schemeClr w14:val="tx1"/>
                  </w14:solidFill>
                </w14:textFill>
              </w:rPr>
              <w:t>正己烷、甲醇、硫酸、乙醇</w:t>
            </w:r>
            <w:r>
              <w:rPr>
                <w:rFonts w:eastAsia="仿宋"/>
                <w:color w:val="000000" w:themeColor="text1"/>
                <w:sz w:val="24"/>
                <w14:textFill>
                  <w14:solidFill>
                    <w14:schemeClr w14:val="tx1"/>
                  </w14:solidFill>
                </w14:textFill>
              </w:rPr>
              <w:t>等）及生产过程中产生的危险废物（储存于危废仓库中）。</w:t>
            </w:r>
          </w:p>
          <w:p w14:paraId="7C746C24">
            <w:pPr>
              <w:spacing w:line="480" w:lineRule="exact"/>
              <w:jc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表4</w:t>
            </w:r>
            <w:r>
              <w:rPr>
                <w:rFonts w:eastAsia="仿宋"/>
                <w:b/>
                <w:color w:val="000000" w:themeColor="text1"/>
                <w:szCs w:val="21"/>
                <w14:textFill>
                  <w14:solidFill>
                    <w14:schemeClr w14:val="tx1"/>
                  </w14:solidFill>
                </w14:textFill>
              </w:rPr>
              <w:t xml:space="preserve">-38 </w:t>
            </w:r>
            <w:r>
              <w:rPr>
                <w:rFonts w:hint="eastAsia" w:eastAsia="仿宋"/>
                <w:b/>
                <w:color w:val="000000" w:themeColor="text1"/>
                <w:szCs w:val="21"/>
                <w14:textFill>
                  <w14:solidFill>
                    <w14:schemeClr w14:val="tx1"/>
                  </w14:solidFill>
                </w14:textFill>
              </w:rPr>
              <w:t>本项目</w:t>
            </w:r>
            <w:r>
              <w:rPr>
                <w:rFonts w:eastAsia="仿宋"/>
                <w:b/>
                <w:color w:val="000000" w:themeColor="text1"/>
                <w:szCs w:val="21"/>
                <w14:textFill>
                  <w14:solidFill>
                    <w14:schemeClr w14:val="tx1"/>
                  </w14:solidFill>
                </w14:textFill>
              </w:rPr>
              <w:t>风险物质主要风险源分析</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778"/>
              <w:gridCol w:w="667"/>
              <w:gridCol w:w="729"/>
              <w:gridCol w:w="1166"/>
              <w:gridCol w:w="729"/>
              <w:gridCol w:w="729"/>
              <w:gridCol w:w="2622"/>
              <w:gridCol w:w="1051"/>
            </w:tblGrid>
            <w:tr w14:paraId="2CB6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6" w:hRule="atLeast"/>
                <w:jc w:val="center"/>
              </w:trPr>
              <w:tc>
                <w:tcPr>
                  <w:tcW w:w="607" w:type="dxa"/>
                  <w:vAlign w:val="center"/>
                </w:tcPr>
                <w:p w14:paraId="1965AC39">
                  <w:pPr>
                    <w:jc w:val="center"/>
                    <w:rPr>
                      <w:rFonts w:eastAsia="仿宋"/>
                      <w:b/>
                      <w:bCs/>
                      <w:color w:val="000000" w:themeColor="text1"/>
                      <w:kern w:val="0"/>
                      <w:szCs w:val="21"/>
                      <w14:textFill>
                        <w14:solidFill>
                          <w14:schemeClr w14:val="tx1"/>
                        </w14:solidFill>
                      </w14:textFill>
                    </w:rPr>
                  </w:pPr>
                  <w:r>
                    <w:rPr>
                      <w:rFonts w:hint="eastAsia" w:eastAsia="仿宋"/>
                      <w:b/>
                      <w:bCs/>
                      <w:color w:val="000000" w:themeColor="text1"/>
                      <w:kern w:val="0"/>
                      <w:szCs w:val="21"/>
                      <w14:textFill>
                        <w14:solidFill>
                          <w14:schemeClr w14:val="tx1"/>
                        </w14:solidFill>
                      </w14:textFill>
                    </w:rPr>
                    <w:t>序号</w:t>
                  </w:r>
                </w:p>
              </w:tc>
              <w:tc>
                <w:tcPr>
                  <w:tcW w:w="756" w:type="dxa"/>
                  <w:vAlign w:val="center"/>
                </w:tcPr>
                <w:p w14:paraId="6C8CC605">
                  <w:pPr>
                    <w:jc w:val="center"/>
                    <w:rPr>
                      <w:rFonts w:eastAsia="仿宋"/>
                      <w:b/>
                      <w:bCs/>
                      <w:color w:val="000000" w:themeColor="text1"/>
                      <w:kern w:val="0"/>
                      <w:szCs w:val="21"/>
                      <w14:textFill>
                        <w14:solidFill>
                          <w14:schemeClr w14:val="tx1"/>
                        </w14:solidFill>
                      </w14:textFill>
                    </w:rPr>
                  </w:pPr>
                  <w:r>
                    <w:rPr>
                      <w:rFonts w:eastAsia="仿宋"/>
                      <w:b/>
                      <w:bCs/>
                      <w:color w:val="000000" w:themeColor="text1"/>
                      <w:kern w:val="0"/>
                      <w:szCs w:val="21"/>
                      <w14:textFill>
                        <w14:solidFill>
                          <w14:schemeClr w14:val="tx1"/>
                        </w14:solidFill>
                      </w14:textFill>
                    </w:rPr>
                    <w:t>风险单元</w:t>
                  </w:r>
                </w:p>
              </w:tc>
              <w:tc>
                <w:tcPr>
                  <w:tcW w:w="649" w:type="dxa"/>
                  <w:vAlign w:val="center"/>
                </w:tcPr>
                <w:p w14:paraId="6F959A4F">
                  <w:pPr>
                    <w:jc w:val="center"/>
                    <w:rPr>
                      <w:rFonts w:eastAsia="仿宋"/>
                      <w:b/>
                      <w:bCs/>
                      <w:color w:val="000000" w:themeColor="text1"/>
                      <w:kern w:val="0"/>
                      <w:szCs w:val="21"/>
                      <w14:textFill>
                        <w14:solidFill>
                          <w14:schemeClr w14:val="tx1"/>
                        </w14:solidFill>
                      </w14:textFill>
                    </w:rPr>
                  </w:pPr>
                  <w:r>
                    <w:rPr>
                      <w:rFonts w:eastAsia="仿宋"/>
                      <w:b/>
                      <w:bCs/>
                      <w:color w:val="000000" w:themeColor="text1"/>
                      <w:kern w:val="0"/>
                      <w:szCs w:val="21"/>
                      <w14:textFill>
                        <w14:solidFill>
                          <w14:schemeClr w14:val="tx1"/>
                        </w14:solidFill>
                      </w14:textFill>
                    </w:rPr>
                    <w:t>风险源</w:t>
                  </w:r>
                </w:p>
              </w:tc>
              <w:tc>
                <w:tcPr>
                  <w:tcW w:w="709" w:type="dxa"/>
                  <w:vAlign w:val="center"/>
                </w:tcPr>
                <w:p w14:paraId="594DC980">
                  <w:pPr>
                    <w:jc w:val="center"/>
                    <w:rPr>
                      <w:rFonts w:eastAsia="仿宋"/>
                      <w:b/>
                      <w:bCs/>
                      <w:color w:val="000000" w:themeColor="text1"/>
                      <w:kern w:val="0"/>
                      <w:szCs w:val="21"/>
                      <w14:textFill>
                        <w14:solidFill>
                          <w14:schemeClr w14:val="tx1"/>
                        </w14:solidFill>
                      </w14:textFill>
                    </w:rPr>
                  </w:pPr>
                  <w:r>
                    <w:rPr>
                      <w:rFonts w:eastAsia="仿宋"/>
                      <w:b/>
                      <w:bCs/>
                      <w:color w:val="000000" w:themeColor="text1"/>
                      <w:kern w:val="0"/>
                      <w:szCs w:val="21"/>
                      <w14:textFill>
                        <w14:solidFill>
                          <w14:schemeClr w14:val="tx1"/>
                        </w14:solidFill>
                      </w14:textFill>
                    </w:rPr>
                    <w:t>作业特点</w:t>
                  </w:r>
                </w:p>
              </w:tc>
              <w:tc>
                <w:tcPr>
                  <w:tcW w:w="1134" w:type="dxa"/>
                  <w:vAlign w:val="center"/>
                </w:tcPr>
                <w:p w14:paraId="183816A2">
                  <w:pPr>
                    <w:jc w:val="center"/>
                    <w:rPr>
                      <w:rFonts w:eastAsia="仿宋"/>
                      <w:b/>
                      <w:bCs/>
                      <w:color w:val="000000" w:themeColor="text1"/>
                      <w:kern w:val="0"/>
                      <w:szCs w:val="21"/>
                      <w14:textFill>
                        <w14:solidFill>
                          <w14:schemeClr w14:val="tx1"/>
                        </w14:solidFill>
                      </w14:textFill>
                    </w:rPr>
                  </w:pPr>
                  <w:r>
                    <w:rPr>
                      <w:rFonts w:eastAsia="仿宋"/>
                      <w:b/>
                      <w:bCs/>
                      <w:color w:val="000000" w:themeColor="text1"/>
                      <w:kern w:val="0"/>
                      <w:szCs w:val="21"/>
                      <w14:textFill>
                        <w14:solidFill>
                          <w14:schemeClr w14:val="tx1"/>
                        </w14:solidFill>
                      </w14:textFill>
                    </w:rPr>
                    <w:t>主要危险及环境风险物质</w:t>
                  </w:r>
                </w:p>
              </w:tc>
              <w:tc>
                <w:tcPr>
                  <w:tcW w:w="709" w:type="dxa"/>
                  <w:vAlign w:val="center"/>
                </w:tcPr>
                <w:p w14:paraId="3AC9043E">
                  <w:pPr>
                    <w:jc w:val="center"/>
                    <w:rPr>
                      <w:rFonts w:eastAsia="仿宋"/>
                      <w:b/>
                      <w:bCs/>
                      <w:color w:val="000000" w:themeColor="text1"/>
                      <w:kern w:val="0"/>
                      <w:szCs w:val="21"/>
                      <w14:textFill>
                        <w14:solidFill>
                          <w14:schemeClr w14:val="tx1"/>
                        </w14:solidFill>
                      </w14:textFill>
                    </w:rPr>
                  </w:pPr>
                  <w:r>
                    <w:rPr>
                      <w:rFonts w:eastAsia="仿宋"/>
                      <w:b/>
                      <w:bCs/>
                      <w:color w:val="000000" w:themeColor="text1"/>
                      <w:kern w:val="0"/>
                      <w:szCs w:val="21"/>
                      <w14:textFill>
                        <w14:solidFill>
                          <w14:schemeClr w14:val="tx1"/>
                        </w14:solidFill>
                      </w14:textFill>
                    </w:rPr>
                    <w:t>危险特性</w:t>
                  </w:r>
                </w:p>
              </w:tc>
              <w:tc>
                <w:tcPr>
                  <w:tcW w:w="709" w:type="dxa"/>
                  <w:vAlign w:val="center"/>
                </w:tcPr>
                <w:p w14:paraId="4CB48BA0">
                  <w:pPr>
                    <w:jc w:val="center"/>
                    <w:rPr>
                      <w:rFonts w:eastAsia="仿宋"/>
                      <w:b/>
                      <w:bCs/>
                      <w:color w:val="000000" w:themeColor="text1"/>
                      <w:kern w:val="0"/>
                      <w:szCs w:val="21"/>
                      <w14:textFill>
                        <w14:solidFill>
                          <w14:schemeClr w14:val="tx1"/>
                        </w14:solidFill>
                      </w14:textFill>
                    </w:rPr>
                  </w:pPr>
                  <w:r>
                    <w:rPr>
                      <w:rFonts w:eastAsia="仿宋"/>
                      <w:b/>
                      <w:bCs/>
                      <w:color w:val="000000" w:themeColor="text1"/>
                      <w:kern w:val="0"/>
                      <w:szCs w:val="21"/>
                      <w14:textFill>
                        <w14:solidFill>
                          <w14:schemeClr w14:val="tx1"/>
                        </w14:solidFill>
                      </w14:textFill>
                    </w:rPr>
                    <w:t>环境风险类型</w:t>
                  </w:r>
                </w:p>
              </w:tc>
              <w:tc>
                <w:tcPr>
                  <w:tcW w:w="2551" w:type="dxa"/>
                  <w:vAlign w:val="center"/>
                </w:tcPr>
                <w:p w14:paraId="455D4F71">
                  <w:pPr>
                    <w:jc w:val="center"/>
                    <w:rPr>
                      <w:rFonts w:eastAsia="仿宋"/>
                      <w:b/>
                      <w:bCs/>
                      <w:color w:val="000000" w:themeColor="text1"/>
                      <w:kern w:val="0"/>
                      <w:szCs w:val="21"/>
                      <w14:textFill>
                        <w14:solidFill>
                          <w14:schemeClr w14:val="tx1"/>
                        </w14:solidFill>
                      </w14:textFill>
                    </w:rPr>
                  </w:pPr>
                  <w:r>
                    <w:rPr>
                      <w:rFonts w:eastAsia="仿宋"/>
                      <w:b/>
                      <w:bCs/>
                      <w:color w:val="000000" w:themeColor="text1"/>
                      <w:kern w:val="0"/>
                      <w:szCs w:val="21"/>
                      <w14:textFill>
                        <w14:solidFill>
                          <w14:schemeClr w14:val="tx1"/>
                        </w14:solidFill>
                      </w14:textFill>
                    </w:rPr>
                    <w:t>环境影响途径</w:t>
                  </w:r>
                </w:p>
              </w:tc>
              <w:tc>
                <w:tcPr>
                  <w:tcW w:w="1022" w:type="dxa"/>
                  <w:vAlign w:val="center"/>
                </w:tcPr>
                <w:p w14:paraId="27BD857C">
                  <w:pPr>
                    <w:adjustRightInd w:val="0"/>
                    <w:snapToGrid w:val="0"/>
                    <w:jc w:val="center"/>
                    <w:textAlignment w:val="baseline"/>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可能受影响的环境敏感目标</w:t>
                  </w:r>
                </w:p>
              </w:tc>
            </w:tr>
            <w:tr w14:paraId="2CE3F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6" w:hRule="atLeast"/>
                <w:jc w:val="center"/>
              </w:trPr>
              <w:tc>
                <w:tcPr>
                  <w:tcW w:w="607" w:type="dxa"/>
                  <w:vAlign w:val="center"/>
                </w:tcPr>
                <w:p w14:paraId="746318E4">
                  <w:pPr>
                    <w:jc w:val="center"/>
                    <w:rPr>
                      <w:rFonts w:eastAsia="仿宋"/>
                      <w:color w:val="000000" w:themeColor="text1"/>
                      <w:kern w:val="0"/>
                      <w:sz w:val="20"/>
                      <w:szCs w:val="21"/>
                      <w14:textFill>
                        <w14:solidFill>
                          <w14:schemeClr w14:val="tx1"/>
                        </w14:solidFill>
                      </w14:textFill>
                    </w:rPr>
                  </w:pPr>
                  <w:r>
                    <w:rPr>
                      <w:rFonts w:eastAsia="仿宋"/>
                      <w:color w:val="000000" w:themeColor="text1"/>
                      <w:kern w:val="0"/>
                      <w:sz w:val="20"/>
                      <w:szCs w:val="21"/>
                      <w14:textFill>
                        <w14:solidFill>
                          <w14:schemeClr w14:val="tx1"/>
                        </w14:solidFill>
                      </w14:textFill>
                    </w:rPr>
                    <w:t>1</w:t>
                  </w:r>
                </w:p>
              </w:tc>
              <w:tc>
                <w:tcPr>
                  <w:tcW w:w="756" w:type="dxa"/>
                  <w:vAlign w:val="center"/>
                </w:tcPr>
                <w:p w14:paraId="18BEE103">
                  <w:pPr>
                    <w:jc w:val="center"/>
                    <w:rPr>
                      <w:rFonts w:eastAsia="仿宋"/>
                      <w:color w:val="000000" w:themeColor="text1"/>
                      <w:kern w:val="0"/>
                      <w:sz w:val="20"/>
                      <w:szCs w:val="21"/>
                      <w14:textFill>
                        <w14:solidFill>
                          <w14:schemeClr w14:val="tx1"/>
                        </w14:solidFill>
                      </w14:textFill>
                    </w:rPr>
                  </w:pPr>
                  <w:r>
                    <w:rPr>
                      <w:rFonts w:hint="eastAsia" w:eastAsia="仿宋"/>
                      <w:color w:val="000000" w:themeColor="text1"/>
                      <w:kern w:val="0"/>
                      <w:sz w:val="20"/>
                      <w:szCs w:val="21"/>
                      <w14:textFill>
                        <w14:solidFill>
                          <w14:schemeClr w14:val="tx1"/>
                        </w14:solidFill>
                      </w14:textFill>
                    </w:rPr>
                    <w:t>实验室</w:t>
                  </w:r>
                </w:p>
              </w:tc>
              <w:tc>
                <w:tcPr>
                  <w:tcW w:w="649" w:type="dxa"/>
                  <w:vAlign w:val="center"/>
                </w:tcPr>
                <w:p w14:paraId="6DCADF11">
                  <w:pPr>
                    <w:adjustRightInd w:val="0"/>
                    <w:snapToGrid w:val="0"/>
                    <w:jc w:val="center"/>
                    <w:textAlignment w:val="baseline"/>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存储柜</w:t>
                  </w:r>
                </w:p>
              </w:tc>
              <w:tc>
                <w:tcPr>
                  <w:tcW w:w="709" w:type="dxa"/>
                  <w:vAlign w:val="center"/>
                </w:tcPr>
                <w:p w14:paraId="1ADC8B1C">
                  <w:pPr>
                    <w:adjustRightInd w:val="0"/>
                    <w:snapToGrid w:val="0"/>
                    <w:jc w:val="center"/>
                    <w:textAlignment w:val="baseline"/>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常温常压</w:t>
                  </w:r>
                </w:p>
              </w:tc>
              <w:tc>
                <w:tcPr>
                  <w:tcW w:w="1134" w:type="dxa"/>
                  <w:vAlign w:val="center"/>
                </w:tcPr>
                <w:p w14:paraId="19D1756F">
                  <w:pPr>
                    <w:jc w:val="center"/>
                    <w:rPr>
                      <w:color w:val="000000" w:themeColor="text1"/>
                      <w14:textFill>
                        <w14:solidFill>
                          <w14:schemeClr w14:val="tx1"/>
                        </w14:solidFill>
                      </w14:textFill>
                    </w:rPr>
                  </w:pPr>
                  <w:r>
                    <w:rPr>
                      <w:rFonts w:hint="eastAsia" w:eastAsia="仿宋"/>
                      <w:color w:val="000000" w:themeColor="text1"/>
                      <w:kern w:val="0"/>
                      <w:szCs w:val="21"/>
                      <w14:textFill>
                        <w14:solidFill>
                          <w14:schemeClr w14:val="tx1"/>
                        </w14:solidFill>
                      </w14:textFill>
                    </w:rPr>
                    <w:t>正己烷、甲醇、硫酸、乙醇等化学试剂</w:t>
                  </w:r>
                </w:p>
              </w:tc>
              <w:tc>
                <w:tcPr>
                  <w:tcW w:w="709" w:type="dxa"/>
                  <w:vAlign w:val="center"/>
                </w:tcPr>
                <w:p w14:paraId="1392E903">
                  <w:pPr>
                    <w:adjustRightInd w:val="0"/>
                    <w:snapToGrid w:val="0"/>
                    <w:jc w:val="center"/>
                    <w:textAlignment w:val="baseline"/>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燃烧性、腐蚀性、毒性</w:t>
                  </w:r>
                </w:p>
              </w:tc>
              <w:tc>
                <w:tcPr>
                  <w:tcW w:w="709" w:type="dxa"/>
                  <w:vAlign w:val="center"/>
                </w:tcPr>
                <w:p w14:paraId="0601C8B9">
                  <w:pPr>
                    <w:adjustRightInd w:val="0"/>
                    <w:snapToGrid w:val="0"/>
                    <w:jc w:val="center"/>
                    <w:textAlignment w:val="baseline"/>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爆炸、泄漏</w:t>
                  </w:r>
                </w:p>
              </w:tc>
              <w:tc>
                <w:tcPr>
                  <w:tcW w:w="2551" w:type="dxa"/>
                  <w:vMerge w:val="restart"/>
                  <w:vAlign w:val="center"/>
                </w:tcPr>
                <w:p w14:paraId="0D7E1044">
                  <w:pPr>
                    <w:jc w:val="center"/>
                    <w:rPr>
                      <w:rFonts w:eastAsia="仿宋"/>
                      <w:color w:val="000000" w:themeColor="text1"/>
                      <w:kern w:val="0"/>
                      <w:sz w:val="20"/>
                      <w:szCs w:val="21"/>
                      <w14:textFill>
                        <w14:solidFill>
                          <w14:schemeClr w14:val="tx1"/>
                        </w14:solidFill>
                      </w14:textFill>
                    </w:rPr>
                  </w:pPr>
                  <w:r>
                    <w:rPr>
                      <w:rFonts w:hint="eastAsia" w:eastAsia="仿宋"/>
                      <w:color w:val="000000" w:themeColor="text1"/>
                      <w:kern w:val="0"/>
                      <w:sz w:val="20"/>
                      <w:szCs w:val="21"/>
                      <w14:textFill>
                        <w14:solidFill>
                          <w14:schemeClr w14:val="tx1"/>
                        </w14:solidFill>
                      </w14:textFill>
                    </w:rPr>
                    <w:t>大气：危险物质泄漏、火灾爆炸事故等引发的伴生/次生污染物排放对大气环境造成影响。本项目建成后全厂涉及的有毒有害物质泄漏后挥发至大气环境中，或泄漏后遇明火等发生火灾、爆炸事故引起次生的有机废气排放至大气环境中，对大气环境造成影响，从而造成对厂外环境敏感点和人群的影响。</w:t>
                  </w:r>
                </w:p>
                <w:p w14:paraId="3842B6E1">
                  <w:pPr>
                    <w:jc w:val="center"/>
                    <w:rPr>
                      <w:rFonts w:eastAsia="仿宋"/>
                      <w:color w:val="000000" w:themeColor="text1"/>
                      <w:kern w:val="0"/>
                      <w:sz w:val="20"/>
                      <w:szCs w:val="21"/>
                      <w14:textFill>
                        <w14:solidFill>
                          <w14:schemeClr w14:val="tx1"/>
                        </w14:solidFill>
                      </w14:textFill>
                    </w:rPr>
                  </w:pPr>
                  <w:r>
                    <w:rPr>
                      <w:rFonts w:hint="eastAsia" w:eastAsia="仿宋"/>
                      <w:color w:val="000000" w:themeColor="text1"/>
                      <w:kern w:val="0"/>
                      <w:sz w:val="20"/>
                      <w:szCs w:val="21"/>
                      <w14:textFill>
                        <w14:solidFill>
                          <w14:schemeClr w14:val="tx1"/>
                        </w14:solidFill>
                      </w14:textFill>
                    </w:rPr>
                    <w:t>地表水：火灾、爆炸事故发生时产生的消防废水处理不当而排入附近地表水体时，将对周边地表水环境产生影响。</w:t>
                  </w:r>
                </w:p>
                <w:p w14:paraId="726E95B9">
                  <w:pPr>
                    <w:jc w:val="center"/>
                    <w:rPr>
                      <w:rFonts w:eastAsia="仿宋"/>
                      <w:color w:val="000000" w:themeColor="text1"/>
                      <w:kern w:val="0"/>
                      <w:sz w:val="20"/>
                      <w:szCs w:val="21"/>
                      <w14:textFill>
                        <w14:solidFill>
                          <w14:schemeClr w14:val="tx1"/>
                        </w14:solidFill>
                      </w14:textFill>
                    </w:rPr>
                  </w:pPr>
                  <w:r>
                    <w:rPr>
                      <w:rFonts w:hint="eastAsia" w:eastAsia="仿宋"/>
                      <w:color w:val="000000" w:themeColor="text1"/>
                      <w:kern w:val="0"/>
                      <w:sz w:val="20"/>
                      <w:szCs w:val="21"/>
                      <w14:textFill>
                        <w14:solidFill>
                          <w14:schemeClr w14:val="tx1"/>
                        </w14:solidFill>
                      </w14:textFill>
                    </w:rPr>
                    <w:t>地下水：有毒有害物质在储存或厂内转移过程中由于操作不当、防渗材料破裂等原因而下渗，将对地下水环境产生影响。</w:t>
                  </w:r>
                </w:p>
              </w:tc>
              <w:tc>
                <w:tcPr>
                  <w:tcW w:w="1022" w:type="dxa"/>
                  <w:vMerge w:val="restart"/>
                  <w:vAlign w:val="center"/>
                </w:tcPr>
                <w:p w14:paraId="1772DF0F">
                  <w:pPr>
                    <w:adjustRightInd w:val="0"/>
                    <w:snapToGrid w:val="0"/>
                    <w:jc w:val="center"/>
                    <w:textAlignment w:val="baseline"/>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居住区、周边土壤、地下水</w:t>
                  </w:r>
                </w:p>
              </w:tc>
            </w:tr>
            <w:tr w14:paraId="5BE86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607" w:type="dxa"/>
                  <w:vAlign w:val="center"/>
                </w:tcPr>
                <w:p w14:paraId="40A91368">
                  <w:pPr>
                    <w:adjustRightInd w:val="0"/>
                    <w:snapToGrid w:val="0"/>
                    <w:jc w:val="center"/>
                    <w:textAlignment w:val="baseline"/>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756" w:type="dxa"/>
                  <w:vAlign w:val="center"/>
                </w:tcPr>
                <w:p w14:paraId="315A5E1D">
                  <w:pPr>
                    <w:adjustRightInd w:val="0"/>
                    <w:snapToGrid w:val="0"/>
                    <w:jc w:val="center"/>
                    <w:textAlignment w:val="baseline"/>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危废库</w:t>
                  </w:r>
                </w:p>
              </w:tc>
              <w:tc>
                <w:tcPr>
                  <w:tcW w:w="649" w:type="dxa"/>
                  <w:vAlign w:val="center"/>
                </w:tcPr>
                <w:p w14:paraId="72D95680">
                  <w:pPr>
                    <w:adjustRightInd w:val="0"/>
                    <w:snapToGrid w:val="0"/>
                    <w:jc w:val="center"/>
                    <w:textAlignment w:val="baseline"/>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危废库</w:t>
                  </w:r>
                </w:p>
              </w:tc>
              <w:tc>
                <w:tcPr>
                  <w:tcW w:w="709" w:type="dxa"/>
                  <w:vAlign w:val="center"/>
                </w:tcPr>
                <w:p w14:paraId="16D84FC8">
                  <w:pPr>
                    <w:adjustRightInd w:val="0"/>
                    <w:snapToGrid w:val="0"/>
                    <w:jc w:val="center"/>
                    <w:textAlignment w:val="baseline"/>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常温常压</w:t>
                  </w:r>
                </w:p>
              </w:tc>
              <w:tc>
                <w:tcPr>
                  <w:tcW w:w="1134" w:type="dxa"/>
                  <w:vAlign w:val="center"/>
                </w:tcPr>
                <w:p w14:paraId="03797910">
                  <w:pPr>
                    <w:adjustRightInd w:val="0"/>
                    <w:snapToGrid w:val="0"/>
                    <w:jc w:val="center"/>
                    <w:textAlignment w:val="baseline"/>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废活性炭等、检测废液、废气吸收废液</w:t>
                  </w:r>
                </w:p>
              </w:tc>
              <w:tc>
                <w:tcPr>
                  <w:tcW w:w="709" w:type="dxa"/>
                  <w:vAlign w:val="center"/>
                </w:tcPr>
                <w:p w14:paraId="66260046">
                  <w:pPr>
                    <w:adjustRightInd w:val="0"/>
                    <w:snapToGrid w:val="0"/>
                    <w:jc w:val="center"/>
                    <w:textAlignment w:val="baseline"/>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燃烧性、毒性、腐蚀性</w:t>
                  </w:r>
                </w:p>
              </w:tc>
              <w:tc>
                <w:tcPr>
                  <w:tcW w:w="709" w:type="dxa"/>
                  <w:vAlign w:val="center"/>
                </w:tcPr>
                <w:p w14:paraId="5AE576BD">
                  <w:pPr>
                    <w:adjustRightInd w:val="0"/>
                    <w:snapToGrid w:val="0"/>
                    <w:jc w:val="center"/>
                    <w:textAlignment w:val="baseline"/>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爆炸、泄漏</w:t>
                  </w:r>
                </w:p>
              </w:tc>
              <w:tc>
                <w:tcPr>
                  <w:tcW w:w="2551" w:type="dxa"/>
                  <w:vMerge w:val="continue"/>
                  <w:vAlign w:val="center"/>
                </w:tcPr>
                <w:p w14:paraId="30090D6C">
                  <w:pPr>
                    <w:adjustRightInd w:val="0"/>
                    <w:snapToGrid w:val="0"/>
                    <w:jc w:val="center"/>
                    <w:textAlignment w:val="baseline"/>
                    <w:rPr>
                      <w:rFonts w:eastAsia="仿宋"/>
                      <w:color w:val="000000" w:themeColor="text1"/>
                      <w:szCs w:val="21"/>
                      <w14:textFill>
                        <w14:solidFill>
                          <w14:schemeClr w14:val="tx1"/>
                        </w14:solidFill>
                      </w14:textFill>
                    </w:rPr>
                  </w:pPr>
                </w:p>
              </w:tc>
              <w:tc>
                <w:tcPr>
                  <w:tcW w:w="1022" w:type="dxa"/>
                  <w:vMerge w:val="continue"/>
                  <w:vAlign w:val="center"/>
                </w:tcPr>
                <w:p w14:paraId="6654BD20">
                  <w:pPr>
                    <w:adjustRightInd w:val="0"/>
                    <w:snapToGrid w:val="0"/>
                    <w:jc w:val="center"/>
                    <w:textAlignment w:val="baseline"/>
                    <w:rPr>
                      <w:rFonts w:eastAsia="仿宋"/>
                      <w:color w:val="000000" w:themeColor="text1"/>
                      <w:szCs w:val="21"/>
                      <w14:textFill>
                        <w14:solidFill>
                          <w14:schemeClr w14:val="tx1"/>
                        </w14:solidFill>
                      </w14:textFill>
                    </w:rPr>
                  </w:pPr>
                </w:p>
              </w:tc>
            </w:tr>
          </w:tbl>
          <w:p w14:paraId="7EAEA801">
            <w:pPr>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②生产系统危险性识别</w:t>
            </w:r>
          </w:p>
          <w:p w14:paraId="0D703098">
            <w:pPr>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根据本项目特点，建设项目的生产系统危险性识别主要如下表所示。</w:t>
            </w:r>
          </w:p>
          <w:p w14:paraId="2404DF02">
            <w:pPr>
              <w:spacing w:line="480" w:lineRule="exact"/>
              <w:jc w:val="center"/>
              <w:rPr>
                <w:rFonts w:eastAsia="仿宋"/>
                <w:b/>
                <w:color w:val="000000" w:themeColor="text1"/>
                <w:szCs w:val="21"/>
                <w14:textFill>
                  <w14:solidFill>
                    <w14:schemeClr w14:val="tx1"/>
                  </w14:solidFill>
                </w14:textFill>
              </w:rPr>
            </w:pPr>
            <w:r>
              <w:rPr>
                <w:rFonts w:hint="eastAsia" w:eastAsia="仿宋"/>
                <w:b/>
                <w:color w:val="000000" w:themeColor="text1"/>
                <w:szCs w:val="21"/>
                <w14:textFill>
                  <w14:solidFill>
                    <w14:schemeClr w14:val="tx1"/>
                  </w14:solidFill>
                </w14:textFill>
              </w:rPr>
              <w:t>表4</w:t>
            </w:r>
            <w:r>
              <w:rPr>
                <w:rFonts w:eastAsia="仿宋"/>
                <w:b/>
                <w:color w:val="000000" w:themeColor="text1"/>
                <w:szCs w:val="21"/>
                <w14:textFill>
                  <w14:solidFill>
                    <w14:schemeClr w14:val="tx1"/>
                  </w14:solidFill>
                </w14:textFill>
              </w:rPr>
              <w:t>-39 环境风险源识别表</w:t>
            </w:r>
          </w:p>
          <w:tbl>
            <w:tblPr>
              <w:tblStyle w:val="24"/>
              <w:tblW w:w="5000"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984"/>
              <w:gridCol w:w="8115"/>
            </w:tblGrid>
            <w:tr w14:paraId="27D6017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49" w:hRule="atLeast"/>
                <w:jc w:val="center"/>
              </w:trPr>
              <w:tc>
                <w:tcPr>
                  <w:tcW w:w="967" w:type="dxa"/>
                  <w:vAlign w:val="center"/>
                </w:tcPr>
                <w:p w14:paraId="69EC1482">
                  <w:pPr>
                    <w:adjustRightInd w:val="0"/>
                    <w:snapToGrid w:val="0"/>
                    <w:jc w:val="center"/>
                    <w:textAlignment w:val="baseline"/>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环境风险源</w:t>
                  </w:r>
                </w:p>
              </w:tc>
              <w:tc>
                <w:tcPr>
                  <w:tcW w:w="7971" w:type="dxa"/>
                  <w:vAlign w:val="center"/>
                </w:tcPr>
                <w:p w14:paraId="20DBB5B1">
                  <w:pPr>
                    <w:adjustRightInd w:val="0"/>
                    <w:snapToGrid w:val="0"/>
                    <w:jc w:val="center"/>
                    <w:textAlignment w:val="baseline"/>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识别过程</w:t>
                  </w:r>
                </w:p>
              </w:tc>
            </w:tr>
            <w:tr w14:paraId="74D37B8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28" w:hRule="atLeast"/>
                <w:jc w:val="center"/>
              </w:trPr>
              <w:tc>
                <w:tcPr>
                  <w:tcW w:w="967" w:type="dxa"/>
                  <w:vAlign w:val="center"/>
                </w:tcPr>
                <w:p w14:paraId="58024A74">
                  <w:pPr>
                    <w:adjustRightInd w:val="0"/>
                    <w:snapToGrid w:val="0"/>
                    <w:jc w:val="center"/>
                    <w:textAlignment w:val="baseline"/>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生产工艺</w:t>
                  </w:r>
                </w:p>
              </w:tc>
              <w:tc>
                <w:tcPr>
                  <w:tcW w:w="7971" w:type="dxa"/>
                  <w:vAlign w:val="center"/>
                </w:tcPr>
                <w:p w14:paraId="6AEF2E63">
                  <w:pPr>
                    <w:adjustRightInd w:val="0"/>
                    <w:snapToGrid w:val="0"/>
                    <w:jc w:val="left"/>
                    <w:textAlignment w:val="baseline"/>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（1）本项目涉及正己烷、甲醇、乙醇、乙腈等挥发性有机物，使用过程若不慎大量吸入，会导致人员呼吸困难，造成损伤；</w:t>
                  </w:r>
                  <w:r>
                    <w:rPr>
                      <w:rFonts w:eastAsia="仿宋"/>
                      <w:color w:val="000000" w:themeColor="text1"/>
                      <w:szCs w:val="21"/>
                      <w14:textFill>
                        <w14:solidFill>
                          <w14:schemeClr w14:val="tx1"/>
                        </w14:solidFill>
                      </w14:textFill>
                    </w:rPr>
                    <w:t>（</w:t>
                  </w:r>
                  <w:r>
                    <w:rPr>
                      <w:rFonts w:hint="eastAsia" w:eastAsia="仿宋"/>
                      <w:color w:val="000000" w:themeColor="text1"/>
                      <w:szCs w:val="21"/>
                      <w14:textFill>
                        <w14:solidFill>
                          <w14:schemeClr w14:val="tx1"/>
                        </w14:solidFill>
                      </w14:textFill>
                    </w:rPr>
                    <w:t>2</w:t>
                  </w:r>
                  <w:r>
                    <w:rPr>
                      <w:rFonts w:eastAsia="仿宋"/>
                      <w:color w:val="000000" w:themeColor="text1"/>
                      <w:szCs w:val="21"/>
                      <w14:textFill>
                        <w14:solidFill>
                          <w14:schemeClr w14:val="tx1"/>
                        </w14:solidFill>
                      </w14:textFill>
                    </w:rPr>
                    <w:t>）</w:t>
                  </w:r>
                  <w:r>
                    <w:rPr>
                      <w:rFonts w:hint="eastAsia" w:eastAsia="仿宋"/>
                      <w:color w:val="000000" w:themeColor="text1"/>
                      <w:szCs w:val="21"/>
                      <w14:textFill>
                        <w14:solidFill>
                          <w14:schemeClr w14:val="tx1"/>
                        </w14:solidFill>
                      </w14:textFill>
                    </w:rPr>
                    <w:t>本项目原料炽灼残渣检测时，需要用到9</w:t>
                  </w:r>
                  <w:r>
                    <w:rPr>
                      <w:rFonts w:eastAsia="仿宋"/>
                      <w:color w:val="000000" w:themeColor="text1"/>
                      <w:szCs w:val="21"/>
                      <w14:textFill>
                        <w14:solidFill>
                          <w14:schemeClr w14:val="tx1"/>
                        </w14:solidFill>
                      </w14:textFill>
                    </w:rPr>
                    <w:t>8%</w:t>
                  </w:r>
                  <w:r>
                    <w:rPr>
                      <w:rFonts w:hint="eastAsia" w:eastAsia="仿宋"/>
                      <w:color w:val="000000" w:themeColor="text1"/>
                      <w:szCs w:val="21"/>
                      <w14:textFill>
                        <w14:solidFill>
                          <w14:schemeClr w14:val="tx1"/>
                        </w14:solidFill>
                      </w14:textFill>
                    </w:rPr>
                    <w:t>浓硫酸，使用过程中若不小心打翻试剂瓶，可能会造成人员受伤；（3）本项目灰分检测项目时，涉及到燃烧，若操作不慎，可能引起火灾</w:t>
                  </w:r>
                  <w:r>
                    <w:rPr>
                      <w:rFonts w:eastAsia="仿宋"/>
                      <w:color w:val="000000" w:themeColor="text1"/>
                      <w:szCs w:val="21"/>
                      <w14:textFill>
                        <w14:solidFill>
                          <w14:schemeClr w14:val="tx1"/>
                        </w14:solidFill>
                      </w14:textFill>
                    </w:rPr>
                    <w:t>。</w:t>
                  </w:r>
                </w:p>
              </w:tc>
            </w:tr>
            <w:tr w14:paraId="18202F8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28" w:hRule="atLeast"/>
                <w:jc w:val="center"/>
              </w:trPr>
              <w:tc>
                <w:tcPr>
                  <w:tcW w:w="967" w:type="dxa"/>
                  <w:vAlign w:val="center"/>
                </w:tcPr>
                <w:p w14:paraId="7036FC13">
                  <w:pPr>
                    <w:adjustRightInd w:val="0"/>
                    <w:snapToGrid w:val="0"/>
                    <w:jc w:val="center"/>
                    <w:textAlignment w:val="baseline"/>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生产设备</w:t>
                  </w:r>
                </w:p>
              </w:tc>
              <w:tc>
                <w:tcPr>
                  <w:tcW w:w="7971" w:type="dxa"/>
                  <w:vAlign w:val="center"/>
                </w:tcPr>
                <w:p w14:paraId="087165DC">
                  <w:pPr>
                    <w:adjustRightInd w:val="0"/>
                    <w:snapToGrid w:val="0"/>
                    <w:jc w:val="left"/>
                    <w:textAlignment w:val="baseline"/>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在设备检修、擦洗过程中，往往因检修设备的意外启动，或者在调试设备过程中无安全防护、或在设备未停止的状态下检修，极有可能造成机械伤害。在易燃易爆场所进行动火检修作业，若未办理动火作业审批，未落实安全措施，无人监护，有可能发生火灾爆炸事故。</w:t>
                  </w:r>
                </w:p>
                <w:p w14:paraId="015D4D44">
                  <w:pPr>
                    <w:adjustRightInd w:val="0"/>
                    <w:snapToGrid w:val="0"/>
                    <w:jc w:val="left"/>
                    <w:textAlignment w:val="baseline"/>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（1）</w:t>
                  </w:r>
                  <w:r>
                    <w:rPr>
                      <w:rFonts w:eastAsia="仿宋"/>
                      <w:color w:val="000000" w:themeColor="text1"/>
                      <w:szCs w:val="21"/>
                      <w14:textFill>
                        <w14:solidFill>
                          <w14:schemeClr w14:val="tx1"/>
                        </w14:solidFill>
                      </w14:textFill>
                    </w:rPr>
                    <w:t>材质不当：在设备的选用上，如果设计选用材质方面存在问题，会因腐蚀作用严重影响设备使用寿命，从而引发事故。</w:t>
                  </w:r>
                </w:p>
                <w:p w14:paraId="7369E0D9">
                  <w:pPr>
                    <w:adjustRightInd w:val="0"/>
                    <w:snapToGrid w:val="0"/>
                    <w:jc w:val="left"/>
                    <w:textAlignment w:val="baseline"/>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（2）</w:t>
                  </w:r>
                  <w:r>
                    <w:rPr>
                      <w:rFonts w:eastAsia="仿宋"/>
                      <w:color w:val="000000" w:themeColor="text1"/>
                      <w:szCs w:val="21"/>
                      <w14:textFill>
                        <w14:solidFill>
                          <w14:schemeClr w14:val="tx1"/>
                        </w14:solidFill>
                      </w14:textFill>
                    </w:rPr>
                    <w:t>焊接缺陷：当设备焊接存在脱焊、虚焊情况下运行时，会引发物料泄漏等事故的发生。</w:t>
                  </w:r>
                </w:p>
                <w:p w14:paraId="3FE3D90C">
                  <w:pPr>
                    <w:adjustRightInd w:val="0"/>
                    <w:snapToGrid w:val="0"/>
                    <w:jc w:val="left"/>
                    <w:textAlignment w:val="baseline"/>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（3）</w:t>
                  </w:r>
                  <w:r>
                    <w:rPr>
                      <w:rFonts w:eastAsia="仿宋"/>
                      <w:color w:val="000000" w:themeColor="text1"/>
                      <w:szCs w:val="21"/>
                      <w14:textFill>
                        <w14:solidFill>
                          <w14:schemeClr w14:val="tx1"/>
                        </w14:solidFill>
                      </w14:textFill>
                    </w:rPr>
                    <w:t>制造问题：如果设备制造厂家或企业自己制造设备时因制造技术、工艺不过关，生产的设备存在质量隐患，设备质量不合格，会引发事故。</w:t>
                  </w:r>
                </w:p>
                <w:p w14:paraId="230A7C40">
                  <w:pPr>
                    <w:adjustRightInd w:val="0"/>
                    <w:snapToGrid w:val="0"/>
                    <w:jc w:val="left"/>
                    <w:textAlignment w:val="baseline"/>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（4）</w:t>
                  </w:r>
                  <w:r>
                    <w:rPr>
                      <w:rFonts w:eastAsia="仿宋"/>
                      <w:color w:val="000000" w:themeColor="text1"/>
                      <w:szCs w:val="21"/>
                      <w14:textFill>
                        <w14:solidFill>
                          <w14:schemeClr w14:val="tx1"/>
                        </w14:solidFill>
                      </w14:textFill>
                    </w:rPr>
                    <w:t>安全附件不全：如果设备的安全附件如防护罩、防护栏不全，会对设备的安全使用构成隐患。</w:t>
                  </w:r>
                </w:p>
                <w:p w14:paraId="644D6363">
                  <w:pPr>
                    <w:adjustRightInd w:val="0"/>
                    <w:snapToGrid w:val="0"/>
                    <w:jc w:val="left"/>
                    <w:textAlignment w:val="baseline"/>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（5）</w:t>
                  </w:r>
                  <w:r>
                    <w:rPr>
                      <w:rFonts w:eastAsia="仿宋"/>
                      <w:color w:val="000000" w:themeColor="text1"/>
                      <w:szCs w:val="21"/>
                      <w14:textFill>
                        <w14:solidFill>
                          <w14:schemeClr w14:val="tx1"/>
                        </w14:solidFill>
                      </w14:textFill>
                    </w:rPr>
                    <w:t>安装不规范：设备因安装不规范而使该设备存在隐患。</w:t>
                  </w:r>
                </w:p>
                <w:p w14:paraId="07EAB964">
                  <w:pPr>
                    <w:adjustRightInd w:val="0"/>
                    <w:snapToGrid w:val="0"/>
                    <w:jc w:val="left"/>
                    <w:textAlignment w:val="baseline"/>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（6）</w:t>
                  </w:r>
                  <w:r>
                    <w:rPr>
                      <w:rFonts w:eastAsia="仿宋"/>
                      <w:color w:val="000000" w:themeColor="text1"/>
                      <w:szCs w:val="21"/>
                      <w14:textFill>
                        <w14:solidFill>
                          <w14:schemeClr w14:val="tx1"/>
                        </w14:solidFill>
                      </w14:textFill>
                    </w:rPr>
                    <w:t>超期使用：设备在使用期已到后如继续使用，将对生产安全构成隐患。</w:t>
                  </w:r>
                </w:p>
                <w:p w14:paraId="52D6DE6F">
                  <w:pPr>
                    <w:adjustRightInd w:val="0"/>
                    <w:snapToGrid w:val="0"/>
                    <w:jc w:val="left"/>
                    <w:textAlignment w:val="baseline"/>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（7）</w:t>
                  </w:r>
                  <w:r>
                    <w:rPr>
                      <w:rFonts w:eastAsia="仿宋"/>
                      <w:color w:val="000000" w:themeColor="text1"/>
                      <w:szCs w:val="21"/>
                      <w14:textFill>
                        <w14:solidFill>
                          <w14:schemeClr w14:val="tx1"/>
                        </w14:solidFill>
                      </w14:textFill>
                    </w:rPr>
                    <w:t>维修保养不当：设备在使用过程中，因维护、保养不当而导致该设备存在隐患。</w:t>
                  </w:r>
                </w:p>
              </w:tc>
            </w:tr>
            <w:tr w14:paraId="37326BC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071" w:hRule="atLeast"/>
                <w:jc w:val="center"/>
              </w:trPr>
              <w:tc>
                <w:tcPr>
                  <w:tcW w:w="967" w:type="dxa"/>
                  <w:vAlign w:val="center"/>
                </w:tcPr>
                <w:p w14:paraId="25CB1FE9">
                  <w:pPr>
                    <w:adjustRightInd w:val="0"/>
                    <w:snapToGrid w:val="0"/>
                    <w:jc w:val="center"/>
                    <w:textAlignment w:val="baseline"/>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储运设施</w:t>
                  </w:r>
                </w:p>
              </w:tc>
              <w:tc>
                <w:tcPr>
                  <w:tcW w:w="7971" w:type="dxa"/>
                  <w:vAlign w:val="center"/>
                </w:tcPr>
                <w:p w14:paraId="7C940263">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r>
                    <w:rPr>
                      <w:rFonts w:ascii="仿宋" w:hAnsi="仿宋" w:eastAsia="仿宋"/>
                      <w:color w:val="000000" w:themeColor="text1"/>
                      <w:szCs w:val="21"/>
                      <w14:textFill>
                        <w14:solidFill>
                          <w14:schemeClr w14:val="tx1"/>
                        </w14:solidFill>
                      </w14:textFill>
                    </w:rPr>
                    <w:t>、物料存储过程潜在危险性分析</w:t>
                  </w:r>
                </w:p>
                <w:p w14:paraId="552C7A83">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企业部分物料存储采用仓储方式，仓储中若违章将禁忌类物料混存、储存场所温度高、通风不良，不能符合物料相应的仓储条件，可引发火灾、爆炸事故。</w:t>
                  </w:r>
                </w:p>
                <w:p w14:paraId="2664D8D2">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1</w:t>
                  </w:r>
                  <w:r>
                    <w:rPr>
                      <w:rFonts w:ascii="仿宋" w:hAnsi="仿宋" w:eastAsia="仿宋"/>
                      <w:color w:val="000000" w:themeColor="text1"/>
                      <w:szCs w:val="21"/>
                      <w14:textFill>
                        <w14:solidFill>
                          <w14:schemeClr w14:val="tx1"/>
                        </w14:solidFill>
                      </w14:textFill>
                    </w:rPr>
                    <w:t>）物料储存配置</w:t>
                  </w:r>
                </w:p>
                <w:p w14:paraId="05DEB2FB">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a.</w:t>
                  </w:r>
                  <w:r>
                    <w:rPr>
                      <w:rFonts w:ascii="仿宋" w:hAnsi="仿宋" w:eastAsia="仿宋"/>
                      <w:color w:val="000000" w:themeColor="text1"/>
                      <w:szCs w:val="21"/>
                      <w14:textFill>
                        <w14:solidFill>
                          <w14:schemeClr w14:val="tx1"/>
                        </w14:solidFill>
                      </w14:textFill>
                    </w:rPr>
                    <w:t>禁忌物料的配置。仓储物料应根据其性能分区、分类、隔离储存，若禁忌类物料混合储存，则可能因物料的泄漏、挥发等原因发生物料间的化学反应而引起事故。</w:t>
                  </w:r>
                </w:p>
                <w:p w14:paraId="4B84ED9F">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b.</w:t>
                  </w:r>
                  <w:r>
                    <w:rPr>
                      <w:rFonts w:ascii="仿宋" w:hAnsi="仿宋" w:eastAsia="仿宋"/>
                      <w:color w:val="000000" w:themeColor="text1"/>
                      <w:szCs w:val="21"/>
                      <w14:textFill>
                        <w14:solidFill>
                          <w14:schemeClr w14:val="tx1"/>
                        </w14:solidFill>
                      </w14:textFill>
                    </w:rPr>
                    <w:t>物料储存量与储存安排。物料平均单位面积储存量、单一储存区最大储量、垛距、墙距、通道宽度、与禁忌品距离若不符合仓储要求，则事故发生的可能性和严重程度可增大。</w:t>
                  </w:r>
                </w:p>
                <w:p w14:paraId="459CCD92">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2</w:t>
                  </w:r>
                  <w:r>
                    <w:rPr>
                      <w:rFonts w:ascii="仿宋" w:hAnsi="仿宋" w:eastAsia="仿宋"/>
                      <w:color w:val="000000" w:themeColor="text1"/>
                      <w:szCs w:val="21"/>
                      <w14:textFill>
                        <w14:solidFill>
                          <w14:schemeClr w14:val="tx1"/>
                        </w14:solidFill>
                      </w14:textFill>
                    </w:rPr>
                    <w:t>）物料的泄漏、变质</w:t>
                  </w:r>
                </w:p>
                <w:p w14:paraId="2B872797">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a.</w:t>
                  </w:r>
                  <w:r>
                    <w:rPr>
                      <w:rFonts w:ascii="仿宋" w:hAnsi="仿宋" w:eastAsia="仿宋"/>
                      <w:color w:val="000000" w:themeColor="text1"/>
                      <w:szCs w:val="21"/>
                      <w14:textFill>
                        <w14:solidFill>
                          <w14:schemeClr w14:val="tx1"/>
                        </w14:solidFill>
                      </w14:textFill>
                    </w:rPr>
                    <w:t>在物料的搬运、堆码过程中若操作不当（摔、碰、撞、击、拖拉、滚动等），可能发生物料泄漏。</w:t>
                  </w:r>
                </w:p>
                <w:p w14:paraId="7B06A59E">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b.</w:t>
                  </w:r>
                  <w:r>
                    <w:rPr>
                      <w:rFonts w:ascii="仿宋" w:hAnsi="仿宋" w:eastAsia="仿宋"/>
                      <w:color w:val="000000" w:themeColor="text1"/>
                      <w:szCs w:val="21"/>
                      <w14:textFill>
                        <w14:solidFill>
                          <w14:schemeClr w14:val="tx1"/>
                        </w14:solidFill>
                      </w14:textFill>
                    </w:rPr>
                    <w:t>物料的包装存在缺陷（破损、不严密、超装、渗漏等）发生泄漏。</w:t>
                  </w:r>
                </w:p>
                <w:p w14:paraId="490C8F77">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c.</w:t>
                  </w:r>
                  <w:r>
                    <w:rPr>
                      <w:rFonts w:ascii="仿宋" w:hAnsi="仿宋" w:eastAsia="仿宋"/>
                      <w:color w:val="000000" w:themeColor="text1"/>
                      <w:szCs w:val="21"/>
                      <w14:textFill>
                        <w14:solidFill>
                          <w14:schemeClr w14:val="tx1"/>
                        </w14:solidFill>
                      </w14:textFill>
                    </w:rPr>
                    <w:t>储运过程中最主要的危险有害因素是储运物料的泄漏而发生的火灾、爆炸、中毒事故。泄漏可能发生在装卸、运输过程中。当泄漏物料与空气混合物处于火灾爆炸极限范围内，遇点火源就会发生火灾爆炸事故。点火源可能是明火</w:t>
                  </w:r>
                  <w:r>
                    <w:rPr>
                      <w:rFonts w:eastAsia="仿宋"/>
                      <w:color w:val="000000" w:themeColor="text1"/>
                      <w:szCs w:val="21"/>
                      <w14:textFill>
                        <w14:solidFill>
                          <w14:schemeClr w14:val="tx1"/>
                        </w14:solidFill>
                      </w14:textFill>
                    </w:rPr>
                    <w:t>(</w:t>
                  </w:r>
                  <w:r>
                    <w:rPr>
                      <w:rFonts w:ascii="仿宋" w:hAnsi="仿宋" w:eastAsia="仿宋"/>
                      <w:color w:val="000000" w:themeColor="text1"/>
                      <w:szCs w:val="21"/>
                      <w14:textFill>
                        <w14:solidFill>
                          <w14:schemeClr w14:val="tx1"/>
                        </w14:solidFill>
                      </w14:textFill>
                    </w:rPr>
                    <w:t>包括违章动火</w:t>
                  </w:r>
                  <w:r>
                    <w:rPr>
                      <w:rFonts w:eastAsia="仿宋"/>
                      <w:color w:val="000000" w:themeColor="text1"/>
                      <w:szCs w:val="21"/>
                      <w14:textFill>
                        <w14:solidFill>
                          <w14:schemeClr w14:val="tx1"/>
                        </w14:solidFill>
                      </w14:textFill>
                    </w:rPr>
                    <w:t>)</w:t>
                  </w:r>
                  <w:r>
                    <w:rPr>
                      <w:rFonts w:ascii="仿宋" w:hAnsi="仿宋" w:eastAsia="仿宋"/>
                      <w:color w:val="000000" w:themeColor="text1"/>
                      <w:szCs w:val="21"/>
                      <w14:textFill>
                        <w14:solidFill>
                          <w14:schemeClr w14:val="tx1"/>
                        </w14:solidFill>
                      </w14:textFill>
                    </w:rPr>
                    <w:t>、电气火花、摩擦撞击火花、交通工具排气管火花、使用手机、静电荷积聚引起的放电火花及雷电危害等。</w:t>
                  </w:r>
                </w:p>
                <w:p w14:paraId="01E8A5D2">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3</w:t>
                  </w:r>
                  <w:r>
                    <w:rPr>
                      <w:rFonts w:ascii="仿宋" w:hAnsi="仿宋" w:eastAsia="仿宋"/>
                      <w:color w:val="000000" w:themeColor="text1"/>
                      <w:szCs w:val="21"/>
                      <w14:textFill>
                        <w14:solidFill>
                          <w14:schemeClr w14:val="tx1"/>
                        </w14:solidFill>
                      </w14:textFill>
                    </w:rPr>
                    <w:t>）仓储场所条件</w:t>
                  </w:r>
                </w:p>
                <w:p w14:paraId="552E17BE">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a.</w:t>
                  </w:r>
                  <w:r>
                    <w:rPr>
                      <w:rFonts w:ascii="仿宋" w:hAnsi="仿宋" w:eastAsia="仿宋"/>
                      <w:color w:val="000000" w:themeColor="text1"/>
                      <w:szCs w:val="21"/>
                      <w14:textFill>
                        <w14:solidFill>
                          <w14:schemeClr w14:val="tx1"/>
                        </w14:solidFill>
                      </w14:textFill>
                    </w:rPr>
                    <w:t>仓储温度。仓储温度应根据储存物料的理化特性相应确定。若超温（夏季高温、违章露天存放等），则可能引起储存物料容器超压爆破等事故。</w:t>
                  </w:r>
                </w:p>
                <w:p w14:paraId="6451C58A">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b.</w:t>
                  </w:r>
                  <w:r>
                    <w:rPr>
                      <w:rFonts w:ascii="仿宋" w:hAnsi="仿宋" w:eastAsia="仿宋"/>
                      <w:color w:val="000000" w:themeColor="text1"/>
                      <w:szCs w:val="21"/>
                      <w14:textFill>
                        <w14:solidFill>
                          <w14:schemeClr w14:val="tx1"/>
                        </w14:solidFill>
                      </w14:textFill>
                    </w:rPr>
                    <w:t>仓储积水、温度。若雨天库房进水、屋漏等造成的库房积水、库房湿度大、违章露天存放遇水等，仓储物料尤其是袋装固体物料可因遇水造成危害。</w:t>
                  </w:r>
                </w:p>
                <w:p w14:paraId="30143718">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c.</w:t>
                  </w:r>
                  <w:r>
                    <w:rPr>
                      <w:rFonts w:ascii="仿宋" w:hAnsi="仿宋" w:eastAsia="仿宋"/>
                      <w:color w:val="000000" w:themeColor="text1"/>
                      <w:szCs w:val="21"/>
                      <w14:textFill>
                        <w14:solidFill>
                          <w14:schemeClr w14:val="tx1"/>
                        </w14:solidFill>
                      </w14:textFill>
                    </w:rPr>
                    <w:t>仓储光照。库房应保持阴凉避免阳光直射，否则可引起仓储物料温度升高而造成事故。</w:t>
                  </w:r>
                </w:p>
                <w:p w14:paraId="12926625">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d.</w:t>
                  </w:r>
                  <w:r>
                    <w:rPr>
                      <w:rFonts w:ascii="仿宋" w:hAnsi="仿宋" w:eastAsia="仿宋"/>
                      <w:color w:val="000000" w:themeColor="text1"/>
                      <w:szCs w:val="21"/>
                      <w14:textFill>
                        <w14:solidFill>
                          <w14:schemeClr w14:val="tx1"/>
                        </w14:solidFill>
                      </w14:textFill>
                    </w:rPr>
                    <w:t>通风。物料储存中因泄漏、挥发，其蒸汽或粉尘可与空气形成爆炸性混合物或其毒性可对人体造成健康危害。若通风不良，混合物则可能处于爆炸极限范围之内对人体造成健康危害。</w:t>
                  </w:r>
                </w:p>
                <w:p w14:paraId="1565456D">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r>
                    <w:rPr>
                      <w:rFonts w:ascii="仿宋" w:hAnsi="仿宋" w:eastAsia="仿宋"/>
                      <w:color w:val="000000" w:themeColor="text1"/>
                      <w:szCs w:val="21"/>
                      <w14:textFill>
                        <w14:solidFill>
                          <w14:schemeClr w14:val="tx1"/>
                        </w14:solidFill>
                      </w14:textFill>
                    </w:rPr>
                    <w:t>、物料运输过程潜在危险性分析</w:t>
                  </w:r>
                </w:p>
                <w:p w14:paraId="692531F9">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1</w:t>
                  </w:r>
                  <w:r>
                    <w:rPr>
                      <w:rFonts w:ascii="仿宋" w:hAnsi="仿宋" w:eastAsia="仿宋"/>
                      <w:color w:val="000000" w:themeColor="text1"/>
                      <w:szCs w:val="21"/>
                      <w14:textFill>
                        <w14:solidFill>
                          <w14:schemeClr w14:val="tx1"/>
                        </w14:solidFill>
                      </w14:textFill>
                    </w:rPr>
                    <w:t>）装卸、搬运过程中因路面不平或物料装车不稳固，可能发生物料的倾倒、翻落、撞击引起事故；作业过程中如摔、碰、撞、击、拖拉、倾倒、滚动物料，可造成物料的泄漏、产生静电等造成燃烧爆炸事故。</w:t>
                  </w:r>
                </w:p>
                <w:p w14:paraId="52FB1352">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2</w:t>
                  </w:r>
                  <w:r>
                    <w:rPr>
                      <w:rFonts w:ascii="仿宋" w:hAnsi="仿宋" w:eastAsia="仿宋"/>
                      <w:color w:val="000000" w:themeColor="text1"/>
                      <w:szCs w:val="21"/>
                      <w14:textFill>
                        <w14:solidFill>
                          <w14:schemeClr w14:val="tx1"/>
                        </w14:solidFill>
                      </w14:textFill>
                    </w:rPr>
                    <w:t>）运输过程中，开车不稳等易造成翻车，超速行驶易引起道路交通事故，如撞断架空管线，危害更大。槽罐车排气管未安装阻火器，启动、熄火或行驶时散发的火星可成为点火源。</w:t>
                  </w:r>
                </w:p>
                <w:p w14:paraId="0520FFEB">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厂区运输车辆进出频繁，安全警示、限速标志及限制车辆通行或禁止车辆通行的路段标志应设置齐全。掌握了危险品物料泄漏扩散事件的起因，即发生规律，有利于采取相应的防范措施，降低危险性。</w:t>
                  </w:r>
                </w:p>
                <w:p w14:paraId="5E0686A7">
                  <w:pPr>
                    <w:snapToGrid w:val="0"/>
                    <w:spacing w:line="240" w:lineRule="atLeas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r>
                    <w:rPr>
                      <w:rFonts w:ascii="仿宋" w:hAnsi="仿宋" w:eastAsia="仿宋"/>
                      <w:color w:val="000000" w:themeColor="text1"/>
                      <w:szCs w:val="21"/>
                      <w14:textFill>
                        <w14:solidFill>
                          <w14:schemeClr w14:val="tx1"/>
                        </w14:solidFill>
                      </w14:textFill>
                    </w:rPr>
                    <w:t>、固废堆场</w:t>
                  </w:r>
                </w:p>
                <w:p w14:paraId="3B689BEB">
                  <w:pPr>
                    <w:rPr>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由于企业产生的固废堆放在危废仓库，危废一旦意外泄漏，若地面防渗破损，泄漏物将通过地面渗漏，进而影响土壤和地下水。</w:t>
                  </w:r>
                </w:p>
              </w:tc>
            </w:tr>
            <w:tr w14:paraId="0C73E54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249" w:hRule="atLeast"/>
                <w:jc w:val="center"/>
              </w:trPr>
              <w:tc>
                <w:tcPr>
                  <w:tcW w:w="967" w:type="dxa"/>
                  <w:vAlign w:val="center"/>
                </w:tcPr>
                <w:p w14:paraId="245C7560">
                  <w:pPr>
                    <w:adjustRightInd w:val="0"/>
                    <w:snapToGrid w:val="0"/>
                    <w:jc w:val="center"/>
                    <w:textAlignment w:val="baseline"/>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公用工程及辅助设施</w:t>
                  </w:r>
                </w:p>
              </w:tc>
              <w:tc>
                <w:tcPr>
                  <w:tcW w:w="7971" w:type="dxa"/>
                  <w:vAlign w:val="center"/>
                </w:tcPr>
                <w:p w14:paraId="0A0FA870">
                  <w:pPr>
                    <w:adjustRightInd w:val="0"/>
                    <w:snapToGrid w:val="0"/>
                    <w:jc w:val="left"/>
                    <w:textAlignment w:val="baseline"/>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企业公用工程包括供排水、供配电。</w:t>
                  </w:r>
                </w:p>
                <w:p w14:paraId="15BD8BE2">
                  <w:pPr>
                    <w:adjustRightInd w:val="0"/>
                    <w:snapToGrid w:val="0"/>
                    <w:jc w:val="left"/>
                    <w:textAlignment w:val="baseline"/>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供水系统：建筑地下供排水管网发生泄漏会导致建筑基础破坏；排水管道若无覆盖装置容易导致人员坠跌伤害等；生产装置供水中断或供水不足，影响正常生产，造成一定的经济损失；消防用水供水不可靠情况下，一旦发生火灾，无法及时以大量水冷却，可造成火灾的蔓延、扩大；当物料喷溅于人体上，如人体部位受到毒物玷污，应以大量清水立即冲洗，在没有冲洗水情况下，将延误现场急救时机。</w:t>
                  </w:r>
                </w:p>
                <w:p w14:paraId="23AC239C">
                  <w:pPr>
                    <w:adjustRightInd w:val="0"/>
                    <w:snapToGrid w:val="0"/>
                    <w:jc w:val="left"/>
                    <w:textAlignment w:val="baseline"/>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排水系统：一旦发生洪涝灾害，将构成严重的安全威胁。企业储存大量的化学品，这些化学品存在燃爆危险性、腐蚀性及毒物危害性。当这些化学品的包装物浸泡在水体中，不可避免地将发生泄漏。</w:t>
                  </w:r>
                </w:p>
                <w:p w14:paraId="1DDEEE97">
                  <w:pPr>
                    <w:adjustRightInd w:val="0"/>
                    <w:snapToGrid w:val="0"/>
                    <w:jc w:val="left"/>
                    <w:textAlignment w:val="baseline"/>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供电系统：主要危险有害因素是人员的触电，导致触电的原因可能由于操作人员的失误、设备的漏电、防护距离的不足等；电缆线路遭遇腐蚀老化会发生短路引起火灾事故；停电会导致用电设备无法运行，引起一系列事故。</w:t>
                  </w:r>
                </w:p>
              </w:tc>
            </w:tr>
            <w:tr w14:paraId="5EB1979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41" w:hRule="atLeast"/>
                <w:jc w:val="center"/>
              </w:trPr>
              <w:tc>
                <w:tcPr>
                  <w:tcW w:w="967" w:type="dxa"/>
                  <w:vAlign w:val="center"/>
                </w:tcPr>
                <w:p w14:paraId="5530C1FE">
                  <w:pPr>
                    <w:adjustRightInd w:val="0"/>
                    <w:snapToGrid w:val="0"/>
                    <w:jc w:val="center"/>
                    <w:textAlignment w:val="baseline"/>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环保设施</w:t>
                  </w:r>
                </w:p>
              </w:tc>
              <w:tc>
                <w:tcPr>
                  <w:tcW w:w="7971" w:type="dxa"/>
                  <w:vAlign w:val="center"/>
                </w:tcPr>
                <w:p w14:paraId="4A8F1340">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1</w:t>
                  </w:r>
                  <w:r>
                    <w:rPr>
                      <w:rFonts w:ascii="仿宋" w:hAnsi="仿宋" w:eastAsia="仿宋"/>
                      <w:color w:val="000000" w:themeColor="text1"/>
                      <w:szCs w:val="21"/>
                      <w14:textFill>
                        <w14:solidFill>
                          <w14:schemeClr w14:val="tx1"/>
                        </w14:solidFill>
                      </w14:textFill>
                    </w:rPr>
                    <w:t>）废气处理系统出现故障可能导致废气的事故排放。</w:t>
                  </w:r>
                </w:p>
                <w:p w14:paraId="6DE26041">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2</w:t>
                  </w:r>
                  <w:r>
                    <w:rPr>
                      <w:rFonts w:ascii="仿宋" w:hAnsi="仿宋" w:eastAsia="仿宋"/>
                      <w:color w:val="000000" w:themeColor="text1"/>
                      <w:szCs w:val="21"/>
                      <w14:textFill>
                        <w14:solidFill>
                          <w14:schemeClr w14:val="tx1"/>
                        </w14:solidFill>
                      </w14:textFill>
                    </w:rPr>
                    <w:t>）生产车间密闭管理，可能会造成厂房内通风不畅，使逸出的气体出现积聚，易发生爆炸。</w:t>
                  </w:r>
                </w:p>
                <w:p w14:paraId="20938DEF">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3</w:t>
                  </w:r>
                  <w:r>
                    <w:rPr>
                      <w:rFonts w:ascii="仿宋" w:hAnsi="仿宋" w:eastAsia="仿宋"/>
                      <w:color w:val="000000" w:themeColor="text1"/>
                      <w:szCs w:val="21"/>
                      <w14:textFill>
                        <w14:solidFill>
                          <w14:schemeClr w14:val="tx1"/>
                        </w14:solidFill>
                      </w14:textFill>
                    </w:rPr>
                    <w:t>）若固废堆放场所的危废意外泄漏，若未及时收集处理，有可能会污染周边环境。</w:t>
                  </w:r>
                </w:p>
                <w:p w14:paraId="57B8C817">
                  <w:pPr>
                    <w:snapToGrid w:val="0"/>
                    <w:spacing w:line="240" w:lineRule="atLeast"/>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4</w:t>
                  </w:r>
                  <w:r>
                    <w:rPr>
                      <w:rFonts w:ascii="仿宋" w:hAnsi="仿宋" w:eastAsia="仿宋"/>
                      <w:color w:val="000000" w:themeColor="text1"/>
                      <w:szCs w:val="21"/>
                      <w14:textFill>
                        <w14:solidFill>
                          <w14:schemeClr w14:val="tx1"/>
                        </w14:solidFill>
                      </w14:textFill>
                    </w:rPr>
                    <w:t>）突发性泄漏和火灾爆炸事故泄漏、伴生和次生的泄漏物料、污水、消防水可能直接进入厂内污水管网和雨水管网，未经处理后排入厂区污水和雨水管网，给污水处理厂造成一定的冲击并造成周边水环境污染。</w:t>
                  </w:r>
                </w:p>
                <w:p w14:paraId="66E0F205">
                  <w:pPr>
                    <w:rPr>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5</w:t>
                  </w:r>
                  <w:r>
                    <w:rPr>
                      <w:rFonts w:ascii="仿宋" w:hAnsi="仿宋" w:eastAsia="仿宋"/>
                      <w:color w:val="000000" w:themeColor="text1"/>
                      <w:szCs w:val="21"/>
                      <w14:textFill>
                        <w14:solidFill>
                          <w14:schemeClr w14:val="tx1"/>
                        </w14:solidFill>
                      </w14:textFill>
                    </w:rPr>
                    <w:t>）突发性火灾爆炸事故伴生的废气，特别是办公用品不完全燃烧产生的</w:t>
                  </w:r>
                  <w:r>
                    <w:rPr>
                      <w:rFonts w:eastAsia="仿宋"/>
                      <w:color w:val="000000" w:themeColor="text1"/>
                      <w:szCs w:val="21"/>
                      <w14:textFill>
                        <w14:solidFill>
                          <w14:schemeClr w14:val="tx1"/>
                        </w14:solidFill>
                      </w14:textFill>
                    </w:rPr>
                    <w:t>CO</w:t>
                  </w:r>
                  <w:r>
                    <w:rPr>
                      <w:rFonts w:ascii="仿宋" w:hAnsi="仿宋" w:eastAsia="仿宋"/>
                      <w:color w:val="000000" w:themeColor="text1"/>
                      <w:szCs w:val="21"/>
                      <w14:textFill>
                        <w14:solidFill>
                          <w14:schemeClr w14:val="tx1"/>
                        </w14:solidFill>
                      </w14:textFill>
                    </w:rPr>
                    <w:t>等，以上废气直接无组织排放会对周边环境造成一定的污染。</w:t>
                  </w:r>
                </w:p>
              </w:tc>
            </w:tr>
          </w:tbl>
          <w:p w14:paraId="5E11334D">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2</w:t>
            </w:r>
            <w:r>
              <w:rPr>
                <w:rFonts w:ascii="仿宋" w:hAnsi="仿宋" w:eastAsia="仿宋"/>
                <w:bCs/>
                <w:color w:val="000000" w:themeColor="text1"/>
                <w:sz w:val="24"/>
                <w14:textFill>
                  <w14:solidFill>
                    <w14:schemeClr w14:val="tx1"/>
                  </w14:solidFill>
                </w14:textFill>
              </w:rPr>
              <w:t>）风险事故情形</w:t>
            </w:r>
          </w:p>
          <w:p w14:paraId="54E9FAB2">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本项目</w:t>
            </w:r>
            <w:r>
              <w:rPr>
                <w:rFonts w:hint="eastAsia" w:ascii="仿宋" w:hAnsi="仿宋" w:eastAsia="仿宋"/>
                <w:bCs/>
                <w:color w:val="000000" w:themeColor="text1"/>
                <w:sz w:val="24"/>
                <w14:textFill>
                  <w14:solidFill>
                    <w14:schemeClr w14:val="tx1"/>
                  </w14:solidFill>
                </w14:textFill>
              </w:rPr>
              <w:t>主要为原料入厂检测</w:t>
            </w:r>
            <w:r>
              <w:rPr>
                <w:rFonts w:ascii="仿宋" w:hAnsi="仿宋" w:eastAsia="仿宋"/>
                <w:bCs/>
                <w:color w:val="000000" w:themeColor="text1"/>
                <w:sz w:val="24"/>
                <w14:textFill>
                  <w14:solidFill>
                    <w14:schemeClr w14:val="tx1"/>
                  </w14:solidFill>
                </w14:textFill>
              </w:rPr>
              <w:t>，从事故的类型来分，一是火灾或爆炸，二是物料的泄漏；从事故的严重性和损失后果可分为重大事故和一般性事故。国际化工界将重大事故定义为：导致反应装置及其它经济损失超过</w:t>
            </w:r>
            <w:r>
              <w:rPr>
                <w:rFonts w:eastAsia="仿宋"/>
                <w:bCs/>
                <w:color w:val="000000" w:themeColor="text1"/>
                <w:sz w:val="24"/>
                <w14:textFill>
                  <w14:solidFill>
                    <w14:schemeClr w14:val="tx1"/>
                  </w14:solidFill>
                </w14:textFill>
              </w:rPr>
              <w:t>2.5</w:t>
            </w:r>
            <w:r>
              <w:rPr>
                <w:rFonts w:ascii="仿宋" w:hAnsi="仿宋" w:eastAsia="仿宋"/>
                <w:bCs/>
                <w:color w:val="000000" w:themeColor="text1"/>
                <w:sz w:val="24"/>
                <w14:textFill>
                  <w14:solidFill>
                    <w14:schemeClr w14:val="tx1"/>
                  </w14:solidFill>
                </w14:textFill>
              </w:rPr>
              <w:t>万美元，或者造成严重人员伤亡的事故。火灾或爆炸事故常常属于此类事故。而一般事故是指那些没有造成重大经济损失和人员伤亡的事故，但此类事故如不采取有效措施加以控制，将对周围的环境产生不利影响。物料泄漏事故常常属于一般性的事故。</w:t>
            </w:r>
          </w:p>
          <w:p w14:paraId="2F4363D2">
            <w:pPr>
              <w:spacing w:line="480" w:lineRule="exact"/>
              <w:ind w:firstLine="480" w:firstLineChars="200"/>
              <w:rPr>
                <w:rFonts w:eastAsia="仿宋"/>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①</w:t>
            </w:r>
            <w:r>
              <w:rPr>
                <w:rFonts w:ascii="仿宋" w:hAnsi="仿宋" w:eastAsia="仿宋"/>
                <w:bCs/>
                <w:color w:val="000000" w:themeColor="text1"/>
                <w:sz w:val="24"/>
                <w14:textFill>
                  <w14:solidFill>
                    <w14:schemeClr w14:val="tx1"/>
                  </w14:solidFill>
                </w14:textFill>
              </w:rPr>
              <w:t>物料泄漏事故</w:t>
            </w:r>
          </w:p>
          <w:p w14:paraId="47592B02">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根据《建设项目环境风险评价技术导则》（</w:t>
            </w:r>
            <w:r>
              <w:rPr>
                <w:rFonts w:eastAsia="仿宋"/>
                <w:bCs/>
                <w:color w:val="000000" w:themeColor="text1"/>
                <w:sz w:val="24"/>
                <w14:textFill>
                  <w14:solidFill>
                    <w14:schemeClr w14:val="tx1"/>
                  </w14:solidFill>
                </w14:textFill>
              </w:rPr>
              <w:t>HJ169-2018</w:t>
            </w:r>
            <w:r>
              <w:rPr>
                <w:rFonts w:ascii="仿宋" w:hAnsi="仿宋" w:eastAsia="仿宋"/>
                <w:bCs/>
                <w:color w:val="000000" w:themeColor="text1"/>
                <w:sz w:val="24"/>
                <w14:textFill>
                  <w14:solidFill>
                    <w14:schemeClr w14:val="tx1"/>
                  </w14:solidFill>
                </w14:textFill>
              </w:rPr>
              <w:t>）附录</w:t>
            </w:r>
            <w:r>
              <w:rPr>
                <w:rFonts w:eastAsia="仿宋"/>
                <w:bCs/>
                <w:color w:val="000000" w:themeColor="text1"/>
                <w:sz w:val="24"/>
                <w14:textFill>
                  <w14:solidFill>
                    <w14:schemeClr w14:val="tx1"/>
                  </w14:solidFill>
                </w14:textFill>
              </w:rPr>
              <w:t>E</w:t>
            </w:r>
            <w:r>
              <w:rPr>
                <w:rFonts w:ascii="仿宋" w:hAnsi="仿宋" w:eastAsia="仿宋"/>
                <w:bCs/>
                <w:color w:val="000000" w:themeColor="text1"/>
                <w:sz w:val="24"/>
                <w14:textFill>
                  <w14:solidFill>
                    <w14:schemeClr w14:val="tx1"/>
                  </w14:solidFill>
                </w14:textFill>
              </w:rPr>
              <w:t>，常见物料泄漏事故类型及频率统计分析见下表。</w:t>
            </w:r>
          </w:p>
          <w:p w14:paraId="42D3BCA6">
            <w:pPr>
              <w:spacing w:line="480" w:lineRule="exact"/>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表4-40 物料泄漏事故类型及频率统计表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67"/>
              <w:gridCol w:w="4180"/>
              <w:gridCol w:w="2248"/>
            </w:tblGrid>
            <w:tr w14:paraId="6191D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6" w:type="pct"/>
                  <w:tcBorders>
                    <w:top w:val="single" w:color="auto" w:sz="4" w:space="0"/>
                    <w:left w:val="single" w:color="auto" w:sz="4" w:space="0"/>
                    <w:bottom w:val="single" w:color="auto" w:sz="4" w:space="0"/>
                    <w:right w:val="single" w:color="auto" w:sz="4" w:space="0"/>
                  </w:tcBorders>
                  <w:vAlign w:val="center"/>
                </w:tcPr>
                <w:p w14:paraId="4FF90CBD">
                  <w:pPr>
                    <w:snapToGrid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部件类型</w:t>
                  </w:r>
                </w:p>
              </w:tc>
              <w:tc>
                <w:tcPr>
                  <w:tcW w:w="2298" w:type="pct"/>
                  <w:tcBorders>
                    <w:top w:val="single" w:color="auto" w:sz="4" w:space="0"/>
                    <w:left w:val="single" w:color="auto" w:sz="4" w:space="0"/>
                    <w:bottom w:val="single" w:color="auto" w:sz="4" w:space="0"/>
                    <w:right w:val="single" w:color="auto" w:sz="4" w:space="0"/>
                  </w:tcBorders>
                  <w:vAlign w:val="center"/>
                </w:tcPr>
                <w:p w14:paraId="206A7FBC">
                  <w:pPr>
                    <w:snapToGrid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泄漏模式</w:t>
                  </w:r>
                </w:p>
              </w:tc>
              <w:tc>
                <w:tcPr>
                  <w:tcW w:w="1236" w:type="pct"/>
                  <w:tcBorders>
                    <w:top w:val="single" w:color="auto" w:sz="4" w:space="0"/>
                    <w:left w:val="single" w:color="auto" w:sz="4" w:space="0"/>
                    <w:bottom w:val="single" w:color="auto" w:sz="4" w:space="0"/>
                    <w:right w:val="single" w:color="auto" w:sz="4" w:space="0"/>
                  </w:tcBorders>
                  <w:vAlign w:val="center"/>
                </w:tcPr>
                <w:p w14:paraId="30B3174E">
                  <w:pPr>
                    <w:snapToGrid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泄漏频率</w:t>
                  </w:r>
                </w:p>
              </w:tc>
            </w:tr>
            <w:tr w14:paraId="696F1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6" w:type="pct"/>
                  <w:tcBorders>
                    <w:top w:val="single" w:color="auto" w:sz="4" w:space="0"/>
                    <w:left w:val="single" w:color="auto" w:sz="4" w:space="0"/>
                    <w:bottom w:val="single" w:color="auto" w:sz="4" w:space="0"/>
                    <w:right w:val="single" w:color="auto" w:sz="4" w:space="0"/>
                  </w:tcBorders>
                  <w:vAlign w:val="center"/>
                </w:tcPr>
                <w:p w14:paraId="32853E61">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反应器</w:t>
                  </w:r>
                  <w:r>
                    <w:rPr>
                      <w:rFonts w:eastAsia="仿宋"/>
                      <w:color w:val="000000" w:themeColor="text1"/>
                      <w:szCs w:val="21"/>
                      <w14:textFill>
                        <w14:solidFill>
                          <w14:schemeClr w14:val="tx1"/>
                        </w14:solidFill>
                      </w14:textFill>
                    </w:rPr>
                    <w:t>/</w:t>
                  </w:r>
                  <w:r>
                    <w:rPr>
                      <w:rFonts w:ascii="仿宋" w:hAnsi="仿宋" w:eastAsia="仿宋"/>
                      <w:color w:val="000000" w:themeColor="text1"/>
                      <w:szCs w:val="21"/>
                      <w14:textFill>
                        <w14:solidFill>
                          <w14:schemeClr w14:val="tx1"/>
                        </w14:solidFill>
                      </w14:textFill>
                    </w:rPr>
                    <w:t>工艺储罐</w:t>
                  </w:r>
                  <w:r>
                    <w:rPr>
                      <w:rFonts w:eastAsia="仿宋"/>
                      <w:color w:val="000000" w:themeColor="text1"/>
                      <w:szCs w:val="21"/>
                      <w14:textFill>
                        <w14:solidFill>
                          <w14:schemeClr w14:val="tx1"/>
                        </w14:solidFill>
                      </w14:textFill>
                    </w:rPr>
                    <w:t>/</w:t>
                  </w:r>
                  <w:r>
                    <w:rPr>
                      <w:rFonts w:ascii="仿宋" w:hAnsi="仿宋" w:eastAsia="仿宋"/>
                      <w:color w:val="000000" w:themeColor="text1"/>
                      <w:szCs w:val="21"/>
                      <w14:textFill>
                        <w14:solidFill>
                          <w14:schemeClr w14:val="tx1"/>
                        </w14:solidFill>
                      </w14:textFill>
                    </w:rPr>
                    <w:t>气体储罐</w:t>
                  </w:r>
                  <w:r>
                    <w:rPr>
                      <w:rFonts w:eastAsia="仿宋"/>
                      <w:color w:val="000000" w:themeColor="text1"/>
                      <w:szCs w:val="21"/>
                      <w14:textFill>
                        <w14:solidFill>
                          <w14:schemeClr w14:val="tx1"/>
                        </w14:solidFill>
                      </w14:textFill>
                    </w:rPr>
                    <w:t>/</w:t>
                  </w:r>
                  <w:r>
                    <w:rPr>
                      <w:rFonts w:ascii="仿宋" w:hAnsi="仿宋" w:eastAsia="仿宋"/>
                      <w:color w:val="000000" w:themeColor="text1"/>
                      <w:szCs w:val="21"/>
                      <w14:textFill>
                        <w14:solidFill>
                          <w14:schemeClr w14:val="tx1"/>
                        </w14:solidFill>
                      </w14:textFill>
                    </w:rPr>
                    <w:t>塔器</w:t>
                  </w:r>
                </w:p>
              </w:tc>
              <w:tc>
                <w:tcPr>
                  <w:tcW w:w="2298" w:type="pct"/>
                  <w:tcBorders>
                    <w:top w:val="single" w:color="auto" w:sz="4" w:space="0"/>
                    <w:left w:val="single" w:color="auto" w:sz="4" w:space="0"/>
                    <w:bottom w:val="single" w:color="auto" w:sz="4" w:space="0"/>
                    <w:right w:val="single" w:color="auto" w:sz="4" w:space="0"/>
                  </w:tcBorders>
                  <w:vAlign w:val="center"/>
                </w:tcPr>
                <w:p w14:paraId="3CB6D107">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泄漏孔径为</w:t>
                  </w:r>
                  <w:r>
                    <w:rPr>
                      <w:rFonts w:eastAsia="仿宋"/>
                      <w:color w:val="000000" w:themeColor="text1"/>
                      <w:szCs w:val="21"/>
                      <w14:textFill>
                        <w14:solidFill>
                          <w14:schemeClr w14:val="tx1"/>
                        </w14:solidFill>
                      </w14:textFill>
                    </w:rPr>
                    <w:t>10mm</w:t>
                  </w:r>
                  <w:r>
                    <w:rPr>
                      <w:rFonts w:ascii="仿宋" w:hAnsi="仿宋" w:eastAsia="仿宋"/>
                      <w:color w:val="000000" w:themeColor="text1"/>
                      <w:szCs w:val="21"/>
                      <w14:textFill>
                        <w14:solidFill>
                          <w14:schemeClr w14:val="tx1"/>
                        </w14:solidFill>
                      </w14:textFill>
                    </w:rPr>
                    <w:t>孔径</w:t>
                  </w:r>
                </w:p>
                <w:p w14:paraId="4C7DBF7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10min</w:t>
                  </w:r>
                  <w:r>
                    <w:rPr>
                      <w:rFonts w:ascii="仿宋" w:hAnsi="仿宋" w:eastAsia="仿宋"/>
                      <w:color w:val="000000" w:themeColor="text1"/>
                      <w:szCs w:val="21"/>
                      <w14:textFill>
                        <w14:solidFill>
                          <w14:schemeClr w14:val="tx1"/>
                        </w14:solidFill>
                      </w14:textFill>
                    </w:rPr>
                    <w:t>内储罐泄漏完</w:t>
                  </w:r>
                </w:p>
                <w:p w14:paraId="0F268AAD">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储罐全破裂</w:t>
                  </w:r>
                </w:p>
              </w:tc>
              <w:tc>
                <w:tcPr>
                  <w:tcW w:w="1236" w:type="pct"/>
                  <w:tcBorders>
                    <w:top w:val="single" w:color="auto" w:sz="4" w:space="0"/>
                    <w:left w:val="single" w:color="auto" w:sz="4" w:space="0"/>
                    <w:bottom w:val="single" w:color="auto" w:sz="4" w:space="0"/>
                    <w:right w:val="single" w:color="auto" w:sz="4" w:space="0"/>
                  </w:tcBorders>
                  <w:vAlign w:val="center"/>
                </w:tcPr>
                <w:p w14:paraId="54A2D7E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1.00×10</w:t>
                  </w:r>
                  <w:r>
                    <w:rPr>
                      <w:rFonts w:eastAsia="仿宋"/>
                      <w:color w:val="000000" w:themeColor="text1"/>
                      <w:szCs w:val="21"/>
                      <w:vertAlign w:val="superscript"/>
                      <w14:textFill>
                        <w14:solidFill>
                          <w14:schemeClr w14:val="tx1"/>
                        </w14:solidFill>
                      </w14:textFill>
                    </w:rPr>
                    <w:t>-4</w:t>
                  </w:r>
                  <w:r>
                    <w:rPr>
                      <w:rFonts w:eastAsia="仿宋"/>
                      <w:color w:val="000000" w:themeColor="text1"/>
                      <w:szCs w:val="21"/>
                      <w14:textFill>
                        <w14:solidFill>
                          <w14:schemeClr w14:val="tx1"/>
                        </w14:solidFill>
                      </w14:textFill>
                    </w:rPr>
                    <w:t>/a</w:t>
                  </w:r>
                </w:p>
                <w:p w14:paraId="0641969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5.00×10</w:t>
                  </w:r>
                  <w:r>
                    <w:rPr>
                      <w:rFonts w:eastAsia="仿宋"/>
                      <w:color w:val="000000" w:themeColor="text1"/>
                      <w:szCs w:val="21"/>
                      <w:vertAlign w:val="superscript"/>
                      <w14:textFill>
                        <w14:solidFill>
                          <w14:schemeClr w14:val="tx1"/>
                        </w14:solidFill>
                      </w14:textFill>
                    </w:rPr>
                    <w:t>-6</w:t>
                  </w:r>
                  <w:r>
                    <w:rPr>
                      <w:rFonts w:eastAsia="仿宋"/>
                      <w:color w:val="000000" w:themeColor="text1"/>
                      <w:szCs w:val="21"/>
                      <w14:textFill>
                        <w14:solidFill>
                          <w14:schemeClr w14:val="tx1"/>
                        </w14:solidFill>
                      </w14:textFill>
                    </w:rPr>
                    <w:t>/a</w:t>
                  </w:r>
                </w:p>
                <w:p w14:paraId="1D3A878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5.00×10</w:t>
                  </w:r>
                  <w:r>
                    <w:rPr>
                      <w:rFonts w:eastAsia="仿宋"/>
                      <w:color w:val="000000" w:themeColor="text1"/>
                      <w:szCs w:val="21"/>
                      <w:vertAlign w:val="superscript"/>
                      <w14:textFill>
                        <w14:solidFill>
                          <w14:schemeClr w14:val="tx1"/>
                        </w14:solidFill>
                      </w14:textFill>
                    </w:rPr>
                    <w:t>-6</w:t>
                  </w:r>
                  <w:r>
                    <w:rPr>
                      <w:rFonts w:eastAsia="仿宋"/>
                      <w:color w:val="000000" w:themeColor="text1"/>
                      <w:szCs w:val="21"/>
                      <w14:textFill>
                        <w14:solidFill>
                          <w14:schemeClr w14:val="tx1"/>
                        </w14:solidFill>
                      </w14:textFill>
                    </w:rPr>
                    <w:t>/a</w:t>
                  </w:r>
                </w:p>
              </w:tc>
            </w:tr>
            <w:tr w14:paraId="3A87D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6" w:type="pct"/>
                  <w:tcBorders>
                    <w:top w:val="single" w:color="auto" w:sz="4" w:space="0"/>
                    <w:left w:val="single" w:color="auto" w:sz="4" w:space="0"/>
                    <w:bottom w:val="single" w:color="auto" w:sz="4" w:space="0"/>
                    <w:right w:val="single" w:color="auto" w:sz="4" w:space="0"/>
                  </w:tcBorders>
                  <w:vAlign w:val="center"/>
                </w:tcPr>
                <w:p w14:paraId="6636A3BA">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常压单包容储罐</w:t>
                  </w:r>
                </w:p>
              </w:tc>
              <w:tc>
                <w:tcPr>
                  <w:tcW w:w="2298" w:type="pct"/>
                  <w:tcBorders>
                    <w:top w:val="single" w:color="auto" w:sz="4" w:space="0"/>
                    <w:left w:val="single" w:color="auto" w:sz="4" w:space="0"/>
                    <w:bottom w:val="single" w:color="auto" w:sz="4" w:space="0"/>
                    <w:right w:val="single" w:color="auto" w:sz="4" w:space="0"/>
                  </w:tcBorders>
                  <w:vAlign w:val="center"/>
                </w:tcPr>
                <w:p w14:paraId="593414E6">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泄漏孔径为</w:t>
                  </w:r>
                  <w:r>
                    <w:rPr>
                      <w:rFonts w:eastAsia="仿宋"/>
                      <w:color w:val="000000" w:themeColor="text1"/>
                      <w:szCs w:val="21"/>
                      <w14:textFill>
                        <w14:solidFill>
                          <w14:schemeClr w14:val="tx1"/>
                        </w14:solidFill>
                      </w14:textFill>
                    </w:rPr>
                    <w:t>10mm</w:t>
                  </w:r>
                  <w:r>
                    <w:rPr>
                      <w:rFonts w:ascii="仿宋" w:hAnsi="仿宋" w:eastAsia="仿宋"/>
                      <w:color w:val="000000" w:themeColor="text1"/>
                      <w:szCs w:val="21"/>
                      <w14:textFill>
                        <w14:solidFill>
                          <w14:schemeClr w14:val="tx1"/>
                        </w14:solidFill>
                      </w14:textFill>
                    </w:rPr>
                    <w:t>孔径</w:t>
                  </w:r>
                </w:p>
                <w:p w14:paraId="3E129ED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10min</w:t>
                  </w:r>
                  <w:r>
                    <w:rPr>
                      <w:rFonts w:ascii="仿宋" w:hAnsi="仿宋" w:eastAsia="仿宋"/>
                      <w:color w:val="000000" w:themeColor="text1"/>
                      <w:szCs w:val="21"/>
                      <w14:textFill>
                        <w14:solidFill>
                          <w14:schemeClr w14:val="tx1"/>
                        </w14:solidFill>
                      </w14:textFill>
                    </w:rPr>
                    <w:t>内储罐泄漏完</w:t>
                  </w:r>
                </w:p>
                <w:p w14:paraId="6B644511">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储罐全破裂</w:t>
                  </w:r>
                </w:p>
              </w:tc>
              <w:tc>
                <w:tcPr>
                  <w:tcW w:w="1236" w:type="pct"/>
                  <w:tcBorders>
                    <w:top w:val="single" w:color="auto" w:sz="4" w:space="0"/>
                    <w:left w:val="single" w:color="auto" w:sz="4" w:space="0"/>
                    <w:bottom w:val="single" w:color="auto" w:sz="4" w:space="0"/>
                    <w:right w:val="single" w:color="auto" w:sz="4" w:space="0"/>
                  </w:tcBorders>
                  <w:vAlign w:val="center"/>
                </w:tcPr>
                <w:p w14:paraId="00BA886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1.00×10</w:t>
                  </w:r>
                  <w:r>
                    <w:rPr>
                      <w:rFonts w:eastAsia="仿宋"/>
                      <w:color w:val="000000" w:themeColor="text1"/>
                      <w:szCs w:val="21"/>
                      <w:vertAlign w:val="superscript"/>
                      <w14:textFill>
                        <w14:solidFill>
                          <w14:schemeClr w14:val="tx1"/>
                        </w14:solidFill>
                      </w14:textFill>
                    </w:rPr>
                    <w:t>-4</w:t>
                  </w:r>
                  <w:r>
                    <w:rPr>
                      <w:rFonts w:eastAsia="仿宋"/>
                      <w:color w:val="000000" w:themeColor="text1"/>
                      <w:szCs w:val="21"/>
                      <w14:textFill>
                        <w14:solidFill>
                          <w14:schemeClr w14:val="tx1"/>
                        </w14:solidFill>
                      </w14:textFill>
                    </w:rPr>
                    <w:t>/a</w:t>
                  </w:r>
                </w:p>
                <w:p w14:paraId="0F0F883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5.00×10</w:t>
                  </w:r>
                  <w:r>
                    <w:rPr>
                      <w:rFonts w:eastAsia="仿宋"/>
                      <w:color w:val="000000" w:themeColor="text1"/>
                      <w:szCs w:val="21"/>
                      <w:vertAlign w:val="superscript"/>
                      <w14:textFill>
                        <w14:solidFill>
                          <w14:schemeClr w14:val="tx1"/>
                        </w14:solidFill>
                      </w14:textFill>
                    </w:rPr>
                    <w:t>-6</w:t>
                  </w:r>
                  <w:r>
                    <w:rPr>
                      <w:rFonts w:eastAsia="仿宋"/>
                      <w:color w:val="000000" w:themeColor="text1"/>
                      <w:szCs w:val="21"/>
                      <w14:textFill>
                        <w14:solidFill>
                          <w14:schemeClr w14:val="tx1"/>
                        </w14:solidFill>
                      </w14:textFill>
                    </w:rPr>
                    <w:t>/a</w:t>
                  </w:r>
                </w:p>
                <w:p w14:paraId="61E8C98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5.00×10</w:t>
                  </w:r>
                  <w:r>
                    <w:rPr>
                      <w:rFonts w:eastAsia="仿宋"/>
                      <w:color w:val="000000" w:themeColor="text1"/>
                      <w:szCs w:val="21"/>
                      <w:vertAlign w:val="superscript"/>
                      <w14:textFill>
                        <w14:solidFill>
                          <w14:schemeClr w14:val="tx1"/>
                        </w14:solidFill>
                      </w14:textFill>
                    </w:rPr>
                    <w:t>-6</w:t>
                  </w:r>
                  <w:r>
                    <w:rPr>
                      <w:rFonts w:eastAsia="仿宋"/>
                      <w:color w:val="000000" w:themeColor="text1"/>
                      <w:szCs w:val="21"/>
                      <w14:textFill>
                        <w14:solidFill>
                          <w14:schemeClr w14:val="tx1"/>
                        </w14:solidFill>
                      </w14:textFill>
                    </w:rPr>
                    <w:t>/a</w:t>
                  </w:r>
                </w:p>
              </w:tc>
            </w:tr>
            <w:tr w14:paraId="73D5B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6" w:type="pct"/>
                  <w:tcBorders>
                    <w:top w:val="single" w:color="auto" w:sz="4" w:space="0"/>
                    <w:left w:val="single" w:color="auto" w:sz="4" w:space="0"/>
                    <w:bottom w:val="single" w:color="auto" w:sz="4" w:space="0"/>
                    <w:right w:val="single" w:color="auto" w:sz="4" w:space="0"/>
                  </w:tcBorders>
                  <w:vAlign w:val="center"/>
                </w:tcPr>
                <w:p w14:paraId="07BACEF7">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常压双包容储罐</w:t>
                  </w:r>
                </w:p>
              </w:tc>
              <w:tc>
                <w:tcPr>
                  <w:tcW w:w="2298" w:type="pct"/>
                  <w:tcBorders>
                    <w:top w:val="single" w:color="auto" w:sz="4" w:space="0"/>
                    <w:left w:val="single" w:color="auto" w:sz="4" w:space="0"/>
                    <w:bottom w:val="single" w:color="auto" w:sz="4" w:space="0"/>
                    <w:right w:val="single" w:color="auto" w:sz="4" w:space="0"/>
                  </w:tcBorders>
                  <w:vAlign w:val="center"/>
                </w:tcPr>
                <w:p w14:paraId="24A27B86">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泄漏孔径为</w:t>
                  </w:r>
                  <w:r>
                    <w:rPr>
                      <w:rFonts w:eastAsia="仿宋"/>
                      <w:color w:val="000000" w:themeColor="text1"/>
                      <w:szCs w:val="21"/>
                      <w14:textFill>
                        <w14:solidFill>
                          <w14:schemeClr w14:val="tx1"/>
                        </w14:solidFill>
                      </w14:textFill>
                    </w:rPr>
                    <w:t>10mm</w:t>
                  </w:r>
                  <w:r>
                    <w:rPr>
                      <w:rFonts w:ascii="仿宋" w:hAnsi="仿宋" w:eastAsia="仿宋"/>
                      <w:color w:val="000000" w:themeColor="text1"/>
                      <w:szCs w:val="21"/>
                      <w14:textFill>
                        <w14:solidFill>
                          <w14:schemeClr w14:val="tx1"/>
                        </w14:solidFill>
                      </w14:textFill>
                    </w:rPr>
                    <w:t>孔径</w:t>
                  </w:r>
                </w:p>
                <w:p w14:paraId="08699A7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10min</w:t>
                  </w:r>
                  <w:r>
                    <w:rPr>
                      <w:rFonts w:ascii="仿宋" w:hAnsi="仿宋" w:eastAsia="仿宋"/>
                      <w:color w:val="000000" w:themeColor="text1"/>
                      <w:szCs w:val="21"/>
                      <w14:textFill>
                        <w14:solidFill>
                          <w14:schemeClr w14:val="tx1"/>
                        </w14:solidFill>
                      </w14:textFill>
                    </w:rPr>
                    <w:t>内储罐泄漏完</w:t>
                  </w:r>
                </w:p>
                <w:p w14:paraId="5656EE4A">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储罐全破裂</w:t>
                  </w:r>
                </w:p>
              </w:tc>
              <w:tc>
                <w:tcPr>
                  <w:tcW w:w="1236" w:type="pct"/>
                  <w:tcBorders>
                    <w:top w:val="single" w:color="auto" w:sz="4" w:space="0"/>
                    <w:left w:val="single" w:color="auto" w:sz="4" w:space="0"/>
                    <w:bottom w:val="single" w:color="auto" w:sz="4" w:space="0"/>
                    <w:right w:val="single" w:color="auto" w:sz="4" w:space="0"/>
                  </w:tcBorders>
                  <w:vAlign w:val="center"/>
                </w:tcPr>
                <w:p w14:paraId="600075C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1.00×10</w:t>
                  </w:r>
                  <w:r>
                    <w:rPr>
                      <w:rFonts w:eastAsia="仿宋"/>
                      <w:color w:val="000000" w:themeColor="text1"/>
                      <w:szCs w:val="21"/>
                      <w:vertAlign w:val="superscript"/>
                      <w14:textFill>
                        <w14:solidFill>
                          <w14:schemeClr w14:val="tx1"/>
                        </w14:solidFill>
                      </w14:textFill>
                    </w:rPr>
                    <w:t>-4</w:t>
                  </w:r>
                  <w:r>
                    <w:rPr>
                      <w:rFonts w:eastAsia="仿宋"/>
                      <w:color w:val="000000" w:themeColor="text1"/>
                      <w:szCs w:val="21"/>
                      <w14:textFill>
                        <w14:solidFill>
                          <w14:schemeClr w14:val="tx1"/>
                        </w14:solidFill>
                      </w14:textFill>
                    </w:rPr>
                    <w:t>/a</w:t>
                  </w:r>
                </w:p>
                <w:p w14:paraId="0CB35EE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1.25×10</w:t>
                  </w:r>
                  <w:r>
                    <w:rPr>
                      <w:rFonts w:eastAsia="仿宋"/>
                      <w:color w:val="000000" w:themeColor="text1"/>
                      <w:szCs w:val="21"/>
                      <w:vertAlign w:val="superscript"/>
                      <w14:textFill>
                        <w14:solidFill>
                          <w14:schemeClr w14:val="tx1"/>
                        </w14:solidFill>
                      </w14:textFill>
                    </w:rPr>
                    <w:t>-8</w:t>
                  </w:r>
                  <w:r>
                    <w:rPr>
                      <w:rFonts w:eastAsia="仿宋"/>
                      <w:color w:val="000000" w:themeColor="text1"/>
                      <w:szCs w:val="21"/>
                      <w14:textFill>
                        <w14:solidFill>
                          <w14:schemeClr w14:val="tx1"/>
                        </w14:solidFill>
                      </w14:textFill>
                    </w:rPr>
                    <w:t>/a</w:t>
                  </w:r>
                </w:p>
                <w:p w14:paraId="584BED2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1.25×10</w:t>
                  </w:r>
                  <w:r>
                    <w:rPr>
                      <w:rFonts w:eastAsia="仿宋"/>
                      <w:color w:val="000000" w:themeColor="text1"/>
                      <w:szCs w:val="21"/>
                      <w:vertAlign w:val="superscript"/>
                      <w14:textFill>
                        <w14:solidFill>
                          <w14:schemeClr w14:val="tx1"/>
                        </w14:solidFill>
                      </w14:textFill>
                    </w:rPr>
                    <w:t>-8</w:t>
                  </w:r>
                  <w:r>
                    <w:rPr>
                      <w:rFonts w:eastAsia="仿宋"/>
                      <w:color w:val="000000" w:themeColor="text1"/>
                      <w:szCs w:val="21"/>
                      <w14:textFill>
                        <w14:solidFill>
                          <w14:schemeClr w14:val="tx1"/>
                        </w14:solidFill>
                      </w14:textFill>
                    </w:rPr>
                    <w:t>/a</w:t>
                  </w:r>
                </w:p>
              </w:tc>
            </w:tr>
            <w:tr w14:paraId="467A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6" w:type="pct"/>
                  <w:tcBorders>
                    <w:top w:val="single" w:color="auto" w:sz="4" w:space="0"/>
                    <w:left w:val="single" w:color="auto" w:sz="4" w:space="0"/>
                    <w:bottom w:val="single" w:color="auto" w:sz="4" w:space="0"/>
                    <w:right w:val="single" w:color="auto" w:sz="4" w:space="0"/>
                  </w:tcBorders>
                  <w:vAlign w:val="center"/>
                </w:tcPr>
                <w:p w14:paraId="69E5B3E6">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常压全包容储罐</w:t>
                  </w:r>
                </w:p>
              </w:tc>
              <w:tc>
                <w:tcPr>
                  <w:tcW w:w="2298" w:type="pct"/>
                  <w:tcBorders>
                    <w:top w:val="single" w:color="auto" w:sz="4" w:space="0"/>
                    <w:left w:val="single" w:color="auto" w:sz="4" w:space="0"/>
                    <w:bottom w:val="single" w:color="auto" w:sz="4" w:space="0"/>
                    <w:right w:val="single" w:color="auto" w:sz="4" w:space="0"/>
                  </w:tcBorders>
                  <w:vAlign w:val="center"/>
                </w:tcPr>
                <w:p w14:paraId="2C337278">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储罐全破裂</w:t>
                  </w:r>
                </w:p>
              </w:tc>
              <w:tc>
                <w:tcPr>
                  <w:tcW w:w="1236" w:type="pct"/>
                  <w:tcBorders>
                    <w:top w:val="single" w:color="auto" w:sz="4" w:space="0"/>
                    <w:left w:val="single" w:color="auto" w:sz="4" w:space="0"/>
                    <w:bottom w:val="single" w:color="auto" w:sz="4" w:space="0"/>
                    <w:right w:val="single" w:color="auto" w:sz="4" w:space="0"/>
                  </w:tcBorders>
                  <w:vAlign w:val="center"/>
                </w:tcPr>
                <w:p w14:paraId="4CBB3F5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1.00×10</w:t>
                  </w:r>
                  <w:r>
                    <w:rPr>
                      <w:rFonts w:eastAsia="仿宋"/>
                      <w:color w:val="000000" w:themeColor="text1"/>
                      <w:szCs w:val="21"/>
                      <w:vertAlign w:val="superscript"/>
                      <w14:textFill>
                        <w14:solidFill>
                          <w14:schemeClr w14:val="tx1"/>
                        </w14:solidFill>
                      </w14:textFill>
                    </w:rPr>
                    <w:t>-8</w:t>
                  </w:r>
                  <w:r>
                    <w:rPr>
                      <w:rFonts w:eastAsia="仿宋"/>
                      <w:color w:val="000000" w:themeColor="text1"/>
                      <w:szCs w:val="21"/>
                      <w14:textFill>
                        <w14:solidFill>
                          <w14:schemeClr w14:val="tx1"/>
                        </w14:solidFill>
                      </w14:textFill>
                    </w:rPr>
                    <w:t>/a</w:t>
                  </w:r>
                </w:p>
              </w:tc>
            </w:tr>
            <w:tr w14:paraId="214F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6" w:type="pct"/>
                  <w:tcBorders>
                    <w:top w:val="single" w:color="auto" w:sz="4" w:space="0"/>
                    <w:left w:val="single" w:color="auto" w:sz="4" w:space="0"/>
                    <w:bottom w:val="single" w:color="auto" w:sz="4" w:space="0"/>
                    <w:right w:val="single" w:color="auto" w:sz="4" w:space="0"/>
                  </w:tcBorders>
                  <w:vAlign w:val="center"/>
                </w:tcPr>
                <w:p w14:paraId="6338E422">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内径</w:t>
                  </w:r>
                  <w:r>
                    <w:rPr>
                      <w:rFonts w:eastAsia="仿宋"/>
                      <w:color w:val="000000" w:themeColor="text1"/>
                      <w:szCs w:val="21"/>
                      <w14:textFill>
                        <w14:solidFill>
                          <w14:schemeClr w14:val="tx1"/>
                        </w14:solidFill>
                      </w14:textFill>
                    </w:rPr>
                    <w:t>≤75mm</w:t>
                  </w:r>
                  <w:r>
                    <w:rPr>
                      <w:rFonts w:ascii="仿宋" w:hAnsi="仿宋" w:eastAsia="仿宋"/>
                      <w:color w:val="000000" w:themeColor="text1"/>
                      <w:szCs w:val="21"/>
                      <w14:textFill>
                        <w14:solidFill>
                          <w14:schemeClr w14:val="tx1"/>
                        </w14:solidFill>
                      </w14:textFill>
                    </w:rPr>
                    <w:t>的管道</w:t>
                  </w:r>
                </w:p>
              </w:tc>
              <w:tc>
                <w:tcPr>
                  <w:tcW w:w="2298" w:type="pct"/>
                  <w:tcBorders>
                    <w:top w:val="single" w:color="auto" w:sz="4" w:space="0"/>
                    <w:left w:val="single" w:color="auto" w:sz="4" w:space="0"/>
                    <w:bottom w:val="single" w:color="auto" w:sz="4" w:space="0"/>
                    <w:right w:val="single" w:color="auto" w:sz="4" w:space="0"/>
                  </w:tcBorders>
                  <w:vAlign w:val="center"/>
                </w:tcPr>
                <w:p w14:paraId="1894E091">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泄漏孔径为</w:t>
                  </w:r>
                  <w:r>
                    <w:rPr>
                      <w:rFonts w:eastAsia="仿宋"/>
                      <w:color w:val="000000" w:themeColor="text1"/>
                      <w:szCs w:val="21"/>
                      <w14:textFill>
                        <w14:solidFill>
                          <w14:schemeClr w14:val="tx1"/>
                        </w14:solidFill>
                      </w14:textFill>
                    </w:rPr>
                    <w:t>10%</w:t>
                  </w:r>
                  <w:r>
                    <w:rPr>
                      <w:rFonts w:ascii="仿宋" w:hAnsi="仿宋" w:eastAsia="仿宋"/>
                      <w:color w:val="000000" w:themeColor="text1"/>
                      <w:szCs w:val="21"/>
                      <w14:textFill>
                        <w14:solidFill>
                          <w14:schemeClr w14:val="tx1"/>
                        </w14:solidFill>
                      </w14:textFill>
                    </w:rPr>
                    <w:t>孔径</w:t>
                  </w:r>
                </w:p>
                <w:p w14:paraId="2277E9F4">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全管径泄漏</w:t>
                  </w:r>
                </w:p>
              </w:tc>
              <w:tc>
                <w:tcPr>
                  <w:tcW w:w="1236" w:type="pct"/>
                  <w:tcBorders>
                    <w:top w:val="single" w:color="auto" w:sz="4" w:space="0"/>
                    <w:left w:val="single" w:color="auto" w:sz="4" w:space="0"/>
                    <w:bottom w:val="single" w:color="auto" w:sz="4" w:space="0"/>
                    <w:right w:val="single" w:color="auto" w:sz="4" w:space="0"/>
                  </w:tcBorders>
                  <w:vAlign w:val="center"/>
                </w:tcPr>
                <w:p w14:paraId="6D56EFDC">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5.00×10</w:t>
                  </w:r>
                  <w:r>
                    <w:rPr>
                      <w:rFonts w:eastAsia="仿宋"/>
                      <w:color w:val="000000" w:themeColor="text1"/>
                      <w:szCs w:val="21"/>
                      <w:vertAlign w:val="superscript"/>
                      <w14:textFill>
                        <w14:solidFill>
                          <w14:schemeClr w14:val="tx1"/>
                        </w14:solidFill>
                      </w14:textFill>
                    </w:rPr>
                    <w:t>-6</w:t>
                  </w:r>
                  <w:r>
                    <w:rPr>
                      <w:rFonts w:eastAsia="仿宋"/>
                      <w:color w:val="000000" w:themeColor="text1"/>
                      <w:szCs w:val="21"/>
                      <w14:textFill>
                        <w14:solidFill>
                          <w14:schemeClr w14:val="tx1"/>
                        </w14:solidFill>
                      </w14:textFill>
                    </w:rPr>
                    <w:t>/</w:t>
                  </w: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m·a</w:t>
                  </w:r>
                  <w:r>
                    <w:rPr>
                      <w:rFonts w:ascii="仿宋" w:hAnsi="仿宋" w:eastAsia="仿宋"/>
                      <w:color w:val="000000" w:themeColor="text1"/>
                      <w:szCs w:val="21"/>
                      <w14:textFill>
                        <w14:solidFill>
                          <w14:schemeClr w14:val="tx1"/>
                        </w14:solidFill>
                      </w14:textFill>
                    </w:rPr>
                    <w:t>）</w:t>
                  </w:r>
                </w:p>
                <w:p w14:paraId="3B3CA9E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1.00×10</w:t>
                  </w:r>
                  <w:r>
                    <w:rPr>
                      <w:rFonts w:eastAsia="仿宋"/>
                      <w:color w:val="000000" w:themeColor="text1"/>
                      <w:szCs w:val="21"/>
                      <w:vertAlign w:val="superscript"/>
                      <w14:textFill>
                        <w14:solidFill>
                          <w14:schemeClr w14:val="tx1"/>
                        </w14:solidFill>
                      </w14:textFill>
                    </w:rPr>
                    <w:t>-6</w:t>
                  </w:r>
                  <w:r>
                    <w:rPr>
                      <w:rFonts w:eastAsia="仿宋"/>
                      <w:color w:val="000000" w:themeColor="text1"/>
                      <w:szCs w:val="21"/>
                      <w14:textFill>
                        <w14:solidFill>
                          <w14:schemeClr w14:val="tx1"/>
                        </w14:solidFill>
                      </w14:textFill>
                    </w:rPr>
                    <w:t>/</w:t>
                  </w: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m·a</w:t>
                  </w:r>
                  <w:r>
                    <w:rPr>
                      <w:rFonts w:ascii="仿宋" w:hAnsi="仿宋" w:eastAsia="仿宋"/>
                      <w:color w:val="000000" w:themeColor="text1"/>
                      <w:szCs w:val="21"/>
                      <w14:textFill>
                        <w14:solidFill>
                          <w14:schemeClr w14:val="tx1"/>
                        </w14:solidFill>
                      </w14:textFill>
                    </w:rPr>
                    <w:t>）</w:t>
                  </w:r>
                </w:p>
              </w:tc>
            </w:tr>
            <w:tr w14:paraId="447E5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6" w:type="pct"/>
                  <w:tcBorders>
                    <w:top w:val="single" w:color="auto" w:sz="4" w:space="0"/>
                    <w:left w:val="single" w:color="auto" w:sz="4" w:space="0"/>
                    <w:bottom w:val="single" w:color="auto" w:sz="4" w:space="0"/>
                    <w:right w:val="single" w:color="auto" w:sz="4" w:space="0"/>
                  </w:tcBorders>
                  <w:vAlign w:val="center"/>
                </w:tcPr>
                <w:p w14:paraId="138D6B7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75mm&lt;</w:t>
                  </w:r>
                  <w:r>
                    <w:rPr>
                      <w:rFonts w:ascii="仿宋" w:hAnsi="仿宋" w:eastAsia="仿宋"/>
                      <w:color w:val="000000" w:themeColor="text1"/>
                      <w:szCs w:val="21"/>
                      <w14:textFill>
                        <w14:solidFill>
                          <w14:schemeClr w14:val="tx1"/>
                        </w14:solidFill>
                      </w14:textFill>
                    </w:rPr>
                    <w:t>内径</w:t>
                  </w:r>
                  <w:r>
                    <w:rPr>
                      <w:rFonts w:eastAsia="仿宋"/>
                      <w:color w:val="000000" w:themeColor="text1"/>
                      <w:szCs w:val="21"/>
                      <w14:textFill>
                        <w14:solidFill>
                          <w14:schemeClr w14:val="tx1"/>
                        </w14:solidFill>
                      </w14:textFill>
                    </w:rPr>
                    <w:t>≤150mm</w:t>
                  </w:r>
                  <w:r>
                    <w:rPr>
                      <w:rFonts w:ascii="仿宋" w:hAnsi="仿宋" w:eastAsia="仿宋"/>
                      <w:color w:val="000000" w:themeColor="text1"/>
                      <w:szCs w:val="21"/>
                      <w14:textFill>
                        <w14:solidFill>
                          <w14:schemeClr w14:val="tx1"/>
                        </w14:solidFill>
                      </w14:textFill>
                    </w:rPr>
                    <w:t>的管道</w:t>
                  </w:r>
                </w:p>
              </w:tc>
              <w:tc>
                <w:tcPr>
                  <w:tcW w:w="2298" w:type="pct"/>
                  <w:tcBorders>
                    <w:top w:val="single" w:color="auto" w:sz="4" w:space="0"/>
                    <w:left w:val="single" w:color="auto" w:sz="4" w:space="0"/>
                    <w:bottom w:val="single" w:color="auto" w:sz="4" w:space="0"/>
                    <w:right w:val="single" w:color="auto" w:sz="4" w:space="0"/>
                  </w:tcBorders>
                  <w:vAlign w:val="center"/>
                </w:tcPr>
                <w:p w14:paraId="335F6967">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泄漏孔径为</w:t>
                  </w:r>
                  <w:r>
                    <w:rPr>
                      <w:rFonts w:eastAsia="仿宋"/>
                      <w:color w:val="000000" w:themeColor="text1"/>
                      <w:szCs w:val="21"/>
                      <w14:textFill>
                        <w14:solidFill>
                          <w14:schemeClr w14:val="tx1"/>
                        </w14:solidFill>
                      </w14:textFill>
                    </w:rPr>
                    <w:t>10%</w:t>
                  </w:r>
                  <w:r>
                    <w:rPr>
                      <w:rFonts w:ascii="仿宋" w:hAnsi="仿宋" w:eastAsia="仿宋"/>
                      <w:color w:val="000000" w:themeColor="text1"/>
                      <w:szCs w:val="21"/>
                      <w14:textFill>
                        <w14:solidFill>
                          <w14:schemeClr w14:val="tx1"/>
                        </w14:solidFill>
                      </w14:textFill>
                    </w:rPr>
                    <w:t>孔径</w:t>
                  </w:r>
                </w:p>
                <w:p w14:paraId="6E5B535B">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全管径泄漏</w:t>
                  </w:r>
                </w:p>
              </w:tc>
              <w:tc>
                <w:tcPr>
                  <w:tcW w:w="1236" w:type="pct"/>
                  <w:tcBorders>
                    <w:top w:val="single" w:color="auto" w:sz="4" w:space="0"/>
                    <w:left w:val="single" w:color="auto" w:sz="4" w:space="0"/>
                    <w:bottom w:val="single" w:color="auto" w:sz="4" w:space="0"/>
                    <w:right w:val="single" w:color="auto" w:sz="4" w:space="0"/>
                  </w:tcBorders>
                  <w:vAlign w:val="center"/>
                </w:tcPr>
                <w:p w14:paraId="4099BA1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2.00×10</w:t>
                  </w:r>
                  <w:r>
                    <w:rPr>
                      <w:rFonts w:eastAsia="仿宋"/>
                      <w:color w:val="000000" w:themeColor="text1"/>
                      <w:szCs w:val="21"/>
                      <w:vertAlign w:val="superscript"/>
                      <w14:textFill>
                        <w14:solidFill>
                          <w14:schemeClr w14:val="tx1"/>
                        </w14:solidFill>
                      </w14:textFill>
                    </w:rPr>
                    <w:t>-6</w:t>
                  </w:r>
                  <w:r>
                    <w:rPr>
                      <w:rFonts w:eastAsia="仿宋"/>
                      <w:color w:val="000000" w:themeColor="text1"/>
                      <w:szCs w:val="21"/>
                      <w14:textFill>
                        <w14:solidFill>
                          <w14:schemeClr w14:val="tx1"/>
                        </w14:solidFill>
                      </w14:textFill>
                    </w:rPr>
                    <w:t>/</w:t>
                  </w: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m·a</w:t>
                  </w:r>
                  <w:r>
                    <w:rPr>
                      <w:rFonts w:ascii="仿宋" w:hAnsi="仿宋" w:eastAsia="仿宋"/>
                      <w:color w:val="000000" w:themeColor="text1"/>
                      <w:szCs w:val="21"/>
                      <w14:textFill>
                        <w14:solidFill>
                          <w14:schemeClr w14:val="tx1"/>
                        </w14:solidFill>
                      </w14:textFill>
                    </w:rPr>
                    <w:t>）</w:t>
                  </w:r>
                </w:p>
                <w:p w14:paraId="64845A0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3.00×10</w:t>
                  </w:r>
                  <w:r>
                    <w:rPr>
                      <w:rFonts w:eastAsia="仿宋"/>
                      <w:color w:val="000000" w:themeColor="text1"/>
                      <w:szCs w:val="21"/>
                      <w:vertAlign w:val="superscript"/>
                      <w14:textFill>
                        <w14:solidFill>
                          <w14:schemeClr w14:val="tx1"/>
                        </w14:solidFill>
                      </w14:textFill>
                    </w:rPr>
                    <w:t>-7</w:t>
                  </w:r>
                  <w:r>
                    <w:rPr>
                      <w:rFonts w:eastAsia="仿宋"/>
                      <w:color w:val="000000" w:themeColor="text1"/>
                      <w:szCs w:val="21"/>
                      <w14:textFill>
                        <w14:solidFill>
                          <w14:schemeClr w14:val="tx1"/>
                        </w14:solidFill>
                      </w14:textFill>
                    </w:rPr>
                    <w:t>/</w:t>
                  </w: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m·a</w:t>
                  </w:r>
                  <w:r>
                    <w:rPr>
                      <w:rFonts w:ascii="仿宋" w:hAnsi="仿宋" w:eastAsia="仿宋"/>
                      <w:color w:val="000000" w:themeColor="text1"/>
                      <w:szCs w:val="21"/>
                      <w14:textFill>
                        <w14:solidFill>
                          <w14:schemeClr w14:val="tx1"/>
                        </w14:solidFill>
                      </w14:textFill>
                    </w:rPr>
                    <w:t>）</w:t>
                  </w:r>
                </w:p>
              </w:tc>
            </w:tr>
            <w:tr w14:paraId="7C644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6" w:type="pct"/>
                  <w:tcBorders>
                    <w:top w:val="single" w:color="auto" w:sz="4" w:space="0"/>
                    <w:left w:val="single" w:color="auto" w:sz="4" w:space="0"/>
                    <w:bottom w:val="single" w:color="auto" w:sz="4" w:space="0"/>
                    <w:right w:val="single" w:color="auto" w:sz="4" w:space="0"/>
                  </w:tcBorders>
                  <w:vAlign w:val="center"/>
                </w:tcPr>
                <w:p w14:paraId="3E4E4501">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内径</w:t>
                  </w:r>
                  <w:r>
                    <w:rPr>
                      <w:rFonts w:eastAsia="仿宋"/>
                      <w:color w:val="000000" w:themeColor="text1"/>
                      <w:szCs w:val="21"/>
                      <w14:textFill>
                        <w14:solidFill>
                          <w14:schemeClr w14:val="tx1"/>
                        </w14:solidFill>
                      </w14:textFill>
                    </w:rPr>
                    <w:t>&gt;150mm</w:t>
                  </w:r>
                  <w:r>
                    <w:rPr>
                      <w:rFonts w:ascii="仿宋" w:hAnsi="仿宋" w:eastAsia="仿宋"/>
                      <w:color w:val="000000" w:themeColor="text1"/>
                      <w:szCs w:val="21"/>
                      <w14:textFill>
                        <w14:solidFill>
                          <w14:schemeClr w14:val="tx1"/>
                        </w14:solidFill>
                      </w14:textFill>
                    </w:rPr>
                    <w:t>的管道</w:t>
                  </w:r>
                </w:p>
              </w:tc>
              <w:tc>
                <w:tcPr>
                  <w:tcW w:w="2298" w:type="pct"/>
                  <w:tcBorders>
                    <w:top w:val="single" w:color="auto" w:sz="4" w:space="0"/>
                    <w:left w:val="single" w:color="auto" w:sz="4" w:space="0"/>
                    <w:bottom w:val="single" w:color="auto" w:sz="4" w:space="0"/>
                    <w:right w:val="single" w:color="auto" w:sz="4" w:space="0"/>
                  </w:tcBorders>
                  <w:vAlign w:val="center"/>
                </w:tcPr>
                <w:p w14:paraId="5BB9FCE5">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泄漏孔径为</w:t>
                  </w:r>
                  <w:r>
                    <w:rPr>
                      <w:rFonts w:eastAsia="仿宋"/>
                      <w:color w:val="000000" w:themeColor="text1"/>
                      <w:szCs w:val="21"/>
                      <w14:textFill>
                        <w14:solidFill>
                          <w14:schemeClr w14:val="tx1"/>
                        </w14:solidFill>
                      </w14:textFill>
                    </w:rPr>
                    <w:t>10%</w:t>
                  </w:r>
                  <w:r>
                    <w:rPr>
                      <w:rFonts w:ascii="仿宋" w:hAnsi="仿宋" w:eastAsia="仿宋"/>
                      <w:color w:val="000000" w:themeColor="text1"/>
                      <w:szCs w:val="21"/>
                      <w14:textFill>
                        <w14:solidFill>
                          <w14:schemeClr w14:val="tx1"/>
                        </w14:solidFill>
                      </w14:textFill>
                    </w:rPr>
                    <w:t>孔径（最大</w:t>
                  </w:r>
                  <w:r>
                    <w:rPr>
                      <w:rFonts w:eastAsia="仿宋"/>
                      <w:color w:val="000000" w:themeColor="text1"/>
                      <w:szCs w:val="21"/>
                      <w14:textFill>
                        <w14:solidFill>
                          <w14:schemeClr w14:val="tx1"/>
                        </w14:solidFill>
                      </w14:textFill>
                    </w:rPr>
                    <w:t>50mm</w:t>
                  </w:r>
                  <w:r>
                    <w:rPr>
                      <w:rFonts w:ascii="仿宋" w:hAnsi="仿宋" w:eastAsia="仿宋"/>
                      <w:color w:val="000000" w:themeColor="text1"/>
                      <w:szCs w:val="21"/>
                      <w14:textFill>
                        <w14:solidFill>
                          <w14:schemeClr w14:val="tx1"/>
                        </w14:solidFill>
                      </w14:textFill>
                    </w:rPr>
                    <w:t>）</w:t>
                  </w:r>
                </w:p>
                <w:p w14:paraId="0927CC9D">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全管径泄漏</w:t>
                  </w:r>
                </w:p>
              </w:tc>
              <w:tc>
                <w:tcPr>
                  <w:tcW w:w="1236" w:type="pct"/>
                  <w:tcBorders>
                    <w:top w:val="single" w:color="auto" w:sz="4" w:space="0"/>
                    <w:left w:val="single" w:color="auto" w:sz="4" w:space="0"/>
                    <w:bottom w:val="single" w:color="auto" w:sz="4" w:space="0"/>
                    <w:right w:val="single" w:color="auto" w:sz="4" w:space="0"/>
                  </w:tcBorders>
                  <w:vAlign w:val="center"/>
                </w:tcPr>
                <w:p w14:paraId="56E15A5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2.40×10</w:t>
                  </w:r>
                  <w:r>
                    <w:rPr>
                      <w:rFonts w:eastAsia="仿宋"/>
                      <w:color w:val="000000" w:themeColor="text1"/>
                      <w:szCs w:val="21"/>
                      <w:vertAlign w:val="superscript"/>
                      <w14:textFill>
                        <w14:solidFill>
                          <w14:schemeClr w14:val="tx1"/>
                        </w14:solidFill>
                      </w14:textFill>
                    </w:rPr>
                    <w:t>-6</w:t>
                  </w:r>
                  <w:r>
                    <w:rPr>
                      <w:rFonts w:eastAsia="仿宋"/>
                      <w:color w:val="000000" w:themeColor="text1"/>
                      <w:szCs w:val="21"/>
                      <w14:textFill>
                        <w14:solidFill>
                          <w14:schemeClr w14:val="tx1"/>
                        </w14:solidFill>
                      </w14:textFill>
                    </w:rPr>
                    <w:t>/</w:t>
                  </w: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m·a</w:t>
                  </w:r>
                  <w:r>
                    <w:rPr>
                      <w:rFonts w:ascii="仿宋" w:hAnsi="仿宋" w:eastAsia="仿宋"/>
                      <w:color w:val="000000" w:themeColor="text1"/>
                      <w:szCs w:val="21"/>
                      <w14:textFill>
                        <w14:solidFill>
                          <w14:schemeClr w14:val="tx1"/>
                        </w14:solidFill>
                      </w14:textFill>
                    </w:rPr>
                    <w:t>）</w:t>
                  </w:r>
                </w:p>
                <w:p w14:paraId="1E534AA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1.00×10</w:t>
                  </w:r>
                  <w:r>
                    <w:rPr>
                      <w:rFonts w:eastAsia="仿宋"/>
                      <w:color w:val="000000" w:themeColor="text1"/>
                      <w:szCs w:val="21"/>
                      <w:vertAlign w:val="superscript"/>
                      <w14:textFill>
                        <w14:solidFill>
                          <w14:schemeClr w14:val="tx1"/>
                        </w14:solidFill>
                      </w14:textFill>
                    </w:rPr>
                    <w:t>-7</w:t>
                  </w:r>
                  <w:r>
                    <w:rPr>
                      <w:rFonts w:eastAsia="仿宋"/>
                      <w:color w:val="000000" w:themeColor="text1"/>
                      <w:szCs w:val="21"/>
                      <w14:textFill>
                        <w14:solidFill>
                          <w14:schemeClr w14:val="tx1"/>
                        </w14:solidFill>
                      </w14:textFill>
                    </w:rPr>
                    <w:t>/</w:t>
                  </w:r>
                  <w:r>
                    <w:rPr>
                      <w:rFonts w:ascii="仿宋" w:hAnsi="仿宋"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m·a</w:t>
                  </w:r>
                  <w:r>
                    <w:rPr>
                      <w:rFonts w:ascii="仿宋" w:hAnsi="仿宋" w:eastAsia="仿宋"/>
                      <w:color w:val="000000" w:themeColor="text1"/>
                      <w:szCs w:val="21"/>
                      <w14:textFill>
                        <w14:solidFill>
                          <w14:schemeClr w14:val="tx1"/>
                        </w14:solidFill>
                      </w14:textFill>
                    </w:rPr>
                    <w:t>）</w:t>
                  </w:r>
                </w:p>
              </w:tc>
            </w:tr>
            <w:tr w14:paraId="046E5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6" w:type="pct"/>
                  <w:tcBorders>
                    <w:top w:val="single" w:color="auto" w:sz="4" w:space="0"/>
                    <w:left w:val="single" w:color="auto" w:sz="4" w:space="0"/>
                    <w:bottom w:val="single" w:color="auto" w:sz="4" w:space="0"/>
                    <w:right w:val="single" w:color="auto" w:sz="4" w:space="0"/>
                  </w:tcBorders>
                  <w:vAlign w:val="center"/>
                </w:tcPr>
                <w:p w14:paraId="2E573E80">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泵体和压缩机</w:t>
                  </w:r>
                </w:p>
              </w:tc>
              <w:tc>
                <w:tcPr>
                  <w:tcW w:w="2298" w:type="pct"/>
                  <w:tcBorders>
                    <w:top w:val="single" w:color="auto" w:sz="4" w:space="0"/>
                    <w:left w:val="single" w:color="auto" w:sz="4" w:space="0"/>
                    <w:bottom w:val="single" w:color="auto" w:sz="4" w:space="0"/>
                    <w:right w:val="single" w:color="auto" w:sz="4" w:space="0"/>
                  </w:tcBorders>
                  <w:vAlign w:val="center"/>
                </w:tcPr>
                <w:p w14:paraId="64058C8A">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泵体和压缩机最大连接管泄漏孔径为</w:t>
                  </w:r>
                  <w:r>
                    <w:rPr>
                      <w:rFonts w:eastAsia="仿宋"/>
                      <w:color w:val="000000" w:themeColor="text1"/>
                      <w:szCs w:val="21"/>
                      <w14:textFill>
                        <w14:solidFill>
                          <w14:schemeClr w14:val="tx1"/>
                        </w14:solidFill>
                      </w14:textFill>
                    </w:rPr>
                    <w:t>10%</w:t>
                  </w:r>
                  <w:r>
                    <w:rPr>
                      <w:rFonts w:ascii="仿宋" w:hAnsi="仿宋" w:eastAsia="仿宋"/>
                      <w:color w:val="000000" w:themeColor="text1"/>
                      <w:szCs w:val="21"/>
                      <w14:textFill>
                        <w14:solidFill>
                          <w14:schemeClr w14:val="tx1"/>
                        </w14:solidFill>
                      </w14:textFill>
                    </w:rPr>
                    <w:t>孔径（最大</w:t>
                  </w:r>
                  <w:r>
                    <w:rPr>
                      <w:rFonts w:eastAsia="仿宋"/>
                      <w:color w:val="000000" w:themeColor="text1"/>
                      <w:szCs w:val="21"/>
                      <w14:textFill>
                        <w14:solidFill>
                          <w14:schemeClr w14:val="tx1"/>
                        </w14:solidFill>
                      </w14:textFill>
                    </w:rPr>
                    <w:t>50mm</w:t>
                  </w:r>
                  <w:r>
                    <w:rPr>
                      <w:rFonts w:ascii="仿宋" w:hAnsi="仿宋" w:eastAsia="仿宋"/>
                      <w:color w:val="000000" w:themeColor="text1"/>
                      <w:szCs w:val="21"/>
                      <w14:textFill>
                        <w14:solidFill>
                          <w14:schemeClr w14:val="tx1"/>
                        </w14:solidFill>
                      </w14:textFill>
                    </w:rPr>
                    <w:t>）</w:t>
                  </w:r>
                </w:p>
                <w:p w14:paraId="43ED7462">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泵体和压缩机最大连接管全管径泄漏</w:t>
                  </w:r>
                </w:p>
              </w:tc>
              <w:tc>
                <w:tcPr>
                  <w:tcW w:w="1236" w:type="pct"/>
                  <w:tcBorders>
                    <w:top w:val="single" w:color="auto" w:sz="4" w:space="0"/>
                    <w:left w:val="single" w:color="auto" w:sz="4" w:space="0"/>
                    <w:bottom w:val="single" w:color="auto" w:sz="4" w:space="0"/>
                    <w:right w:val="single" w:color="auto" w:sz="4" w:space="0"/>
                  </w:tcBorders>
                  <w:vAlign w:val="center"/>
                </w:tcPr>
                <w:p w14:paraId="07969CC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5.00×10</w:t>
                  </w:r>
                  <w:r>
                    <w:rPr>
                      <w:rFonts w:eastAsia="仿宋"/>
                      <w:color w:val="000000" w:themeColor="text1"/>
                      <w:szCs w:val="21"/>
                      <w:vertAlign w:val="superscript"/>
                      <w14:textFill>
                        <w14:solidFill>
                          <w14:schemeClr w14:val="tx1"/>
                        </w14:solidFill>
                      </w14:textFill>
                    </w:rPr>
                    <w:t>-4</w:t>
                  </w:r>
                  <w:r>
                    <w:rPr>
                      <w:rFonts w:eastAsia="仿宋"/>
                      <w:color w:val="000000" w:themeColor="text1"/>
                      <w:szCs w:val="21"/>
                      <w14:textFill>
                        <w14:solidFill>
                          <w14:schemeClr w14:val="tx1"/>
                        </w14:solidFill>
                      </w14:textFill>
                    </w:rPr>
                    <w:t>/a</w:t>
                  </w:r>
                </w:p>
                <w:p w14:paraId="380A766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1.00×10</w:t>
                  </w:r>
                  <w:r>
                    <w:rPr>
                      <w:rFonts w:eastAsia="仿宋"/>
                      <w:color w:val="000000" w:themeColor="text1"/>
                      <w:szCs w:val="21"/>
                      <w:vertAlign w:val="superscript"/>
                      <w14:textFill>
                        <w14:solidFill>
                          <w14:schemeClr w14:val="tx1"/>
                        </w14:solidFill>
                      </w14:textFill>
                    </w:rPr>
                    <w:t>-4</w:t>
                  </w:r>
                  <w:r>
                    <w:rPr>
                      <w:rFonts w:eastAsia="仿宋"/>
                      <w:color w:val="000000" w:themeColor="text1"/>
                      <w:szCs w:val="21"/>
                      <w14:textFill>
                        <w14:solidFill>
                          <w14:schemeClr w14:val="tx1"/>
                        </w14:solidFill>
                      </w14:textFill>
                    </w:rPr>
                    <w:t>/a</w:t>
                  </w:r>
                </w:p>
              </w:tc>
            </w:tr>
            <w:tr w14:paraId="30DEE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6" w:type="pct"/>
                  <w:tcBorders>
                    <w:top w:val="single" w:color="auto" w:sz="4" w:space="0"/>
                    <w:left w:val="single" w:color="auto" w:sz="4" w:space="0"/>
                    <w:bottom w:val="single" w:color="auto" w:sz="4" w:space="0"/>
                    <w:right w:val="single" w:color="auto" w:sz="4" w:space="0"/>
                  </w:tcBorders>
                  <w:vAlign w:val="center"/>
                </w:tcPr>
                <w:p w14:paraId="179459CC">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装卸臂</w:t>
                  </w:r>
                </w:p>
              </w:tc>
              <w:tc>
                <w:tcPr>
                  <w:tcW w:w="2298" w:type="pct"/>
                  <w:tcBorders>
                    <w:top w:val="single" w:color="auto" w:sz="4" w:space="0"/>
                    <w:left w:val="single" w:color="auto" w:sz="4" w:space="0"/>
                    <w:bottom w:val="single" w:color="auto" w:sz="4" w:space="0"/>
                    <w:right w:val="single" w:color="auto" w:sz="4" w:space="0"/>
                  </w:tcBorders>
                  <w:vAlign w:val="center"/>
                </w:tcPr>
                <w:p w14:paraId="31459B09">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装卸臂连接管泄漏孔径为</w:t>
                  </w:r>
                  <w:r>
                    <w:rPr>
                      <w:rFonts w:eastAsia="仿宋"/>
                      <w:color w:val="000000" w:themeColor="text1"/>
                      <w:szCs w:val="21"/>
                      <w14:textFill>
                        <w14:solidFill>
                          <w14:schemeClr w14:val="tx1"/>
                        </w14:solidFill>
                      </w14:textFill>
                    </w:rPr>
                    <w:t>10%</w:t>
                  </w:r>
                  <w:r>
                    <w:rPr>
                      <w:rFonts w:ascii="仿宋" w:hAnsi="仿宋" w:eastAsia="仿宋"/>
                      <w:color w:val="000000" w:themeColor="text1"/>
                      <w:szCs w:val="21"/>
                      <w14:textFill>
                        <w14:solidFill>
                          <w14:schemeClr w14:val="tx1"/>
                        </w14:solidFill>
                      </w14:textFill>
                    </w:rPr>
                    <w:t>孔径（最大</w:t>
                  </w:r>
                  <w:r>
                    <w:rPr>
                      <w:rFonts w:eastAsia="仿宋"/>
                      <w:color w:val="000000" w:themeColor="text1"/>
                      <w:szCs w:val="21"/>
                      <w14:textFill>
                        <w14:solidFill>
                          <w14:schemeClr w14:val="tx1"/>
                        </w14:solidFill>
                      </w14:textFill>
                    </w:rPr>
                    <w:t>50mm</w:t>
                  </w:r>
                  <w:r>
                    <w:rPr>
                      <w:rFonts w:ascii="仿宋" w:hAnsi="仿宋" w:eastAsia="仿宋"/>
                      <w:color w:val="000000" w:themeColor="text1"/>
                      <w:szCs w:val="21"/>
                      <w14:textFill>
                        <w14:solidFill>
                          <w14:schemeClr w14:val="tx1"/>
                        </w14:solidFill>
                      </w14:textFill>
                    </w:rPr>
                    <w:t>）</w:t>
                  </w:r>
                </w:p>
                <w:p w14:paraId="56597D63">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装卸臂全管径泄漏</w:t>
                  </w:r>
                </w:p>
              </w:tc>
              <w:tc>
                <w:tcPr>
                  <w:tcW w:w="1236" w:type="pct"/>
                  <w:tcBorders>
                    <w:top w:val="single" w:color="auto" w:sz="4" w:space="0"/>
                    <w:left w:val="single" w:color="auto" w:sz="4" w:space="0"/>
                    <w:bottom w:val="single" w:color="auto" w:sz="4" w:space="0"/>
                    <w:right w:val="single" w:color="auto" w:sz="4" w:space="0"/>
                  </w:tcBorders>
                  <w:vAlign w:val="center"/>
                </w:tcPr>
                <w:p w14:paraId="422C25F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3.00×10</w:t>
                  </w:r>
                  <w:r>
                    <w:rPr>
                      <w:rFonts w:eastAsia="仿宋"/>
                      <w:color w:val="000000" w:themeColor="text1"/>
                      <w:szCs w:val="21"/>
                      <w:vertAlign w:val="superscript"/>
                      <w14:textFill>
                        <w14:solidFill>
                          <w14:schemeClr w14:val="tx1"/>
                        </w14:solidFill>
                      </w14:textFill>
                    </w:rPr>
                    <w:t>-7</w:t>
                  </w:r>
                  <w:r>
                    <w:rPr>
                      <w:rFonts w:eastAsia="仿宋"/>
                      <w:color w:val="000000" w:themeColor="text1"/>
                      <w:szCs w:val="21"/>
                      <w14:textFill>
                        <w14:solidFill>
                          <w14:schemeClr w14:val="tx1"/>
                        </w14:solidFill>
                      </w14:textFill>
                    </w:rPr>
                    <w:t>/h</w:t>
                  </w:r>
                </w:p>
                <w:p w14:paraId="32BA51B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3.00×10</w:t>
                  </w:r>
                  <w:r>
                    <w:rPr>
                      <w:rFonts w:eastAsia="仿宋"/>
                      <w:color w:val="000000" w:themeColor="text1"/>
                      <w:szCs w:val="21"/>
                      <w:vertAlign w:val="superscript"/>
                      <w14:textFill>
                        <w14:solidFill>
                          <w14:schemeClr w14:val="tx1"/>
                        </w14:solidFill>
                      </w14:textFill>
                    </w:rPr>
                    <w:t>-8</w:t>
                  </w:r>
                  <w:r>
                    <w:rPr>
                      <w:rFonts w:eastAsia="仿宋"/>
                      <w:color w:val="000000" w:themeColor="text1"/>
                      <w:szCs w:val="21"/>
                      <w14:textFill>
                        <w14:solidFill>
                          <w14:schemeClr w14:val="tx1"/>
                        </w14:solidFill>
                      </w14:textFill>
                    </w:rPr>
                    <w:t>/h</w:t>
                  </w:r>
                </w:p>
              </w:tc>
            </w:tr>
            <w:tr w14:paraId="15823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66" w:type="pct"/>
                  <w:tcBorders>
                    <w:top w:val="single" w:color="auto" w:sz="4" w:space="0"/>
                    <w:left w:val="single" w:color="auto" w:sz="4" w:space="0"/>
                    <w:bottom w:val="single" w:color="auto" w:sz="4" w:space="0"/>
                    <w:right w:val="single" w:color="auto" w:sz="4" w:space="0"/>
                  </w:tcBorders>
                  <w:vAlign w:val="center"/>
                </w:tcPr>
                <w:p w14:paraId="72ABCB4F">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装卸软管</w:t>
                  </w:r>
                </w:p>
              </w:tc>
              <w:tc>
                <w:tcPr>
                  <w:tcW w:w="2298" w:type="pct"/>
                  <w:tcBorders>
                    <w:top w:val="single" w:color="auto" w:sz="4" w:space="0"/>
                    <w:left w:val="single" w:color="auto" w:sz="4" w:space="0"/>
                    <w:bottom w:val="single" w:color="auto" w:sz="4" w:space="0"/>
                    <w:right w:val="single" w:color="auto" w:sz="4" w:space="0"/>
                  </w:tcBorders>
                  <w:vAlign w:val="center"/>
                </w:tcPr>
                <w:p w14:paraId="43A381D2">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装卸软管连接管泄漏孔径为</w:t>
                  </w:r>
                  <w:r>
                    <w:rPr>
                      <w:rFonts w:eastAsia="仿宋"/>
                      <w:color w:val="000000" w:themeColor="text1"/>
                      <w:szCs w:val="21"/>
                      <w14:textFill>
                        <w14:solidFill>
                          <w14:schemeClr w14:val="tx1"/>
                        </w14:solidFill>
                      </w14:textFill>
                    </w:rPr>
                    <w:t>10%</w:t>
                  </w:r>
                  <w:r>
                    <w:rPr>
                      <w:rFonts w:ascii="仿宋" w:hAnsi="仿宋" w:eastAsia="仿宋"/>
                      <w:color w:val="000000" w:themeColor="text1"/>
                      <w:szCs w:val="21"/>
                      <w14:textFill>
                        <w14:solidFill>
                          <w14:schemeClr w14:val="tx1"/>
                        </w14:solidFill>
                      </w14:textFill>
                    </w:rPr>
                    <w:t>孔径（最大</w:t>
                  </w:r>
                  <w:r>
                    <w:rPr>
                      <w:rFonts w:eastAsia="仿宋"/>
                      <w:color w:val="000000" w:themeColor="text1"/>
                      <w:szCs w:val="21"/>
                      <w14:textFill>
                        <w14:solidFill>
                          <w14:schemeClr w14:val="tx1"/>
                        </w14:solidFill>
                      </w14:textFill>
                    </w:rPr>
                    <w:t>50mm</w:t>
                  </w:r>
                  <w:r>
                    <w:rPr>
                      <w:rFonts w:ascii="仿宋" w:hAnsi="仿宋" w:eastAsia="仿宋"/>
                      <w:color w:val="000000" w:themeColor="text1"/>
                      <w:szCs w:val="21"/>
                      <w14:textFill>
                        <w14:solidFill>
                          <w14:schemeClr w14:val="tx1"/>
                        </w14:solidFill>
                      </w14:textFill>
                    </w:rPr>
                    <w:t>）</w:t>
                  </w:r>
                </w:p>
                <w:p w14:paraId="72B83352">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装卸软管全管径泄漏</w:t>
                  </w:r>
                </w:p>
              </w:tc>
              <w:tc>
                <w:tcPr>
                  <w:tcW w:w="1236" w:type="pct"/>
                  <w:tcBorders>
                    <w:top w:val="single" w:color="auto" w:sz="4" w:space="0"/>
                    <w:left w:val="single" w:color="auto" w:sz="4" w:space="0"/>
                    <w:bottom w:val="single" w:color="auto" w:sz="4" w:space="0"/>
                    <w:right w:val="single" w:color="auto" w:sz="4" w:space="0"/>
                  </w:tcBorders>
                  <w:vAlign w:val="center"/>
                </w:tcPr>
                <w:p w14:paraId="1F95CF6C">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4.00×10</w:t>
                  </w:r>
                  <w:r>
                    <w:rPr>
                      <w:rFonts w:eastAsia="仿宋"/>
                      <w:color w:val="000000" w:themeColor="text1"/>
                      <w:szCs w:val="21"/>
                      <w:vertAlign w:val="superscript"/>
                      <w14:textFill>
                        <w14:solidFill>
                          <w14:schemeClr w14:val="tx1"/>
                        </w14:solidFill>
                      </w14:textFill>
                    </w:rPr>
                    <w:t>-5</w:t>
                  </w:r>
                  <w:r>
                    <w:rPr>
                      <w:rFonts w:eastAsia="仿宋"/>
                      <w:color w:val="000000" w:themeColor="text1"/>
                      <w:szCs w:val="21"/>
                      <w14:textFill>
                        <w14:solidFill>
                          <w14:schemeClr w14:val="tx1"/>
                        </w14:solidFill>
                      </w14:textFill>
                    </w:rPr>
                    <w:t>/h</w:t>
                  </w:r>
                </w:p>
                <w:p w14:paraId="514314CF">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4.00×10</w:t>
                  </w:r>
                  <w:r>
                    <w:rPr>
                      <w:rFonts w:eastAsia="仿宋"/>
                      <w:color w:val="000000" w:themeColor="text1"/>
                      <w:szCs w:val="21"/>
                      <w:vertAlign w:val="superscript"/>
                      <w14:textFill>
                        <w14:solidFill>
                          <w14:schemeClr w14:val="tx1"/>
                        </w14:solidFill>
                      </w14:textFill>
                    </w:rPr>
                    <w:t>-6</w:t>
                  </w:r>
                  <w:r>
                    <w:rPr>
                      <w:rFonts w:eastAsia="仿宋"/>
                      <w:color w:val="000000" w:themeColor="text1"/>
                      <w:szCs w:val="21"/>
                      <w14:textFill>
                        <w14:solidFill>
                          <w14:schemeClr w14:val="tx1"/>
                        </w14:solidFill>
                      </w14:textFill>
                    </w:rPr>
                    <w:t>/h</w:t>
                  </w:r>
                </w:p>
              </w:tc>
            </w:tr>
          </w:tbl>
          <w:p w14:paraId="40050016">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物料泄漏主要原因包括垫圈破损、仪表失灵、连接密封不良等，具体见下表。</w:t>
            </w:r>
          </w:p>
          <w:p w14:paraId="1AE115B9">
            <w:pPr>
              <w:spacing w:line="480" w:lineRule="exact"/>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表4-41 物料泄漏事故原因统计表</w:t>
            </w:r>
          </w:p>
          <w:tbl>
            <w:tblPr>
              <w:tblStyle w:val="24"/>
              <w:tblW w:w="80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2129"/>
              <w:gridCol w:w="2299"/>
              <w:gridCol w:w="2151"/>
            </w:tblGrid>
            <w:tr w14:paraId="157B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449" w:type="dxa"/>
                  <w:tcBorders>
                    <w:top w:val="single" w:color="auto" w:sz="4" w:space="0"/>
                    <w:left w:val="single" w:color="auto" w:sz="4" w:space="0"/>
                    <w:bottom w:val="single" w:color="auto" w:sz="4" w:space="0"/>
                    <w:right w:val="single" w:color="auto" w:sz="4" w:space="0"/>
                  </w:tcBorders>
                  <w:vAlign w:val="center"/>
                </w:tcPr>
                <w:p w14:paraId="480B29DB">
                  <w:pPr>
                    <w:snapToGrid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序号</w:t>
                  </w:r>
                </w:p>
              </w:tc>
              <w:tc>
                <w:tcPr>
                  <w:tcW w:w="2128" w:type="dxa"/>
                  <w:tcBorders>
                    <w:top w:val="single" w:color="auto" w:sz="4" w:space="0"/>
                    <w:left w:val="single" w:color="auto" w:sz="4" w:space="0"/>
                    <w:bottom w:val="single" w:color="auto" w:sz="4" w:space="0"/>
                    <w:right w:val="single" w:color="auto" w:sz="4" w:space="0"/>
                  </w:tcBorders>
                  <w:vAlign w:val="center"/>
                </w:tcPr>
                <w:p w14:paraId="6F51939E">
                  <w:pPr>
                    <w:snapToGrid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事故原因</w:t>
                  </w:r>
                </w:p>
              </w:tc>
              <w:tc>
                <w:tcPr>
                  <w:tcW w:w="2299" w:type="dxa"/>
                  <w:tcBorders>
                    <w:top w:val="single" w:color="auto" w:sz="4" w:space="0"/>
                    <w:left w:val="single" w:color="auto" w:sz="4" w:space="0"/>
                    <w:bottom w:val="single" w:color="auto" w:sz="4" w:space="0"/>
                    <w:right w:val="single" w:color="auto" w:sz="4" w:space="0"/>
                  </w:tcBorders>
                  <w:vAlign w:val="center"/>
                </w:tcPr>
                <w:p w14:paraId="2799052B">
                  <w:pPr>
                    <w:snapToGrid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发生概率（次</w:t>
                  </w:r>
                  <w:r>
                    <w:rPr>
                      <w:rFonts w:eastAsia="仿宋"/>
                      <w:b/>
                      <w:bCs/>
                      <w:color w:val="000000" w:themeColor="text1"/>
                      <w:szCs w:val="21"/>
                      <w14:textFill>
                        <w14:solidFill>
                          <w14:schemeClr w14:val="tx1"/>
                        </w14:solidFill>
                      </w14:textFill>
                    </w:rPr>
                    <w:t>/</w:t>
                  </w:r>
                  <w:r>
                    <w:rPr>
                      <w:rFonts w:ascii="仿宋" w:hAnsi="仿宋" w:eastAsia="仿宋"/>
                      <w:b/>
                      <w:bCs/>
                      <w:color w:val="000000" w:themeColor="text1"/>
                      <w:szCs w:val="21"/>
                      <w14:textFill>
                        <w14:solidFill>
                          <w14:schemeClr w14:val="tx1"/>
                        </w14:solidFill>
                      </w14:textFill>
                    </w:rPr>
                    <w:t>年）</w:t>
                  </w:r>
                </w:p>
              </w:tc>
              <w:tc>
                <w:tcPr>
                  <w:tcW w:w="2151" w:type="dxa"/>
                  <w:tcBorders>
                    <w:top w:val="single" w:color="auto" w:sz="4" w:space="0"/>
                    <w:left w:val="single" w:color="auto" w:sz="4" w:space="0"/>
                    <w:bottom w:val="single" w:color="auto" w:sz="4" w:space="0"/>
                    <w:right w:val="single" w:color="auto" w:sz="4" w:space="0"/>
                  </w:tcBorders>
                  <w:vAlign w:val="center"/>
                </w:tcPr>
                <w:p w14:paraId="34680456">
                  <w:pPr>
                    <w:snapToGrid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占比例（</w:t>
                  </w:r>
                  <w:r>
                    <w:rPr>
                      <w:rFonts w:eastAsia="仿宋"/>
                      <w:b/>
                      <w:bCs/>
                      <w:color w:val="000000" w:themeColor="text1"/>
                      <w:szCs w:val="21"/>
                      <w14:textFill>
                        <w14:solidFill>
                          <w14:schemeClr w14:val="tx1"/>
                        </w14:solidFill>
                      </w14:textFill>
                    </w:rPr>
                    <w:t>%</w:t>
                  </w:r>
                  <w:r>
                    <w:rPr>
                      <w:rFonts w:ascii="仿宋" w:hAnsi="仿宋" w:eastAsia="仿宋"/>
                      <w:b/>
                      <w:bCs/>
                      <w:color w:val="000000" w:themeColor="text1"/>
                      <w:szCs w:val="21"/>
                      <w14:textFill>
                        <w14:solidFill>
                          <w14:schemeClr w14:val="tx1"/>
                        </w14:solidFill>
                      </w14:textFill>
                    </w:rPr>
                    <w:t>）</w:t>
                  </w:r>
                </w:p>
              </w:tc>
            </w:tr>
            <w:tr w14:paraId="6251F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449" w:type="dxa"/>
                  <w:tcBorders>
                    <w:top w:val="single" w:color="auto" w:sz="4" w:space="0"/>
                    <w:left w:val="single" w:color="auto" w:sz="4" w:space="0"/>
                    <w:bottom w:val="single" w:color="auto" w:sz="4" w:space="0"/>
                    <w:right w:val="single" w:color="auto" w:sz="4" w:space="0"/>
                  </w:tcBorders>
                  <w:vAlign w:val="center"/>
                </w:tcPr>
                <w:p w14:paraId="2E0ED2B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2128" w:type="dxa"/>
                  <w:tcBorders>
                    <w:top w:val="single" w:color="auto" w:sz="4" w:space="0"/>
                    <w:left w:val="single" w:color="auto" w:sz="4" w:space="0"/>
                    <w:bottom w:val="single" w:color="auto" w:sz="4" w:space="0"/>
                    <w:right w:val="single" w:color="auto" w:sz="4" w:space="0"/>
                  </w:tcBorders>
                  <w:vAlign w:val="center"/>
                </w:tcPr>
                <w:p w14:paraId="09B7189E">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垫圈破损</w:t>
                  </w:r>
                </w:p>
              </w:tc>
              <w:tc>
                <w:tcPr>
                  <w:tcW w:w="2299" w:type="dxa"/>
                  <w:tcBorders>
                    <w:top w:val="single" w:color="auto" w:sz="4" w:space="0"/>
                    <w:left w:val="single" w:color="auto" w:sz="4" w:space="0"/>
                    <w:bottom w:val="single" w:color="auto" w:sz="4" w:space="0"/>
                    <w:right w:val="single" w:color="auto" w:sz="4" w:space="0"/>
                  </w:tcBorders>
                  <w:vAlign w:val="center"/>
                </w:tcPr>
                <w:p w14:paraId="50382037">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2.5</w:t>
                  </w:r>
                  <w:r>
                    <w:rPr>
                      <w:rFonts w:ascii="Symbol" w:hAnsi="Symbol"/>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10</w:t>
                  </w:r>
                  <w:r>
                    <w:rPr>
                      <w:rFonts w:eastAsia="仿宋"/>
                      <w:color w:val="000000" w:themeColor="text1"/>
                      <w:szCs w:val="21"/>
                      <w:vertAlign w:val="superscript"/>
                      <w14:textFill>
                        <w14:solidFill>
                          <w14:schemeClr w14:val="tx1"/>
                        </w14:solidFill>
                      </w14:textFill>
                    </w:rPr>
                    <w:t>-2</w:t>
                  </w:r>
                </w:p>
              </w:tc>
              <w:tc>
                <w:tcPr>
                  <w:tcW w:w="2151" w:type="dxa"/>
                  <w:tcBorders>
                    <w:top w:val="single" w:color="auto" w:sz="4" w:space="0"/>
                    <w:left w:val="single" w:color="auto" w:sz="4" w:space="0"/>
                    <w:bottom w:val="single" w:color="auto" w:sz="4" w:space="0"/>
                    <w:right w:val="single" w:color="auto" w:sz="4" w:space="0"/>
                  </w:tcBorders>
                  <w:vAlign w:val="center"/>
                </w:tcPr>
                <w:p w14:paraId="1438CE6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46.1</w:t>
                  </w:r>
                </w:p>
              </w:tc>
            </w:tr>
            <w:tr w14:paraId="387DF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449" w:type="dxa"/>
                  <w:tcBorders>
                    <w:top w:val="single" w:color="auto" w:sz="4" w:space="0"/>
                    <w:left w:val="single" w:color="auto" w:sz="4" w:space="0"/>
                    <w:bottom w:val="single" w:color="auto" w:sz="4" w:space="0"/>
                    <w:right w:val="single" w:color="auto" w:sz="4" w:space="0"/>
                  </w:tcBorders>
                  <w:vAlign w:val="center"/>
                </w:tcPr>
                <w:p w14:paraId="7E8B6BD8">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2128" w:type="dxa"/>
                  <w:tcBorders>
                    <w:top w:val="single" w:color="auto" w:sz="4" w:space="0"/>
                    <w:left w:val="single" w:color="auto" w:sz="4" w:space="0"/>
                    <w:bottom w:val="single" w:color="auto" w:sz="4" w:space="0"/>
                    <w:right w:val="single" w:color="auto" w:sz="4" w:space="0"/>
                  </w:tcBorders>
                  <w:vAlign w:val="center"/>
                </w:tcPr>
                <w:p w14:paraId="45B52FBC">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仪表失灵</w:t>
                  </w:r>
                </w:p>
              </w:tc>
              <w:tc>
                <w:tcPr>
                  <w:tcW w:w="2299" w:type="dxa"/>
                  <w:tcBorders>
                    <w:top w:val="single" w:color="auto" w:sz="4" w:space="0"/>
                    <w:left w:val="single" w:color="auto" w:sz="4" w:space="0"/>
                    <w:bottom w:val="single" w:color="auto" w:sz="4" w:space="0"/>
                    <w:right w:val="single" w:color="auto" w:sz="4" w:space="0"/>
                  </w:tcBorders>
                  <w:vAlign w:val="center"/>
                </w:tcPr>
                <w:p w14:paraId="52F5194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8.3</w:t>
                  </w:r>
                  <w:r>
                    <w:rPr>
                      <w:rFonts w:ascii="Symbol" w:hAnsi="Symbol"/>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10</w:t>
                  </w:r>
                  <w:r>
                    <w:rPr>
                      <w:rFonts w:eastAsia="仿宋"/>
                      <w:color w:val="000000" w:themeColor="text1"/>
                      <w:szCs w:val="21"/>
                      <w:vertAlign w:val="superscript"/>
                      <w14:textFill>
                        <w14:solidFill>
                          <w14:schemeClr w14:val="tx1"/>
                        </w14:solidFill>
                      </w14:textFill>
                    </w:rPr>
                    <w:t>-3</w:t>
                  </w:r>
                </w:p>
              </w:tc>
              <w:tc>
                <w:tcPr>
                  <w:tcW w:w="2151" w:type="dxa"/>
                  <w:tcBorders>
                    <w:top w:val="single" w:color="auto" w:sz="4" w:space="0"/>
                    <w:left w:val="single" w:color="auto" w:sz="4" w:space="0"/>
                    <w:bottom w:val="single" w:color="auto" w:sz="4" w:space="0"/>
                    <w:right w:val="single" w:color="auto" w:sz="4" w:space="0"/>
                  </w:tcBorders>
                  <w:vAlign w:val="center"/>
                </w:tcPr>
                <w:p w14:paraId="1FD7E52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15.4</w:t>
                  </w:r>
                </w:p>
              </w:tc>
            </w:tr>
            <w:tr w14:paraId="0D6C7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449" w:type="dxa"/>
                  <w:tcBorders>
                    <w:top w:val="single" w:color="auto" w:sz="4" w:space="0"/>
                    <w:left w:val="single" w:color="auto" w:sz="4" w:space="0"/>
                    <w:bottom w:val="single" w:color="auto" w:sz="4" w:space="0"/>
                    <w:right w:val="single" w:color="auto" w:sz="4" w:space="0"/>
                  </w:tcBorders>
                  <w:vAlign w:val="center"/>
                </w:tcPr>
                <w:p w14:paraId="530BB1B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2128" w:type="dxa"/>
                  <w:tcBorders>
                    <w:top w:val="single" w:color="auto" w:sz="4" w:space="0"/>
                    <w:left w:val="single" w:color="auto" w:sz="4" w:space="0"/>
                    <w:bottom w:val="single" w:color="auto" w:sz="4" w:space="0"/>
                    <w:right w:val="single" w:color="auto" w:sz="4" w:space="0"/>
                  </w:tcBorders>
                  <w:vAlign w:val="center"/>
                </w:tcPr>
                <w:p w14:paraId="02AC9804">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连接密封不良</w:t>
                  </w:r>
                </w:p>
              </w:tc>
              <w:tc>
                <w:tcPr>
                  <w:tcW w:w="2299" w:type="dxa"/>
                  <w:tcBorders>
                    <w:top w:val="single" w:color="auto" w:sz="4" w:space="0"/>
                    <w:left w:val="single" w:color="auto" w:sz="4" w:space="0"/>
                    <w:bottom w:val="single" w:color="auto" w:sz="4" w:space="0"/>
                    <w:right w:val="single" w:color="auto" w:sz="4" w:space="0"/>
                  </w:tcBorders>
                  <w:vAlign w:val="center"/>
                </w:tcPr>
                <w:p w14:paraId="3250743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8.3</w:t>
                  </w:r>
                  <w:r>
                    <w:rPr>
                      <w:rFonts w:ascii="Symbol" w:hAnsi="Symbol"/>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10</w:t>
                  </w:r>
                  <w:r>
                    <w:rPr>
                      <w:rFonts w:eastAsia="仿宋"/>
                      <w:color w:val="000000" w:themeColor="text1"/>
                      <w:szCs w:val="21"/>
                      <w:vertAlign w:val="superscript"/>
                      <w14:textFill>
                        <w14:solidFill>
                          <w14:schemeClr w14:val="tx1"/>
                        </w14:solidFill>
                      </w14:textFill>
                    </w:rPr>
                    <w:t>-3</w:t>
                  </w:r>
                </w:p>
              </w:tc>
              <w:tc>
                <w:tcPr>
                  <w:tcW w:w="2151" w:type="dxa"/>
                  <w:tcBorders>
                    <w:top w:val="single" w:color="auto" w:sz="4" w:space="0"/>
                    <w:left w:val="single" w:color="auto" w:sz="4" w:space="0"/>
                    <w:bottom w:val="single" w:color="auto" w:sz="4" w:space="0"/>
                    <w:right w:val="single" w:color="auto" w:sz="4" w:space="0"/>
                  </w:tcBorders>
                  <w:vAlign w:val="center"/>
                </w:tcPr>
                <w:p w14:paraId="53876CF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15.4</w:t>
                  </w:r>
                </w:p>
              </w:tc>
            </w:tr>
            <w:tr w14:paraId="5890E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449" w:type="dxa"/>
                  <w:tcBorders>
                    <w:top w:val="single" w:color="auto" w:sz="4" w:space="0"/>
                    <w:left w:val="single" w:color="auto" w:sz="4" w:space="0"/>
                    <w:bottom w:val="single" w:color="auto" w:sz="4" w:space="0"/>
                    <w:right w:val="single" w:color="auto" w:sz="4" w:space="0"/>
                  </w:tcBorders>
                  <w:vAlign w:val="center"/>
                </w:tcPr>
                <w:p w14:paraId="15BC5F5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w:t>
                  </w:r>
                </w:p>
              </w:tc>
              <w:tc>
                <w:tcPr>
                  <w:tcW w:w="2128" w:type="dxa"/>
                  <w:tcBorders>
                    <w:top w:val="single" w:color="auto" w:sz="4" w:space="0"/>
                    <w:left w:val="single" w:color="auto" w:sz="4" w:space="0"/>
                    <w:bottom w:val="single" w:color="auto" w:sz="4" w:space="0"/>
                    <w:right w:val="single" w:color="auto" w:sz="4" w:space="0"/>
                  </w:tcBorders>
                  <w:vAlign w:val="center"/>
                </w:tcPr>
                <w:p w14:paraId="76A1F826">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泵故障</w:t>
                  </w:r>
                </w:p>
              </w:tc>
              <w:tc>
                <w:tcPr>
                  <w:tcW w:w="2299" w:type="dxa"/>
                  <w:tcBorders>
                    <w:top w:val="single" w:color="auto" w:sz="4" w:space="0"/>
                    <w:left w:val="single" w:color="auto" w:sz="4" w:space="0"/>
                    <w:bottom w:val="single" w:color="auto" w:sz="4" w:space="0"/>
                    <w:right w:val="single" w:color="auto" w:sz="4" w:space="0"/>
                  </w:tcBorders>
                  <w:vAlign w:val="center"/>
                </w:tcPr>
                <w:p w14:paraId="3EB9B374">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4.2</w:t>
                  </w:r>
                  <w:r>
                    <w:rPr>
                      <w:rFonts w:ascii="Symbol" w:hAnsi="Symbol"/>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10</w:t>
                  </w:r>
                  <w:r>
                    <w:rPr>
                      <w:rFonts w:eastAsia="仿宋"/>
                      <w:color w:val="000000" w:themeColor="text1"/>
                      <w:szCs w:val="21"/>
                      <w:vertAlign w:val="superscript"/>
                      <w14:textFill>
                        <w14:solidFill>
                          <w14:schemeClr w14:val="tx1"/>
                        </w14:solidFill>
                      </w14:textFill>
                    </w:rPr>
                    <w:t>-3</w:t>
                  </w:r>
                </w:p>
              </w:tc>
              <w:tc>
                <w:tcPr>
                  <w:tcW w:w="2151" w:type="dxa"/>
                  <w:tcBorders>
                    <w:top w:val="single" w:color="auto" w:sz="4" w:space="0"/>
                    <w:left w:val="single" w:color="auto" w:sz="4" w:space="0"/>
                    <w:bottom w:val="single" w:color="auto" w:sz="4" w:space="0"/>
                    <w:right w:val="single" w:color="auto" w:sz="4" w:space="0"/>
                  </w:tcBorders>
                  <w:vAlign w:val="center"/>
                </w:tcPr>
                <w:p w14:paraId="7526477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7.7</w:t>
                  </w:r>
                </w:p>
              </w:tc>
            </w:tr>
            <w:tr w14:paraId="69813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1449" w:type="dxa"/>
                  <w:tcBorders>
                    <w:top w:val="single" w:color="auto" w:sz="4" w:space="0"/>
                    <w:left w:val="single" w:color="auto" w:sz="4" w:space="0"/>
                    <w:bottom w:val="single" w:color="auto" w:sz="4" w:space="0"/>
                    <w:right w:val="single" w:color="auto" w:sz="4" w:space="0"/>
                  </w:tcBorders>
                  <w:vAlign w:val="center"/>
                </w:tcPr>
                <w:p w14:paraId="4918448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w:t>
                  </w:r>
                </w:p>
              </w:tc>
              <w:tc>
                <w:tcPr>
                  <w:tcW w:w="2128" w:type="dxa"/>
                  <w:tcBorders>
                    <w:top w:val="single" w:color="auto" w:sz="4" w:space="0"/>
                    <w:left w:val="single" w:color="auto" w:sz="4" w:space="0"/>
                    <w:bottom w:val="single" w:color="auto" w:sz="4" w:space="0"/>
                    <w:right w:val="single" w:color="auto" w:sz="4" w:space="0"/>
                  </w:tcBorders>
                  <w:vAlign w:val="center"/>
                </w:tcPr>
                <w:p w14:paraId="430A2E69">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人为事故</w:t>
                  </w:r>
                </w:p>
              </w:tc>
              <w:tc>
                <w:tcPr>
                  <w:tcW w:w="2299" w:type="dxa"/>
                  <w:tcBorders>
                    <w:top w:val="single" w:color="auto" w:sz="4" w:space="0"/>
                    <w:left w:val="single" w:color="auto" w:sz="4" w:space="0"/>
                    <w:bottom w:val="single" w:color="auto" w:sz="4" w:space="0"/>
                    <w:right w:val="single" w:color="auto" w:sz="4" w:space="0"/>
                  </w:tcBorders>
                  <w:vAlign w:val="center"/>
                </w:tcPr>
                <w:p w14:paraId="78A3488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8.3</w:t>
                  </w:r>
                  <w:r>
                    <w:rPr>
                      <w:rFonts w:ascii="Symbol" w:hAnsi="Symbol"/>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10</w:t>
                  </w:r>
                  <w:r>
                    <w:rPr>
                      <w:rFonts w:eastAsia="仿宋"/>
                      <w:color w:val="000000" w:themeColor="text1"/>
                      <w:szCs w:val="21"/>
                      <w:vertAlign w:val="superscript"/>
                      <w14:textFill>
                        <w14:solidFill>
                          <w14:schemeClr w14:val="tx1"/>
                        </w14:solidFill>
                      </w14:textFill>
                    </w:rPr>
                    <w:t>-3</w:t>
                  </w:r>
                </w:p>
              </w:tc>
              <w:tc>
                <w:tcPr>
                  <w:tcW w:w="2151" w:type="dxa"/>
                  <w:tcBorders>
                    <w:top w:val="single" w:color="auto" w:sz="4" w:space="0"/>
                    <w:left w:val="single" w:color="auto" w:sz="4" w:space="0"/>
                    <w:bottom w:val="single" w:color="auto" w:sz="4" w:space="0"/>
                    <w:right w:val="single" w:color="auto" w:sz="4" w:space="0"/>
                  </w:tcBorders>
                  <w:vAlign w:val="center"/>
                </w:tcPr>
                <w:p w14:paraId="2B229A2B">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15.4</w:t>
                  </w:r>
                </w:p>
              </w:tc>
            </w:tr>
            <w:tr w14:paraId="4DB3A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3578" w:type="dxa"/>
                  <w:gridSpan w:val="2"/>
                  <w:tcBorders>
                    <w:top w:val="single" w:color="auto" w:sz="4" w:space="0"/>
                    <w:left w:val="single" w:color="auto" w:sz="4" w:space="0"/>
                    <w:bottom w:val="single" w:color="auto" w:sz="4" w:space="0"/>
                    <w:right w:val="single" w:color="auto" w:sz="4" w:space="0"/>
                  </w:tcBorders>
                  <w:vAlign w:val="center"/>
                </w:tcPr>
                <w:p w14:paraId="1DB82E32">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合计</w:t>
                  </w:r>
                </w:p>
              </w:tc>
              <w:tc>
                <w:tcPr>
                  <w:tcW w:w="2299" w:type="dxa"/>
                  <w:tcBorders>
                    <w:top w:val="single" w:color="auto" w:sz="4" w:space="0"/>
                    <w:left w:val="single" w:color="auto" w:sz="4" w:space="0"/>
                    <w:bottom w:val="single" w:color="auto" w:sz="4" w:space="0"/>
                    <w:right w:val="single" w:color="auto" w:sz="4" w:space="0"/>
                  </w:tcBorders>
                  <w:vAlign w:val="center"/>
                </w:tcPr>
                <w:p w14:paraId="3DD1087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5.41</w:t>
                  </w:r>
                  <w:r>
                    <w:rPr>
                      <w:rFonts w:ascii="Symbol" w:hAnsi="Symbol"/>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10</w:t>
                  </w:r>
                  <w:r>
                    <w:rPr>
                      <w:rFonts w:eastAsia="仿宋"/>
                      <w:color w:val="000000" w:themeColor="text1"/>
                      <w:szCs w:val="21"/>
                      <w:vertAlign w:val="superscript"/>
                      <w14:textFill>
                        <w14:solidFill>
                          <w14:schemeClr w14:val="tx1"/>
                        </w14:solidFill>
                      </w14:textFill>
                    </w:rPr>
                    <w:t>-2</w:t>
                  </w:r>
                </w:p>
              </w:tc>
              <w:tc>
                <w:tcPr>
                  <w:tcW w:w="2151" w:type="dxa"/>
                  <w:tcBorders>
                    <w:top w:val="single" w:color="auto" w:sz="4" w:space="0"/>
                    <w:left w:val="single" w:color="auto" w:sz="4" w:space="0"/>
                    <w:bottom w:val="single" w:color="auto" w:sz="4" w:space="0"/>
                    <w:right w:val="single" w:color="auto" w:sz="4" w:space="0"/>
                  </w:tcBorders>
                  <w:vAlign w:val="center"/>
                </w:tcPr>
                <w:p w14:paraId="173E579C">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100</w:t>
                  </w:r>
                </w:p>
              </w:tc>
            </w:tr>
          </w:tbl>
          <w:p w14:paraId="00F71A9E">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参照国际上和国内先进企业泄漏事故概率统计调查分析，此类事故发生概率国外先进的化工企业为</w:t>
            </w:r>
            <w:r>
              <w:rPr>
                <w:rFonts w:eastAsia="仿宋"/>
                <w:bCs/>
                <w:color w:val="000000" w:themeColor="text1"/>
                <w:sz w:val="24"/>
                <w14:textFill>
                  <w14:solidFill>
                    <w14:schemeClr w14:val="tx1"/>
                  </w14:solidFill>
                </w14:textFill>
              </w:rPr>
              <w:t>0.0541</w:t>
            </w:r>
            <w:r>
              <w:rPr>
                <w:rFonts w:ascii="仿宋" w:hAnsi="仿宋" w:eastAsia="仿宋"/>
                <w:bCs/>
                <w:color w:val="000000" w:themeColor="text1"/>
                <w:sz w:val="24"/>
                <w14:textFill>
                  <w14:solidFill>
                    <w14:schemeClr w14:val="tx1"/>
                  </w14:solidFill>
                </w14:textFill>
              </w:rPr>
              <w:t>次</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年，而国内较先进的企业约为</w:t>
            </w:r>
            <w:r>
              <w:rPr>
                <w:rFonts w:eastAsia="仿宋"/>
                <w:bCs/>
                <w:color w:val="000000" w:themeColor="text1"/>
                <w:sz w:val="24"/>
                <w14:textFill>
                  <w14:solidFill>
                    <w14:schemeClr w14:val="tx1"/>
                  </w14:solidFill>
                </w14:textFill>
              </w:rPr>
              <w:t>0.2~0.4</w:t>
            </w:r>
            <w:r>
              <w:rPr>
                <w:rFonts w:ascii="仿宋" w:hAnsi="仿宋" w:eastAsia="仿宋"/>
                <w:bCs/>
                <w:color w:val="000000" w:themeColor="text1"/>
                <w:sz w:val="24"/>
                <w14:textFill>
                  <w14:solidFill>
                    <w14:schemeClr w14:val="tx1"/>
                  </w14:solidFill>
                </w14:textFill>
              </w:rPr>
              <w:t>次</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年。</w:t>
            </w:r>
          </w:p>
          <w:p w14:paraId="22C4E336">
            <w:pPr>
              <w:spacing w:line="480" w:lineRule="exact"/>
              <w:ind w:firstLine="480" w:firstLineChars="200"/>
              <w:rPr>
                <w:rFonts w:eastAsia="仿宋"/>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②</w:t>
            </w:r>
            <w:r>
              <w:rPr>
                <w:rFonts w:ascii="仿宋" w:hAnsi="仿宋" w:eastAsia="仿宋"/>
                <w:bCs/>
                <w:color w:val="000000" w:themeColor="text1"/>
                <w:sz w:val="24"/>
                <w14:textFill>
                  <w14:solidFill>
                    <w14:schemeClr w14:val="tx1"/>
                  </w14:solidFill>
                </w14:textFill>
              </w:rPr>
              <w:t>火灾或爆炸事故</w:t>
            </w:r>
          </w:p>
          <w:p w14:paraId="764D50DA">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发生火灾或爆炸事故的潜在因素分为物质因素和诱发因素，其中物质因素主要涉及物质的危险性、物质系数以及危险物质是否达到一定的规模，它们是事故发生的内在因素，而诱发因素是引起事故的外在动力，包括生产装置设备的工作状态，以及环境因素、人为因素和管理因素。</w:t>
            </w:r>
          </w:p>
          <w:p w14:paraId="0F23B66B">
            <w:pPr>
              <w:spacing w:line="480" w:lineRule="exact"/>
              <w:ind w:firstLine="480" w:firstLineChars="200"/>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火灾和爆炸事故的主要原因见下表。</w:t>
            </w:r>
          </w:p>
          <w:p w14:paraId="6CDB416D">
            <w:pPr>
              <w:spacing w:line="480" w:lineRule="exact"/>
              <w:jc w:val="center"/>
              <w:rPr>
                <w:rFonts w:eastAsia="仿宋"/>
                <w:b/>
                <w:bCs/>
                <w:color w:val="000000" w:themeColor="text1"/>
                <w:szCs w:val="21"/>
                <w14:textFill>
                  <w14:solidFill>
                    <w14:schemeClr w14:val="tx1"/>
                  </w14:solidFill>
                </w14:textFill>
              </w:rPr>
            </w:pPr>
          </w:p>
          <w:p w14:paraId="22C5D48E">
            <w:pPr>
              <w:spacing w:line="480" w:lineRule="exact"/>
              <w:jc w:val="center"/>
              <w:rPr>
                <w:rFonts w:eastAsia="仿宋"/>
                <w:b/>
                <w:bCs/>
                <w:color w:val="000000" w:themeColor="text1"/>
                <w:szCs w:val="21"/>
                <w14:textFill>
                  <w14:solidFill>
                    <w14:schemeClr w14:val="tx1"/>
                  </w14:solidFill>
                </w14:textFill>
              </w:rPr>
            </w:pPr>
          </w:p>
          <w:p w14:paraId="6819E270">
            <w:pPr>
              <w:spacing w:line="480" w:lineRule="exact"/>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表4-42 火灾和爆炸事故原因分析表</w:t>
            </w:r>
          </w:p>
          <w:tbl>
            <w:tblPr>
              <w:tblStyle w:val="24"/>
              <w:tblW w:w="89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3"/>
              <w:gridCol w:w="1685"/>
              <w:gridCol w:w="6571"/>
            </w:tblGrid>
            <w:tr w14:paraId="18D0D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4410CC09">
                  <w:pPr>
                    <w:snapToGrid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序号</w:t>
                  </w:r>
                </w:p>
              </w:tc>
              <w:tc>
                <w:tcPr>
                  <w:tcW w:w="8256" w:type="dxa"/>
                  <w:gridSpan w:val="2"/>
                  <w:tcBorders>
                    <w:top w:val="single" w:color="000000" w:sz="4" w:space="0"/>
                    <w:left w:val="single" w:color="000000" w:sz="4" w:space="0"/>
                    <w:bottom w:val="single" w:color="000000" w:sz="4" w:space="0"/>
                    <w:right w:val="single" w:color="000000" w:sz="4" w:space="0"/>
                  </w:tcBorders>
                  <w:vAlign w:val="center"/>
                </w:tcPr>
                <w:p w14:paraId="53705DF2">
                  <w:pPr>
                    <w:snapToGrid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事故原因</w:t>
                  </w:r>
                </w:p>
              </w:tc>
            </w:tr>
            <w:tr w14:paraId="768D8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1FC43C36">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1685" w:type="dxa"/>
                  <w:tcBorders>
                    <w:top w:val="single" w:color="000000" w:sz="4" w:space="0"/>
                    <w:left w:val="single" w:color="000000" w:sz="4" w:space="0"/>
                    <w:bottom w:val="single" w:color="000000" w:sz="4" w:space="0"/>
                    <w:right w:val="single" w:color="000000" w:sz="4" w:space="0"/>
                  </w:tcBorders>
                  <w:vAlign w:val="center"/>
                </w:tcPr>
                <w:p w14:paraId="4646AF4B">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明火</w:t>
                  </w:r>
                </w:p>
              </w:tc>
              <w:tc>
                <w:tcPr>
                  <w:tcW w:w="6571" w:type="dxa"/>
                  <w:tcBorders>
                    <w:top w:val="single" w:color="000000" w:sz="4" w:space="0"/>
                    <w:left w:val="single" w:color="000000" w:sz="4" w:space="0"/>
                    <w:bottom w:val="single" w:color="000000" w:sz="4" w:space="0"/>
                    <w:right w:val="single" w:color="000000" w:sz="4" w:space="0"/>
                  </w:tcBorders>
                  <w:vAlign w:val="center"/>
                </w:tcPr>
                <w:p w14:paraId="20BFBB9F">
                  <w:pPr>
                    <w:snapToGrid w:val="0"/>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生产过程中的焊接和切割动火作业、现场吸烟、激动车辆喷烟排火等。为导致火灾爆炸事故最常见、最直接的原因</w:t>
                  </w:r>
                </w:p>
              </w:tc>
            </w:tr>
            <w:tr w14:paraId="3C682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2DAA209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1685" w:type="dxa"/>
                  <w:tcBorders>
                    <w:top w:val="single" w:color="000000" w:sz="4" w:space="0"/>
                    <w:left w:val="single" w:color="000000" w:sz="4" w:space="0"/>
                    <w:bottom w:val="single" w:color="000000" w:sz="4" w:space="0"/>
                    <w:right w:val="single" w:color="000000" w:sz="4" w:space="0"/>
                  </w:tcBorders>
                  <w:vAlign w:val="center"/>
                </w:tcPr>
                <w:p w14:paraId="72B00D8D">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违章作业</w:t>
                  </w:r>
                </w:p>
              </w:tc>
              <w:tc>
                <w:tcPr>
                  <w:tcW w:w="6571" w:type="dxa"/>
                  <w:tcBorders>
                    <w:top w:val="single" w:color="000000" w:sz="4" w:space="0"/>
                    <w:left w:val="single" w:color="000000" w:sz="4" w:space="0"/>
                    <w:bottom w:val="single" w:color="000000" w:sz="4" w:space="0"/>
                    <w:right w:val="single" w:color="000000" w:sz="4" w:space="0"/>
                  </w:tcBorders>
                  <w:vAlign w:val="center"/>
                </w:tcPr>
                <w:p w14:paraId="6704C0DF">
                  <w:pPr>
                    <w:snapToGrid w:val="0"/>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违章指挥、违章操作、误操作、擅离工作岗位、纪律松弛及思想麻痹等行为是导致火灾爆炸事故的重要原因，违章作业直接或间接引起火灾爆炸事故占全部事故的</w:t>
                  </w:r>
                  <w:r>
                    <w:rPr>
                      <w:rFonts w:eastAsia="仿宋"/>
                      <w:color w:val="000000" w:themeColor="text1"/>
                      <w:szCs w:val="21"/>
                      <w14:textFill>
                        <w14:solidFill>
                          <w14:schemeClr w14:val="tx1"/>
                        </w14:solidFill>
                      </w14:textFill>
                    </w:rPr>
                    <w:t>60%</w:t>
                  </w:r>
                  <w:r>
                    <w:rPr>
                      <w:rFonts w:ascii="仿宋" w:hAnsi="仿宋" w:eastAsia="仿宋"/>
                      <w:color w:val="000000" w:themeColor="text1"/>
                      <w:szCs w:val="21"/>
                      <w14:textFill>
                        <w14:solidFill>
                          <w14:schemeClr w14:val="tx1"/>
                        </w14:solidFill>
                      </w14:textFill>
                    </w:rPr>
                    <w:t>以上</w:t>
                  </w:r>
                </w:p>
              </w:tc>
            </w:tr>
            <w:tr w14:paraId="0D62D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0274387C">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1685" w:type="dxa"/>
                  <w:tcBorders>
                    <w:top w:val="single" w:color="000000" w:sz="4" w:space="0"/>
                    <w:left w:val="single" w:color="000000" w:sz="4" w:space="0"/>
                    <w:bottom w:val="single" w:color="000000" w:sz="4" w:space="0"/>
                    <w:right w:val="single" w:color="000000" w:sz="4" w:space="0"/>
                  </w:tcBorders>
                  <w:vAlign w:val="center"/>
                </w:tcPr>
                <w:p w14:paraId="3FA7A65E">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设备、设施质量缺陷或故障</w:t>
                  </w:r>
                </w:p>
              </w:tc>
              <w:tc>
                <w:tcPr>
                  <w:tcW w:w="6571" w:type="dxa"/>
                  <w:tcBorders>
                    <w:top w:val="single" w:color="000000" w:sz="4" w:space="0"/>
                    <w:left w:val="single" w:color="000000" w:sz="4" w:space="0"/>
                    <w:bottom w:val="single" w:color="000000" w:sz="4" w:space="0"/>
                    <w:right w:val="single" w:color="000000" w:sz="4" w:space="0"/>
                  </w:tcBorders>
                  <w:vAlign w:val="center"/>
                </w:tcPr>
                <w:p w14:paraId="1DA63C45">
                  <w:pPr>
                    <w:snapToGrid w:val="0"/>
                    <w:rPr>
                      <w:rFonts w:eastAsia="仿宋"/>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①</w:t>
                  </w:r>
                  <w:r>
                    <w:rPr>
                      <w:rFonts w:ascii="仿宋" w:hAnsi="仿宋" w:eastAsia="仿宋"/>
                      <w:color w:val="000000" w:themeColor="text1"/>
                      <w:szCs w:val="21"/>
                      <w14:textFill>
                        <w14:solidFill>
                          <w14:schemeClr w14:val="tx1"/>
                        </w14:solidFill>
                      </w14:textFill>
                    </w:rPr>
                    <w:t>电气设备设施：选用不当、不满足防火要求，存在质量缺陷；</w:t>
                  </w:r>
                  <w:r>
                    <w:rPr>
                      <w:rFonts w:hint="eastAsia" w:ascii="宋体" w:hAnsi="宋体"/>
                      <w:color w:val="000000" w:themeColor="text1"/>
                      <w:szCs w:val="21"/>
                      <w14:textFill>
                        <w14:solidFill>
                          <w14:schemeClr w14:val="tx1"/>
                        </w14:solidFill>
                      </w14:textFill>
                    </w:rPr>
                    <w:t>②</w:t>
                  </w:r>
                  <w:r>
                    <w:rPr>
                      <w:rFonts w:ascii="仿宋" w:hAnsi="仿宋" w:eastAsia="仿宋"/>
                      <w:color w:val="000000" w:themeColor="text1"/>
                      <w:szCs w:val="21"/>
                      <w14:textFill>
                        <w14:solidFill>
                          <w14:schemeClr w14:val="tx1"/>
                        </w14:solidFill>
                      </w14:textFill>
                    </w:rPr>
                    <w:t>储运设备设施：储设施主体选材、制造安装中存在质量缺陷或受腐蚀、老化极不正常操作而引起泄漏，附件和安全装置存在质量缺陷和被损坏</w:t>
                  </w:r>
                </w:p>
              </w:tc>
            </w:tr>
            <w:tr w14:paraId="36716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2500F655">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w:t>
                  </w:r>
                </w:p>
              </w:tc>
              <w:tc>
                <w:tcPr>
                  <w:tcW w:w="1685" w:type="dxa"/>
                  <w:tcBorders>
                    <w:top w:val="single" w:color="000000" w:sz="4" w:space="0"/>
                    <w:left w:val="single" w:color="000000" w:sz="4" w:space="0"/>
                    <w:bottom w:val="single" w:color="000000" w:sz="4" w:space="0"/>
                    <w:right w:val="single" w:color="000000" w:sz="4" w:space="0"/>
                  </w:tcBorders>
                  <w:vAlign w:val="center"/>
                </w:tcPr>
                <w:p w14:paraId="30F6E150">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工程技术和设计缺陷</w:t>
                  </w:r>
                </w:p>
              </w:tc>
              <w:tc>
                <w:tcPr>
                  <w:tcW w:w="6571" w:type="dxa"/>
                  <w:tcBorders>
                    <w:top w:val="single" w:color="000000" w:sz="4" w:space="0"/>
                    <w:left w:val="single" w:color="000000" w:sz="4" w:space="0"/>
                    <w:bottom w:val="single" w:color="000000" w:sz="4" w:space="0"/>
                    <w:right w:val="single" w:color="000000" w:sz="4" w:space="0"/>
                  </w:tcBorders>
                  <w:vAlign w:val="center"/>
                </w:tcPr>
                <w:p w14:paraId="0A2E8A04">
                  <w:pPr>
                    <w:tabs>
                      <w:tab w:val="left" w:pos="840"/>
                    </w:tabs>
                    <w:snapToGrid w:val="0"/>
                    <w:rPr>
                      <w:rFonts w:eastAsia="仿宋"/>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①</w:t>
                  </w:r>
                  <w:r>
                    <w:rPr>
                      <w:rFonts w:ascii="仿宋" w:hAnsi="仿宋" w:eastAsia="仿宋"/>
                      <w:color w:val="000000" w:themeColor="text1"/>
                      <w:szCs w:val="21"/>
                      <w14:textFill>
                        <w14:solidFill>
                          <w14:schemeClr w14:val="tx1"/>
                        </w14:solidFill>
                      </w14:textFill>
                    </w:rPr>
                    <w:t>建筑物布局不合理，防火间距不够；</w:t>
                  </w:r>
                  <w:r>
                    <w:rPr>
                      <w:rFonts w:hint="eastAsia" w:ascii="宋体" w:hAnsi="宋体"/>
                      <w:color w:val="000000" w:themeColor="text1"/>
                      <w:szCs w:val="21"/>
                      <w14:textFill>
                        <w14:solidFill>
                          <w14:schemeClr w14:val="tx1"/>
                        </w14:solidFill>
                      </w14:textFill>
                    </w:rPr>
                    <w:t>②</w:t>
                  </w:r>
                  <w:r>
                    <w:rPr>
                      <w:rFonts w:ascii="仿宋" w:hAnsi="仿宋" w:eastAsia="仿宋"/>
                      <w:color w:val="000000" w:themeColor="text1"/>
                      <w:szCs w:val="21"/>
                      <w14:textFill>
                        <w14:solidFill>
                          <w14:schemeClr w14:val="tx1"/>
                        </w14:solidFill>
                      </w14:textFill>
                    </w:rPr>
                    <w:t>建筑物的防火等级达不到要求；</w:t>
                  </w:r>
                  <w:r>
                    <w:rPr>
                      <w:rFonts w:hint="eastAsia" w:ascii="宋体" w:hAnsi="宋体"/>
                      <w:color w:val="000000" w:themeColor="text1"/>
                      <w:szCs w:val="21"/>
                      <w14:textFill>
                        <w14:solidFill>
                          <w14:schemeClr w14:val="tx1"/>
                        </w14:solidFill>
                      </w14:textFill>
                    </w:rPr>
                    <w:t>③</w:t>
                  </w:r>
                  <w:r>
                    <w:rPr>
                      <w:rFonts w:ascii="仿宋" w:hAnsi="仿宋" w:eastAsia="仿宋"/>
                      <w:color w:val="000000" w:themeColor="text1"/>
                      <w:szCs w:val="21"/>
                      <w14:textFill>
                        <w14:solidFill>
                          <w14:schemeClr w14:val="tx1"/>
                        </w14:solidFill>
                      </w14:textFill>
                    </w:rPr>
                    <w:t>消防设施不配套；</w:t>
                  </w:r>
                  <w:r>
                    <w:rPr>
                      <w:rFonts w:hint="eastAsia" w:ascii="宋体" w:hAnsi="宋体"/>
                      <w:color w:val="000000" w:themeColor="text1"/>
                      <w:szCs w:val="21"/>
                      <w14:textFill>
                        <w14:solidFill>
                          <w14:schemeClr w14:val="tx1"/>
                        </w14:solidFill>
                      </w14:textFill>
                    </w:rPr>
                    <w:t>④</w:t>
                  </w:r>
                  <w:r>
                    <w:rPr>
                      <w:rFonts w:ascii="仿宋" w:hAnsi="仿宋" w:eastAsia="仿宋"/>
                      <w:color w:val="000000" w:themeColor="text1"/>
                      <w:szCs w:val="21"/>
                      <w14:textFill>
                        <w14:solidFill>
                          <w14:schemeClr w14:val="tx1"/>
                        </w14:solidFill>
                      </w14:textFill>
                    </w:rPr>
                    <w:t>装卸工艺及流程不合理</w:t>
                  </w:r>
                </w:p>
              </w:tc>
            </w:tr>
            <w:tr w14:paraId="58600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37A29EAE">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w:t>
                  </w:r>
                </w:p>
              </w:tc>
              <w:tc>
                <w:tcPr>
                  <w:tcW w:w="1685" w:type="dxa"/>
                  <w:tcBorders>
                    <w:top w:val="single" w:color="000000" w:sz="4" w:space="0"/>
                    <w:left w:val="single" w:color="000000" w:sz="4" w:space="0"/>
                    <w:bottom w:val="single" w:color="000000" w:sz="4" w:space="0"/>
                    <w:right w:val="single" w:color="000000" w:sz="4" w:space="0"/>
                  </w:tcBorders>
                  <w:vAlign w:val="center"/>
                </w:tcPr>
                <w:p w14:paraId="74AE3C58">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静电、放电</w:t>
                  </w:r>
                </w:p>
              </w:tc>
              <w:tc>
                <w:tcPr>
                  <w:tcW w:w="6571" w:type="dxa"/>
                  <w:tcBorders>
                    <w:top w:val="single" w:color="000000" w:sz="4" w:space="0"/>
                    <w:left w:val="single" w:color="000000" w:sz="4" w:space="0"/>
                    <w:bottom w:val="single" w:color="000000" w:sz="4" w:space="0"/>
                    <w:right w:val="single" w:color="000000" w:sz="4" w:space="0"/>
                  </w:tcBorders>
                  <w:vAlign w:val="center"/>
                </w:tcPr>
                <w:p w14:paraId="5B4DF294">
                  <w:pPr>
                    <w:tabs>
                      <w:tab w:val="left" w:pos="72"/>
                    </w:tabs>
                    <w:snapToGrid w:val="0"/>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油品在装卸、输送作业中，由于流动和被搅动、冲击、易产生和积聚静电，人体携带静电</w:t>
                  </w:r>
                </w:p>
              </w:tc>
            </w:tr>
            <w:tr w14:paraId="0F28F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76DDF54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w:t>
                  </w:r>
                </w:p>
              </w:tc>
              <w:tc>
                <w:tcPr>
                  <w:tcW w:w="1685" w:type="dxa"/>
                  <w:tcBorders>
                    <w:top w:val="single" w:color="000000" w:sz="4" w:space="0"/>
                    <w:left w:val="single" w:color="000000" w:sz="4" w:space="0"/>
                    <w:bottom w:val="single" w:color="000000" w:sz="4" w:space="0"/>
                    <w:right w:val="single" w:color="000000" w:sz="4" w:space="0"/>
                  </w:tcBorders>
                  <w:vAlign w:val="center"/>
                </w:tcPr>
                <w:p w14:paraId="3C17D866">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雷击及杂散电流</w:t>
                  </w:r>
                </w:p>
              </w:tc>
              <w:tc>
                <w:tcPr>
                  <w:tcW w:w="6571" w:type="dxa"/>
                  <w:tcBorders>
                    <w:top w:val="single" w:color="000000" w:sz="4" w:space="0"/>
                    <w:left w:val="single" w:color="000000" w:sz="4" w:space="0"/>
                    <w:bottom w:val="single" w:color="000000" w:sz="4" w:space="0"/>
                    <w:right w:val="single" w:color="000000" w:sz="4" w:space="0"/>
                  </w:tcBorders>
                  <w:vAlign w:val="center"/>
                </w:tcPr>
                <w:p w14:paraId="79D583AA">
                  <w:pPr>
                    <w:tabs>
                      <w:tab w:val="left" w:pos="360"/>
                    </w:tabs>
                    <w:snapToGrid w:val="0"/>
                    <w:rPr>
                      <w:rFonts w:eastAsia="仿宋"/>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①</w:t>
                  </w:r>
                  <w:r>
                    <w:rPr>
                      <w:rFonts w:ascii="仿宋" w:hAnsi="仿宋" w:eastAsia="仿宋"/>
                      <w:color w:val="000000" w:themeColor="text1"/>
                      <w:szCs w:val="21"/>
                      <w14:textFill>
                        <w14:solidFill>
                          <w14:schemeClr w14:val="tx1"/>
                        </w14:solidFill>
                      </w14:textFill>
                    </w:rPr>
                    <w:t>建筑物、储罐的防雷设施不齐备或防雷接地措施不足；</w:t>
                  </w:r>
                  <w:r>
                    <w:rPr>
                      <w:rFonts w:hint="eastAsia" w:ascii="宋体" w:hAnsi="宋体"/>
                      <w:color w:val="000000" w:themeColor="text1"/>
                      <w:szCs w:val="21"/>
                      <w14:textFill>
                        <w14:solidFill>
                          <w14:schemeClr w14:val="tx1"/>
                        </w14:solidFill>
                      </w14:textFill>
                    </w:rPr>
                    <w:t>②</w:t>
                  </w:r>
                  <w:r>
                    <w:rPr>
                      <w:rFonts w:ascii="仿宋" w:hAnsi="仿宋" w:eastAsia="仿宋"/>
                      <w:color w:val="000000" w:themeColor="text1"/>
                      <w:szCs w:val="21"/>
                      <w14:textFill>
                        <w14:solidFill>
                          <w14:schemeClr w14:val="tx1"/>
                        </w14:solidFill>
                      </w14:textFill>
                    </w:rPr>
                    <w:t>杂散电流窜入危险作业场所</w:t>
                  </w:r>
                </w:p>
              </w:tc>
            </w:tr>
            <w:tr w14:paraId="46AD8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 w:hRule="atLeast"/>
                <w:jc w:val="center"/>
              </w:trPr>
              <w:tc>
                <w:tcPr>
                  <w:tcW w:w="653" w:type="dxa"/>
                  <w:tcBorders>
                    <w:top w:val="single" w:color="000000" w:sz="4" w:space="0"/>
                    <w:left w:val="single" w:color="000000" w:sz="4" w:space="0"/>
                    <w:bottom w:val="single" w:color="000000" w:sz="4" w:space="0"/>
                    <w:right w:val="single" w:color="000000" w:sz="4" w:space="0"/>
                  </w:tcBorders>
                  <w:vAlign w:val="center"/>
                </w:tcPr>
                <w:p w14:paraId="327D019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7</w:t>
                  </w:r>
                </w:p>
              </w:tc>
              <w:tc>
                <w:tcPr>
                  <w:tcW w:w="1685" w:type="dxa"/>
                  <w:tcBorders>
                    <w:top w:val="single" w:color="000000" w:sz="4" w:space="0"/>
                    <w:left w:val="single" w:color="000000" w:sz="4" w:space="0"/>
                    <w:bottom w:val="single" w:color="000000" w:sz="4" w:space="0"/>
                    <w:right w:val="single" w:color="000000" w:sz="4" w:space="0"/>
                  </w:tcBorders>
                  <w:vAlign w:val="center"/>
                </w:tcPr>
                <w:p w14:paraId="00B20B38">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其他原因</w:t>
                  </w:r>
                </w:p>
              </w:tc>
              <w:tc>
                <w:tcPr>
                  <w:tcW w:w="6571" w:type="dxa"/>
                  <w:tcBorders>
                    <w:top w:val="single" w:color="000000" w:sz="4" w:space="0"/>
                    <w:left w:val="single" w:color="000000" w:sz="4" w:space="0"/>
                    <w:bottom w:val="single" w:color="000000" w:sz="4" w:space="0"/>
                    <w:right w:val="single" w:color="000000" w:sz="4" w:space="0"/>
                  </w:tcBorders>
                  <w:vAlign w:val="center"/>
                </w:tcPr>
                <w:p w14:paraId="49651A44">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撞击摩擦、交通事故、人为蓄意破坏及自然灾害等</w:t>
                  </w:r>
                </w:p>
              </w:tc>
            </w:tr>
          </w:tbl>
          <w:p w14:paraId="09619432">
            <w:pPr>
              <w:spacing w:line="480" w:lineRule="exact"/>
              <w:ind w:firstLine="480" w:firstLineChars="200"/>
              <w:rPr>
                <w:rFonts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发生火灾、爆炸事故时，火灾热辐射和爆炸冲击波会导致人员伤害和财产损失，同时火灾、爆炸事故中未完全燃烧的危险物质以及燃烧过程中产生的伴生</w:t>
            </w:r>
            <w:r>
              <w:rPr>
                <w:rFonts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次生污染物将会对环境产生影响，而前者属于安全评价分析的范畴。因此，环境风险评价主要关注火灾、爆炸事故中未完全燃烧的危险物质以及燃烧过程中的伴生</w:t>
            </w:r>
            <w:r>
              <w:rPr>
                <w:rFonts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次生污染物对环境的影响。</w:t>
            </w:r>
          </w:p>
          <w:p w14:paraId="7F7EF33D">
            <w:pPr>
              <w:spacing w:line="480" w:lineRule="exact"/>
              <w:ind w:firstLine="480" w:firstLineChars="200"/>
              <w:rPr>
                <w:rFonts w:eastAsia="仿宋"/>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③</w:t>
            </w:r>
            <w:r>
              <w:rPr>
                <w:rFonts w:ascii="仿宋" w:hAnsi="仿宋" w:eastAsia="仿宋"/>
                <w:color w:val="000000" w:themeColor="text1"/>
                <w:sz w:val="24"/>
                <w14:textFill>
                  <w14:solidFill>
                    <w14:schemeClr w14:val="tx1"/>
                  </w14:solidFill>
                </w14:textFill>
              </w:rPr>
              <w:t>比较各类事故对环境影响的可能性和严重性，</w:t>
            </w:r>
            <w:r>
              <w:rPr>
                <w:rFonts w:eastAsia="仿宋"/>
                <w:color w:val="000000" w:themeColor="text1"/>
                <w:sz w:val="24"/>
                <w14:textFill>
                  <w14:solidFill>
                    <w14:schemeClr w14:val="tx1"/>
                  </w14:solidFill>
                </w14:textFill>
              </w:rPr>
              <w:t>5</w:t>
            </w:r>
            <w:r>
              <w:rPr>
                <w:rFonts w:ascii="仿宋" w:hAnsi="仿宋" w:eastAsia="仿宋"/>
                <w:color w:val="000000" w:themeColor="text1"/>
                <w:sz w:val="24"/>
                <w14:textFill>
                  <w14:solidFill>
                    <w14:schemeClr w14:val="tx1"/>
                  </w14:solidFill>
                </w14:textFill>
              </w:rPr>
              <w:t>类污染事故的排列次数见下表。火灾事故排出的烟雾和炭粒会直接影响周围居住区及植物，其可能性排列在第</w:t>
            </w:r>
            <w:r>
              <w:rPr>
                <w:rFonts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位，但因属于暂时性危害，严重性被列于最后。有毒液体泄漏事较为常见，水体和土壤的污染会引起许多环境问题，因此可能性和严重性均居第</w:t>
            </w:r>
            <w:r>
              <w:rPr>
                <w:rFonts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位。爆炸震动波可能会使</w:t>
            </w:r>
            <w:r>
              <w:rPr>
                <w:rFonts w:eastAsia="仿宋"/>
                <w:color w:val="000000" w:themeColor="text1"/>
                <w:sz w:val="24"/>
                <w14:textFill>
                  <w14:solidFill>
                    <w14:schemeClr w14:val="tx1"/>
                  </w14:solidFill>
                </w14:textFill>
              </w:rPr>
              <w:t>10km</w:t>
            </w:r>
            <w:r>
              <w:rPr>
                <w:rFonts w:ascii="仿宋" w:hAnsi="仿宋" w:eastAsia="仿宋"/>
                <w:color w:val="000000" w:themeColor="text1"/>
                <w:sz w:val="24"/>
                <w14:textFill>
                  <w14:solidFill>
                    <w14:schemeClr w14:val="tx1"/>
                  </w14:solidFill>
                </w14:textFill>
              </w:rPr>
              <w:t>以内的建筑物受损，其严重性居第</w:t>
            </w:r>
            <w:r>
              <w:rPr>
                <w:rFonts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位。据记载特大爆炸事故中</w:t>
            </w:r>
            <w:r>
              <w:rPr>
                <w:rFonts w:eastAsia="仿宋"/>
                <w:color w:val="000000" w:themeColor="text1"/>
                <w:sz w:val="24"/>
                <w14:textFill>
                  <w14:solidFill>
                    <w14:schemeClr w14:val="tx1"/>
                  </w14:solidFill>
                </w14:textFill>
              </w:rPr>
              <w:t>3t</w:t>
            </w:r>
            <w:r>
              <w:rPr>
                <w:rFonts w:ascii="仿宋" w:hAnsi="仿宋" w:eastAsia="仿宋"/>
                <w:color w:val="000000" w:themeColor="text1"/>
                <w:sz w:val="24"/>
                <w14:textFill>
                  <w14:solidFill>
                    <w14:schemeClr w14:val="tx1"/>
                  </w14:solidFill>
                </w14:textFill>
              </w:rPr>
              <w:t>重的设备碎片会飞出</w:t>
            </w:r>
            <w:r>
              <w:rPr>
                <w:rFonts w:eastAsia="仿宋"/>
                <w:color w:val="000000" w:themeColor="text1"/>
                <w:sz w:val="24"/>
                <w14:textFill>
                  <w14:solidFill>
                    <w14:schemeClr w14:val="tx1"/>
                  </w14:solidFill>
                </w14:textFill>
              </w:rPr>
              <w:t>1000m</w:t>
            </w:r>
            <w:r>
              <w:rPr>
                <w:rFonts w:ascii="仿宋" w:hAnsi="仿宋" w:eastAsia="仿宋"/>
                <w:color w:val="000000" w:themeColor="text1"/>
                <w:sz w:val="24"/>
                <w14:textFill>
                  <w14:solidFill>
                    <w14:schemeClr w14:val="tx1"/>
                  </w14:solidFill>
                </w14:textFill>
              </w:rPr>
              <w:t>以外，故爆炸飞出物对环境的威胁也是有的。据国内</w:t>
            </w:r>
            <w:r>
              <w:rPr>
                <w:rFonts w:eastAsia="仿宋"/>
                <w:color w:val="000000" w:themeColor="text1"/>
                <w:sz w:val="24"/>
                <w14:textFill>
                  <w14:solidFill>
                    <w14:schemeClr w14:val="tx1"/>
                  </w14:solidFill>
                </w14:textFill>
              </w:rPr>
              <w:t>35</w:t>
            </w:r>
            <w:r>
              <w:rPr>
                <w:rFonts w:ascii="仿宋" w:hAnsi="仿宋" w:eastAsia="仿宋"/>
                <w:color w:val="000000" w:themeColor="text1"/>
                <w:sz w:val="24"/>
                <w14:textFill>
                  <w14:solidFill>
                    <w14:schemeClr w14:val="tx1"/>
                  </w14:solidFill>
                </w14:textFill>
              </w:rPr>
              <w:t>年以来的统计，有毒气体外逸比较容易控制，故对环境产生影响的可能性最小，但如果泄漏量大，则造成严重性是比较大的。</w:t>
            </w:r>
          </w:p>
          <w:p w14:paraId="44466A63">
            <w:pPr>
              <w:spacing w:line="500" w:lineRule="exact"/>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表4-43 污染事故可能性、严重性排序表</w:t>
            </w:r>
          </w:p>
          <w:tbl>
            <w:tblPr>
              <w:tblStyle w:val="24"/>
              <w:tblW w:w="88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44"/>
              <w:gridCol w:w="4743"/>
              <w:gridCol w:w="1472"/>
              <w:gridCol w:w="1612"/>
            </w:tblGrid>
            <w:tr w14:paraId="3FABE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2" w:hRule="atLeast"/>
                <w:jc w:val="center"/>
              </w:trPr>
              <w:tc>
                <w:tcPr>
                  <w:tcW w:w="1044" w:type="dxa"/>
                  <w:tcBorders>
                    <w:top w:val="single" w:color="000000" w:sz="4" w:space="0"/>
                    <w:left w:val="single" w:color="000000" w:sz="4" w:space="0"/>
                    <w:bottom w:val="single" w:color="000000" w:sz="4" w:space="0"/>
                    <w:right w:val="single" w:color="000000" w:sz="4" w:space="0"/>
                  </w:tcBorders>
                  <w:vAlign w:val="center"/>
                </w:tcPr>
                <w:p w14:paraId="5C6C4249">
                  <w:pPr>
                    <w:snapToGrid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序号</w:t>
                  </w:r>
                </w:p>
              </w:tc>
              <w:tc>
                <w:tcPr>
                  <w:tcW w:w="4743" w:type="dxa"/>
                  <w:tcBorders>
                    <w:top w:val="single" w:color="000000" w:sz="4" w:space="0"/>
                    <w:left w:val="single" w:color="000000" w:sz="4" w:space="0"/>
                    <w:bottom w:val="single" w:color="000000" w:sz="4" w:space="0"/>
                    <w:right w:val="single" w:color="000000" w:sz="4" w:space="0"/>
                  </w:tcBorders>
                  <w:vAlign w:val="center"/>
                </w:tcPr>
                <w:p w14:paraId="4037E10E">
                  <w:pPr>
                    <w:snapToGrid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污染事故类型</w:t>
                  </w:r>
                </w:p>
              </w:tc>
              <w:tc>
                <w:tcPr>
                  <w:tcW w:w="1472" w:type="dxa"/>
                  <w:tcBorders>
                    <w:top w:val="single" w:color="000000" w:sz="4" w:space="0"/>
                    <w:left w:val="single" w:color="000000" w:sz="4" w:space="0"/>
                    <w:bottom w:val="single" w:color="000000" w:sz="4" w:space="0"/>
                    <w:right w:val="single" w:color="000000" w:sz="4" w:space="0"/>
                  </w:tcBorders>
                  <w:vAlign w:val="center"/>
                </w:tcPr>
                <w:p w14:paraId="3AC1BD90">
                  <w:pPr>
                    <w:snapToGrid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可能性排序</w:t>
                  </w:r>
                </w:p>
              </w:tc>
              <w:tc>
                <w:tcPr>
                  <w:tcW w:w="1612" w:type="dxa"/>
                  <w:tcBorders>
                    <w:top w:val="single" w:color="000000" w:sz="4" w:space="0"/>
                    <w:left w:val="single" w:color="000000" w:sz="4" w:space="0"/>
                    <w:bottom w:val="single" w:color="000000" w:sz="4" w:space="0"/>
                    <w:right w:val="single" w:color="000000" w:sz="4" w:space="0"/>
                  </w:tcBorders>
                  <w:vAlign w:val="center"/>
                </w:tcPr>
                <w:p w14:paraId="3592113C">
                  <w:pPr>
                    <w:snapToGrid w:val="0"/>
                    <w:jc w:val="center"/>
                    <w:rPr>
                      <w:rFonts w:eastAsia="仿宋"/>
                      <w:b/>
                      <w:bCs/>
                      <w:color w:val="000000" w:themeColor="text1"/>
                      <w:szCs w:val="21"/>
                      <w14:textFill>
                        <w14:solidFill>
                          <w14:schemeClr w14:val="tx1"/>
                        </w14:solidFill>
                      </w14:textFill>
                    </w:rPr>
                  </w:pPr>
                  <w:r>
                    <w:rPr>
                      <w:rFonts w:ascii="仿宋" w:hAnsi="仿宋" w:eastAsia="仿宋"/>
                      <w:b/>
                      <w:bCs/>
                      <w:color w:val="000000" w:themeColor="text1"/>
                      <w:szCs w:val="21"/>
                      <w14:textFill>
                        <w14:solidFill>
                          <w14:schemeClr w14:val="tx1"/>
                        </w14:solidFill>
                      </w14:textFill>
                    </w:rPr>
                    <w:t>严重性排序</w:t>
                  </w:r>
                </w:p>
              </w:tc>
            </w:tr>
            <w:tr w14:paraId="39C2A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 w:hRule="atLeast"/>
                <w:jc w:val="center"/>
              </w:trPr>
              <w:tc>
                <w:tcPr>
                  <w:tcW w:w="1044" w:type="dxa"/>
                  <w:tcBorders>
                    <w:top w:val="single" w:color="000000" w:sz="4" w:space="0"/>
                    <w:left w:val="single" w:color="000000" w:sz="4" w:space="0"/>
                    <w:bottom w:val="single" w:color="000000" w:sz="4" w:space="0"/>
                    <w:right w:val="single" w:color="000000" w:sz="4" w:space="0"/>
                  </w:tcBorders>
                  <w:vAlign w:val="center"/>
                </w:tcPr>
                <w:p w14:paraId="41FED822">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4743" w:type="dxa"/>
                  <w:tcBorders>
                    <w:top w:val="single" w:color="000000" w:sz="4" w:space="0"/>
                    <w:left w:val="single" w:color="000000" w:sz="4" w:space="0"/>
                    <w:bottom w:val="single" w:color="000000" w:sz="4" w:space="0"/>
                    <w:right w:val="single" w:color="000000" w:sz="4" w:space="0"/>
                  </w:tcBorders>
                  <w:vAlign w:val="center"/>
                </w:tcPr>
                <w:p w14:paraId="68B66757">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着火燃烧后烟雾影响环境</w:t>
                  </w:r>
                </w:p>
              </w:tc>
              <w:tc>
                <w:tcPr>
                  <w:tcW w:w="1472" w:type="dxa"/>
                  <w:tcBorders>
                    <w:top w:val="single" w:color="000000" w:sz="4" w:space="0"/>
                    <w:left w:val="single" w:color="000000" w:sz="4" w:space="0"/>
                    <w:bottom w:val="single" w:color="000000" w:sz="4" w:space="0"/>
                    <w:right w:val="single" w:color="000000" w:sz="4" w:space="0"/>
                  </w:tcBorders>
                  <w:vAlign w:val="center"/>
                </w:tcPr>
                <w:p w14:paraId="38A77063">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c>
                <w:tcPr>
                  <w:tcW w:w="1612" w:type="dxa"/>
                  <w:tcBorders>
                    <w:top w:val="single" w:color="000000" w:sz="4" w:space="0"/>
                    <w:left w:val="single" w:color="000000" w:sz="4" w:space="0"/>
                    <w:bottom w:val="single" w:color="000000" w:sz="4" w:space="0"/>
                    <w:right w:val="single" w:color="000000" w:sz="4" w:space="0"/>
                  </w:tcBorders>
                  <w:vAlign w:val="center"/>
                </w:tcPr>
                <w:p w14:paraId="0A8F628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w:t>
                  </w:r>
                </w:p>
              </w:tc>
            </w:tr>
            <w:tr w14:paraId="6E9BC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0" w:hRule="atLeast"/>
                <w:jc w:val="center"/>
              </w:trPr>
              <w:tc>
                <w:tcPr>
                  <w:tcW w:w="1044" w:type="dxa"/>
                  <w:tcBorders>
                    <w:top w:val="single" w:color="000000" w:sz="4" w:space="0"/>
                    <w:left w:val="single" w:color="000000" w:sz="4" w:space="0"/>
                    <w:bottom w:val="single" w:color="000000" w:sz="4" w:space="0"/>
                    <w:right w:val="single" w:color="000000" w:sz="4" w:space="0"/>
                  </w:tcBorders>
                  <w:vAlign w:val="center"/>
                </w:tcPr>
                <w:p w14:paraId="7CBABFAD">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4743" w:type="dxa"/>
                  <w:tcBorders>
                    <w:top w:val="single" w:color="000000" w:sz="4" w:space="0"/>
                    <w:left w:val="single" w:color="000000" w:sz="4" w:space="0"/>
                    <w:bottom w:val="single" w:color="000000" w:sz="4" w:space="0"/>
                    <w:right w:val="single" w:color="000000" w:sz="4" w:space="0"/>
                  </w:tcBorders>
                  <w:vAlign w:val="center"/>
                </w:tcPr>
                <w:p w14:paraId="235851ED">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爆炸碎片飞出界外影响环境造成损失</w:t>
                  </w:r>
                </w:p>
              </w:tc>
              <w:tc>
                <w:tcPr>
                  <w:tcW w:w="1472" w:type="dxa"/>
                  <w:tcBorders>
                    <w:top w:val="single" w:color="000000" w:sz="4" w:space="0"/>
                    <w:left w:val="single" w:color="000000" w:sz="4" w:space="0"/>
                    <w:bottom w:val="single" w:color="000000" w:sz="4" w:space="0"/>
                    <w:right w:val="single" w:color="000000" w:sz="4" w:space="0"/>
                  </w:tcBorders>
                  <w:vAlign w:val="center"/>
                </w:tcPr>
                <w:p w14:paraId="0E4BB12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w:t>
                  </w:r>
                </w:p>
              </w:tc>
              <w:tc>
                <w:tcPr>
                  <w:tcW w:w="1612" w:type="dxa"/>
                  <w:tcBorders>
                    <w:top w:val="single" w:color="000000" w:sz="4" w:space="0"/>
                    <w:left w:val="single" w:color="000000" w:sz="4" w:space="0"/>
                    <w:bottom w:val="single" w:color="000000" w:sz="4" w:space="0"/>
                    <w:right w:val="single" w:color="000000" w:sz="4" w:space="0"/>
                  </w:tcBorders>
                  <w:vAlign w:val="center"/>
                </w:tcPr>
                <w:p w14:paraId="08D8575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w:t>
                  </w:r>
                </w:p>
              </w:tc>
            </w:tr>
            <w:tr w14:paraId="74B78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 w:hRule="atLeast"/>
                <w:jc w:val="center"/>
              </w:trPr>
              <w:tc>
                <w:tcPr>
                  <w:tcW w:w="1044" w:type="dxa"/>
                  <w:tcBorders>
                    <w:top w:val="single" w:color="000000" w:sz="4" w:space="0"/>
                    <w:left w:val="single" w:color="000000" w:sz="4" w:space="0"/>
                    <w:bottom w:val="single" w:color="000000" w:sz="4" w:space="0"/>
                    <w:right w:val="single" w:color="000000" w:sz="4" w:space="0"/>
                  </w:tcBorders>
                  <w:vAlign w:val="center"/>
                </w:tcPr>
                <w:p w14:paraId="6977EC8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4743" w:type="dxa"/>
                  <w:tcBorders>
                    <w:top w:val="single" w:color="000000" w:sz="4" w:space="0"/>
                    <w:left w:val="single" w:color="000000" w:sz="4" w:space="0"/>
                    <w:bottom w:val="single" w:color="000000" w:sz="4" w:space="0"/>
                    <w:right w:val="single" w:color="000000" w:sz="4" w:space="0"/>
                  </w:tcBorders>
                  <w:vAlign w:val="center"/>
                </w:tcPr>
                <w:p w14:paraId="38BA25B4">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有毒气体外逸污染环境</w:t>
                  </w:r>
                </w:p>
              </w:tc>
              <w:tc>
                <w:tcPr>
                  <w:tcW w:w="1472" w:type="dxa"/>
                  <w:tcBorders>
                    <w:top w:val="single" w:color="000000" w:sz="4" w:space="0"/>
                    <w:left w:val="single" w:color="000000" w:sz="4" w:space="0"/>
                    <w:bottom w:val="single" w:color="000000" w:sz="4" w:space="0"/>
                    <w:right w:val="single" w:color="000000" w:sz="4" w:space="0"/>
                  </w:tcBorders>
                  <w:vAlign w:val="center"/>
                </w:tcPr>
                <w:p w14:paraId="58452D6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w:t>
                  </w:r>
                </w:p>
              </w:tc>
              <w:tc>
                <w:tcPr>
                  <w:tcW w:w="1612" w:type="dxa"/>
                  <w:tcBorders>
                    <w:top w:val="single" w:color="000000" w:sz="4" w:space="0"/>
                    <w:left w:val="single" w:color="000000" w:sz="4" w:space="0"/>
                    <w:bottom w:val="single" w:color="000000" w:sz="4" w:space="0"/>
                    <w:right w:val="single" w:color="000000" w:sz="4" w:space="0"/>
                  </w:tcBorders>
                  <w:vAlign w:val="center"/>
                </w:tcPr>
                <w:p w14:paraId="70EAA48C">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r>
            <w:tr w14:paraId="1DCC4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8" w:hRule="atLeast"/>
                <w:jc w:val="center"/>
              </w:trPr>
              <w:tc>
                <w:tcPr>
                  <w:tcW w:w="1044" w:type="dxa"/>
                  <w:tcBorders>
                    <w:top w:val="single" w:color="000000" w:sz="4" w:space="0"/>
                    <w:left w:val="single" w:color="000000" w:sz="4" w:space="0"/>
                    <w:bottom w:val="single" w:color="000000" w:sz="4" w:space="0"/>
                    <w:right w:val="single" w:color="000000" w:sz="4" w:space="0"/>
                  </w:tcBorders>
                  <w:vAlign w:val="center"/>
                </w:tcPr>
                <w:p w14:paraId="3F8B1AE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w:t>
                  </w:r>
                </w:p>
              </w:tc>
              <w:tc>
                <w:tcPr>
                  <w:tcW w:w="4743" w:type="dxa"/>
                  <w:tcBorders>
                    <w:top w:val="single" w:color="000000" w:sz="4" w:space="0"/>
                    <w:left w:val="single" w:color="000000" w:sz="4" w:space="0"/>
                    <w:bottom w:val="single" w:color="000000" w:sz="4" w:space="0"/>
                    <w:right w:val="single" w:color="000000" w:sz="4" w:space="0"/>
                  </w:tcBorders>
                  <w:vAlign w:val="center"/>
                </w:tcPr>
                <w:p w14:paraId="56942865">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燃爆或泄漏后有毒液体流入周围环境造成污染</w:t>
                  </w:r>
                </w:p>
              </w:tc>
              <w:tc>
                <w:tcPr>
                  <w:tcW w:w="1472" w:type="dxa"/>
                  <w:tcBorders>
                    <w:top w:val="single" w:color="000000" w:sz="4" w:space="0"/>
                    <w:left w:val="single" w:color="000000" w:sz="4" w:space="0"/>
                    <w:bottom w:val="single" w:color="000000" w:sz="4" w:space="0"/>
                    <w:right w:val="single" w:color="000000" w:sz="4" w:space="0"/>
                  </w:tcBorders>
                  <w:vAlign w:val="center"/>
                </w:tcPr>
                <w:p w14:paraId="0CDE9D0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c>
                <w:tcPr>
                  <w:tcW w:w="1612" w:type="dxa"/>
                  <w:tcBorders>
                    <w:top w:val="single" w:color="000000" w:sz="4" w:space="0"/>
                    <w:left w:val="single" w:color="000000" w:sz="4" w:space="0"/>
                    <w:bottom w:val="single" w:color="000000" w:sz="4" w:space="0"/>
                    <w:right w:val="single" w:color="000000" w:sz="4" w:space="0"/>
                  </w:tcBorders>
                  <w:vAlign w:val="center"/>
                </w:tcPr>
                <w:p w14:paraId="533B1CCA">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w:t>
                  </w:r>
                </w:p>
              </w:tc>
            </w:tr>
            <w:tr w14:paraId="001CE6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 w:hRule="atLeast"/>
                <w:jc w:val="center"/>
              </w:trPr>
              <w:tc>
                <w:tcPr>
                  <w:tcW w:w="1044" w:type="dxa"/>
                  <w:tcBorders>
                    <w:top w:val="single" w:color="000000" w:sz="4" w:space="0"/>
                    <w:left w:val="single" w:color="000000" w:sz="4" w:space="0"/>
                    <w:bottom w:val="single" w:color="000000" w:sz="4" w:space="0"/>
                    <w:right w:val="single" w:color="000000" w:sz="4" w:space="0"/>
                  </w:tcBorders>
                  <w:vAlign w:val="center"/>
                </w:tcPr>
                <w:p w14:paraId="40A28490">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w:t>
                  </w:r>
                </w:p>
              </w:tc>
              <w:tc>
                <w:tcPr>
                  <w:tcW w:w="4743" w:type="dxa"/>
                  <w:tcBorders>
                    <w:top w:val="single" w:color="000000" w:sz="4" w:space="0"/>
                    <w:left w:val="single" w:color="000000" w:sz="4" w:space="0"/>
                    <w:bottom w:val="single" w:color="000000" w:sz="4" w:space="0"/>
                    <w:right w:val="single" w:color="000000" w:sz="4" w:space="0"/>
                  </w:tcBorders>
                  <w:vAlign w:val="center"/>
                </w:tcPr>
                <w:p w14:paraId="35C45364">
                  <w:pPr>
                    <w:snapToGrid w:val="0"/>
                    <w:jc w:val="center"/>
                    <w:rPr>
                      <w:rFonts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t>爆炸震动波及界外环境造成损失</w:t>
                  </w:r>
                </w:p>
              </w:tc>
              <w:tc>
                <w:tcPr>
                  <w:tcW w:w="1472" w:type="dxa"/>
                  <w:tcBorders>
                    <w:top w:val="single" w:color="000000" w:sz="4" w:space="0"/>
                    <w:left w:val="single" w:color="000000" w:sz="4" w:space="0"/>
                    <w:bottom w:val="single" w:color="000000" w:sz="4" w:space="0"/>
                    <w:right w:val="single" w:color="000000" w:sz="4" w:space="0"/>
                  </w:tcBorders>
                  <w:vAlign w:val="center"/>
                </w:tcPr>
                <w:p w14:paraId="47BFFD51">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w:t>
                  </w:r>
                </w:p>
              </w:tc>
              <w:tc>
                <w:tcPr>
                  <w:tcW w:w="1612" w:type="dxa"/>
                  <w:tcBorders>
                    <w:top w:val="single" w:color="000000" w:sz="4" w:space="0"/>
                    <w:left w:val="single" w:color="000000" w:sz="4" w:space="0"/>
                    <w:bottom w:val="single" w:color="000000" w:sz="4" w:space="0"/>
                    <w:right w:val="single" w:color="000000" w:sz="4" w:space="0"/>
                  </w:tcBorders>
                  <w:vAlign w:val="center"/>
                </w:tcPr>
                <w:p w14:paraId="2B65EC09">
                  <w:pPr>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w:t>
                  </w:r>
                </w:p>
              </w:tc>
            </w:tr>
          </w:tbl>
          <w:p w14:paraId="6FC065D8">
            <w:pPr>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3、环境风险分析</w:t>
            </w:r>
          </w:p>
          <w:p w14:paraId="430FFA8B">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1</w:t>
            </w:r>
            <w:r>
              <w:rPr>
                <w:rFonts w:ascii="仿宋" w:hAnsi="仿宋" w:eastAsia="仿宋"/>
                <w:bCs/>
                <w:color w:val="000000" w:themeColor="text1"/>
                <w:sz w:val="24"/>
                <w14:textFill>
                  <w14:solidFill>
                    <w14:schemeClr w14:val="tx1"/>
                  </w14:solidFill>
                </w14:textFill>
              </w:rPr>
              <w:t>）对大气环境的影响</w:t>
            </w:r>
          </w:p>
          <w:p w14:paraId="570B7E16">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危险物质</w:t>
            </w:r>
            <w:r>
              <w:rPr>
                <w:rFonts w:hint="eastAsia" w:ascii="仿宋" w:hAnsi="仿宋" w:eastAsia="仿宋"/>
                <w:bCs/>
                <w:color w:val="000000" w:themeColor="text1"/>
                <w:sz w:val="24"/>
                <w14:textFill>
                  <w14:solidFill>
                    <w14:schemeClr w14:val="tx1"/>
                  </w14:solidFill>
                </w14:textFill>
              </w:rPr>
              <w:t>泄漏</w:t>
            </w:r>
            <w:r>
              <w:rPr>
                <w:rFonts w:ascii="仿宋" w:hAnsi="仿宋" w:eastAsia="仿宋"/>
                <w:bCs/>
                <w:color w:val="000000" w:themeColor="text1"/>
                <w:sz w:val="24"/>
                <w14:textFill>
                  <w14:solidFill>
                    <w14:schemeClr w14:val="tx1"/>
                  </w14:solidFill>
                </w14:textFill>
              </w:rPr>
              <w:t>、挥发等引发的污染物排放对大气环境造成影响，项目涉及原辅料中</w:t>
            </w:r>
            <w:r>
              <w:rPr>
                <w:rFonts w:hint="eastAsia" w:ascii="仿宋" w:hAnsi="仿宋" w:eastAsia="仿宋"/>
                <w:bCs/>
                <w:color w:val="000000" w:themeColor="text1"/>
                <w:sz w:val="24"/>
                <w14:textFill>
                  <w14:solidFill>
                    <w14:schemeClr w14:val="tx1"/>
                  </w14:solidFill>
                </w14:textFill>
              </w:rPr>
              <w:t>甲醇，硫酸等</w:t>
            </w:r>
            <w:r>
              <w:rPr>
                <w:rFonts w:ascii="仿宋" w:hAnsi="仿宋" w:eastAsia="仿宋"/>
                <w:bCs/>
                <w:color w:val="000000" w:themeColor="text1"/>
                <w:sz w:val="24"/>
                <w14:textFill>
                  <w14:solidFill>
                    <w14:schemeClr w14:val="tx1"/>
                  </w14:solidFill>
                </w14:textFill>
              </w:rPr>
              <w:t>组分排放至大气环境中，对大气环境造成影响；另外，</w:t>
            </w:r>
            <w:r>
              <w:rPr>
                <w:rFonts w:hint="eastAsia" w:ascii="仿宋" w:hAnsi="仿宋" w:eastAsia="仿宋"/>
                <w:bCs/>
                <w:color w:val="000000" w:themeColor="text1"/>
                <w:sz w:val="24"/>
                <w14:textFill>
                  <w14:solidFill>
                    <w14:schemeClr w14:val="tx1"/>
                  </w14:solidFill>
                </w14:textFill>
              </w:rPr>
              <w:t>甲醇，正己烷，乙腈，乙醇等物质易燃</w:t>
            </w:r>
            <w:r>
              <w:rPr>
                <w:rFonts w:ascii="仿宋" w:hAnsi="仿宋" w:eastAsia="仿宋"/>
                <w:bCs/>
                <w:color w:val="000000" w:themeColor="text1"/>
                <w:sz w:val="24"/>
                <w14:textFill>
                  <w14:solidFill>
                    <w14:schemeClr w14:val="tx1"/>
                  </w14:solidFill>
                </w14:textFill>
              </w:rPr>
              <w:t>，</w:t>
            </w:r>
            <w:r>
              <w:rPr>
                <w:rFonts w:hint="eastAsia" w:ascii="仿宋" w:hAnsi="仿宋" w:eastAsia="仿宋"/>
                <w:bCs/>
                <w:color w:val="000000" w:themeColor="text1"/>
                <w:sz w:val="24"/>
                <w14:textFill>
                  <w14:solidFill>
                    <w14:schemeClr w14:val="tx1"/>
                  </w14:solidFill>
                </w14:textFill>
              </w:rPr>
              <w:t>易引发火灾爆炸事故</w:t>
            </w:r>
            <w:r>
              <w:rPr>
                <w:rFonts w:ascii="仿宋" w:hAnsi="仿宋" w:eastAsia="仿宋"/>
                <w:bCs/>
                <w:color w:val="000000" w:themeColor="text1"/>
                <w:sz w:val="24"/>
                <w14:textFill>
                  <w14:solidFill>
                    <w14:schemeClr w14:val="tx1"/>
                  </w14:solidFill>
                </w14:textFill>
              </w:rPr>
              <w:t>，从而造成对厂外周围环境敏感点和人群的影响。</w:t>
            </w:r>
          </w:p>
          <w:p w14:paraId="6EF0F8CB">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2</w:t>
            </w:r>
            <w:r>
              <w:rPr>
                <w:rFonts w:ascii="仿宋" w:hAnsi="仿宋" w:eastAsia="仿宋"/>
                <w:bCs/>
                <w:color w:val="000000" w:themeColor="text1"/>
                <w:sz w:val="24"/>
                <w14:textFill>
                  <w14:solidFill>
                    <w14:schemeClr w14:val="tx1"/>
                  </w14:solidFill>
                </w14:textFill>
              </w:rPr>
              <w:t>）对地表水环境的影响</w:t>
            </w:r>
          </w:p>
          <w:p w14:paraId="2D8565AE">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本项目涉及的危险物质发生泄漏时，可能受到雨水冲刷，如排水管网设置不当，使有害物质排入雨水管网而排入附近地表水体时，将对周边地表水环境产生污染，影响周边水体水质，进而影响水生生物的生存。</w:t>
            </w:r>
          </w:p>
          <w:p w14:paraId="719A8745">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3</w:t>
            </w:r>
            <w:r>
              <w:rPr>
                <w:rFonts w:ascii="仿宋" w:hAnsi="仿宋" w:eastAsia="仿宋"/>
                <w:bCs/>
                <w:color w:val="000000" w:themeColor="text1"/>
                <w:sz w:val="24"/>
                <w14:textFill>
                  <w14:solidFill>
                    <w14:schemeClr w14:val="tx1"/>
                  </w14:solidFill>
                </w14:textFill>
              </w:rPr>
              <w:t>）对地下水环境的影响</w:t>
            </w:r>
          </w:p>
          <w:p w14:paraId="504451B5">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本项目产生的危险废物</w:t>
            </w:r>
            <w:r>
              <w:rPr>
                <w:rFonts w:hint="eastAsia" w:ascii="仿宋" w:hAnsi="仿宋" w:eastAsia="仿宋"/>
                <w:bCs/>
                <w:color w:val="000000" w:themeColor="text1"/>
                <w:sz w:val="24"/>
                <w14:textFill>
                  <w14:solidFill>
                    <w14:schemeClr w14:val="tx1"/>
                  </w14:solidFill>
                </w14:textFill>
              </w:rPr>
              <w:t>（检测废液、废气吸收废水、废活性炭等）</w:t>
            </w:r>
            <w:r>
              <w:rPr>
                <w:rFonts w:ascii="仿宋" w:hAnsi="仿宋" w:eastAsia="仿宋"/>
                <w:bCs/>
                <w:color w:val="000000" w:themeColor="text1"/>
                <w:sz w:val="24"/>
                <w14:textFill>
                  <w14:solidFill>
                    <w14:schemeClr w14:val="tx1"/>
                  </w14:solidFill>
                </w14:textFill>
              </w:rPr>
              <w:t>在储存或在厂内转移过程中由于操作不当、包装容器的破裂等原因而</w:t>
            </w:r>
            <w:r>
              <w:rPr>
                <w:rFonts w:hint="eastAsia" w:ascii="仿宋" w:hAnsi="仿宋" w:eastAsia="仿宋"/>
                <w:bCs/>
                <w:color w:val="000000" w:themeColor="text1"/>
                <w:sz w:val="24"/>
                <w14:textFill>
                  <w14:solidFill>
                    <w14:schemeClr w14:val="tx1"/>
                  </w14:solidFill>
                </w14:textFill>
              </w:rPr>
              <w:t>泄漏</w:t>
            </w:r>
            <w:r>
              <w:rPr>
                <w:rFonts w:ascii="仿宋" w:hAnsi="仿宋" w:eastAsia="仿宋"/>
                <w:bCs/>
                <w:color w:val="000000" w:themeColor="text1"/>
                <w:sz w:val="24"/>
                <w14:textFill>
                  <w14:solidFill>
                    <w14:schemeClr w14:val="tx1"/>
                  </w14:solidFill>
                </w14:textFill>
              </w:rPr>
              <w:t>，将对地下水环境产生污染，破坏地下水环境。</w:t>
            </w:r>
          </w:p>
          <w:p w14:paraId="67FF7F78">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4</w:t>
            </w:r>
            <w:r>
              <w:rPr>
                <w:rFonts w:ascii="仿宋" w:hAnsi="仿宋" w:eastAsia="仿宋"/>
                <w:bCs/>
                <w:color w:val="000000" w:themeColor="text1"/>
                <w:sz w:val="24"/>
                <w14:textFill>
                  <w14:solidFill>
                    <w14:schemeClr w14:val="tx1"/>
                  </w14:solidFill>
                </w14:textFill>
              </w:rPr>
              <w:t>）对土壤环境的影响</w:t>
            </w:r>
          </w:p>
          <w:p w14:paraId="4FC9FBF4">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本项目生产过程中产生的危险废物</w:t>
            </w:r>
            <w:r>
              <w:rPr>
                <w:rFonts w:hint="eastAsia" w:ascii="仿宋" w:hAnsi="仿宋" w:eastAsia="仿宋"/>
                <w:bCs/>
                <w:color w:val="000000" w:themeColor="text1"/>
                <w:sz w:val="24"/>
                <w14:textFill>
                  <w14:solidFill>
                    <w14:schemeClr w14:val="tx1"/>
                  </w14:solidFill>
                </w14:textFill>
              </w:rPr>
              <w:t>（检测废液、废气吸收废水、废活性炭等）</w:t>
            </w:r>
            <w:r>
              <w:rPr>
                <w:rFonts w:ascii="仿宋" w:hAnsi="仿宋" w:eastAsia="仿宋"/>
                <w:bCs/>
                <w:color w:val="000000" w:themeColor="text1"/>
                <w:sz w:val="24"/>
                <w14:textFill>
                  <w14:solidFill>
                    <w14:schemeClr w14:val="tx1"/>
                  </w14:solidFill>
                </w14:textFill>
              </w:rPr>
              <w:t>在厂内转移过程中由于操作不当、包装容器的破裂等原因而</w:t>
            </w:r>
            <w:r>
              <w:rPr>
                <w:rFonts w:hint="eastAsia" w:ascii="仿宋" w:hAnsi="仿宋" w:eastAsia="仿宋"/>
                <w:bCs/>
                <w:color w:val="000000" w:themeColor="text1"/>
                <w:sz w:val="24"/>
                <w14:textFill>
                  <w14:solidFill>
                    <w14:schemeClr w14:val="tx1"/>
                  </w14:solidFill>
                </w14:textFill>
              </w:rPr>
              <w:t>泄漏</w:t>
            </w:r>
            <w:r>
              <w:rPr>
                <w:rFonts w:ascii="仿宋" w:hAnsi="仿宋" w:eastAsia="仿宋"/>
                <w:bCs/>
                <w:color w:val="000000" w:themeColor="text1"/>
                <w:sz w:val="24"/>
                <w14:textFill>
                  <w14:solidFill>
                    <w14:schemeClr w14:val="tx1"/>
                  </w14:solidFill>
                </w14:textFill>
              </w:rPr>
              <w:t>，在地表防渗措施不到位的情况下，物料可能渗入地表污染土壤，破坏周边土壤环境。</w:t>
            </w:r>
          </w:p>
          <w:p w14:paraId="12D3A5EC">
            <w:pPr>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4、</w:t>
            </w:r>
            <w:r>
              <w:rPr>
                <w:rFonts w:eastAsia="仿宋"/>
                <w:color w:val="000000" w:themeColor="text1"/>
                <w:sz w:val="24"/>
                <w14:textFill>
                  <w14:solidFill>
                    <w14:schemeClr w14:val="tx1"/>
                  </w14:solidFill>
                </w14:textFill>
              </w:rPr>
              <w:t>环境风险防范措施及应急要求</w:t>
            </w:r>
          </w:p>
          <w:p w14:paraId="5C90FFE3">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1</w:t>
            </w:r>
            <w:r>
              <w:rPr>
                <w:rFonts w:ascii="仿宋" w:hAnsi="仿宋" w:eastAsia="仿宋"/>
                <w:bCs/>
                <w:color w:val="000000" w:themeColor="text1"/>
                <w:sz w:val="24"/>
                <w14:textFill>
                  <w14:solidFill>
                    <w14:schemeClr w14:val="tx1"/>
                  </w14:solidFill>
                </w14:textFill>
              </w:rPr>
              <w:t>）设计中采用的安全防范措施</w:t>
            </w:r>
          </w:p>
          <w:p w14:paraId="41B5874C">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设计中严格执行国家、行业有关劳动安全卫生的法规和标准规范。</w:t>
            </w:r>
          </w:p>
          <w:p w14:paraId="6C1454A9">
            <w:pPr>
              <w:spacing w:line="480" w:lineRule="exact"/>
              <w:ind w:firstLine="480" w:firstLineChars="200"/>
              <w:rPr>
                <w:rFonts w:eastAsia="仿宋"/>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①</w:t>
            </w:r>
            <w:r>
              <w:rPr>
                <w:rFonts w:ascii="仿宋" w:hAnsi="仿宋" w:eastAsia="仿宋"/>
                <w:bCs/>
                <w:color w:val="000000" w:themeColor="text1"/>
                <w:sz w:val="24"/>
                <w14:textFill>
                  <w14:solidFill>
                    <w14:schemeClr w14:val="tx1"/>
                  </w14:solidFill>
                </w14:textFill>
              </w:rPr>
              <w:t>完善备用电系统。为了防止因停电而造成事故性排放的发生，必须配套完善备用电系统，采用双电路供电，瞬时切换，以保证对生产的正常运行。</w:t>
            </w:r>
          </w:p>
          <w:p w14:paraId="6300C05E">
            <w:pPr>
              <w:spacing w:line="480" w:lineRule="exact"/>
              <w:ind w:firstLine="480" w:firstLineChars="200"/>
              <w:rPr>
                <w:rFonts w:eastAsia="仿宋"/>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②</w:t>
            </w:r>
            <w:r>
              <w:rPr>
                <w:rFonts w:ascii="仿宋" w:hAnsi="仿宋" w:eastAsia="仿宋"/>
                <w:bCs/>
                <w:color w:val="000000" w:themeColor="text1"/>
                <w:sz w:val="24"/>
                <w14:textFill>
                  <w14:solidFill>
                    <w14:schemeClr w14:val="tx1"/>
                  </w14:solidFill>
                </w14:textFill>
              </w:rPr>
              <w:t>对主要生产工段的装置采用集散控制系统，设置检测点、报警和联锁系统，提高控制水平，减少因手工操作带来的失误，确保生产安全进行。</w:t>
            </w:r>
          </w:p>
          <w:p w14:paraId="2EE0C26C">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2</w:t>
            </w:r>
            <w:r>
              <w:rPr>
                <w:rFonts w:ascii="仿宋" w:hAnsi="仿宋" w:eastAsia="仿宋"/>
                <w:bCs/>
                <w:color w:val="000000" w:themeColor="text1"/>
                <w:sz w:val="24"/>
                <w14:textFill>
                  <w14:solidFill>
                    <w14:schemeClr w14:val="tx1"/>
                  </w14:solidFill>
                </w14:textFill>
              </w:rPr>
              <w:t>）生产过程中的风险防范措施</w:t>
            </w:r>
          </w:p>
          <w:p w14:paraId="7F8F6EC4">
            <w:pPr>
              <w:spacing w:line="480" w:lineRule="exact"/>
              <w:ind w:firstLine="480" w:firstLineChars="200"/>
              <w:rPr>
                <w:rFonts w:eastAsia="仿宋"/>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①</w:t>
            </w:r>
            <w:r>
              <w:rPr>
                <w:rFonts w:ascii="仿宋" w:hAnsi="仿宋" w:eastAsia="仿宋"/>
                <w:bCs/>
                <w:color w:val="000000" w:themeColor="text1"/>
                <w:sz w:val="24"/>
                <w14:textFill>
                  <w14:solidFill>
                    <w14:schemeClr w14:val="tx1"/>
                  </w14:solidFill>
                </w14:textFill>
              </w:rPr>
              <w:t>建立安全生产岗位责任制，制定完善的安全生产规章制度、安全操作规程、安全生产检查制度、禁火管理制度、危险化学品的安全管理规定、仓库安全管理制度、事故管理制度等，必须切实加强安全管理，提高事故防范能力。员工实行持证上岗。</w:t>
            </w:r>
          </w:p>
          <w:p w14:paraId="3C99449F">
            <w:pPr>
              <w:spacing w:line="480" w:lineRule="exact"/>
              <w:ind w:firstLine="480" w:firstLineChars="200"/>
              <w:rPr>
                <w:rFonts w:eastAsia="仿宋"/>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②</w:t>
            </w:r>
            <w:r>
              <w:rPr>
                <w:rFonts w:ascii="仿宋" w:hAnsi="仿宋" w:eastAsia="仿宋"/>
                <w:bCs/>
                <w:color w:val="000000" w:themeColor="text1"/>
                <w:sz w:val="24"/>
                <w14:textFill>
                  <w14:solidFill>
                    <w14:schemeClr w14:val="tx1"/>
                  </w14:solidFill>
                </w14:textFill>
              </w:rPr>
              <w:t>易燃生产装置区、管道等危险区域设置永久性《严禁烟火》标志，按照《工业管路的基本识别色和识别符号》的规定对化工装置刷色和作符号，并涂标志色。</w:t>
            </w:r>
          </w:p>
          <w:p w14:paraId="5EEA657F">
            <w:pPr>
              <w:spacing w:line="480" w:lineRule="exact"/>
              <w:ind w:firstLine="480" w:firstLineChars="200"/>
              <w:rPr>
                <w:rFonts w:eastAsia="仿宋"/>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③</w:t>
            </w:r>
            <w:r>
              <w:rPr>
                <w:rFonts w:ascii="仿宋" w:hAnsi="仿宋" w:eastAsia="仿宋"/>
                <w:bCs/>
                <w:color w:val="000000" w:themeColor="text1"/>
                <w:sz w:val="24"/>
                <w14:textFill>
                  <w14:solidFill>
                    <w14:schemeClr w14:val="tx1"/>
                  </w14:solidFill>
                </w14:textFill>
              </w:rPr>
              <w:t>严格执行有关防雷、防静电、防火、防爆、防潮的规定、规程和标准，维修人员经常巡视生产现场，并严格按照维修制度对各生产设备、设施、管道、阀门、法兰等定期检查，及时发现隐患，维护维修，同时，关键设备实行定期大修制度。避免因腐蚀、老化或机械等原因，造成有毒有害物质的泄漏及废物的超标排放，引起环境污染和人员伤害。</w:t>
            </w:r>
          </w:p>
          <w:p w14:paraId="61449BE4">
            <w:pPr>
              <w:spacing w:line="480" w:lineRule="exact"/>
              <w:ind w:firstLine="480" w:firstLineChars="200"/>
              <w:rPr>
                <w:rFonts w:eastAsia="仿宋"/>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④</w:t>
            </w:r>
            <w:r>
              <w:rPr>
                <w:rFonts w:ascii="仿宋" w:hAnsi="仿宋" w:eastAsia="仿宋"/>
                <w:bCs/>
                <w:color w:val="000000" w:themeColor="text1"/>
                <w:sz w:val="24"/>
                <w14:textFill>
                  <w14:solidFill>
                    <w14:schemeClr w14:val="tx1"/>
                  </w14:solidFill>
                </w14:textFill>
              </w:rPr>
              <w:t>涉及易挥发有害物质的生产车间和现场原料储存区安装自动报警设备，对具有高危害设备、关键设备设置保险措施，并按规定配备齐全应急救援设施。</w:t>
            </w:r>
          </w:p>
          <w:p w14:paraId="201D631B">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3</w:t>
            </w:r>
            <w:r>
              <w:rPr>
                <w:rFonts w:ascii="仿宋" w:hAnsi="仿宋" w:eastAsia="仿宋"/>
                <w:bCs/>
                <w:color w:val="000000" w:themeColor="text1"/>
                <w:sz w:val="24"/>
                <w14:textFill>
                  <w14:solidFill>
                    <w14:schemeClr w14:val="tx1"/>
                  </w14:solidFill>
                </w14:textFill>
              </w:rPr>
              <w:t>）贮存过程中的风险防范措施</w:t>
            </w:r>
          </w:p>
          <w:p w14:paraId="226FBE27">
            <w:pPr>
              <w:spacing w:line="480" w:lineRule="exact"/>
              <w:ind w:firstLine="480" w:firstLineChars="200"/>
              <w:rPr>
                <w:rFonts w:eastAsia="仿宋"/>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①</w:t>
            </w:r>
            <w:r>
              <w:rPr>
                <w:rFonts w:ascii="仿宋" w:hAnsi="仿宋" w:eastAsia="仿宋"/>
                <w:bCs/>
                <w:color w:val="000000" w:themeColor="text1"/>
                <w:sz w:val="24"/>
                <w14:textFill>
                  <w14:solidFill>
                    <w14:schemeClr w14:val="tx1"/>
                  </w14:solidFill>
                </w14:textFill>
              </w:rPr>
              <w:t>易燃危险化学品应储存在阴凉、通风区域内；远离火种、热源和避免阳光直射；配备相应品种和数量消防器材；禁止使用易产生火花的机械设备和工具；要设置</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危险</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禁止烟火</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防潮</w:t>
            </w:r>
            <w:r>
              <w:rPr>
                <w:rFonts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等警示标志。</w:t>
            </w:r>
          </w:p>
          <w:p w14:paraId="33DEB29D">
            <w:pPr>
              <w:spacing w:line="480" w:lineRule="exact"/>
              <w:ind w:firstLine="480" w:firstLineChars="200"/>
              <w:rPr>
                <w:rFonts w:eastAsia="仿宋"/>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②</w:t>
            </w:r>
            <w:r>
              <w:rPr>
                <w:rFonts w:ascii="仿宋" w:hAnsi="仿宋" w:eastAsia="仿宋"/>
                <w:bCs/>
                <w:color w:val="000000" w:themeColor="text1"/>
                <w:sz w:val="24"/>
                <w14:textFill>
                  <w14:solidFill>
                    <w14:schemeClr w14:val="tx1"/>
                  </w14:solidFill>
                </w14:textFill>
              </w:rPr>
              <w:t>各种物料应按其相应堆存规范堆置，禁止堆栈过高，防止滚动。</w:t>
            </w:r>
          </w:p>
          <w:p w14:paraId="0176FFB7">
            <w:pPr>
              <w:spacing w:line="480" w:lineRule="exact"/>
              <w:ind w:firstLine="480" w:firstLineChars="200"/>
              <w:rPr>
                <w:rFonts w:eastAsia="仿宋"/>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③</w:t>
            </w:r>
            <w:r>
              <w:rPr>
                <w:rFonts w:ascii="仿宋" w:hAnsi="仿宋" w:eastAsia="仿宋"/>
                <w:bCs/>
                <w:color w:val="000000" w:themeColor="text1"/>
                <w:sz w:val="24"/>
                <w14:textFill>
                  <w14:solidFill>
                    <w14:schemeClr w14:val="tx1"/>
                  </w14:solidFill>
                </w14:textFill>
              </w:rPr>
              <w:t>仓库和危险废物暂存场所存放危险物质，为防止泄漏造成污染，应在仓库内采用混凝土防渗；危险废物暂存场所必须按照《危险废物贮存污染控制标准》（</w:t>
            </w:r>
            <w:r>
              <w:rPr>
                <w:rFonts w:eastAsia="仿宋"/>
                <w:bCs/>
                <w:color w:val="000000" w:themeColor="text1"/>
                <w:sz w:val="24"/>
                <w14:textFill>
                  <w14:solidFill>
                    <w14:schemeClr w14:val="tx1"/>
                  </w14:solidFill>
                </w14:textFill>
              </w:rPr>
              <w:t>GB18597-2023</w:t>
            </w:r>
            <w:r>
              <w:rPr>
                <w:rFonts w:ascii="仿宋" w:hAnsi="仿宋" w:eastAsia="仿宋"/>
                <w:bCs/>
                <w:color w:val="000000" w:themeColor="text1"/>
                <w:sz w:val="24"/>
                <w14:textFill>
                  <w14:solidFill>
                    <w14:schemeClr w14:val="tx1"/>
                  </w14:solidFill>
                </w14:textFill>
              </w:rPr>
              <w:t>）的要求设置。</w:t>
            </w:r>
          </w:p>
          <w:p w14:paraId="4D3CB851">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4</w:t>
            </w:r>
            <w:r>
              <w:rPr>
                <w:rFonts w:ascii="仿宋" w:hAnsi="仿宋" w:eastAsia="仿宋"/>
                <w:bCs/>
                <w:color w:val="000000" w:themeColor="text1"/>
                <w:sz w:val="24"/>
                <w14:textFill>
                  <w14:solidFill>
                    <w14:schemeClr w14:val="tx1"/>
                  </w14:solidFill>
                </w14:textFill>
              </w:rPr>
              <w:t>）物料泄漏事故的防范措施</w:t>
            </w:r>
          </w:p>
          <w:p w14:paraId="2D77D50B">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泄漏事故的预防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本项目主要采取以下措施：</w:t>
            </w:r>
          </w:p>
          <w:p w14:paraId="6934CF3A">
            <w:pPr>
              <w:spacing w:line="480" w:lineRule="exact"/>
              <w:ind w:firstLine="480" w:firstLineChars="200"/>
              <w:rPr>
                <w:rFonts w:eastAsia="仿宋"/>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①</w:t>
            </w:r>
            <w:r>
              <w:rPr>
                <w:rFonts w:ascii="仿宋" w:hAnsi="仿宋" w:eastAsia="仿宋"/>
                <w:bCs/>
                <w:color w:val="000000" w:themeColor="text1"/>
                <w:sz w:val="24"/>
                <w14:textFill>
                  <w14:solidFill>
                    <w14:schemeClr w14:val="tx1"/>
                  </w14:solidFill>
                </w14:textFill>
              </w:rPr>
              <w:t>严格执行安全和消防规范。</w:t>
            </w:r>
          </w:p>
          <w:p w14:paraId="29FEC1CF">
            <w:pPr>
              <w:spacing w:line="480" w:lineRule="exact"/>
              <w:ind w:firstLine="480" w:firstLineChars="200"/>
              <w:rPr>
                <w:rFonts w:eastAsia="仿宋"/>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②</w:t>
            </w:r>
            <w:r>
              <w:rPr>
                <w:rFonts w:ascii="仿宋" w:hAnsi="仿宋" w:eastAsia="仿宋"/>
                <w:bCs/>
                <w:color w:val="000000" w:themeColor="text1"/>
                <w:sz w:val="24"/>
                <w14:textFill>
                  <w14:solidFill>
                    <w14:schemeClr w14:val="tx1"/>
                  </w14:solidFill>
                </w14:textFill>
              </w:rPr>
              <w:t>应经常对各类阀门进行检查和维修，以保证其严密性和灵活性，对压力计、温度计及各种调节器进行定期检查。</w:t>
            </w:r>
          </w:p>
          <w:p w14:paraId="2D5DDE98">
            <w:pPr>
              <w:spacing w:line="480" w:lineRule="exact"/>
              <w:ind w:firstLine="480" w:firstLineChars="200"/>
              <w:rPr>
                <w:rFonts w:eastAsia="仿宋"/>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③</w:t>
            </w:r>
            <w:r>
              <w:rPr>
                <w:rFonts w:ascii="仿宋" w:hAnsi="仿宋" w:eastAsia="仿宋"/>
                <w:bCs/>
                <w:color w:val="000000" w:themeColor="text1"/>
                <w:sz w:val="24"/>
                <w14:textFill>
                  <w14:solidFill>
                    <w14:schemeClr w14:val="tx1"/>
                  </w14:solidFill>
                </w14:textFill>
              </w:rPr>
              <w:t>对操作人员进行系统教育，严格按操作规程进行操作，严禁违章作业。加强个人防护，作业岗位应配有防护用品，并定期检查维修，保证使用效果。</w:t>
            </w:r>
          </w:p>
          <w:p w14:paraId="05313022">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5</w:t>
            </w:r>
            <w:r>
              <w:rPr>
                <w:rFonts w:ascii="仿宋" w:hAnsi="仿宋" w:eastAsia="仿宋"/>
                <w:bCs/>
                <w:color w:val="000000" w:themeColor="text1"/>
                <w:sz w:val="24"/>
                <w14:textFill>
                  <w14:solidFill>
                    <w14:schemeClr w14:val="tx1"/>
                  </w14:solidFill>
                </w14:textFill>
              </w:rPr>
              <w:t>）火灾和爆炸事故的防范措施</w:t>
            </w:r>
          </w:p>
          <w:p w14:paraId="4B1043B2">
            <w:pPr>
              <w:spacing w:line="480" w:lineRule="exact"/>
              <w:ind w:firstLine="480" w:firstLineChars="200"/>
              <w:rPr>
                <w:rFonts w:eastAsia="仿宋"/>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①</w:t>
            </w:r>
            <w:r>
              <w:rPr>
                <w:rFonts w:ascii="仿宋" w:hAnsi="仿宋" w:eastAsia="仿宋"/>
                <w:bCs/>
                <w:color w:val="000000" w:themeColor="text1"/>
                <w:sz w:val="24"/>
                <w14:textFill>
                  <w14:solidFill>
                    <w14:schemeClr w14:val="tx1"/>
                  </w14:solidFill>
                </w14:textFill>
              </w:rPr>
              <w:t>设备的安全管理：定期对设备进行安全检测，检测内容、时间、人员应有记录保存。安全检测应根据设备的安全性、危险性设定检测频次。</w:t>
            </w:r>
          </w:p>
          <w:p w14:paraId="4A01D81C">
            <w:pPr>
              <w:spacing w:line="480" w:lineRule="exact"/>
              <w:ind w:firstLine="480" w:firstLineChars="200"/>
              <w:rPr>
                <w:rFonts w:eastAsia="仿宋"/>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②</w:t>
            </w:r>
            <w:r>
              <w:rPr>
                <w:rFonts w:ascii="仿宋" w:hAnsi="仿宋" w:eastAsia="仿宋"/>
                <w:bCs/>
                <w:color w:val="000000" w:themeColor="text1"/>
                <w:sz w:val="24"/>
                <w14:textFill>
                  <w14:solidFill>
                    <w14:schemeClr w14:val="tx1"/>
                  </w14:solidFill>
                </w14:textFill>
              </w:rPr>
              <w:t>在储存和输送系统及辅助设施中，在必要的地方安装安全阀和防超压系统。</w:t>
            </w:r>
          </w:p>
          <w:p w14:paraId="43CC78D9">
            <w:pPr>
              <w:spacing w:line="480" w:lineRule="exact"/>
              <w:ind w:firstLine="480" w:firstLineChars="200"/>
              <w:rPr>
                <w:rFonts w:eastAsia="仿宋"/>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③</w:t>
            </w:r>
            <w:r>
              <w:rPr>
                <w:rFonts w:ascii="仿宋" w:hAnsi="仿宋" w:eastAsia="仿宋"/>
                <w:bCs/>
                <w:color w:val="000000" w:themeColor="text1"/>
                <w:sz w:val="24"/>
                <w14:textFill>
                  <w14:solidFill>
                    <w14:schemeClr w14:val="tx1"/>
                  </w14:solidFill>
                </w14:textFill>
              </w:rPr>
              <w:t>在管道以及其他设备上，设置永久性接地装置；要有防雷装置，特别防止雷击。</w:t>
            </w:r>
          </w:p>
          <w:p w14:paraId="1644EC09">
            <w:pPr>
              <w:spacing w:line="480" w:lineRule="exact"/>
              <w:ind w:firstLine="480" w:firstLineChars="200"/>
              <w:rPr>
                <w:rFonts w:eastAsia="仿宋"/>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④</w:t>
            </w:r>
            <w:r>
              <w:rPr>
                <w:rFonts w:ascii="仿宋" w:hAnsi="仿宋" w:eastAsia="仿宋"/>
                <w:bCs/>
                <w:color w:val="000000" w:themeColor="text1"/>
                <w:sz w:val="24"/>
                <w14:textFill>
                  <w14:solidFill>
                    <w14:schemeClr w14:val="tx1"/>
                  </w14:solidFill>
                </w14:textFill>
              </w:rPr>
              <w:t>应加强火源的管理，严禁烟火带入，对设备需进行维修焊接，应经安全部门确认、准许，并有记录。</w:t>
            </w:r>
          </w:p>
          <w:p w14:paraId="6D1FC885">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w:t>
            </w:r>
            <w:r>
              <w:rPr>
                <w:rFonts w:eastAsia="仿宋"/>
                <w:bCs/>
                <w:color w:val="000000" w:themeColor="text1"/>
                <w:sz w:val="24"/>
                <w14:textFill>
                  <w14:solidFill>
                    <w14:schemeClr w14:val="tx1"/>
                  </w14:solidFill>
                </w14:textFill>
              </w:rPr>
              <w:t>6</w:t>
            </w:r>
            <w:r>
              <w:rPr>
                <w:rFonts w:ascii="仿宋" w:hAnsi="仿宋" w:eastAsia="仿宋"/>
                <w:bCs/>
                <w:color w:val="000000" w:themeColor="text1"/>
                <w:sz w:val="24"/>
                <w14:textFill>
                  <w14:solidFill>
                    <w14:schemeClr w14:val="tx1"/>
                  </w14:solidFill>
                </w14:textFill>
              </w:rPr>
              <w:t>）事故应急对策措施</w:t>
            </w:r>
          </w:p>
          <w:p w14:paraId="775C7972">
            <w:pPr>
              <w:spacing w:line="480" w:lineRule="exact"/>
              <w:ind w:firstLine="480" w:firstLineChars="200"/>
              <w:rPr>
                <w:rFonts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为了加强企业的环境风险防控和应急管理工作，提高应急救援能力，保护企业员工的生命安全，减少财产损失，使环境事故发生后能快速、有效、有序地实施应急救援，减少对周边环境的影响，须组织相关部门和机构编制突发环境事件应急预案。预案须根据《企事业单位和工业园区突发环境事件应急预案编制导则》（</w:t>
            </w:r>
            <w:r>
              <w:rPr>
                <w:rFonts w:eastAsia="仿宋"/>
                <w:bCs/>
                <w:color w:val="000000" w:themeColor="text1"/>
                <w:sz w:val="24"/>
                <w14:textFill>
                  <w14:solidFill>
                    <w14:schemeClr w14:val="tx1"/>
                  </w14:solidFill>
                </w14:textFill>
              </w:rPr>
              <w:t>DB32/T3795-2020</w:t>
            </w:r>
            <w:r>
              <w:rPr>
                <w:rFonts w:ascii="仿宋" w:hAnsi="仿宋" w:eastAsia="仿宋"/>
                <w:bCs/>
                <w:color w:val="000000" w:themeColor="text1"/>
                <w:sz w:val="24"/>
                <w14:textFill>
                  <w14:solidFill>
                    <w14:schemeClr w14:val="tx1"/>
                  </w14:solidFill>
                </w14:textFill>
              </w:rPr>
              <w:t>）的要求和其他相关文件要求，并结合企业的实际情况编制，是企业实施应急救援的规范性文件，用于指导企业突发环境事件的应急救援行动。</w:t>
            </w:r>
          </w:p>
          <w:p w14:paraId="31ABF03E">
            <w:pPr>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（7）事故废水风险防范措施</w:t>
            </w:r>
          </w:p>
          <w:p w14:paraId="2C2C4EAB">
            <w:pPr>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根据《事故状态下水体污染的预防和控制规范》（Q/SY 08190-2019）、《省生态环境厅关于印发江苏省环境影响评价文件环境应急相关内容编制要点的通知》（苏环办[2022]338号），企业针对废水排放采取“单元-厂区-园区/区域”的三级防控措施来杜绝环境风险事故对环境的造成污染事件，将环境风险事故排水及污染物控制在厂区内，环境风险事故排水及污染物控制在排水系统事故池内。</w:t>
            </w:r>
          </w:p>
          <w:p w14:paraId="3AD2CF49">
            <w:pPr>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一级防控措施将污染物控制在联合厂房内；二级防控措施将污染物控制在厂区事故应急池收集系统；三级防控措施将事故废水控制在事故风险源所在园区，确保生产事故状态下不发生污染事件。具体设计要求如下。</w:t>
            </w:r>
          </w:p>
          <w:p w14:paraId="44670334">
            <w:pPr>
              <w:spacing w:line="480" w:lineRule="exact"/>
              <w:ind w:firstLine="480" w:firstLineChars="200"/>
              <w:rPr>
                <w:rFonts w:hAnsi="仿宋" w:eastAsia="仿宋"/>
                <w:bCs/>
                <w:color w:val="000000" w:themeColor="text1"/>
                <w:sz w:val="24"/>
                <w14:textFill>
                  <w14:solidFill>
                    <w14:schemeClr w14:val="tx1"/>
                  </w14:solidFill>
                </w14:textFill>
              </w:rPr>
            </w:pPr>
            <w:r>
              <w:rPr>
                <w:rFonts w:hAnsi="仿宋" w:eastAsia="仿宋"/>
                <w:bCs/>
                <w:color w:val="000000" w:themeColor="text1"/>
                <w:sz w:val="24"/>
                <w14:textFill>
                  <w14:solidFill>
                    <w14:schemeClr w14:val="tx1"/>
                  </w14:solidFill>
                </w14:textFill>
              </w:rPr>
              <w:t>A</w:t>
            </w:r>
            <w:r>
              <w:rPr>
                <w:rFonts w:hint="eastAsia" w:ascii="仿宋" w:hAnsi="仿宋" w:eastAsia="仿宋"/>
                <w:bCs/>
                <w:color w:val="000000" w:themeColor="text1"/>
                <w:sz w:val="24"/>
                <w14:textFill>
                  <w14:solidFill>
                    <w14:schemeClr w14:val="tx1"/>
                  </w14:solidFill>
                </w14:textFill>
              </w:rPr>
              <w:t>、一级防控措施（装置级）</w:t>
            </w:r>
          </w:p>
          <w:p w14:paraId="3EF2BA02">
            <w:pPr>
              <w:spacing w:line="480" w:lineRule="exact"/>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本项目针对风险单元如实验室、危废仓库、危化品库等，地面设置防渗漏、防腐蚀、防淋溶、防流失措施。同时各风险单元均配置相应的应急物资，若发生少量物料、危废、危险品泄漏，采用惰性吸附材料进行吸附，及时转移进废弃物容器内；若发生大量物料、危废、危险品泄漏，采用挡板、沙土或沙包进行围挡，用应急泵泵入废弃物容器内，并采用吸附材料清理地面。收集的泄漏物及沾染了泄漏物的吸附材料均作为危险废物，委托有资质单位处置。</w:t>
            </w:r>
          </w:p>
          <w:p w14:paraId="00D6A996">
            <w:pPr>
              <w:spacing w:line="480" w:lineRule="exact"/>
              <w:ind w:firstLine="480" w:firstLineChars="200"/>
              <w:rPr>
                <w:rFonts w:hAnsi="仿宋" w:eastAsia="仿宋"/>
                <w:bCs/>
                <w:color w:val="000000" w:themeColor="text1"/>
                <w:sz w:val="24"/>
                <w14:textFill>
                  <w14:solidFill>
                    <w14:schemeClr w14:val="tx1"/>
                  </w14:solidFill>
                </w14:textFill>
              </w:rPr>
            </w:pPr>
            <w:r>
              <w:rPr>
                <w:rFonts w:hAnsi="仿宋" w:eastAsia="仿宋"/>
                <w:bCs/>
                <w:color w:val="000000" w:themeColor="text1"/>
                <w:sz w:val="24"/>
                <w14:textFill>
                  <w14:solidFill>
                    <w14:schemeClr w14:val="tx1"/>
                  </w14:solidFill>
                </w14:textFill>
              </w:rPr>
              <w:t>B</w:t>
            </w:r>
            <w:r>
              <w:rPr>
                <w:rFonts w:hint="eastAsia" w:ascii="仿宋" w:hAnsi="仿宋" w:eastAsia="仿宋"/>
                <w:bCs/>
                <w:color w:val="000000" w:themeColor="text1"/>
                <w:sz w:val="24"/>
                <w14:textFill>
                  <w14:solidFill>
                    <w14:schemeClr w14:val="tx1"/>
                  </w14:solidFill>
                </w14:textFill>
              </w:rPr>
              <w:t>、二级防控措施（企业级）</w:t>
            </w:r>
          </w:p>
          <w:p w14:paraId="46347E36">
            <w:pPr>
              <w:spacing w:line="480" w:lineRule="exact"/>
              <w:ind w:firstLine="480" w:firstLineChars="200"/>
              <w:rPr>
                <w:rFonts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厂内按要求设置</w:t>
            </w:r>
            <w:r>
              <w:rPr>
                <w:rFonts w:hint="eastAsia" w:eastAsia="仿宋"/>
                <w:bCs/>
                <w:color w:val="000000" w:themeColor="text1"/>
                <w:sz w:val="24"/>
                <w14:textFill>
                  <w14:solidFill>
                    <w14:schemeClr w14:val="tx1"/>
                  </w14:solidFill>
                </w14:textFill>
              </w:rPr>
              <w:t>1</w:t>
            </w:r>
            <w:r>
              <w:rPr>
                <w:rFonts w:hint="eastAsia" w:ascii="仿宋" w:hAnsi="仿宋" w:eastAsia="仿宋"/>
                <w:bCs/>
                <w:color w:val="000000" w:themeColor="text1"/>
                <w:sz w:val="24"/>
                <w14:textFill>
                  <w14:solidFill>
                    <w14:schemeClr w14:val="tx1"/>
                  </w14:solidFill>
                </w14:textFill>
              </w:rPr>
              <w:t>个</w:t>
            </w:r>
            <w:r>
              <w:rPr>
                <w:rFonts w:hAnsi="仿宋" w:eastAsia="仿宋"/>
                <w:bCs/>
                <w:color w:val="000000" w:themeColor="text1"/>
                <w:sz w:val="24"/>
                <w14:textFill>
                  <w14:solidFill>
                    <w14:schemeClr w14:val="tx1"/>
                  </w14:solidFill>
                </w14:textFill>
              </w:rPr>
              <w:t>20</w:t>
            </w:r>
            <w:r>
              <w:rPr>
                <w:rFonts w:hint="eastAsia" w:eastAsia="仿宋"/>
                <w:bCs/>
                <w:color w:val="000000" w:themeColor="text1"/>
                <w:sz w:val="24"/>
                <w14:textFill>
                  <w14:solidFill>
                    <w14:schemeClr w14:val="tx1"/>
                  </w14:solidFill>
                </w14:textFill>
              </w:rPr>
              <w:t>m</w:t>
            </w:r>
            <w:r>
              <w:rPr>
                <w:rFonts w:hint="eastAsia" w:eastAsia="仿宋"/>
                <w:bCs/>
                <w:color w:val="000000" w:themeColor="text1"/>
                <w:sz w:val="24"/>
                <w:vertAlign w:val="superscript"/>
                <w14:textFill>
                  <w14:solidFill>
                    <w14:schemeClr w14:val="tx1"/>
                  </w14:solidFill>
                </w14:textFill>
              </w:rPr>
              <w:t>3</w:t>
            </w:r>
            <w:r>
              <w:rPr>
                <w:rFonts w:hint="eastAsia" w:ascii="仿宋" w:hAnsi="仿宋" w:eastAsia="仿宋"/>
                <w:bCs/>
                <w:color w:val="000000" w:themeColor="text1"/>
                <w:sz w:val="24"/>
                <w14:textFill>
                  <w14:solidFill>
                    <w14:schemeClr w14:val="tx1"/>
                  </w14:solidFill>
                </w14:textFill>
              </w:rPr>
              <w:t>的事故应急池，事故发生时，联合厂房负一层也可作为事故废水收集区域，因此事故应急池容积可满足事故废水的厂内暂存要求。应急事故池保持池内有效容积，且与雨水管道相连，并设置了相应的切断阀门，在发生事故时关闭雨水排放口的截流阀，并采取封堵（在雨水排口、厂界处筑坝封堵）措施防止废水外流，防止伴生和次生的泄漏物料、污水、消防水直接进入厂内污水管网和雨水管网。消防废水等受污染废水可通过厂区雨水管道自流至应急事故池。后委托专业单位托运处置。</w:t>
            </w:r>
          </w:p>
          <w:p w14:paraId="66DAC997">
            <w:pPr>
              <w:spacing w:line="480" w:lineRule="exact"/>
              <w:ind w:firstLine="480" w:firstLineChars="200"/>
              <w:rPr>
                <w:rFonts w:hAnsi="仿宋" w:eastAsia="仿宋"/>
                <w:bCs/>
                <w:color w:val="000000" w:themeColor="text1"/>
                <w:sz w:val="24"/>
                <w14:textFill>
                  <w14:solidFill>
                    <w14:schemeClr w14:val="tx1"/>
                  </w14:solidFill>
                </w14:textFill>
              </w:rPr>
            </w:pPr>
            <w:r>
              <w:rPr>
                <w:rFonts w:hint="eastAsia" w:hAnsi="仿宋" w:eastAsia="仿宋"/>
                <w:bCs/>
                <w:color w:val="000000" w:themeColor="text1"/>
                <w:sz w:val="24"/>
                <w14:textFill>
                  <w14:solidFill>
                    <w14:schemeClr w14:val="tx1"/>
                  </w14:solidFill>
                </w14:textFill>
              </w:rPr>
              <w:t>厂区消防管道应为环状布置，在生产车间、贮存场所等公用工程设施室内设置符合要求的消火栓。</w:t>
            </w:r>
          </w:p>
          <w:p w14:paraId="72748157">
            <w:pPr>
              <w:spacing w:line="500" w:lineRule="exact"/>
              <w:ind w:firstLine="420" w:firstLineChars="175"/>
              <w:rPr>
                <w:rFonts w:hAnsi="仿宋" w:eastAsia="仿宋"/>
                <w:bCs/>
                <w:color w:val="000000" w:themeColor="text1"/>
                <w:sz w:val="24"/>
                <w14:textFill>
                  <w14:solidFill>
                    <w14:schemeClr w14:val="tx1"/>
                  </w14:solidFill>
                </w14:textFill>
              </w:rPr>
            </w:pPr>
            <w:r>
              <w:rPr>
                <w:rFonts w:hint="eastAsia" w:eastAsia="仿宋"/>
                <w:bCs/>
                <w:color w:val="000000" w:themeColor="text1"/>
                <w:sz w:val="24"/>
                <w14:textFill>
                  <w14:solidFill>
                    <w14:schemeClr w14:val="tx1"/>
                  </w14:solidFill>
                </w14:textFill>
              </w:rPr>
              <w:t>C</w:t>
            </w:r>
            <w:r>
              <w:rPr>
                <w:rFonts w:hint="eastAsia" w:ascii="仿宋" w:hAnsi="仿宋" w:eastAsia="仿宋"/>
                <w:bCs/>
                <w:color w:val="000000" w:themeColor="text1"/>
                <w:sz w:val="24"/>
                <w14:textFill>
                  <w14:solidFill>
                    <w14:schemeClr w14:val="tx1"/>
                  </w14:solidFill>
                </w14:textFill>
              </w:rPr>
              <w:t>、三级防控措施</w:t>
            </w:r>
          </w:p>
          <w:p w14:paraId="7A92DE7D">
            <w:pPr>
              <w:spacing w:line="480" w:lineRule="exact"/>
              <w:ind w:firstLine="480" w:firstLineChars="200"/>
              <w:rPr>
                <w:rFonts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本项目所在地位于常州市金坛区，事故状况下需及时汇报镇管理部门进行现场指导和支援。</w:t>
            </w:r>
          </w:p>
          <w:p w14:paraId="6F6E5339">
            <w:pPr>
              <w:spacing w:line="480" w:lineRule="exact"/>
              <w:ind w:firstLine="480" w:firstLineChars="200"/>
              <w:rPr>
                <w:color w:val="000000" w:themeColor="text1"/>
                <w:szCs w:val="21"/>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企业东侧最近的为夏溪河，事故条件下，企业配合现场指挥使用吸油砖等设施在夏溪河预先布设拦油设施。一旦发现污染物泄漏至夏溪河，则使用沙袋等物资配合现场指挥在夏溪河进行筑坝拦截，上下游有闸站的及时关闭，及时将事故废水控制住，防止污染物进入园区其他水环境体系内</w:t>
            </w:r>
            <w:r>
              <w:rPr>
                <w:rFonts w:ascii="仿宋" w:hAnsi="仿宋" w:eastAsia="仿宋"/>
                <w:bCs/>
                <w:color w:val="000000" w:themeColor="text1"/>
                <w:sz w:val="24"/>
                <w14:textFill>
                  <w14:solidFill>
                    <w14:schemeClr w14:val="tx1"/>
                  </w14:solidFill>
                </w14:textFill>
              </w:rPr>
              <w:t>。</w:t>
            </w:r>
          </w:p>
          <w:p w14:paraId="767BAE9C">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6</w:t>
            </w:r>
            <w:r>
              <w:rPr>
                <w:rFonts w:hint="eastAsia" w:ascii="仿宋" w:hAnsi="仿宋" w:eastAsia="仿宋"/>
                <w:bCs/>
                <w:color w:val="000000" w:themeColor="text1"/>
                <w:sz w:val="24"/>
                <w14:textFill>
                  <w14:solidFill>
                    <w14:schemeClr w14:val="tx1"/>
                  </w14:solidFill>
                </w14:textFill>
              </w:rPr>
              <w:t>、与区域风险防控联动措施</w:t>
            </w:r>
          </w:p>
          <w:p w14:paraId="01E68F16">
            <w:pPr>
              <w:spacing w:line="480" w:lineRule="exact"/>
              <w:ind w:firstLine="480" w:firstLineChars="200"/>
              <w:rPr>
                <w:rFonts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公司将企业环境应急分为企业级、社会级；分别应对突发环境事件的影响范围。</w:t>
            </w:r>
          </w:p>
          <w:p w14:paraId="050BEE93">
            <w:pPr>
              <w:spacing w:line="480" w:lineRule="exact"/>
              <w:ind w:firstLine="480" w:firstLineChars="200"/>
              <w:rPr>
                <w:rFonts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如影响范围在厂内部，需调用厂内资源完成应急联动则为企业级，由企业应急总指挥进行指挥。</w:t>
            </w:r>
          </w:p>
          <w:p w14:paraId="35CC3DFE">
            <w:pPr>
              <w:spacing w:line="480" w:lineRule="exact"/>
              <w:ind w:firstLine="480" w:firstLineChars="200"/>
              <w:rPr>
                <w:rFonts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当突发环境事件影响范围扩大到厂外，则为社会级，需第一时间上报江苏金坛经济开发区和常州市金坛生态环境局，企业配合进行进一步应急处理，并接受当地政府统一指挥。政府部门介入后，企业内部应急指挥权交给政府部门，企业应积极配合；政府下达要求及相关事项仍由企业应急总指挥、副总指挥负责厂内衔接。</w:t>
            </w:r>
          </w:p>
          <w:p w14:paraId="777319C5">
            <w:pPr>
              <w:spacing w:line="480" w:lineRule="exact"/>
              <w:ind w:firstLine="480" w:firstLineChars="200"/>
              <w:rPr>
                <w:rFonts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企业一旦发生风险事故，首先启动企业应急预案，采取自救，同时上报江苏金坛经济开发区及常州市金坛生态环境局。当事故较大，超出企业应急处置能力并达到江苏金坛经济开发区及常州市金坛生态环境局应急响应级别时，启动上一级应急预案，并根据上一级应急预案响应程序上报相关部门，一同完成应急救援工作。</w:t>
            </w:r>
          </w:p>
          <w:p w14:paraId="15B089B0">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7</w:t>
            </w:r>
            <w:r>
              <w:rPr>
                <w:rFonts w:hint="eastAsia" w:ascii="仿宋" w:hAnsi="仿宋" w:eastAsia="仿宋"/>
                <w:bCs/>
                <w:color w:val="000000" w:themeColor="text1"/>
                <w:sz w:val="24"/>
                <w14:textFill>
                  <w14:solidFill>
                    <w14:schemeClr w14:val="tx1"/>
                  </w14:solidFill>
                </w14:textFill>
              </w:rPr>
              <w:t>、重点环保设施项目安全辨识要求</w:t>
            </w:r>
          </w:p>
          <w:p w14:paraId="309EE6CD">
            <w:pPr>
              <w:spacing w:line="480" w:lineRule="exact"/>
              <w:ind w:firstLine="480" w:firstLineChars="200"/>
              <w:rPr>
                <w:rFonts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企业应按照《省生态环境厅关于印发重点环保设施项目安全辨识和固体废物鉴定评价工作具体实施方案的通知》（苏环办</w:t>
            </w:r>
            <w:r>
              <w:rPr>
                <w:rFonts w:hint="eastAsia" w:eastAsia="仿宋"/>
                <w:bCs/>
                <w:color w:val="000000" w:themeColor="text1"/>
                <w:sz w:val="24"/>
                <w14:textFill>
                  <w14:solidFill>
                    <w14:schemeClr w14:val="tx1"/>
                  </w14:solidFill>
                </w14:textFill>
              </w:rPr>
              <w:t>[2022]111</w:t>
            </w:r>
            <w:r>
              <w:rPr>
                <w:rFonts w:hint="eastAsia" w:ascii="仿宋" w:hAnsi="仿宋" w:eastAsia="仿宋"/>
                <w:bCs/>
                <w:color w:val="000000" w:themeColor="text1"/>
                <w:sz w:val="24"/>
                <w14:textFill>
                  <w14:solidFill>
                    <w14:schemeClr w14:val="tx1"/>
                  </w14:solidFill>
                </w14:textFill>
              </w:rPr>
              <w:t>号）、《关于做好生态环境和应急管理部门联动工作的意见》（苏环办</w:t>
            </w:r>
            <w:r>
              <w:rPr>
                <w:rFonts w:hint="eastAsia" w:eastAsia="仿宋"/>
                <w:bCs/>
                <w:color w:val="000000" w:themeColor="text1"/>
                <w:sz w:val="24"/>
                <w14:textFill>
                  <w14:solidFill>
                    <w14:schemeClr w14:val="tx1"/>
                  </w14:solidFill>
                </w14:textFill>
              </w:rPr>
              <w:t>[2020]101</w:t>
            </w:r>
            <w:r>
              <w:rPr>
                <w:rFonts w:hint="eastAsia" w:ascii="仿宋" w:hAnsi="仿宋" w:eastAsia="仿宋"/>
                <w:bCs/>
                <w:color w:val="000000" w:themeColor="text1"/>
                <w:sz w:val="24"/>
                <w14:textFill>
                  <w14:solidFill>
                    <w14:schemeClr w14:val="tx1"/>
                  </w14:solidFill>
                </w14:textFill>
              </w:rPr>
              <w:t>号）等文件要求，针对本项目涉及的污水处理、废气治理环境治理设施、危废产生及储存情况等开展安全辨识管控，针对性设置环境风险防范设施及环境应急处置卡标志标牌，健全内部污染防治设施稳定运行和管理责任制度，确保环境治理设施安全、稳定、有效运行。</w:t>
            </w:r>
          </w:p>
          <w:p w14:paraId="5B091359">
            <w:pPr>
              <w:spacing w:line="480" w:lineRule="exact"/>
              <w:ind w:firstLine="480" w:firstLineChars="200"/>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8</w:t>
            </w:r>
            <w:r>
              <w:rPr>
                <w:rFonts w:ascii="仿宋" w:hAnsi="仿宋" w:eastAsia="仿宋"/>
                <w:bCs/>
                <w:color w:val="000000" w:themeColor="text1"/>
                <w:sz w:val="24"/>
                <w14:textFill>
                  <w14:solidFill>
                    <w14:schemeClr w14:val="tx1"/>
                  </w14:solidFill>
                </w14:textFill>
              </w:rPr>
              <w:t>、环境风险分析结论</w:t>
            </w:r>
          </w:p>
          <w:p w14:paraId="0638251D">
            <w:pPr>
              <w:spacing w:line="480" w:lineRule="exact"/>
              <w:ind w:firstLine="480" w:firstLineChars="200"/>
              <w:rPr>
                <w:color w:val="000000" w:themeColor="text1"/>
                <w:szCs w:val="21"/>
                <w14:textFill>
                  <w14:solidFill>
                    <w14:schemeClr w14:val="tx1"/>
                  </w14:solidFill>
                </w14:textFill>
              </w:rPr>
            </w:pPr>
            <w:r>
              <w:rPr>
                <w:rFonts w:ascii="仿宋" w:hAnsi="仿宋" w:eastAsia="仿宋"/>
                <w:bCs/>
                <w:color w:val="000000" w:themeColor="text1"/>
                <w:sz w:val="24"/>
                <w14:textFill>
                  <w14:solidFill>
                    <w14:schemeClr w14:val="tx1"/>
                  </w14:solidFill>
                </w14:textFill>
              </w:rPr>
              <w:t>本项目涉及的危险物质主要为</w:t>
            </w:r>
            <w:r>
              <w:rPr>
                <w:rFonts w:hint="eastAsia" w:ascii="仿宋" w:hAnsi="仿宋" w:eastAsia="仿宋"/>
                <w:bCs/>
                <w:color w:val="000000" w:themeColor="text1"/>
                <w:sz w:val="24"/>
                <w14:textFill>
                  <w14:solidFill>
                    <w14:schemeClr w14:val="tx1"/>
                  </w14:solidFill>
                </w14:textFill>
              </w:rPr>
              <w:t>实验室所用的化学试剂，储存于物料柜中，</w:t>
            </w:r>
            <w:r>
              <w:rPr>
                <w:rFonts w:ascii="仿宋" w:hAnsi="仿宋" w:eastAsia="仿宋"/>
                <w:bCs/>
                <w:color w:val="000000" w:themeColor="text1"/>
                <w:sz w:val="24"/>
                <w14:textFill>
                  <w14:solidFill>
                    <w14:schemeClr w14:val="tx1"/>
                  </w14:solidFill>
                </w14:textFill>
              </w:rPr>
              <w:t>生产过程中产生的危险废物，储存于危废仓库中，一旦在意外情况下发生泄</w:t>
            </w:r>
            <w:r>
              <w:rPr>
                <w:rFonts w:hint="eastAsia" w:ascii="仿宋" w:hAnsi="仿宋" w:eastAsia="仿宋"/>
                <w:bCs/>
                <w:color w:val="000000" w:themeColor="text1"/>
                <w:sz w:val="24"/>
                <w14:textFill>
                  <w14:solidFill>
                    <w14:schemeClr w14:val="tx1"/>
                  </w14:solidFill>
                </w14:textFill>
              </w:rPr>
              <w:t>漏</w:t>
            </w:r>
            <w:r>
              <w:rPr>
                <w:rFonts w:ascii="仿宋" w:hAnsi="仿宋" w:eastAsia="仿宋"/>
                <w:bCs/>
                <w:color w:val="000000" w:themeColor="text1"/>
                <w:sz w:val="24"/>
                <w14:textFill>
                  <w14:solidFill>
                    <w14:schemeClr w14:val="tx1"/>
                  </w14:solidFill>
                </w14:textFill>
              </w:rPr>
              <w:t>，对周围环境会产生一定的影响；在加强管理和严格规范操作，做好各项风险防范措施后，本项目的风险事故发生概率较小，风险可防控。</w:t>
            </w:r>
          </w:p>
          <w:p w14:paraId="32F46C9A">
            <w:pPr>
              <w:spacing w:line="48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（七）污染源监测计划</w:t>
            </w:r>
          </w:p>
          <w:p w14:paraId="65F72A15">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本项目环境监测计划参照《排污许可证申请与核发技术规范 总则》（HJ942-2018）、《排污单位自行监测技术指南 总则》（HJ819-2017）</w:t>
            </w:r>
            <w:r>
              <w:rPr>
                <w:rFonts w:hint="eastAsia" w:eastAsia="仿宋"/>
                <w:color w:val="000000" w:themeColor="text1"/>
                <w:sz w:val="24"/>
                <w14:textFill>
                  <w14:solidFill>
                    <w14:schemeClr w14:val="tx1"/>
                  </w14:solidFill>
                </w14:textFill>
              </w:rPr>
              <w:t>、《排污单位自行监测技术指南 火力发电及锅炉》（HJ820-2017）</w:t>
            </w:r>
            <w:r>
              <w:rPr>
                <w:rFonts w:eastAsia="仿宋"/>
                <w:color w:val="000000" w:themeColor="text1"/>
                <w:sz w:val="24"/>
                <w14:textFill>
                  <w14:solidFill>
                    <w14:schemeClr w14:val="tx1"/>
                  </w14:solidFill>
                </w14:textFill>
              </w:rPr>
              <w:t>和《大气污染物无组织排放监测技术导则》（HJ/T55-2017）执行，排污单位应按照规定对污染物排放情况进行监测，因此，除了环保主管部门的监督监测外，</w:t>
            </w:r>
            <w:r>
              <w:rPr>
                <w:rFonts w:hint="eastAsia" w:eastAsia="仿宋"/>
                <w:color w:val="000000" w:themeColor="text1"/>
                <w:sz w:val="24"/>
                <w14:textFill>
                  <w14:solidFill>
                    <w14:schemeClr w14:val="tx1"/>
                  </w14:solidFill>
                </w14:textFill>
              </w:rPr>
              <w:t>实验室</w:t>
            </w:r>
            <w:r>
              <w:rPr>
                <w:rFonts w:eastAsia="仿宋"/>
                <w:color w:val="000000" w:themeColor="text1"/>
                <w:sz w:val="24"/>
                <w14:textFill>
                  <w14:solidFill>
                    <w14:schemeClr w14:val="tx1"/>
                  </w14:solidFill>
                </w14:textFill>
              </w:rPr>
              <w:t>还应开展常规监测，以了解污染物达标排放情况。营运期的常规监测内容应符合实际生产现状，</w:t>
            </w:r>
            <w:r>
              <w:rPr>
                <w:rFonts w:hint="eastAsia" w:eastAsia="仿宋"/>
                <w:color w:val="000000" w:themeColor="text1"/>
                <w:sz w:val="24"/>
                <w14:textFill>
                  <w14:solidFill>
                    <w14:schemeClr w14:val="tx1"/>
                  </w14:solidFill>
                </w14:textFill>
              </w:rPr>
              <w:t>实验室</w:t>
            </w:r>
            <w:r>
              <w:rPr>
                <w:rFonts w:eastAsia="仿宋"/>
                <w:color w:val="000000" w:themeColor="text1"/>
                <w:sz w:val="24"/>
                <w14:textFill>
                  <w14:solidFill>
                    <w14:schemeClr w14:val="tx1"/>
                  </w14:solidFill>
                </w14:textFill>
              </w:rPr>
              <w:t>在制定监测计划应充分考虑各类污染物排放情况，监测结果作为上报依据报当地环境保护主管部门，项目废气、废水、噪声自行监测计划见下表。</w:t>
            </w:r>
          </w:p>
          <w:p w14:paraId="5616552C">
            <w:pPr>
              <w:spacing w:line="480" w:lineRule="exact"/>
              <w:jc w:val="center"/>
              <w:rPr>
                <w:rFonts w:eastAsia="仿宋"/>
                <w:b/>
                <w:bCs/>
                <w:color w:val="000000" w:themeColor="text1"/>
                <w14:textFill>
                  <w14:solidFill>
                    <w14:schemeClr w14:val="tx1"/>
                  </w14:solidFill>
                </w14:textFill>
              </w:rPr>
            </w:pPr>
            <w:r>
              <w:rPr>
                <w:rFonts w:hint="eastAsia" w:eastAsia="仿宋"/>
                <w:b/>
                <w:bCs/>
                <w:color w:val="000000" w:themeColor="text1"/>
                <w14:textFill>
                  <w14:solidFill>
                    <w14:schemeClr w14:val="tx1"/>
                  </w14:solidFill>
                </w14:textFill>
              </w:rPr>
              <w:t>表4</w:t>
            </w:r>
            <w:r>
              <w:rPr>
                <w:rFonts w:eastAsia="仿宋"/>
                <w:b/>
                <w:bCs/>
                <w:color w:val="000000" w:themeColor="text1"/>
                <w14:textFill>
                  <w14:solidFill>
                    <w14:schemeClr w14:val="tx1"/>
                  </w14:solidFill>
                </w14:textFill>
              </w:rPr>
              <w:t>-44 自行监测计划表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188"/>
              <w:gridCol w:w="1408"/>
              <w:gridCol w:w="1188"/>
              <w:gridCol w:w="3274"/>
              <w:gridCol w:w="1188"/>
            </w:tblGrid>
            <w:tr w14:paraId="59123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6" w:type="pct"/>
                  <w:vAlign w:val="center"/>
                </w:tcPr>
                <w:p w14:paraId="31CE6841">
                  <w:pPr>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类别</w:t>
                  </w:r>
                </w:p>
              </w:tc>
              <w:tc>
                <w:tcPr>
                  <w:tcW w:w="653" w:type="pct"/>
                  <w:vAlign w:val="center"/>
                </w:tcPr>
                <w:p w14:paraId="56825556">
                  <w:pPr>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监测点位</w:t>
                  </w:r>
                </w:p>
              </w:tc>
              <w:tc>
                <w:tcPr>
                  <w:tcW w:w="774" w:type="pct"/>
                  <w:vAlign w:val="center"/>
                </w:tcPr>
                <w:p w14:paraId="6110A845">
                  <w:pPr>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监测指标</w:t>
                  </w:r>
                </w:p>
              </w:tc>
              <w:tc>
                <w:tcPr>
                  <w:tcW w:w="653" w:type="pct"/>
                  <w:vAlign w:val="center"/>
                </w:tcPr>
                <w:p w14:paraId="57144BB6">
                  <w:pPr>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监测频次</w:t>
                  </w:r>
                </w:p>
              </w:tc>
              <w:tc>
                <w:tcPr>
                  <w:tcW w:w="1800" w:type="pct"/>
                  <w:vAlign w:val="center"/>
                </w:tcPr>
                <w:p w14:paraId="40A96D7E">
                  <w:pPr>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执行标准</w:t>
                  </w:r>
                </w:p>
              </w:tc>
              <w:tc>
                <w:tcPr>
                  <w:tcW w:w="653" w:type="pct"/>
                  <w:vAlign w:val="center"/>
                </w:tcPr>
                <w:p w14:paraId="3EDA5596">
                  <w:pPr>
                    <w:jc w:val="center"/>
                    <w:rPr>
                      <w:rFonts w:eastAsia="仿宋"/>
                      <w:b/>
                      <w:color w:val="000000" w:themeColor="text1"/>
                      <w:szCs w:val="21"/>
                      <w14:textFill>
                        <w14:solidFill>
                          <w14:schemeClr w14:val="tx1"/>
                        </w14:solidFill>
                      </w14:textFill>
                    </w:rPr>
                  </w:pPr>
                  <w:r>
                    <w:rPr>
                      <w:rFonts w:eastAsia="仿宋"/>
                      <w:b/>
                      <w:color w:val="000000" w:themeColor="text1"/>
                      <w:szCs w:val="21"/>
                      <w14:textFill>
                        <w14:solidFill>
                          <w14:schemeClr w14:val="tx1"/>
                        </w14:solidFill>
                      </w14:textFill>
                    </w:rPr>
                    <w:t>监测单位</w:t>
                  </w:r>
                </w:p>
              </w:tc>
            </w:tr>
            <w:tr w14:paraId="5710D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6" w:type="pct"/>
                  <w:vMerge w:val="restart"/>
                  <w:vAlign w:val="center"/>
                </w:tcPr>
                <w:p w14:paraId="2B6F45B9">
                  <w:pPr>
                    <w:jc w:val="center"/>
                    <w:rPr>
                      <w:rFonts w:eastAsia="仿宋"/>
                      <w:bCs/>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废气</w:t>
                  </w:r>
                </w:p>
              </w:tc>
              <w:tc>
                <w:tcPr>
                  <w:tcW w:w="653" w:type="pct"/>
                  <w:vAlign w:val="center"/>
                </w:tcPr>
                <w:p w14:paraId="66D29D4D">
                  <w:pPr>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1#排气筒</w:t>
                  </w:r>
                </w:p>
              </w:tc>
              <w:tc>
                <w:tcPr>
                  <w:tcW w:w="774" w:type="pct"/>
                  <w:vAlign w:val="center"/>
                </w:tcPr>
                <w:p w14:paraId="38E97DAC">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甲醇、非甲烷总烃</w:t>
                  </w:r>
                </w:p>
              </w:tc>
              <w:tc>
                <w:tcPr>
                  <w:tcW w:w="653" w:type="pct"/>
                  <w:vAlign w:val="center"/>
                </w:tcPr>
                <w:p w14:paraId="7086FC22">
                  <w:pPr>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1次/年</w:t>
                  </w:r>
                </w:p>
              </w:tc>
              <w:tc>
                <w:tcPr>
                  <w:tcW w:w="1800" w:type="pct"/>
                  <w:vAlign w:val="center"/>
                </w:tcPr>
                <w:p w14:paraId="05839D97">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《大气污染物综合排放标准》（DB32/4041-2021）</w:t>
                  </w:r>
                </w:p>
              </w:tc>
              <w:tc>
                <w:tcPr>
                  <w:tcW w:w="653" w:type="pct"/>
                  <w:vMerge w:val="restart"/>
                  <w:vAlign w:val="center"/>
                </w:tcPr>
                <w:p w14:paraId="25415970">
                  <w:pPr>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有资质的环境监测机构</w:t>
                  </w:r>
                </w:p>
              </w:tc>
            </w:tr>
            <w:tr w14:paraId="4D948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6" w:type="pct"/>
                  <w:vMerge w:val="continue"/>
                  <w:vAlign w:val="center"/>
                </w:tcPr>
                <w:p w14:paraId="3D2C134C">
                  <w:pPr>
                    <w:jc w:val="center"/>
                    <w:rPr>
                      <w:rFonts w:eastAsia="仿宋"/>
                      <w:color w:val="000000" w:themeColor="text1"/>
                      <w:szCs w:val="21"/>
                      <w14:textFill>
                        <w14:solidFill>
                          <w14:schemeClr w14:val="tx1"/>
                        </w14:solidFill>
                      </w14:textFill>
                    </w:rPr>
                  </w:pPr>
                </w:p>
              </w:tc>
              <w:tc>
                <w:tcPr>
                  <w:tcW w:w="653" w:type="pct"/>
                  <w:vMerge w:val="restart"/>
                  <w:vAlign w:val="center"/>
                </w:tcPr>
                <w:p w14:paraId="5EED2BB7">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2</w:t>
                  </w:r>
                  <w:r>
                    <w:rPr>
                      <w:rFonts w:eastAsia="仿宋"/>
                      <w:color w:val="000000" w:themeColor="text1"/>
                      <w:szCs w:val="21"/>
                      <w14:textFill>
                        <w14:solidFill>
                          <w14:schemeClr w14:val="tx1"/>
                        </w14:solidFill>
                      </w14:textFill>
                    </w:rPr>
                    <w:t>#</w:t>
                  </w:r>
                  <w:r>
                    <w:rPr>
                      <w:rFonts w:hint="eastAsia" w:eastAsia="仿宋"/>
                      <w:color w:val="000000" w:themeColor="text1"/>
                      <w:szCs w:val="21"/>
                      <w14:textFill>
                        <w14:solidFill>
                          <w14:schemeClr w14:val="tx1"/>
                        </w14:solidFill>
                      </w14:textFill>
                    </w:rPr>
                    <w:t>排气筒</w:t>
                  </w:r>
                </w:p>
              </w:tc>
              <w:tc>
                <w:tcPr>
                  <w:tcW w:w="774" w:type="pct"/>
                  <w:vAlign w:val="center"/>
                </w:tcPr>
                <w:p w14:paraId="4BB2F4E7">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氮氧化物</w:t>
                  </w:r>
                </w:p>
              </w:tc>
              <w:tc>
                <w:tcPr>
                  <w:tcW w:w="653" w:type="pct"/>
                  <w:vAlign w:val="center"/>
                </w:tcPr>
                <w:p w14:paraId="2B6A3190">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1次/月</w:t>
                  </w:r>
                </w:p>
              </w:tc>
              <w:tc>
                <w:tcPr>
                  <w:tcW w:w="1800" w:type="pct"/>
                  <w:vMerge w:val="restart"/>
                  <w:vAlign w:val="center"/>
                </w:tcPr>
                <w:p w14:paraId="23FC2D84">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《锅炉大气污染物排放标准》（DB32/4385-2022）</w:t>
                  </w:r>
                </w:p>
              </w:tc>
              <w:tc>
                <w:tcPr>
                  <w:tcW w:w="653" w:type="pct"/>
                  <w:vMerge w:val="continue"/>
                  <w:vAlign w:val="center"/>
                </w:tcPr>
                <w:p w14:paraId="1C6AF061">
                  <w:pPr>
                    <w:jc w:val="center"/>
                    <w:rPr>
                      <w:rFonts w:eastAsia="仿宋"/>
                      <w:color w:val="000000" w:themeColor="text1"/>
                      <w:szCs w:val="21"/>
                      <w14:textFill>
                        <w14:solidFill>
                          <w14:schemeClr w14:val="tx1"/>
                        </w14:solidFill>
                      </w14:textFill>
                    </w:rPr>
                  </w:pPr>
                </w:p>
              </w:tc>
            </w:tr>
            <w:tr w14:paraId="1C15B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6" w:type="pct"/>
                  <w:vMerge w:val="continue"/>
                  <w:vAlign w:val="center"/>
                </w:tcPr>
                <w:p w14:paraId="5534D675">
                  <w:pPr>
                    <w:jc w:val="center"/>
                    <w:rPr>
                      <w:rFonts w:eastAsia="仿宋"/>
                      <w:color w:val="000000" w:themeColor="text1"/>
                      <w:szCs w:val="21"/>
                      <w14:textFill>
                        <w14:solidFill>
                          <w14:schemeClr w14:val="tx1"/>
                        </w14:solidFill>
                      </w14:textFill>
                    </w:rPr>
                  </w:pPr>
                </w:p>
              </w:tc>
              <w:tc>
                <w:tcPr>
                  <w:tcW w:w="653" w:type="pct"/>
                  <w:vMerge w:val="continue"/>
                  <w:vAlign w:val="center"/>
                </w:tcPr>
                <w:p w14:paraId="67142D61">
                  <w:pPr>
                    <w:jc w:val="center"/>
                    <w:rPr>
                      <w:rFonts w:eastAsia="仿宋"/>
                      <w:color w:val="000000" w:themeColor="text1"/>
                      <w:szCs w:val="21"/>
                      <w14:textFill>
                        <w14:solidFill>
                          <w14:schemeClr w14:val="tx1"/>
                        </w14:solidFill>
                      </w14:textFill>
                    </w:rPr>
                  </w:pPr>
                </w:p>
              </w:tc>
              <w:tc>
                <w:tcPr>
                  <w:tcW w:w="774" w:type="pct"/>
                  <w:vAlign w:val="center"/>
                </w:tcPr>
                <w:p w14:paraId="0C1DCB24">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二氧化硫、颗粒物、林格曼黑度</w:t>
                  </w:r>
                </w:p>
              </w:tc>
              <w:tc>
                <w:tcPr>
                  <w:tcW w:w="653" w:type="pct"/>
                  <w:vAlign w:val="center"/>
                </w:tcPr>
                <w:p w14:paraId="6E06E2F1">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1次/年</w:t>
                  </w:r>
                </w:p>
              </w:tc>
              <w:tc>
                <w:tcPr>
                  <w:tcW w:w="1800" w:type="pct"/>
                  <w:vMerge w:val="continue"/>
                  <w:vAlign w:val="center"/>
                </w:tcPr>
                <w:p w14:paraId="193D209A">
                  <w:pPr>
                    <w:jc w:val="center"/>
                    <w:rPr>
                      <w:rFonts w:eastAsia="仿宋"/>
                      <w:color w:val="000000" w:themeColor="text1"/>
                      <w:szCs w:val="21"/>
                      <w14:textFill>
                        <w14:solidFill>
                          <w14:schemeClr w14:val="tx1"/>
                        </w14:solidFill>
                      </w14:textFill>
                    </w:rPr>
                  </w:pPr>
                </w:p>
              </w:tc>
              <w:tc>
                <w:tcPr>
                  <w:tcW w:w="653" w:type="pct"/>
                  <w:vMerge w:val="continue"/>
                  <w:vAlign w:val="center"/>
                </w:tcPr>
                <w:p w14:paraId="591880E5">
                  <w:pPr>
                    <w:jc w:val="center"/>
                    <w:rPr>
                      <w:rFonts w:eastAsia="仿宋"/>
                      <w:color w:val="000000" w:themeColor="text1"/>
                      <w:szCs w:val="21"/>
                      <w14:textFill>
                        <w14:solidFill>
                          <w14:schemeClr w14:val="tx1"/>
                        </w14:solidFill>
                      </w14:textFill>
                    </w:rPr>
                  </w:pPr>
                </w:p>
              </w:tc>
            </w:tr>
            <w:tr w14:paraId="7194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6" w:type="pct"/>
                  <w:vMerge w:val="continue"/>
                  <w:vAlign w:val="center"/>
                </w:tcPr>
                <w:p w14:paraId="09711F80">
                  <w:pPr>
                    <w:jc w:val="center"/>
                    <w:rPr>
                      <w:rFonts w:eastAsia="仿宋"/>
                      <w:color w:val="000000" w:themeColor="text1"/>
                      <w:szCs w:val="21"/>
                      <w14:textFill>
                        <w14:solidFill>
                          <w14:schemeClr w14:val="tx1"/>
                        </w14:solidFill>
                      </w14:textFill>
                    </w:rPr>
                  </w:pPr>
                </w:p>
              </w:tc>
              <w:tc>
                <w:tcPr>
                  <w:tcW w:w="653" w:type="pct"/>
                  <w:vMerge w:val="restart"/>
                  <w:vAlign w:val="center"/>
                </w:tcPr>
                <w:p w14:paraId="53D225A6">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3</w:t>
                  </w:r>
                  <w:r>
                    <w:rPr>
                      <w:rFonts w:eastAsia="仿宋"/>
                      <w:color w:val="000000" w:themeColor="text1"/>
                      <w:szCs w:val="21"/>
                      <w14:textFill>
                        <w14:solidFill>
                          <w14:schemeClr w14:val="tx1"/>
                        </w14:solidFill>
                      </w14:textFill>
                    </w:rPr>
                    <w:t>#</w:t>
                  </w:r>
                  <w:r>
                    <w:rPr>
                      <w:rFonts w:hint="eastAsia" w:eastAsia="仿宋"/>
                      <w:color w:val="000000" w:themeColor="text1"/>
                      <w:szCs w:val="21"/>
                      <w14:textFill>
                        <w14:solidFill>
                          <w14:schemeClr w14:val="tx1"/>
                        </w14:solidFill>
                      </w14:textFill>
                    </w:rPr>
                    <w:t>排气筒</w:t>
                  </w:r>
                </w:p>
              </w:tc>
              <w:tc>
                <w:tcPr>
                  <w:tcW w:w="774" w:type="pct"/>
                  <w:vAlign w:val="center"/>
                </w:tcPr>
                <w:p w14:paraId="3FFB3B54">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氮氧化物</w:t>
                  </w:r>
                </w:p>
              </w:tc>
              <w:tc>
                <w:tcPr>
                  <w:tcW w:w="653" w:type="pct"/>
                  <w:vAlign w:val="center"/>
                </w:tcPr>
                <w:p w14:paraId="241FE02E">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1次/月</w:t>
                  </w:r>
                </w:p>
              </w:tc>
              <w:tc>
                <w:tcPr>
                  <w:tcW w:w="1800" w:type="pct"/>
                  <w:vMerge w:val="continue"/>
                  <w:vAlign w:val="center"/>
                </w:tcPr>
                <w:p w14:paraId="75E8164E">
                  <w:pPr>
                    <w:jc w:val="center"/>
                    <w:rPr>
                      <w:rFonts w:eastAsia="仿宋"/>
                      <w:color w:val="000000" w:themeColor="text1"/>
                      <w:szCs w:val="21"/>
                      <w14:textFill>
                        <w14:solidFill>
                          <w14:schemeClr w14:val="tx1"/>
                        </w14:solidFill>
                      </w14:textFill>
                    </w:rPr>
                  </w:pPr>
                </w:p>
              </w:tc>
              <w:tc>
                <w:tcPr>
                  <w:tcW w:w="653" w:type="pct"/>
                  <w:vMerge w:val="continue"/>
                  <w:vAlign w:val="center"/>
                </w:tcPr>
                <w:p w14:paraId="63ACA71E">
                  <w:pPr>
                    <w:jc w:val="center"/>
                    <w:rPr>
                      <w:rFonts w:eastAsia="仿宋"/>
                      <w:color w:val="000000" w:themeColor="text1"/>
                      <w:szCs w:val="21"/>
                      <w14:textFill>
                        <w14:solidFill>
                          <w14:schemeClr w14:val="tx1"/>
                        </w14:solidFill>
                      </w14:textFill>
                    </w:rPr>
                  </w:pPr>
                </w:p>
              </w:tc>
            </w:tr>
            <w:tr w14:paraId="480BE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6" w:type="pct"/>
                  <w:vMerge w:val="continue"/>
                  <w:vAlign w:val="center"/>
                </w:tcPr>
                <w:p w14:paraId="5B00860C">
                  <w:pPr>
                    <w:jc w:val="center"/>
                    <w:rPr>
                      <w:rFonts w:eastAsia="仿宋"/>
                      <w:color w:val="000000" w:themeColor="text1"/>
                      <w:szCs w:val="21"/>
                      <w14:textFill>
                        <w14:solidFill>
                          <w14:schemeClr w14:val="tx1"/>
                        </w14:solidFill>
                      </w14:textFill>
                    </w:rPr>
                  </w:pPr>
                </w:p>
              </w:tc>
              <w:tc>
                <w:tcPr>
                  <w:tcW w:w="653" w:type="pct"/>
                  <w:vMerge w:val="continue"/>
                  <w:vAlign w:val="center"/>
                </w:tcPr>
                <w:p w14:paraId="3E23705F">
                  <w:pPr>
                    <w:jc w:val="center"/>
                    <w:rPr>
                      <w:rFonts w:eastAsia="仿宋"/>
                      <w:color w:val="000000" w:themeColor="text1"/>
                      <w:szCs w:val="21"/>
                      <w14:textFill>
                        <w14:solidFill>
                          <w14:schemeClr w14:val="tx1"/>
                        </w14:solidFill>
                      </w14:textFill>
                    </w:rPr>
                  </w:pPr>
                </w:p>
              </w:tc>
              <w:tc>
                <w:tcPr>
                  <w:tcW w:w="774" w:type="pct"/>
                  <w:vAlign w:val="center"/>
                </w:tcPr>
                <w:p w14:paraId="709AC992">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二氧化硫、颗粒物、林格曼黑度</w:t>
                  </w:r>
                </w:p>
              </w:tc>
              <w:tc>
                <w:tcPr>
                  <w:tcW w:w="653" w:type="pct"/>
                  <w:vAlign w:val="center"/>
                </w:tcPr>
                <w:p w14:paraId="7D33D6CE">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1次/年</w:t>
                  </w:r>
                </w:p>
              </w:tc>
              <w:tc>
                <w:tcPr>
                  <w:tcW w:w="1800" w:type="pct"/>
                  <w:vMerge w:val="continue"/>
                  <w:vAlign w:val="center"/>
                </w:tcPr>
                <w:p w14:paraId="48C484E9">
                  <w:pPr>
                    <w:jc w:val="center"/>
                    <w:rPr>
                      <w:rFonts w:eastAsia="仿宋"/>
                      <w:color w:val="000000" w:themeColor="text1"/>
                      <w:szCs w:val="21"/>
                      <w14:textFill>
                        <w14:solidFill>
                          <w14:schemeClr w14:val="tx1"/>
                        </w14:solidFill>
                      </w14:textFill>
                    </w:rPr>
                  </w:pPr>
                </w:p>
              </w:tc>
              <w:tc>
                <w:tcPr>
                  <w:tcW w:w="653" w:type="pct"/>
                  <w:vMerge w:val="continue"/>
                  <w:vAlign w:val="center"/>
                </w:tcPr>
                <w:p w14:paraId="362BC406">
                  <w:pPr>
                    <w:jc w:val="center"/>
                    <w:rPr>
                      <w:rFonts w:eastAsia="仿宋"/>
                      <w:color w:val="000000" w:themeColor="text1"/>
                      <w:szCs w:val="21"/>
                      <w14:textFill>
                        <w14:solidFill>
                          <w14:schemeClr w14:val="tx1"/>
                        </w14:solidFill>
                      </w14:textFill>
                    </w:rPr>
                  </w:pPr>
                </w:p>
              </w:tc>
            </w:tr>
            <w:tr w14:paraId="3230A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6" w:type="pct"/>
                  <w:vMerge w:val="continue"/>
                  <w:vAlign w:val="center"/>
                </w:tcPr>
                <w:p w14:paraId="0C3BA566">
                  <w:pPr>
                    <w:jc w:val="center"/>
                    <w:rPr>
                      <w:rFonts w:eastAsia="仿宋"/>
                      <w:color w:val="000000" w:themeColor="text1"/>
                      <w:szCs w:val="21"/>
                      <w14:textFill>
                        <w14:solidFill>
                          <w14:schemeClr w14:val="tx1"/>
                        </w14:solidFill>
                      </w14:textFill>
                    </w:rPr>
                  </w:pPr>
                </w:p>
              </w:tc>
              <w:tc>
                <w:tcPr>
                  <w:tcW w:w="653" w:type="pct"/>
                  <w:vAlign w:val="center"/>
                </w:tcPr>
                <w:p w14:paraId="6744F53F">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厂区内</w:t>
                  </w:r>
                </w:p>
              </w:tc>
              <w:tc>
                <w:tcPr>
                  <w:tcW w:w="774" w:type="pct"/>
                  <w:vAlign w:val="center"/>
                </w:tcPr>
                <w:p w14:paraId="5B815EC2">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非甲烷</w:t>
                  </w:r>
                  <w:r>
                    <w:rPr>
                      <w:rFonts w:eastAsia="仿宋"/>
                      <w:color w:val="000000" w:themeColor="text1"/>
                      <w:szCs w:val="21"/>
                      <w14:textFill>
                        <w14:solidFill>
                          <w14:schemeClr w14:val="tx1"/>
                        </w14:solidFill>
                      </w14:textFill>
                    </w:rPr>
                    <w:t>总烃</w:t>
                  </w:r>
                </w:p>
              </w:tc>
              <w:tc>
                <w:tcPr>
                  <w:tcW w:w="653" w:type="pct"/>
                  <w:vAlign w:val="center"/>
                </w:tcPr>
                <w:p w14:paraId="0D1D0F66">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1次/年</w:t>
                  </w:r>
                </w:p>
              </w:tc>
              <w:tc>
                <w:tcPr>
                  <w:tcW w:w="1800" w:type="pct"/>
                  <w:vAlign w:val="center"/>
                </w:tcPr>
                <w:p w14:paraId="2EE4642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《大气污染物综合排放标准》（DB32/4041-2021）</w:t>
                  </w:r>
                </w:p>
              </w:tc>
              <w:tc>
                <w:tcPr>
                  <w:tcW w:w="653" w:type="pct"/>
                  <w:vMerge w:val="continue"/>
                  <w:vAlign w:val="center"/>
                </w:tcPr>
                <w:p w14:paraId="0AE299BD">
                  <w:pPr>
                    <w:jc w:val="center"/>
                    <w:rPr>
                      <w:rFonts w:eastAsia="仿宋"/>
                      <w:color w:val="000000" w:themeColor="text1"/>
                      <w:szCs w:val="21"/>
                      <w14:textFill>
                        <w14:solidFill>
                          <w14:schemeClr w14:val="tx1"/>
                        </w14:solidFill>
                      </w14:textFill>
                    </w:rPr>
                  </w:pPr>
                </w:p>
              </w:tc>
            </w:tr>
            <w:tr w14:paraId="24382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6" w:type="pct"/>
                  <w:vMerge w:val="continue"/>
                  <w:vAlign w:val="center"/>
                </w:tcPr>
                <w:p w14:paraId="0F8E0A70">
                  <w:pPr>
                    <w:jc w:val="center"/>
                    <w:rPr>
                      <w:rFonts w:eastAsia="仿宋"/>
                      <w:color w:val="000000" w:themeColor="text1"/>
                      <w:szCs w:val="21"/>
                      <w14:textFill>
                        <w14:solidFill>
                          <w14:schemeClr w14:val="tx1"/>
                        </w14:solidFill>
                      </w14:textFill>
                    </w:rPr>
                  </w:pPr>
                </w:p>
              </w:tc>
              <w:tc>
                <w:tcPr>
                  <w:tcW w:w="653" w:type="pct"/>
                  <w:vAlign w:val="center"/>
                </w:tcPr>
                <w:p w14:paraId="573334A4">
                  <w:pPr>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厂界</w:t>
                  </w:r>
                </w:p>
              </w:tc>
              <w:tc>
                <w:tcPr>
                  <w:tcW w:w="774" w:type="pct"/>
                  <w:vAlign w:val="center"/>
                </w:tcPr>
                <w:p w14:paraId="62775C21">
                  <w:pPr>
                    <w:jc w:val="center"/>
                    <w:rPr>
                      <w:rFonts w:eastAsia="仿宋"/>
                      <w:color w:val="000000" w:themeColor="text1"/>
                      <w:szCs w:val="22"/>
                      <w14:textFill>
                        <w14:solidFill>
                          <w14:schemeClr w14:val="tx1"/>
                        </w14:solidFill>
                      </w14:textFill>
                    </w:rPr>
                  </w:pPr>
                  <w:r>
                    <w:rPr>
                      <w:rFonts w:hint="eastAsia" w:eastAsia="仿宋"/>
                      <w:color w:val="000000" w:themeColor="text1"/>
                      <w:szCs w:val="21"/>
                      <w14:textFill>
                        <w14:solidFill>
                          <w14:schemeClr w14:val="tx1"/>
                        </w14:solidFill>
                      </w14:textFill>
                    </w:rPr>
                    <w:t>甲醇、非甲烷总烃</w:t>
                  </w:r>
                </w:p>
              </w:tc>
              <w:tc>
                <w:tcPr>
                  <w:tcW w:w="653" w:type="pct"/>
                  <w:vAlign w:val="center"/>
                </w:tcPr>
                <w:p w14:paraId="1816550D">
                  <w:pPr>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1次/年</w:t>
                  </w:r>
                </w:p>
              </w:tc>
              <w:tc>
                <w:tcPr>
                  <w:tcW w:w="1800" w:type="pct"/>
                  <w:vAlign w:val="center"/>
                </w:tcPr>
                <w:p w14:paraId="2BC99F40">
                  <w:pPr>
                    <w:jc w:val="center"/>
                    <w:rPr>
                      <w:rFonts w:eastAsia="仿宋"/>
                      <w:color w:val="000000" w:themeColor="text1"/>
                      <w:szCs w:val="22"/>
                      <w14:textFill>
                        <w14:solidFill>
                          <w14:schemeClr w14:val="tx1"/>
                        </w14:solidFill>
                      </w14:textFill>
                    </w:rPr>
                  </w:pPr>
                  <w:r>
                    <w:rPr>
                      <w:rFonts w:hint="eastAsia" w:eastAsia="仿宋"/>
                      <w:color w:val="000000" w:themeColor="text1"/>
                      <w:szCs w:val="21"/>
                      <w14:textFill>
                        <w14:solidFill>
                          <w14:schemeClr w14:val="tx1"/>
                        </w14:solidFill>
                      </w14:textFill>
                    </w:rPr>
                    <w:t>《大气污染物综合排放标准》（DB32/4041-2021）</w:t>
                  </w:r>
                </w:p>
              </w:tc>
              <w:tc>
                <w:tcPr>
                  <w:tcW w:w="653" w:type="pct"/>
                  <w:vMerge w:val="continue"/>
                  <w:vAlign w:val="center"/>
                </w:tcPr>
                <w:p w14:paraId="70EF37AF">
                  <w:pPr>
                    <w:jc w:val="center"/>
                    <w:rPr>
                      <w:rFonts w:eastAsia="仿宋"/>
                      <w:color w:val="000000" w:themeColor="text1"/>
                      <w:szCs w:val="21"/>
                      <w14:textFill>
                        <w14:solidFill>
                          <w14:schemeClr w14:val="tx1"/>
                        </w14:solidFill>
                      </w14:textFill>
                    </w:rPr>
                  </w:pPr>
                </w:p>
              </w:tc>
            </w:tr>
            <w:tr w14:paraId="35046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6" w:type="pct"/>
                  <w:vAlign w:val="center"/>
                </w:tcPr>
                <w:p w14:paraId="187648D6">
                  <w:pPr>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废水</w:t>
                  </w:r>
                </w:p>
              </w:tc>
              <w:tc>
                <w:tcPr>
                  <w:tcW w:w="653" w:type="pct"/>
                  <w:vAlign w:val="center"/>
                </w:tcPr>
                <w:p w14:paraId="0CD50187">
                  <w:pPr>
                    <w:adjustRightInd w:val="0"/>
                    <w:jc w:val="center"/>
                    <w:textAlignment w:val="baseline"/>
                    <w:rPr>
                      <w:rFonts w:eastAsia="仿宋"/>
                      <w:color w:val="000000" w:themeColor="text1"/>
                      <w:kern w:val="0"/>
                      <w:szCs w:val="22"/>
                      <w14:textFill>
                        <w14:solidFill>
                          <w14:schemeClr w14:val="tx1"/>
                        </w14:solidFill>
                      </w14:textFill>
                    </w:rPr>
                  </w:pPr>
                  <w:r>
                    <w:rPr>
                      <w:rFonts w:eastAsia="仿宋"/>
                      <w:color w:val="000000" w:themeColor="text1"/>
                      <w:kern w:val="0"/>
                      <w:szCs w:val="20"/>
                      <w14:textFill>
                        <w14:solidFill>
                          <w14:schemeClr w14:val="tx1"/>
                        </w14:solidFill>
                      </w14:textFill>
                    </w:rPr>
                    <w:t>生活污水总接管口</w:t>
                  </w:r>
                </w:p>
              </w:tc>
              <w:tc>
                <w:tcPr>
                  <w:tcW w:w="774" w:type="pct"/>
                  <w:vAlign w:val="center"/>
                </w:tcPr>
                <w:p w14:paraId="62A84BF7">
                  <w:pPr>
                    <w:adjustRightInd w:val="0"/>
                    <w:jc w:val="center"/>
                    <w:textAlignment w:val="baseline"/>
                    <w:rPr>
                      <w:rFonts w:eastAsia="仿宋"/>
                      <w:color w:val="000000" w:themeColor="text1"/>
                      <w:kern w:val="0"/>
                      <w:szCs w:val="22"/>
                      <w14:textFill>
                        <w14:solidFill>
                          <w14:schemeClr w14:val="tx1"/>
                        </w14:solidFill>
                      </w14:textFill>
                    </w:rPr>
                  </w:pPr>
                  <w:r>
                    <w:rPr>
                      <w:rFonts w:eastAsia="仿宋"/>
                      <w:color w:val="000000" w:themeColor="text1"/>
                      <w:kern w:val="0"/>
                      <w:szCs w:val="20"/>
                      <w14:textFill>
                        <w14:solidFill>
                          <w14:schemeClr w14:val="tx1"/>
                        </w14:solidFill>
                      </w14:textFill>
                    </w:rPr>
                    <w:t>pH、化学需氧量、SS、氨氮、总氮、总磷</w:t>
                  </w:r>
                </w:p>
              </w:tc>
              <w:tc>
                <w:tcPr>
                  <w:tcW w:w="653" w:type="pct"/>
                  <w:vAlign w:val="center"/>
                </w:tcPr>
                <w:p w14:paraId="6D773E36">
                  <w:pPr>
                    <w:tabs>
                      <w:tab w:val="left" w:pos="6840"/>
                    </w:tabs>
                    <w:jc w:val="center"/>
                    <w:rPr>
                      <w:rFonts w:eastAsia="仿宋"/>
                      <w:color w:val="000000" w:themeColor="text1"/>
                      <w:szCs w:val="22"/>
                      <w14:textFill>
                        <w14:solidFill>
                          <w14:schemeClr w14:val="tx1"/>
                        </w14:solidFill>
                      </w14:textFill>
                    </w:rPr>
                  </w:pPr>
                  <w:r>
                    <w:rPr>
                      <w:rFonts w:eastAsia="仿宋"/>
                      <w:color w:val="000000" w:themeColor="text1"/>
                      <w:szCs w:val="21"/>
                      <w14:textFill>
                        <w14:solidFill>
                          <w14:schemeClr w14:val="tx1"/>
                        </w14:solidFill>
                      </w14:textFill>
                    </w:rPr>
                    <w:t>1次/</w:t>
                  </w:r>
                  <w:r>
                    <w:rPr>
                      <w:rFonts w:hint="eastAsia" w:eastAsia="仿宋"/>
                      <w:color w:val="000000" w:themeColor="text1"/>
                      <w:szCs w:val="21"/>
                      <w14:textFill>
                        <w14:solidFill>
                          <w14:schemeClr w14:val="tx1"/>
                        </w14:solidFill>
                      </w14:textFill>
                    </w:rPr>
                    <w:t>年</w:t>
                  </w:r>
                </w:p>
              </w:tc>
              <w:tc>
                <w:tcPr>
                  <w:tcW w:w="1800" w:type="pct"/>
                  <w:vAlign w:val="center"/>
                </w:tcPr>
                <w:p w14:paraId="129A84A6">
                  <w:pPr>
                    <w:jc w:val="center"/>
                    <w:rPr>
                      <w:rFonts w:eastAsia="仿宋"/>
                      <w:color w:val="000000" w:themeColor="text1"/>
                      <w:szCs w:val="22"/>
                      <w14:textFill>
                        <w14:solidFill>
                          <w14:schemeClr w14:val="tx1"/>
                        </w14:solidFill>
                      </w14:textFill>
                    </w:rPr>
                  </w:pPr>
                  <w:r>
                    <w:rPr>
                      <w:rFonts w:eastAsia="仿宋"/>
                      <w:color w:val="000000" w:themeColor="text1"/>
                      <w14:textFill>
                        <w14:solidFill>
                          <w14:schemeClr w14:val="tx1"/>
                        </w14:solidFill>
                      </w14:textFill>
                    </w:rPr>
                    <w:t>《污水排入城镇下水道水质标准》（GB/T 31962-2015）表B等级</w:t>
                  </w:r>
                </w:p>
              </w:tc>
              <w:tc>
                <w:tcPr>
                  <w:tcW w:w="653" w:type="pct"/>
                  <w:vAlign w:val="center"/>
                </w:tcPr>
                <w:p w14:paraId="4CDF7E7D">
                  <w:pPr>
                    <w:jc w:val="center"/>
                    <w:rPr>
                      <w:rFonts w:eastAsia="仿宋"/>
                      <w:color w:val="000000" w:themeColor="text1"/>
                      <w:szCs w:val="22"/>
                      <w14:textFill>
                        <w14:solidFill>
                          <w14:schemeClr w14:val="tx1"/>
                        </w14:solidFill>
                      </w14:textFill>
                    </w:rPr>
                  </w:pPr>
                  <w:r>
                    <w:rPr>
                      <w:rFonts w:eastAsia="仿宋"/>
                      <w:bCs/>
                      <w:color w:val="000000" w:themeColor="text1"/>
                      <w:szCs w:val="21"/>
                      <w14:textFill>
                        <w14:solidFill>
                          <w14:schemeClr w14:val="tx1"/>
                        </w14:solidFill>
                      </w14:textFill>
                    </w:rPr>
                    <w:t>有资质的环境监测机构</w:t>
                  </w:r>
                </w:p>
              </w:tc>
            </w:tr>
            <w:tr w14:paraId="00B89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6" w:type="pct"/>
                  <w:vAlign w:val="center"/>
                </w:tcPr>
                <w:p w14:paraId="04B18677">
                  <w:pPr>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噪声</w:t>
                  </w:r>
                </w:p>
              </w:tc>
              <w:tc>
                <w:tcPr>
                  <w:tcW w:w="653" w:type="pct"/>
                  <w:vAlign w:val="center"/>
                </w:tcPr>
                <w:p w14:paraId="2980495D">
                  <w:pPr>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厂界</w:t>
                  </w:r>
                </w:p>
              </w:tc>
              <w:tc>
                <w:tcPr>
                  <w:tcW w:w="774" w:type="pct"/>
                  <w:vAlign w:val="center"/>
                </w:tcPr>
                <w:p w14:paraId="398B4F39">
                  <w:pPr>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等效连续A声级</w:t>
                  </w:r>
                </w:p>
              </w:tc>
              <w:tc>
                <w:tcPr>
                  <w:tcW w:w="653" w:type="pct"/>
                  <w:vAlign w:val="center"/>
                </w:tcPr>
                <w:p w14:paraId="306B20C3">
                  <w:pPr>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1次/季度</w:t>
                  </w:r>
                </w:p>
              </w:tc>
              <w:tc>
                <w:tcPr>
                  <w:tcW w:w="1800" w:type="pct"/>
                  <w:vAlign w:val="center"/>
                </w:tcPr>
                <w:p w14:paraId="18D4B7A0">
                  <w:pPr>
                    <w:jc w:val="center"/>
                    <w:rPr>
                      <w:rFonts w:eastAsia="仿宋"/>
                      <w:bCs/>
                      <w:color w:val="000000" w:themeColor="text1"/>
                      <w:szCs w:val="21"/>
                      <w14:textFill>
                        <w14:solidFill>
                          <w14:schemeClr w14:val="tx1"/>
                        </w14:solidFill>
                      </w14:textFill>
                    </w:rPr>
                  </w:pPr>
                  <w:r>
                    <w:rPr>
                      <w:rFonts w:hint="eastAsia" w:eastAsia="仿宋"/>
                      <w:bCs/>
                      <w:color w:val="000000" w:themeColor="text1"/>
                      <w:szCs w:val="21"/>
                      <w14:textFill>
                        <w14:solidFill>
                          <w14:schemeClr w14:val="tx1"/>
                        </w14:solidFill>
                      </w14:textFill>
                    </w:rPr>
                    <w:t>东、南、西、北厂界执行《工业企业厂界环境噪声排放标准》（GB12348-2008）3类标准</w:t>
                  </w:r>
                </w:p>
              </w:tc>
              <w:tc>
                <w:tcPr>
                  <w:tcW w:w="653" w:type="pct"/>
                  <w:vAlign w:val="center"/>
                </w:tcPr>
                <w:p w14:paraId="33954659">
                  <w:pPr>
                    <w:jc w:val="center"/>
                    <w:rPr>
                      <w:rFonts w:eastAsia="仿宋"/>
                      <w:bCs/>
                      <w:color w:val="000000" w:themeColor="text1"/>
                      <w:szCs w:val="21"/>
                      <w14:textFill>
                        <w14:solidFill>
                          <w14:schemeClr w14:val="tx1"/>
                        </w14:solidFill>
                      </w14:textFill>
                    </w:rPr>
                  </w:pPr>
                  <w:r>
                    <w:rPr>
                      <w:rFonts w:eastAsia="仿宋"/>
                      <w:bCs/>
                      <w:color w:val="000000" w:themeColor="text1"/>
                      <w:szCs w:val="21"/>
                      <w14:textFill>
                        <w14:solidFill>
                          <w14:schemeClr w14:val="tx1"/>
                        </w14:solidFill>
                      </w14:textFill>
                    </w:rPr>
                    <w:t>有资质的环境监测机构</w:t>
                  </w:r>
                </w:p>
              </w:tc>
            </w:tr>
          </w:tbl>
          <w:p w14:paraId="45035662">
            <w:pPr>
              <w:spacing w:line="480" w:lineRule="exact"/>
              <w:ind w:firstLine="482" w:firstLineChars="200"/>
              <w:rPr>
                <w:rFonts w:eastAsia="仿宋"/>
                <w:b/>
                <w:bCs/>
                <w:color w:val="000000" w:themeColor="text1"/>
                <w:sz w:val="24"/>
                <w14:textFill>
                  <w14:solidFill>
                    <w14:schemeClr w14:val="tx1"/>
                  </w14:solidFill>
                </w14:textFill>
              </w:rPr>
            </w:pPr>
            <w:r>
              <w:rPr>
                <w:rFonts w:ascii="仿宋" w:hAnsi="仿宋" w:eastAsia="仿宋"/>
                <w:b/>
                <w:bCs/>
                <w:color w:val="000000" w:themeColor="text1"/>
                <w:sz w:val="24"/>
                <w14:textFill>
                  <w14:solidFill>
                    <w14:schemeClr w14:val="tx1"/>
                  </w14:solidFill>
                </w14:textFill>
              </w:rPr>
              <w:t>（八）电磁辐射</w:t>
            </w:r>
          </w:p>
          <w:p w14:paraId="2C15B71C">
            <w:pPr>
              <w:spacing w:line="480" w:lineRule="exact"/>
              <w:ind w:firstLine="480" w:firstLineChars="200"/>
              <w:rPr>
                <w:color w:val="000000" w:themeColor="text1"/>
                <w:szCs w:val="2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本项目不涉及辐射设备，涉及辐射不在本项目评价范围内，由企业另行履行环评手续</w:t>
            </w:r>
            <w:r>
              <w:rPr>
                <w:rFonts w:ascii="仿宋" w:hAnsi="仿宋" w:eastAsia="仿宋"/>
                <w:color w:val="000000" w:themeColor="text1"/>
                <w:sz w:val="24"/>
                <w14:textFill>
                  <w14:solidFill>
                    <w14:schemeClr w14:val="tx1"/>
                  </w14:solidFill>
                </w14:textFill>
              </w:rPr>
              <w:t>。</w:t>
            </w:r>
          </w:p>
          <w:p w14:paraId="581E7361">
            <w:pPr>
              <w:spacing w:line="480" w:lineRule="exact"/>
              <w:ind w:firstLine="482" w:firstLineChars="200"/>
              <w:rPr>
                <w:rFonts w:eastAsia="仿宋"/>
                <w:b/>
                <w:bCs/>
                <w:color w:val="000000" w:themeColor="text1"/>
                <w:sz w:val="24"/>
                <w14:textFill>
                  <w14:solidFill>
                    <w14:schemeClr w14:val="tx1"/>
                  </w14:solidFill>
                </w14:textFill>
              </w:rPr>
            </w:pPr>
            <w:r>
              <w:rPr>
                <w:rFonts w:eastAsia="仿宋"/>
                <w:b/>
                <w:bCs/>
                <w:color w:val="000000" w:themeColor="text1"/>
                <w:sz w:val="24"/>
                <w14:textFill>
                  <w14:solidFill>
                    <w14:schemeClr w14:val="tx1"/>
                  </w14:solidFill>
                </w14:textFill>
              </w:rPr>
              <w:t>（九）环境管理与信息公开内容</w:t>
            </w:r>
          </w:p>
          <w:p w14:paraId="233D31A6">
            <w:pPr>
              <w:snapToGrid w:val="0"/>
              <w:spacing w:line="480" w:lineRule="exact"/>
              <w:ind w:firstLine="480" w:firstLineChars="200"/>
              <w:rPr>
                <w:rFonts w:eastAsia="仿宋"/>
                <w:color w:val="000000" w:themeColor="text1"/>
                <w:sz w:val="24"/>
                <w:szCs w:val="22"/>
                <w14:textFill>
                  <w14:solidFill>
                    <w14:schemeClr w14:val="tx1"/>
                  </w14:solidFill>
                </w14:textFill>
              </w:rPr>
            </w:pPr>
            <w:r>
              <w:rPr>
                <w:rFonts w:eastAsia="仿宋"/>
                <w:color w:val="000000" w:themeColor="text1"/>
                <w:sz w:val="24"/>
                <w:szCs w:val="22"/>
                <w14:textFill>
                  <w14:solidFill>
                    <w14:schemeClr w14:val="tx1"/>
                  </w14:solidFill>
                </w14:textFill>
              </w:rPr>
              <w:t>1、环境管理制度</w:t>
            </w:r>
          </w:p>
          <w:p w14:paraId="7DA665DF">
            <w:pPr>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实验室</w:t>
            </w:r>
            <w:r>
              <w:rPr>
                <w:rFonts w:eastAsia="仿宋"/>
                <w:color w:val="000000" w:themeColor="text1"/>
                <w:sz w:val="24"/>
                <w14:textFill>
                  <w14:solidFill>
                    <w14:schemeClr w14:val="tx1"/>
                  </w14:solidFill>
                </w14:textFill>
              </w:rPr>
              <w:t>在运行过程，应依据当前环境保护管理要求，分别制定</w:t>
            </w:r>
            <w:r>
              <w:rPr>
                <w:rFonts w:hint="eastAsia" w:eastAsia="仿宋"/>
                <w:color w:val="000000" w:themeColor="text1"/>
                <w:sz w:val="24"/>
                <w14:textFill>
                  <w14:solidFill>
                    <w14:schemeClr w14:val="tx1"/>
                  </w14:solidFill>
                </w14:textFill>
              </w:rPr>
              <w:t>实验室</w:t>
            </w:r>
            <w:r>
              <w:rPr>
                <w:rFonts w:eastAsia="仿宋"/>
                <w:color w:val="000000" w:themeColor="text1"/>
                <w:sz w:val="24"/>
                <w14:textFill>
                  <w14:solidFill>
                    <w14:schemeClr w14:val="tx1"/>
                  </w14:solidFill>
                </w14:textFill>
              </w:rPr>
              <w:t>内部的环境管理制度：</w:t>
            </w:r>
          </w:p>
          <w:p w14:paraId="739F2188">
            <w:pPr>
              <w:spacing w:line="480" w:lineRule="exact"/>
              <w:ind w:firstLine="480" w:firstLineChars="200"/>
              <w:rPr>
                <w:rFonts w:eastAsia="仿宋"/>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rFonts w:eastAsia="仿宋"/>
                <w:color w:val="000000" w:themeColor="text1"/>
                <w:sz w:val="24"/>
                <w14:textFill>
                  <w14:solidFill>
                    <w14:schemeClr w14:val="tx1"/>
                  </w14:solidFill>
                </w14:textFill>
              </w:rPr>
              <w:t>环境影响评价制度。</w:t>
            </w:r>
            <w:r>
              <w:rPr>
                <w:rFonts w:hint="eastAsia" w:eastAsia="仿宋"/>
                <w:color w:val="000000" w:themeColor="text1"/>
                <w:sz w:val="24"/>
                <w14:textFill>
                  <w14:solidFill>
                    <w14:schemeClr w14:val="tx1"/>
                  </w14:solidFill>
                </w14:textFill>
              </w:rPr>
              <w:t>实验室</w:t>
            </w:r>
            <w:r>
              <w:rPr>
                <w:rFonts w:eastAsia="仿宋"/>
                <w:color w:val="000000" w:themeColor="text1"/>
                <w:sz w:val="24"/>
                <w14:textFill>
                  <w14:solidFill>
                    <w14:schemeClr w14:val="tx1"/>
                  </w14:solidFill>
                </w14:textFill>
              </w:rPr>
              <w:t>在新建、改建、扩建相关工程时，应按《中华人民共和国环境影响评价法》要求，委托有资质环评单位开展环境影响评价工作。</w:t>
            </w:r>
          </w:p>
          <w:p w14:paraId="3AD6529F">
            <w:pPr>
              <w:spacing w:line="480" w:lineRule="exact"/>
              <w:ind w:firstLine="480" w:firstLineChars="200"/>
              <w:rPr>
                <w:rFonts w:eastAsia="仿宋"/>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rFonts w:eastAsia="仿宋"/>
                <w:color w:val="000000" w:themeColor="text1"/>
                <w:sz w:val="24"/>
                <w14:textFill>
                  <w14:solidFill>
                    <w14:schemeClr w14:val="tx1"/>
                  </w14:solidFill>
                </w14:textFill>
              </w:rPr>
              <w:t>“三同时”制度。建设项目需要配套建设的环境保护设施，必须与主体工程同时设计、同时施工、同时投入使用。建设项目竣工后，建设单位应当按照国务院环境保护行政主管部门规定的标准和程序，对配套建设的环境保护设施进行验收，编制验收报告。除按照国家规定需要保密的情形外，建设单位应当依法向社会公开验收报告。</w:t>
            </w:r>
          </w:p>
          <w:p w14:paraId="4B2C6D1C">
            <w:pPr>
              <w:spacing w:line="480" w:lineRule="exact"/>
              <w:ind w:firstLine="480" w:firstLineChars="200"/>
              <w:rPr>
                <w:rFonts w:eastAsia="仿宋"/>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③</w:t>
            </w:r>
            <w:r>
              <w:rPr>
                <w:rFonts w:eastAsia="仿宋"/>
                <w:color w:val="000000" w:themeColor="text1"/>
                <w:sz w:val="24"/>
                <w14:textFill>
                  <w14:solidFill>
                    <w14:schemeClr w14:val="tx1"/>
                  </w14:solidFill>
                </w14:textFill>
              </w:rPr>
              <w:t>排污许可制度。</w:t>
            </w:r>
            <w:r>
              <w:rPr>
                <w:rFonts w:hint="eastAsia" w:eastAsia="仿宋"/>
                <w:color w:val="000000" w:themeColor="text1"/>
                <w:sz w:val="24"/>
                <w14:textFill>
                  <w14:solidFill>
                    <w14:schemeClr w14:val="tx1"/>
                  </w14:solidFill>
                </w14:textFill>
              </w:rPr>
              <w:t>实验室</w:t>
            </w:r>
            <w:r>
              <w:rPr>
                <w:rFonts w:eastAsia="仿宋"/>
                <w:color w:val="000000" w:themeColor="text1"/>
                <w:sz w:val="24"/>
                <w14:textFill>
                  <w14:solidFill>
                    <w14:schemeClr w14:val="tx1"/>
                  </w14:solidFill>
                </w14:textFill>
              </w:rPr>
              <w:t>应按照排污许可管理条例要求，在实施时限内，向所在地设区的市级环境保护主管部门申领排污许可证。</w:t>
            </w:r>
          </w:p>
          <w:p w14:paraId="0262B2BA">
            <w:pPr>
              <w:spacing w:line="480" w:lineRule="exact"/>
              <w:ind w:firstLine="480" w:firstLineChars="200"/>
              <w:rPr>
                <w:rFonts w:eastAsia="仿宋"/>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w:t>
            </w:r>
            <w:r>
              <w:rPr>
                <w:rFonts w:eastAsia="仿宋"/>
                <w:color w:val="000000" w:themeColor="text1"/>
                <w:sz w:val="24"/>
                <w14:textFill>
                  <w14:solidFill>
                    <w14:schemeClr w14:val="tx1"/>
                  </w14:solidFill>
                </w14:textFill>
              </w:rPr>
              <w:t>环境保护税制度。根据《中华人民共和国环境保护税法》（2018年1月1日实施）：“在中华人民共和国领域和中华人民共和国管辖的其他海域，直接向环境排放应税污染物的企业事业单位和其他生产经营者为环境保护税的纳税人，应当依照本法规定缴纳环境保护税。”企业应按《环境保护税法》要求实施环境保护税制度。</w:t>
            </w:r>
          </w:p>
          <w:p w14:paraId="1F6F3E19">
            <w:pPr>
              <w:spacing w:line="480" w:lineRule="exact"/>
              <w:ind w:firstLine="480" w:firstLineChars="200"/>
              <w:rPr>
                <w:rFonts w:eastAsia="仿宋"/>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⑤</w:t>
            </w:r>
            <w:r>
              <w:rPr>
                <w:rFonts w:eastAsia="仿宋"/>
                <w:color w:val="000000" w:themeColor="text1"/>
                <w:sz w:val="24"/>
                <w14:textFill>
                  <w14:solidFill>
                    <w14:schemeClr w14:val="tx1"/>
                  </w14:solidFill>
                </w14:textFill>
              </w:rPr>
              <w:t>奖惩制度。</w:t>
            </w:r>
            <w:r>
              <w:rPr>
                <w:rFonts w:hint="eastAsia" w:eastAsia="仿宋"/>
                <w:color w:val="000000" w:themeColor="text1"/>
                <w:sz w:val="24"/>
                <w14:textFill>
                  <w14:solidFill>
                    <w14:schemeClr w14:val="tx1"/>
                  </w14:solidFill>
                </w14:textFill>
              </w:rPr>
              <w:t>实验室</w:t>
            </w:r>
            <w:r>
              <w:rPr>
                <w:rFonts w:eastAsia="仿宋"/>
                <w:color w:val="000000" w:themeColor="text1"/>
                <w:sz w:val="24"/>
                <w14:textFill>
                  <w14:solidFill>
                    <w14:schemeClr w14:val="tx1"/>
                  </w14:solidFill>
                </w14:textFill>
              </w:rPr>
              <w:t>应设置环境保护奖惩制度，明确相关责任人和职责与权利，并落实《最高人民法院、最高人民检察院关于办理环境污染刑事案件适用法律若干问题的解释》相关要求。</w:t>
            </w:r>
          </w:p>
          <w:p w14:paraId="09AE053A">
            <w:pPr>
              <w:spacing w:line="480" w:lineRule="exact"/>
              <w:ind w:firstLine="480" w:firstLineChars="200"/>
              <w:rPr>
                <w:rFonts w:eastAsia="仿宋"/>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⑥</w:t>
            </w:r>
            <w:r>
              <w:rPr>
                <w:rFonts w:eastAsia="仿宋"/>
                <w:color w:val="000000" w:themeColor="text1"/>
                <w:sz w:val="24"/>
                <w14:textFill>
                  <w14:solidFill>
                    <w14:schemeClr w14:val="tx1"/>
                  </w14:solidFill>
                </w14:textFill>
              </w:rPr>
              <w:t>监测制度。按照环评报告、《排污单位自行监测技术指南 总则》（HJ819-2017）、排污许可证要求定期对污染源和环境质量进行监测，排污单位应做好与监测相关的数据记录，按照规定进行保存，并依据相关法规向社会公开监测结果。</w:t>
            </w:r>
          </w:p>
          <w:p w14:paraId="740B38C4">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2、环境管理机构</w:t>
            </w:r>
          </w:p>
          <w:p w14:paraId="6D8DA7F8">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为使本工程项目建设实现全过程“守法合规”，</w:t>
            </w:r>
            <w:r>
              <w:rPr>
                <w:rFonts w:hint="eastAsia" w:eastAsia="仿宋"/>
                <w:color w:val="000000" w:themeColor="text1"/>
                <w:sz w:val="24"/>
                <w14:textFill>
                  <w14:solidFill>
                    <w14:schemeClr w14:val="tx1"/>
                  </w14:solidFill>
                </w14:textFill>
              </w:rPr>
              <w:t>实验室</w:t>
            </w:r>
            <w:r>
              <w:rPr>
                <w:rFonts w:eastAsia="仿宋"/>
                <w:color w:val="000000" w:themeColor="text1"/>
                <w:sz w:val="24"/>
                <w14:textFill>
                  <w14:solidFill>
                    <w14:schemeClr w14:val="tx1"/>
                  </w14:solidFill>
                </w14:textFill>
              </w:rPr>
              <w:t>应在项目办理前期手续时安排专人办理环保手续，并协调好工程设计与环境保护相关工作，在主体工程建设方案中落实污染防治措施。项目投产后，</w:t>
            </w:r>
            <w:r>
              <w:rPr>
                <w:rFonts w:hint="eastAsia" w:eastAsia="仿宋"/>
                <w:color w:val="000000" w:themeColor="text1"/>
                <w:sz w:val="24"/>
                <w14:textFill>
                  <w14:solidFill>
                    <w14:schemeClr w14:val="tx1"/>
                  </w14:solidFill>
                </w14:textFill>
              </w:rPr>
              <w:t>实验室主管</w:t>
            </w:r>
            <w:r>
              <w:rPr>
                <w:rFonts w:eastAsia="仿宋"/>
                <w:color w:val="000000" w:themeColor="text1"/>
                <w:sz w:val="24"/>
                <w14:textFill>
                  <w14:solidFill>
                    <w14:schemeClr w14:val="tx1"/>
                  </w14:solidFill>
                </w14:textFill>
              </w:rPr>
              <w:t>为环境行为的第一负责人，成立以副</w:t>
            </w:r>
            <w:r>
              <w:rPr>
                <w:rFonts w:hint="eastAsia" w:eastAsia="仿宋"/>
                <w:color w:val="000000" w:themeColor="text1"/>
                <w:sz w:val="24"/>
                <w14:textFill>
                  <w14:solidFill>
                    <w14:schemeClr w14:val="tx1"/>
                  </w14:solidFill>
                </w14:textFill>
              </w:rPr>
              <w:t>主管</w:t>
            </w:r>
            <w:r>
              <w:rPr>
                <w:rFonts w:eastAsia="仿宋"/>
                <w:color w:val="000000" w:themeColor="text1"/>
                <w:sz w:val="24"/>
                <w14:textFill>
                  <w14:solidFill>
                    <w14:schemeClr w14:val="tx1"/>
                  </w14:solidFill>
                </w14:textFill>
              </w:rPr>
              <w:t>分管环保工作、EHS部为环境管理具体职能部门，并负责环保治理设施运行管理。</w:t>
            </w:r>
          </w:p>
          <w:p w14:paraId="6E71BD2B">
            <w:pPr>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实验室</w:t>
            </w:r>
            <w:r>
              <w:rPr>
                <w:rFonts w:eastAsia="仿宋"/>
                <w:color w:val="000000" w:themeColor="text1"/>
                <w:sz w:val="24"/>
                <w14:textFill>
                  <w14:solidFill>
                    <w14:schemeClr w14:val="tx1"/>
                  </w14:solidFill>
                </w14:textFill>
              </w:rPr>
              <w:t>环境管理机构主要职能为：执行国家、地方环境保护法律、法规，落实环境保护行政主管部门管理要求并完成相关报表；负责</w:t>
            </w:r>
            <w:r>
              <w:rPr>
                <w:rFonts w:hint="eastAsia" w:eastAsia="仿宋"/>
                <w:color w:val="000000" w:themeColor="text1"/>
                <w:sz w:val="24"/>
                <w14:textFill>
                  <w14:solidFill>
                    <w14:schemeClr w14:val="tx1"/>
                  </w14:solidFill>
                </w14:textFill>
              </w:rPr>
              <w:t>实验室</w:t>
            </w:r>
            <w:r>
              <w:rPr>
                <w:rFonts w:eastAsia="仿宋"/>
                <w:color w:val="000000" w:themeColor="text1"/>
                <w:sz w:val="24"/>
                <w14:textFill>
                  <w14:solidFill>
                    <w14:schemeClr w14:val="tx1"/>
                  </w14:solidFill>
                </w14:textFill>
              </w:rPr>
              <w:t>环境保护方案的规划和管理，确保环境保护治理设施运行、维护及更新，确保</w:t>
            </w:r>
            <w:r>
              <w:rPr>
                <w:rFonts w:hint="eastAsia" w:eastAsia="仿宋"/>
                <w:color w:val="000000" w:themeColor="text1"/>
                <w:sz w:val="24"/>
                <w14:textFill>
                  <w14:solidFill>
                    <w14:schemeClr w14:val="tx1"/>
                  </w14:solidFill>
                </w14:textFill>
              </w:rPr>
              <w:t>实验室</w:t>
            </w:r>
            <w:r>
              <w:rPr>
                <w:rFonts w:eastAsia="仿宋"/>
                <w:color w:val="000000" w:themeColor="text1"/>
                <w:sz w:val="24"/>
                <w14:textFill>
                  <w14:solidFill>
                    <w14:schemeClr w14:val="tx1"/>
                  </w14:solidFill>
                </w14:textFill>
              </w:rPr>
              <w:t>各项污染物达标排放和对环境的最小影响。</w:t>
            </w:r>
          </w:p>
          <w:p w14:paraId="1C730000">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3、环境管理内容</w:t>
            </w:r>
          </w:p>
          <w:p w14:paraId="02D3D0B4">
            <w:pPr>
              <w:spacing w:line="480" w:lineRule="exact"/>
              <w:ind w:firstLine="480" w:firstLineChars="200"/>
              <w:rPr>
                <w:rFonts w:eastAsia="仿宋"/>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rFonts w:eastAsia="仿宋"/>
                <w:color w:val="000000" w:themeColor="text1"/>
                <w:sz w:val="24"/>
                <w14:textFill>
                  <w14:solidFill>
                    <w14:schemeClr w14:val="tx1"/>
                  </w14:solidFill>
                </w14:textFill>
              </w:rPr>
              <w:t>废气、废水处理设施</w:t>
            </w:r>
          </w:p>
          <w:p w14:paraId="12FA2E8F">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落实专人负责制度，废气、废水处理设施需由专人维护保养并挂牌明示。做好废气、废水设施的日常运行记录，建立健全管理台帐，了解处理设施的动态信息，确保废气、废水处理设施的正常运行。</w:t>
            </w:r>
          </w:p>
          <w:p w14:paraId="22D8DB07">
            <w:pPr>
              <w:spacing w:line="480" w:lineRule="exact"/>
              <w:ind w:firstLine="480" w:firstLineChars="200"/>
              <w:rPr>
                <w:rFonts w:eastAsia="仿宋"/>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rFonts w:eastAsia="仿宋"/>
                <w:color w:val="000000" w:themeColor="text1"/>
                <w:sz w:val="24"/>
                <w14:textFill>
                  <w14:solidFill>
                    <w14:schemeClr w14:val="tx1"/>
                  </w14:solidFill>
                </w14:textFill>
              </w:rPr>
              <w:t>固废规范管理台账</w:t>
            </w:r>
          </w:p>
          <w:p w14:paraId="74575310">
            <w:pPr>
              <w:spacing w:line="48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实验室</w:t>
            </w:r>
            <w:r>
              <w:rPr>
                <w:rFonts w:eastAsia="仿宋"/>
                <w:color w:val="000000" w:themeColor="text1"/>
                <w:sz w:val="24"/>
                <w14:textFill>
                  <w14:solidFill>
                    <w14:schemeClr w14:val="tx1"/>
                  </w14:solidFill>
                </w14:textFill>
              </w:rPr>
              <w:t>应通过“江苏省危险废物动态管理信息系统”（江苏省环保厅网站）进行危险废物申报登记，将危险废物的实际产生、贮存、利用、处置等情况纳入生产记录，按照、《排污许可证申请与核发技术规范 总则》（HJ942-2018）建立危险废物管理台账和企业内部产生和收集、贮存、转移等部门危险废物交接制度。</w:t>
            </w:r>
          </w:p>
          <w:p w14:paraId="551A7D81">
            <w:pPr>
              <w:spacing w:line="480" w:lineRule="exact"/>
              <w:ind w:firstLine="480" w:firstLineChars="200"/>
              <w:rPr>
                <w:rFonts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③</w:t>
            </w:r>
            <w:r>
              <w:rPr>
                <w:rFonts w:hint="eastAsia" w:eastAsia="仿宋"/>
                <w:color w:val="000000" w:themeColor="text1"/>
                <w:sz w:val="24"/>
                <w14:textFill>
                  <w14:solidFill>
                    <w14:schemeClr w14:val="tx1"/>
                  </w14:solidFill>
                </w14:textFill>
              </w:rPr>
              <w:t>厂区各排放口设置必须符合《江苏省排污口设置及规范化整治管理办法》（苏环管〔1997〕122号）、《关于开展排放口规范化整治工作的通知》（环发〔1999〕24号）等文件要求。</w:t>
            </w:r>
          </w:p>
          <w:p w14:paraId="744D9EE4">
            <w:pPr>
              <w:spacing w:line="480" w:lineRule="exact"/>
              <w:ind w:firstLine="480" w:firstLineChars="200"/>
              <w:rPr>
                <w:rFonts w:eastAsia="仿宋"/>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④</w:t>
            </w:r>
            <w:r>
              <w:rPr>
                <w:rFonts w:eastAsia="仿宋"/>
                <w:color w:val="000000" w:themeColor="text1"/>
                <w:sz w:val="24"/>
                <w14:textFill>
                  <w14:solidFill>
                    <w14:schemeClr w14:val="tx1"/>
                  </w14:solidFill>
                </w14:textFill>
              </w:rPr>
              <w:t>危险废物自控要求</w:t>
            </w:r>
          </w:p>
          <w:p w14:paraId="60D599A5">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按照危险废物进厂要求、处置类别、处置范围及规模回收危险废物，禁止回收负面清单中危险废物。保留进厂检测记录备查。</w:t>
            </w:r>
          </w:p>
          <w:p w14:paraId="7D7442DA">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4、信息公开</w:t>
            </w:r>
          </w:p>
          <w:p w14:paraId="7035A552">
            <w:pPr>
              <w:spacing w:line="480" w:lineRule="exact"/>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按照《排污许可证申请与核发技术规范 总则》（HJ942-2018）、《排污单位自行监测技术指南 总则》（HJ819-2017）</w:t>
            </w:r>
            <w:r>
              <w:rPr>
                <w:rFonts w:hint="eastAsia" w:eastAsia="仿宋"/>
                <w:color w:val="000000" w:themeColor="text1"/>
                <w:sz w:val="24"/>
                <w14:textFill>
                  <w14:solidFill>
                    <w14:schemeClr w14:val="tx1"/>
                  </w14:solidFill>
                </w14:textFill>
              </w:rPr>
              <w:t>和《排污单位自行监测技术指南 火力发电及锅炉》（HJ820-2017）</w:t>
            </w:r>
            <w:r>
              <w:rPr>
                <w:rFonts w:eastAsia="仿宋"/>
                <w:color w:val="000000" w:themeColor="text1"/>
                <w:sz w:val="24"/>
                <w14:textFill>
                  <w14:solidFill>
                    <w14:schemeClr w14:val="tx1"/>
                  </w14:solidFill>
                </w14:textFill>
              </w:rPr>
              <w:t>等要求进行信息公开。</w:t>
            </w:r>
          </w:p>
        </w:tc>
      </w:tr>
    </w:tbl>
    <w:p w14:paraId="5B6E4147">
      <w:pPr>
        <w:pStyle w:val="21"/>
        <w:jc w:val="both"/>
        <w:outlineLvl w:val="9"/>
        <w:rPr>
          <w:color w:val="000000" w:themeColor="text1"/>
          <w14:textFill>
            <w14:solidFill>
              <w14:schemeClr w14:val="tx1"/>
            </w14:solidFill>
          </w14:textFill>
        </w:rPr>
      </w:pPr>
    </w:p>
    <w:p w14:paraId="2FCB34EF">
      <w:pPr>
        <w:pStyle w:val="21"/>
        <w:jc w:val="both"/>
        <w:outlineLvl w:val="9"/>
        <w:rPr>
          <w:color w:val="000000" w:themeColor="text1"/>
          <w14:textFill>
            <w14:solidFill>
              <w14:schemeClr w14:val="tx1"/>
            </w14:solidFill>
          </w14:textFill>
        </w:rPr>
      </w:pPr>
    </w:p>
    <w:p w14:paraId="21BA7D22">
      <w:pPr>
        <w:pStyle w:val="21"/>
        <w:jc w:val="both"/>
        <w:outlineLvl w:val="9"/>
        <w:rPr>
          <w:color w:val="000000" w:themeColor="text1"/>
          <w14:textFill>
            <w14:solidFill>
              <w14:schemeClr w14:val="tx1"/>
            </w14:solidFill>
          </w14:textFill>
        </w:rPr>
      </w:pPr>
    </w:p>
    <w:p w14:paraId="0A5F3FB2">
      <w:pPr>
        <w:pStyle w:val="21"/>
        <w:rPr>
          <w:color w:val="000000" w:themeColor="text1"/>
          <w14:textFill>
            <w14:solidFill>
              <w14:schemeClr w14:val="tx1"/>
            </w14:solidFill>
          </w14:textFill>
        </w:rPr>
        <w:sectPr>
          <w:pgSz w:w="11906" w:h="16838"/>
          <w:pgMar w:top="1701" w:right="1531" w:bottom="1701" w:left="1531" w:header="851" w:footer="851" w:gutter="0"/>
          <w:cols w:space="720" w:num="1"/>
          <w:docGrid w:linePitch="312" w:charSpace="0"/>
        </w:sectPr>
      </w:pPr>
    </w:p>
    <w:p w14:paraId="031B47F0">
      <w:pPr>
        <w:pStyle w:val="21"/>
        <w:rPr>
          <w:color w:val="000000" w:themeColor="text1"/>
          <w14:textFill>
            <w14:solidFill>
              <w14:schemeClr w14:val="tx1"/>
            </w14:solidFill>
          </w14:textFill>
        </w:rPr>
      </w:pPr>
      <w:r>
        <w:rPr>
          <w:color w:val="000000" w:themeColor="text1"/>
          <w14:textFill>
            <w14:solidFill>
              <w14:schemeClr w14:val="tx1"/>
            </w14:solidFill>
          </w14:textFill>
        </w:rPr>
        <w:t>五、</w:t>
      </w:r>
      <w:bookmarkStart w:id="44" w:name="_Hlk54167917"/>
      <w:r>
        <w:rPr>
          <w:color w:val="000000" w:themeColor="text1"/>
          <w14:textFill>
            <w14:solidFill>
              <w14:schemeClr w14:val="tx1"/>
            </w14:solidFill>
          </w14:textFill>
        </w:rPr>
        <w:t>环境保护措施监督检查清单</w:t>
      </w:r>
      <w:bookmarkEnd w:id="44"/>
    </w:p>
    <w:tbl>
      <w:tblPr>
        <w:tblStyle w:val="24"/>
        <w:tblW w:w="553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74"/>
        <w:gridCol w:w="1018"/>
        <w:gridCol w:w="1746"/>
        <w:gridCol w:w="2474"/>
        <w:gridCol w:w="2621"/>
      </w:tblGrid>
      <w:tr w14:paraId="11B24C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6" w:type="dxa"/>
            <w:tcBorders>
              <w:tl2br w:val="single" w:color="auto" w:sz="4" w:space="0"/>
            </w:tcBorders>
          </w:tcPr>
          <w:p w14:paraId="48A38579">
            <w:pPr>
              <w:adjustRightInd w:val="0"/>
              <w:snapToGrid w:val="0"/>
              <w:ind w:firstLine="527" w:firstLineChars="250"/>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内容</w:t>
            </w:r>
          </w:p>
          <w:p w14:paraId="44445125">
            <w:pPr>
              <w:adjustRightInd w:val="0"/>
              <w:snapToGrid w:val="0"/>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要素</w:t>
            </w:r>
          </w:p>
        </w:tc>
        <w:tc>
          <w:tcPr>
            <w:tcW w:w="1843" w:type="dxa"/>
            <w:gridSpan w:val="2"/>
            <w:vAlign w:val="center"/>
          </w:tcPr>
          <w:p w14:paraId="0BE9CF49">
            <w:pPr>
              <w:adjustRightInd w:val="0"/>
              <w:snapToGrid w:val="0"/>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排放口（编号、名称）/污染源</w:t>
            </w:r>
          </w:p>
        </w:tc>
        <w:tc>
          <w:tcPr>
            <w:tcW w:w="1701" w:type="dxa"/>
            <w:vAlign w:val="center"/>
          </w:tcPr>
          <w:p w14:paraId="23C1EB01">
            <w:pPr>
              <w:adjustRightInd w:val="0"/>
              <w:snapToGrid w:val="0"/>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污染物项目</w:t>
            </w:r>
          </w:p>
        </w:tc>
        <w:tc>
          <w:tcPr>
            <w:tcW w:w="2410" w:type="dxa"/>
            <w:vAlign w:val="center"/>
          </w:tcPr>
          <w:p w14:paraId="616143C7">
            <w:pPr>
              <w:adjustRightInd w:val="0"/>
              <w:snapToGrid w:val="0"/>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环境保护措施</w:t>
            </w:r>
          </w:p>
        </w:tc>
        <w:tc>
          <w:tcPr>
            <w:tcW w:w="2552" w:type="dxa"/>
            <w:vAlign w:val="center"/>
          </w:tcPr>
          <w:p w14:paraId="6B720EE5">
            <w:pPr>
              <w:adjustRightInd w:val="0"/>
              <w:snapToGrid w:val="0"/>
              <w:jc w:val="center"/>
              <w:rPr>
                <w:rFonts w:eastAsia="仿宋"/>
                <w:b/>
                <w:bCs/>
                <w:color w:val="000000" w:themeColor="text1"/>
                <w:szCs w:val="21"/>
                <w14:textFill>
                  <w14:solidFill>
                    <w14:schemeClr w14:val="tx1"/>
                  </w14:solidFill>
                </w14:textFill>
              </w:rPr>
            </w:pPr>
            <w:r>
              <w:rPr>
                <w:rFonts w:eastAsia="仿宋"/>
                <w:b/>
                <w:bCs/>
                <w:color w:val="000000" w:themeColor="text1"/>
                <w:szCs w:val="21"/>
                <w14:textFill>
                  <w14:solidFill>
                    <w14:schemeClr w14:val="tx1"/>
                  </w14:solidFill>
                </w14:textFill>
              </w:rPr>
              <w:t>执行标准</w:t>
            </w:r>
          </w:p>
        </w:tc>
      </w:tr>
      <w:tr w14:paraId="4D7F42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6" w:type="dxa"/>
            <w:vMerge w:val="restart"/>
            <w:vAlign w:val="center"/>
          </w:tcPr>
          <w:p w14:paraId="00360D7B">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大气环境</w:t>
            </w:r>
          </w:p>
        </w:tc>
        <w:tc>
          <w:tcPr>
            <w:tcW w:w="851" w:type="dxa"/>
            <w:vMerge w:val="restart"/>
            <w:vAlign w:val="center"/>
          </w:tcPr>
          <w:p w14:paraId="34AFEAF8">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kern w:val="0"/>
                <w:szCs w:val="21"/>
                <w14:textFill>
                  <w14:solidFill>
                    <w14:schemeClr w14:val="tx1"/>
                  </w14:solidFill>
                </w14:textFill>
              </w:rPr>
              <w:t>有组织废气</w:t>
            </w:r>
          </w:p>
        </w:tc>
        <w:tc>
          <w:tcPr>
            <w:tcW w:w="992" w:type="dxa"/>
            <w:vAlign w:val="center"/>
          </w:tcPr>
          <w:p w14:paraId="5BD60A47">
            <w:pPr>
              <w:jc w:val="center"/>
              <w:rPr>
                <w:rFonts w:eastAsia="仿宋"/>
                <w:color w:val="000000" w:themeColor="text1"/>
                <w:kern w:val="0"/>
                <w:szCs w:val="21"/>
                <w14:textFill>
                  <w14:solidFill>
                    <w14:schemeClr w14:val="tx1"/>
                  </w14:solidFill>
                </w14:textFill>
              </w:rPr>
            </w:pPr>
            <w:r>
              <w:rPr>
                <w:rFonts w:hint="eastAsia" w:eastAsia="仿宋"/>
                <w:color w:val="000000" w:themeColor="text1"/>
                <w:kern w:val="0"/>
                <w:szCs w:val="21"/>
                <w14:textFill>
                  <w14:solidFill>
                    <w14:schemeClr w14:val="tx1"/>
                  </w14:solidFill>
                </w14:textFill>
              </w:rPr>
              <w:t>1#</w:t>
            </w:r>
          </w:p>
        </w:tc>
        <w:tc>
          <w:tcPr>
            <w:tcW w:w="1701" w:type="dxa"/>
            <w:vAlign w:val="center"/>
          </w:tcPr>
          <w:p w14:paraId="3D553A62">
            <w:pPr>
              <w:spacing w:line="240" w:lineRule="exact"/>
              <w:jc w:val="center"/>
              <w:rPr>
                <w:rFonts w:eastAsia="仿宋"/>
                <w:color w:val="000000" w:themeColor="text1"/>
                <w:kern w:val="0"/>
                <w:szCs w:val="21"/>
                <w14:textFill>
                  <w14:solidFill>
                    <w14:schemeClr w14:val="tx1"/>
                  </w14:solidFill>
                </w14:textFill>
              </w:rPr>
            </w:pPr>
            <w:r>
              <w:rPr>
                <w:rFonts w:hint="eastAsia" w:eastAsia="仿宋"/>
                <w:color w:val="000000" w:themeColor="text1"/>
                <w:kern w:val="0"/>
                <w:szCs w:val="21"/>
                <w14:textFill>
                  <w14:solidFill>
                    <w14:schemeClr w14:val="tx1"/>
                  </w14:solidFill>
                </w14:textFill>
              </w:rPr>
              <w:t>甲醇、非甲烷总烃</w:t>
            </w:r>
          </w:p>
        </w:tc>
        <w:tc>
          <w:tcPr>
            <w:tcW w:w="2410" w:type="dxa"/>
            <w:vAlign w:val="center"/>
          </w:tcPr>
          <w:p w14:paraId="09AD8D5C">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两级活性炭吸附</w:t>
            </w:r>
          </w:p>
        </w:tc>
        <w:tc>
          <w:tcPr>
            <w:tcW w:w="2552" w:type="dxa"/>
            <w:vAlign w:val="center"/>
          </w:tcPr>
          <w:p w14:paraId="6214A809">
            <w:pPr>
              <w:jc w:val="center"/>
              <w:rPr>
                <w:rFonts w:eastAsia="仿宋"/>
                <w:color w:val="000000" w:themeColor="text1"/>
                <w:kern w:val="0"/>
                <w:szCs w:val="21"/>
                <w14:textFill>
                  <w14:solidFill>
                    <w14:schemeClr w14:val="tx1"/>
                  </w14:solidFill>
                </w14:textFill>
              </w:rPr>
            </w:pPr>
            <w:r>
              <w:rPr>
                <w:rFonts w:hint="eastAsia" w:eastAsia="仿宋"/>
                <w:color w:val="000000" w:themeColor="text1"/>
                <w:szCs w:val="21"/>
                <w14:textFill>
                  <w14:solidFill>
                    <w14:schemeClr w14:val="tx1"/>
                  </w14:solidFill>
                </w14:textFill>
              </w:rPr>
              <w:t>《大气污染物综合排放标准》（DB32/4041-2021）</w:t>
            </w:r>
          </w:p>
        </w:tc>
      </w:tr>
      <w:tr w14:paraId="00A593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6" w:type="dxa"/>
            <w:vMerge w:val="continue"/>
            <w:vAlign w:val="center"/>
          </w:tcPr>
          <w:p w14:paraId="2619A6B0">
            <w:pPr>
              <w:adjustRightInd w:val="0"/>
              <w:snapToGrid w:val="0"/>
              <w:jc w:val="center"/>
              <w:rPr>
                <w:rFonts w:eastAsia="仿宋"/>
                <w:color w:val="000000" w:themeColor="text1"/>
                <w:szCs w:val="21"/>
                <w14:textFill>
                  <w14:solidFill>
                    <w14:schemeClr w14:val="tx1"/>
                  </w14:solidFill>
                </w14:textFill>
              </w:rPr>
            </w:pPr>
          </w:p>
        </w:tc>
        <w:tc>
          <w:tcPr>
            <w:tcW w:w="851" w:type="dxa"/>
            <w:vMerge w:val="continue"/>
            <w:vAlign w:val="center"/>
          </w:tcPr>
          <w:p w14:paraId="411C8395">
            <w:pPr>
              <w:adjustRightInd w:val="0"/>
              <w:snapToGrid w:val="0"/>
              <w:jc w:val="center"/>
              <w:rPr>
                <w:rFonts w:eastAsia="仿宋"/>
                <w:color w:val="000000" w:themeColor="text1"/>
                <w:kern w:val="0"/>
                <w:szCs w:val="21"/>
                <w14:textFill>
                  <w14:solidFill>
                    <w14:schemeClr w14:val="tx1"/>
                  </w14:solidFill>
                </w14:textFill>
              </w:rPr>
            </w:pPr>
          </w:p>
        </w:tc>
        <w:tc>
          <w:tcPr>
            <w:tcW w:w="992" w:type="dxa"/>
            <w:vAlign w:val="center"/>
          </w:tcPr>
          <w:p w14:paraId="7DF0B634">
            <w:pPr>
              <w:jc w:val="center"/>
              <w:rPr>
                <w:rFonts w:eastAsia="仿宋"/>
                <w:color w:val="000000" w:themeColor="text1"/>
                <w:kern w:val="0"/>
                <w:szCs w:val="21"/>
                <w14:textFill>
                  <w14:solidFill>
                    <w14:schemeClr w14:val="tx1"/>
                  </w14:solidFill>
                </w14:textFill>
              </w:rPr>
            </w:pPr>
            <w:r>
              <w:rPr>
                <w:rFonts w:hint="eastAsia" w:eastAsia="仿宋"/>
                <w:color w:val="000000" w:themeColor="text1"/>
                <w:kern w:val="0"/>
                <w:szCs w:val="21"/>
                <w14:textFill>
                  <w14:solidFill>
                    <w14:schemeClr w14:val="tx1"/>
                  </w14:solidFill>
                </w14:textFill>
              </w:rPr>
              <w:t>2</w:t>
            </w:r>
            <w:r>
              <w:rPr>
                <w:rFonts w:eastAsia="仿宋"/>
                <w:color w:val="000000" w:themeColor="text1"/>
                <w:kern w:val="0"/>
                <w:szCs w:val="21"/>
                <w14:textFill>
                  <w14:solidFill>
                    <w14:schemeClr w14:val="tx1"/>
                  </w14:solidFill>
                </w14:textFill>
              </w:rPr>
              <w:t>#</w:t>
            </w:r>
          </w:p>
        </w:tc>
        <w:tc>
          <w:tcPr>
            <w:tcW w:w="1701" w:type="dxa"/>
            <w:vAlign w:val="center"/>
          </w:tcPr>
          <w:p w14:paraId="168AE93F">
            <w:pPr>
              <w:spacing w:line="240" w:lineRule="exact"/>
              <w:jc w:val="center"/>
              <w:rPr>
                <w:rFonts w:eastAsia="仿宋"/>
                <w:color w:val="000000" w:themeColor="text1"/>
                <w:kern w:val="0"/>
                <w:szCs w:val="21"/>
                <w14:textFill>
                  <w14:solidFill>
                    <w14:schemeClr w14:val="tx1"/>
                  </w14:solidFill>
                </w14:textFill>
              </w:rPr>
            </w:pPr>
            <w:r>
              <w:rPr>
                <w:rFonts w:hint="eastAsia" w:eastAsia="仿宋"/>
                <w:color w:val="000000" w:themeColor="text1"/>
                <w:kern w:val="0"/>
                <w:szCs w:val="21"/>
                <w14:textFill>
                  <w14:solidFill>
                    <w14:schemeClr w14:val="tx1"/>
                  </w14:solidFill>
                </w14:textFill>
              </w:rPr>
              <w:t>氮氧化物、二氧化硫、颗粒物、林格曼黑度</w:t>
            </w:r>
          </w:p>
        </w:tc>
        <w:tc>
          <w:tcPr>
            <w:tcW w:w="2410" w:type="dxa"/>
            <w:vAlign w:val="center"/>
          </w:tcPr>
          <w:p w14:paraId="6A22CF34">
            <w:pPr>
              <w:jc w:val="center"/>
              <w:rPr>
                <w:rFonts w:eastAsia="仿宋"/>
                <w:color w:val="000000" w:themeColor="text1"/>
                <w:kern w:val="0"/>
                <w:szCs w:val="21"/>
                <w14:textFill>
                  <w14:solidFill>
                    <w14:schemeClr w14:val="tx1"/>
                  </w14:solidFill>
                </w14:textFill>
              </w:rPr>
            </w:pPr>
            <w:r>
              <w:rPr>
                <w:rFonts w:hint="eastAsia" w:eastAsia="仿宋"/>
                <w:color w:val="000000" w:themeColor="text1"/>
                <w:kern w:val="0"/>
                <w:szCs w:val="21"/>
                <w14:textFill>
                  <w14:solidFill>
                    <w14:schemeClr w14:val="tx1"/>
                  </w14:solidFill>
                </w14:textFill>
              </w:rPr>
              <w:t>/</w:t>
            </w:r>
          </w:p>
        </w:tc>
        <w:tc>
          <w:tcPr>
            <w:tcW w:w="2552" w:type="dxa"/>
            <w:vAlign w:val="center"/>
          </w:tcPr>
          <w:p w14:paraId="5473FC5E">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《锅炉大气污染物排放标准》（DB32/4385-2022）</w:t>
            </w:r>
          </w:p>
        </w:tc>
      </w:tr>
      <w:tr w14:paraId="1E4F91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6" w:type="dxa"/>
            <w:vMerge w:val="continue"/>
            <w:vAlign w:val="center"/>
          </w:tcPr>
          <w:p w14:paraId="3BD2E0F6">
            <w:pPr>
              <w:adjustRightInd w:val="0"/>
              <w:snapToGrid w:val="0"/>
              <w:jc w:val="center"/>
              <w:rPr>
                <w:rFonts w:eastAsia="仿宋"/>
                <w:color w:val="000000" w:themeColor="text1"/>
                <w:szCs w:val="21"/>
                <w14:textFill>
                  <w14:solidFill>
                    <w14:schemeClr w14:val="tx1"/>
                  </w14:solidFill>
                </w14:textFill>
              </w:rPr>
            </w:pPr>
          </w:p>
        </w:tc>
        <w:tc>
          <w:tcPr>
            <w:tcW w:w="851" w:type="dxa"/>
            <w:vMerge w:val="restart"/>
            <w:vAlign w:val="center"/>
          </w:tcPr>
          <w:p w14:paraId="240D1BDB">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无组织废气</w:t>
            </w:r>
          </w:p>
        </w:tc>
        <w:tc>
          <w:tcPr>
            <w:tcW w:w="992" w:type="dxa"/>
            <w:vAlign w:val="center"/>
          </w:tcPr>
          <w:p w14:paraId="25F255E9">
            <w:pPr>
              <w:adjustRightInd w:val="0"/>
              <w:spacing w:line="240" w:lineRule="exact"/>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厂区内</w:t>
            </w:r>
          </w:p>
        </w:tc>
        <w:tc>
          <w:tcPr>
            <w:tcW w:w="1701" w:type="dxa"/>
            <w:vAlign w:val="center"/>
          </w:tcPr>
          <w:p w14:paraId="5CD68BB5">
            <w:pPr>
              <w:spacing w:line="240" w:lineRule="exact"/>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非甲烷总烃</w:t>
            </w:r>
          </w:p>
        </w:tc>
        <w:tc>
          <w:tcPr>
            <w:tcW w:w="2410" w:type="dxa"/>
            <w:vAlign w:val="center"/>
          </w:tcPr>
          <w:p w14:paraId="2DBA8435">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c>
          <w:tcPr>
            <w:tcW w:w="2552" w:type="dxa"/>
            <w:vAlign w:val="center"/>
          </w:tcPr>
          <w:p w14:paraId="676EBCD8">
            <w:pPr>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《大气污染物综合排放标准》（DB32/4041-2021）</w:t>
            </w:r>
          </w:p>
        </w:tc>
      </w:tr>
      <w:tr w14:paraId="75A6D3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6" w:type="dxa"/>
            <w:vMerge w:val="continue"/>
            <w:vAlign w:val="center"/>
          </w:tcPr>
          <w:p w14:paraId="6D84E5FF">
            <w:pPr>
              <w:adjustRightInd w:val="0"/>
              <w:snapToGrid w:val="0"/>
              <w:jc w:val="center"/>
              <w:rPr>
                <w:rFonts w:eastAsia="仿宋"/>
                <w:color w:val="000000" w:themeColor="text1"/>
                <w:szCs w:val="21"/>
                <w14:textFill>
                  <w14:solidFill>
                    <w14:schemeClr w14:val="tx1"/>
                  </w14:solidFill>
                </w14:textFill>
              </w:rPr>
            </w:pPr>
          </w:p>
        </w:tc>
        <w:tc>
          <w:tcPr>
            <w:tcW w:w="851" w:type="dxa"/>
            <w:vMerge w:val="continue"/>
            <w:vAlign w:val="center"/>
          </w:tcPr>
          <w:p w14:paraId="1E7850FD">
            <w:pPr>
              <w:adjustRightInd w:val="0"/>
              <w:snapToGrid w:val="0"/>
              <w:jc w:val="center"/>
              <w:rPr>
                <w:rFonts w:eastAsia="仿宋"/>
                <w:color w:val="000000" w:themeColor="text1"/>
                <w:szCs w:val="21"/>
                <w14:textFill>
                  <w14:solidFill>
                    <w14:schemeClr w14:val="tx1"/>
                  </w14:solidFill>
                </w14:textFill>
              </w:rPr>
            </w:pPr>
          </w:p>
        </w:tc>
        <w:tc>
          <w:tcPr>
            <w:tcW w:w="992" w:type="dxa"/>
            <w:vAlign w:val="center"/>
          </w:tcPr>
          <w:p w14:paraId="08C7BC60">
            <w:pPr>
              <w:adjustRightInd w:val="0"/>
              <w:spacing w:line="240" w:lineRule="exact"/>
              <w:jc w:val="center"/>
              <w:rPr>
                <w:rFonts w:eastAsia="仿宋"/>
                <w:color w:val="000000" w:themeColor="text1"/>
                <w:kern w:val="0"/>
                <w:szCs w:val="21"/>
                <w14:textFill>
                  <w14:solidFill>
                    <w14:schemeClr w14:val="tx1"/>
                  </w14:solidFill>
                </w14:textFill>
              </w:rPr>
            </w:pPr>
            <w:r>
              <w:rPr>
                <w:rFonts w:hint="eastAsia" w:eastAsia="仿宋"/>
                <w:color w:val="000000" w:themeColor="text1"/>
                <w:kern w:val="0"/>
                <w:szCs w:val="21"/>
                <w14:textFill>
                  <w14:solidFill>
                    <w14:schemeClr w14:val="tx1"/>
                  </w14:solidFill>
                </w14:textFill>
              </w:rPr>
              <w:t>厂界</w:t>
            </w:r>
          </w:p>
        </w:tc>
        <w:tc>
          <w:tcPr>
            <w:tcW w:w="1701" w:type="dxa"/>
            <w:vAlign w:val="center"/>
          </w:tcPr>
          <w:p w14:paraId="719266C5">
            <w:pPr>
              <w:spacing w:line="240" w:lineRule="exact"/>
              <w:jc w:val="center"/>
              <w:rPr>
                <w:rFonts w:eastAsia="仿宋"/>
                <w:color w:val="000000" w:themeColor="text1"/>
                <w:szCs w:val="21"/>
                <w14:textFill>
                  <w14:solidFill>
                    <w14:schemeClr w14:val="tx1"/>
                  </w14:solidFill>
                </w14:textFill>
              </w:rPr>
            </w:pPr>
            <w:r>
              <w:rPr>
                <w:rFonts w:hint="eastAsia" w:eastAsia="仿宋"/>
                <w:color w:val="000000" w:themeColor="text1"/>
                <w:kern w:val="0"/>
                <w:szCs w:val="21"/>
                <w14:textFill>
                  <w14:solidFill>
                    <w14:schemeClr w14:val="tx1"/>
                  </w14:solidFill>
                </w14:textFill>
              </w:rPr>
              <w:t>甲醇、非甲烷总烃</w:t>
            </w:r>
          </w:p>
        </w:tc>
        <w:tc>
          <w:tcPr>
            <w:tcW w:w="2410" w:type="dxa"/>
            <w:vAlign w:val="center"/>
          </w:tcPr>
          <w:p w14:paraId="187D80BD">
            <w:pPr>
              <w:adjustRightInd w:val="0"/>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w:t>
            </w:r>
          </w:p>
        </w:tc>
        <w:tc>
          <w:tcPr>
            <w:tcW w:w="2552" w:type="dxa"/>
            <w:vAlign w:val="center"/>
          </w:tcPr>
          <w:p w14:paraId="21C09F2A">
            <w:pPr>
              <w:jc w:val="center"/>
              <w:rPr>
                <w:rFonts w:eastAsia="仿宋"/>
                <w:color w:val="000000" w:themeColor="text1"/>
                <w:kern w:val="0"/>
                <w:szCs w:val="21"/>
                <w14:textFill>
                  <w14:solidFill>
                    <w14:schemeClr w14:val="tx1"/>
                  </w14:solidFill>
                </w14:textFill>
              </w:rPr>
            </w:pPr>
            <w:r>
              <w:rPr>
                <w:rFonts w:hint="eastAsia" w:eastAsia="仿宋"/>
                <w:color w:val="000000" w:themeColor="text1"/>
                <w:szCs w:val="21"/>
                <w14:textFill>
                  <w14:solidFill>
                    <w14:schemeClr w14:val="tx1"/>
                  </w14:solidFill>
                </w14:textFill>
              </w:rPr>
              <w:t>《大气污染物综合排放标准》（DB32/4041-2021）</w:t>
            </w:r>
          </w:p>
        </w:tc>
      </w:tr>
      <w:tr w14:paraId="29B46E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6" w:type="dxa"/>
            <w:vMerge w:val="restart"/>
            <w:vAlign w:val="center"/>
          </w:tcPr>
          <w:p w14:paraId="1C00DCD7">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地表水环境</w:t>
            </w:r>
          </w:p>
        </w:tc>
        <w:tc>
          <w:tcPr>
            <w:tcW w:w="1843" w:type="dxa"/>
            <w:gridSpan w:val="2"/>
            <w:vMerge w:val="restart"/>
            <w:vAlign w:val="center"/>
          </w:tcPr>
          <w:p w14:paraId="6824D615">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生活污水</w:t>
            </w:r>
          </w:p>
        </w:tc>
        <w:tc>
          <w:tcPr>
            <w:tcW w:w="1701" w:type="dxa"/>
            <w:vAlign w:val="center"/>
          </w:tcPr>
          <w:p w14:paraId="6835C363">
            <w:pPr>
              <w:widowControl/>
              <w:jc w:val="center"/>
              <w:textAlignment w:val="center"/>
              <w:rPr>
                <w:rFonts w:eastAsia="仿宋"/>
                <w:color w:val="000000" w:themeColor="text1"/>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COD</w:t>
            </w:r>
          </w:p>
        </w:tc>
        <w:tc>
          <w:tcPr>
            <w:tcW w:w="2410" w:type="dxa"/>
            <w:vMerge w:val="restart"/>
            <w:vAlign w:val="center"/>
          </w:tcPr>
          <w:p w14:paraId="71958C0C">
            <w:pPr>
              <w:adjustRightInd w:val="0"/>
              <w:snapToGrid w:val="0"/>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接入市政污水管网排入金坛区第二污水处理厂集中处理</w:t>
            </w:r>
          </w:p>
        </w:tc>
        <w:tc>
          <w:tcPr>
            <w:tcW w:w="2552" w:type="dxa"/>
            <w:vMerge w:val="restart"/>
            <w:vAlign w:val="center"/>
          </w:tcPr>
          <w:p w14:paraId="112A9575">
            <w:pPr>
              <w:jc w:val="center"/>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金坛区第二污水处理厂接管标准</w:t>
            </w:r>
          </w:p>
        </w:tc>
      </w:tr>
      <w:tr w14:paraId="7FD731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6" w:type="dxa"/>
            <w:vMerge w:val="continue"/>
            <w:vAlign w:val="center"/>
          </w:tcPr>
          <w:p w14:paraId="0A11BBD2">
            <w:pPr>
              <w:jc w:val="center"/>
              <w:rPr>
                <w:color w:val="000000" w:themeColor="text1"/>
                <w14:textFill>
                  <w14:solidFill>
                    <w14:schemeClr w14:val="tx1"/>
                  </w14:solidFill>
                </w14:textFill>
              </w:rPr>
            </w:pPr>
          </w:p>
        </w:tc>
        <w:tc>
          <w:tcPr>
            <w:tcW w:w="1843" w:type="dxa"/>
            <w:gridSpan w:val="2"/>
            <w:vMerge w:val="continue"/>
            <w:vAlign w:val="center"/>
          </w:tcPr>
          <w:p w14:paraId="655F22B5">
            <w:pPr>
              <w:jc w:val="center"/>
              <w:rPr>
                <w:color w:val="000000" w:themeColor="text1"/>
                <w14:textFill>
                  <w14:solidFill>
                    <w14:schemeClr w14:val="tx1"/>
                  </w14:solidFill>
                </w14:textFill>
              </w:rPr>
            </w:pPr>
          </w:p>
        </w:tc>
        <w:tc>
          <w:tcPr>
            <w:tcW w:w="1701" w:type="dxa"/>
            <w:vAlign w:val="center"/>
          </w:tcPr>
          <w:p w14:paraId="0DC3552B">
            <w:pPr>
              <w:widowControl/>
              <w:jc w:val="center"/>
              <w:textAlignment w:val="center"/>
              <w:rPr>
                <w:color w:val="000000" w:themeColor="text1"/>
                <w14:textFill>
                  <w14:solidFill>
                    <w14:schemeClr w14:val="tx1"/>
                  </w14:solidFill>
                </w14:textFill>
              </w:rPr>
            </w:pPr>
            <w:r>
              <w:rPr>
                <w:rFonts w:eastAsia="仿宋"/>
                <w:color w:val="000000" w:themeColor="text1"/>
                <w:kern w:val="0"/>
                <w:szCs w:val="21"/>
                <w:lang w:bidi="ar"/>
                <w14:textFill>
                  <w14:solidFill>
                    <w14:schemeClr w14:val="tx1"/>
                  </w14:solidFill>
                </w14:textFill>
              </w:rPr>
              <w:t>SS</w:t>
            </w:r>
          </w:p>
        </w:tc>
        <w:tc>
          <w:tcPr>
            <w:tcW w:w="2410" w:type="dxa"/>
            <w:vMerge w:val="continue"/>
            <w:vAlign w:val="center"/>
          </w:tcPr>
          <w:p w14:paraId="19A71D2D">
            <w:pPr>
              <w:jc w:val="center"/>
              <w:rPr>
                <w:color w:val="000000" w:themeColor="text1"/>
                <w14:textFill>
                  <w14:solidFill>
                    <w14:schemeClr w14:val="tx1"/>
                  </w14:solidFill>
                </w14:textFill>
              </w:rPr>
            </w:pPr>
          </w:p>
        </w:tc>
        <w:tc>
          <w:tcPr>
            <w:tcW w:w="2552" w:type="dxa"/>
            <w:vMerge w:val="continue"/>
            <w:vAlign w:val="center"/>
          </w:tcPr>
          <w:p w14:paraId="3B1716EC">
            <w:pPr>
              <w:jc w:val="center"/>
              <w:rPr>
                <w:color w:val="000000" w:themeColor="text1"/>
                <w14:textFill>
                  <w14:solidFill>
                    <w14:schemeClr w14:val="tx1"/>
                  </w14:solidFill>
                </w14:textFill>
              </w:rPr>
            </w:pPr>
          </w:p>
        </w:tc>
      </w:tr>
      <w:tr w14:paraId="75FC7C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6" w:type="dxa"/>
            <w:vMerge w:val="continue"/>
            <w:vAlign w:val="center"/>
          </w:tcPr>
          <w:p w14:paraId="7D9F6089">
            <w:pPr>
              <w:jc w:val="center"/>
              <w:rPr>
                <w:color w:val="000000" w:themeColor="text1"/>
                <w14:textFill>
                  <w14:solidFill>
                    <w14:schemeClr w14:val="tx1"/>
                  </w14:solidFill>
                </w14:textFill>
              </w:rPr>
            </w:pPr>
          </w:p>
        </w:tc>
        <w:tc>
          <w:tcPr>
            <w:tcW w:w="1843" w:type="dxa"/>
            <w:gridSpan w:val="2"/>
            <w:vMerge w:val="continue"/>
            <w:vAlign w:val="center"/>
          </w:tcPr>
          <w:p w14:paraId="664775C2">
            <w:pPr>
              <w:jc w:val="center"/>
              <w:rPr>
                <w:color w:val="000000" w:themeColor="text1"/>
                <w14:textFill>
                  <w14:solidFill>
                    <w14:schemeClr w14:val="tx1"/>
                  </w14:solidFill>
                </w14:textFill>
              </w:rPr>
            </w:pPr>
          </w:p>
        </w:tc>
        <w:tc>
          <w:tcPr>
            <w:tcW w:w="1701" w:type="dxa"/>
            <w:vAlign w:val="center"/>
          </w:tcPr>
          <w:p w14:paraId="5E7D7568">
            <w:pPr>
              <w:widowControl/>
              <w:jc w:val="center"/>
              <w:textAlignment w:val="center"/>
              <w:rPr>
                <w:color w:val="000000" w:themeColor="text1"/>
                <w14:textFill>
                  <w14:solidFill>
                    <w14:schemeClr w14:val="tx1"/>
                  </w14:solidFill>
                </w14:textFill>
              </w:rPr>
            </w:pPr>
            <w:r>
              <w:rPr>
                <w:rFonts w:eastAsia="仿宋"/>
                <w:color w:val="000000" w:themeColor="text1"/>
                <w:kern w:val="0"/>
                <w:szCs w:val="21"/>
                <w:lang w:bidi="ar"/>
                <w14:textFill>
                  <w14:solidFill>
                    <w14:schemeClr w14:val="tx1"/>
                  </w14:solidFill>
                </w14:textFill>
              </w:rPr>
              <w:t>NH</w:t>
            </w:r>
            <w:r>
              <w:rPr>
                <w:rFonts w:eastAsia="仿宋"/>
                <w:color w:val="000000" w:themeColor="text1"/>
                <w:kern w:val="0"/>
                <w:szCs w:val="21"/>
                <w:vertAlign w:val="subscript"/>
                <w:lang w:bidi="ar"/>
                <w14:textFill>
                  <w14:solidFill>
                    <w14:schemeClr w14:val="tx1"/>
                  </w14:solidFill>
                </w14:textFill>
              </w:rPr>
              <w:t>3</w:t>
            </w:r>
            <w:r>
              <w:rPr>
                <w:rFonts w:eastAsia="仿宋"/>
                <w:color w:val="000000" w:themeColor="text1"/>
                <w:kern w:val="0"/>
                <w:szCs w:val="21"/>
                <w:lang w:bidi="ar"/>
                <w14:textFill>
                  <w14:solidFill>
                    <w14:schemeClr w14:val="tx1"/>
                  </w14:solidFill>
                </w14:textFill>
              </w:rPr>
              <w:t>-N</w:t>
            </w:r>
          </w:p>
        </w:tc>
        <w:tc>
          <w:tcPr>
            <w:tcW w:w="2410" w:type="dxa"/>
            <w:vMerge w:val="continue"/>
            <w:vAlign w:val="center"/>
          </w:tcPr>
          <w:p w14:paraId="0E0E0022">
            <w:pPr>
              <w:jc w:val="center"/>
              <w:rPr>
                <w:color w:val="000000" w:themeColor="text1"/>
                <w14:textFill>
                  <w14:solidFill>
                    <w14:schemeClr w14:val="tx1"/>
                  </w14:solidFill>
                </w14:textFill>
              </w:rPr>
            </w:pPr>
          </w:p>
        </w:tc>
        <w:tc>
          <w:tcPr>
            <w:tcW w:w="2552" w:type="dxa"/>
            <w:vMerge w:val="continue"/>
            <w:vAlign w:val="center"/>
          </w:tcPr>
          <w:p w14:paraId="4A27DAAA">
            <w:pPr>
              <w:jc w:val="center"/>
              <w:rPr>
                <w:color w:val="000000" w:themeColor="text1"/>
                <w14:textFill>
                  <w14:solidFill>
                    <w14:schemeClr w14:val="tx1"/>
                  </w14:solidFill>
                </w14:textFill>
              </w:rPr>
            </w:pPr>
          </w:p>
        </w:tc>
      </w:tr>
      <w:tr w14:paraId="2D2738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6" w:type="dxa"/>
            <w:vMerge w:val="continue"/>
            <w:vAlign w:val="center"/>
          </w:tcPr>
          <w:p w14:paraId="723100AD">
            <w:pPr>
              <w:jc w:val="center"/>
              <w:rPr>
                <w:color w:val="000000" w:themeColor="text1"/>
                <w14:textFill>
                  <w14:solidFill>
                    <w14:schemeClr w14:val="tx1"/>
                  </w14:solidFill>
                </w14:textFill>
              </w:rPr>
            </w:pPr>
          </w:p>
        </w:tc>
        <w:tc>
          <w:tcPr>
            <w:tcW w:w="1843" w:type="dxa"/>
            <w:gridSpan w:val="2"/>
            <w:vMerge w:val="continue"/>
            <w:vAlign w:val="center"/>
          </w:tcPr>
          <w:p w14:paraId="5CF3DEF6">
            <w:pPr>
              <w:jc w:val="center"/>
              <w:rPr>
                <w:color w:val="000000" w:themeColor="text1"/>
                <w14:textFill>
                  <w14:solidFill>
                    <w14:schemeClr w14:val="tx1"/>
                  </w14:solidFill>
                </w14:textFill>
              </w:rPr>
            </w:pPr>
          </w:p>
        </w:tc>
        <w:tc>
          <w:tcPr>
            <w:tcW w:w="1701" w:type="dxa"/>
            <w:vAlign w:val="center"/>
          </w:tcPr>
          <w:p w14:paraId="12BD75C9">
            <w:pPr>
              <w:widowControl/>
              <w:jc w:val="center"/>
              <w:textAlignment w:val="center"/>
              <w:rPr>
                <w:rFonts w:eastAsia="仿宋"/>
                <w:color w:val="000000" w:themeColor="text1"/>
                <w:kern w:val="0"/>
                <w:szCs w:val="21"/>
                <w:lang w:bidi="ar"/>
                <w14:textFill>
                  <w14:solidFill>
                    <w14:schemeClr w14:val="tx1"/>
                  </w14:solidFill>
                </w14:textFill>
              </w:rPr>
            </w:pPr>
            <w:r>
              <w:rPr>
                <w:rFonts w:hint="eastAsia" w:eastAsia="仿宋"/>
                <w:color w:val="000000" w:themeColor="text1"/>
                <w:kern w:val="0"/>
                <w:szCs w:val="21"/>
                <w:lang w:bidi="ar"/>
                <w14:textFill>
                  <w14:solidFill>
                    <w14:schemeClr w14:val="tx1"/>
                  </w14:solidFill>
                </w14:textFill>
              </w:rPr>
              <w:t>TP</w:t>
            </w:r>
          </w:p>
        </w:tc>
        <w:tc>
          <w:tcPr>
            <w:tcW w:w="2410" w:type="dxa"/>
            <w:vMerge w:val="continue"/>
            <w:vAlign w:val="center"/>
          </w:tcPr>
          <w:p w14:paraId="095C6183">
            <w:pPr>
              <w:jc w:val="center"/>
              <w:rPr>
                <w:color w:val="000000" w:themeColor="text1"/>
                <w14:textFill>
                  <w14:solidFill>
                    <w14:schemeClr w14:val="tx1"/>
                  </w14:solidFill>
                </w14:textFill>
              </w:rPr>
            </w:pPr>
          </w:p>
        </w:tc>
        <w:tc>
          <w:tcPr>
            <w:tcW w:w="2552" w:type="dxa"/>
            <w:vMerge w:val="continue"/>
            <w:vAlign w:val="center"/>
          </w:tcPr>
          <w:p w14:paraId="381588A0">
            <w:pPr>
              <w:jc w:val="center"/>
              <w:rPr>
                <w:color w:val="000000" w:themeColor="text1"/>
                <w14:textFill>
                  <w14:solidFill>
                    <w14:schemeClr w14:val="tx1"/>
                  </w14:solidFill>
                </w14:textFill>
              </w:rPr>
            </w:pPr>
          </w:p>
        </w:tc>
      </w:tr>
      <w:tr w14:paraId="6B914B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6" w:type="dxa"/>
            <w:vMerge w:val="continue"/>
            <w:vAlign w:val="center"/>
          </w:tcPr>
          <w:p w14:paraId="54A1AAFF">
            <w:pPr>
              <w:jc w:val="center"/>
              <w:rPr>
                <w:color w:val="000000" w:themeColor="text1"/>
                <w14:textFill>
                  <w14:solidFill>
                    <w14:schemeClr w14:val="tx1"/>
                  </w14:solidFill>
                </w14:textFill>
              </w:rPr>
            </w:pPr>
          </w:p>
        </w:tc>
        <w:tc>
          <w:tcPr>
            <w:tcW w:w="1843" w:type="dxa"/>
            <w:gridSpan w:val="2"/>
            <w:vMerge w:val="continue"/>
            <w:vAlign w:val="center"/>
          </w:tcPr>
          <w:p w14:paraId="5929E462">
            <w:pPr>
              <w:jc w:val="center"/>
              <w:rPr>
                <w:color w:val="000000" w:themeColor="text1"/>
                <w14:textFill>
                  <w14:solidFill>
                    <w14:schemeClr w14:val="tx1"/>
                  </w14:solidFill>
                </w14:textFill>
              </w:rPr>
            </w:pPr>
          </w:p>
        </w:tc>
        <w:tc>
          <w:tcPr>
            <w:tcW w:w="1701" w:type="dxa"/>
            <w:vAlign w:val="center"/>
          </w:tcPr>
          <w:p w14:paraId="372B6516">
            <w:pPr>
              <w:widowControl/>
              <w:jc w:val="center"/>
              <w:textAlignment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T</w:t>
            </w:r>
            <w:r>
              <w:rPr>
                <w:color w:val="000000" w:themeColor="text1"/>
                <w14:textFill>
                  <w14:solidFill>
                    <w14:schemeClr w14:val="tx1"/>
                  </w14:solidFill>
                </w14:textFill>
              </w:rPr>
              <w:t>N</w:t>
            </w:r>
          </w:p>
        </w:tc>
        <w:tc>
          <w:tcPr>
            <w:tcW w:w="2410" w:type="dxa"/>
            <w:vMerge w:val="continue"/>
            <w:vAlign w:val="center"/>
          </w:tcPr>
          <w:p w14:paraId="16D1BC89">
            <w:pPr>
              <w:jc w:val="center"/>
              <w:rPr>
                <w:color w:val="000000" w:themeColor="text1"/>
                <w14:textFill>
                  <w14:solidFill>
                    <w14:schemeClr w14:val="tx1"/>
                  </w14:solidFill>
                </w14:textFill>
              </w:rPr>
            </w:pPr>
          </w:p>
        </w:tc>
        <w:tc>
          <w:tcPr>
            <w:tcW w:w="2552" w:type="dxa"/>
            <w:vMerge w:val="continue"/>
            <w:vAlign w:val="center"/>
          </w:tcPr>
          <w:p w14:paraId="073A8873">
            <w:pPr>
              <w:jc w:val="center"/>
              <w:rPr>
                <w:color w:val="000000" w:themeColor="text1"/>
                <w14:textFill>
                  <w14:solidFill>
                    <w14:schemeClr w14:val="tx1"/>
                  </w14:solidFill>
                </w14:textFill>
              </w:rPr>
            </w:pPr>
          </w:p>
        </w:tc>
      </w:tr>
      <w:tr w14:paraId="6CF767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6" w:type="dxa"/>
            <w:vAlign w:val="center"/>
          </w:tcPr>
          <w:p w14:paraId="4009DE97">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声环境</w:t>
            </w:r>
          </w:p>
        </w:tc>
        <w:tc>
          <w:tcPr>
            <w:tcW w:w="8506" w:type="dxa"/>
            <w:gridSpan w:val="5"/>
            <w:vAlign w:val="center"/>
          </w:tcPr>
          <w:p w14:paraId="55AD1B26">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本项目建成后，噪声经过距离衰减，</w:t>
            </w:r>
            <w:r>
              <w:rPr>
                <w:rFonts w:hint="eastAsia" w:eastAsia="仿宋"/>
                <w:color w:val="000000" w:themeColor="text1"/>
                <w:szCs w:val="21"/>
                <w14:textFill>
                  <w14:solidFill>
                    <w14:schemeClr w14:val="tx1"/>
                  </w14:solidFill>
                </w14:textFill>
              </w:rPr>
              <w:t>东、南、西、北厂界昼夜噪声均符合《工业企业厂界环境噪声排放标准》（GB12348-2008）3类标准</w:t>
            </w:r>
            <w:r>
              <w:rPr>
                <w:rFonts w:eastAsia="仿宋"/>
                <w:color w:val="000000" w:themeColor="text1"/>
                <w:szCs w:val="21"/>
                <w14:textFill>
                  <w14:solidFill>
                    <w14:schemeClr w14:val="tx1"/>
                  </w14:solidFill>
                </w14:textFill>
              </w:rPr>
              <w:t>。</w:t>
            </w:r>
          </w:p>
        </w:tc>
      </w:tr>
      <w:tr w14:paraId="6F983C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6" w:type="dxa"/>
            <w:vAlign w:val="center"/>
          </w:tcPr>
          <w:p w14:paraId="6A5A06B8">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电磁辐射</w:t>
            </w:r>
          </w:p>
        </w:tc>
        <w:tc>
          <w:tcPr>
            <w:tcW w:w="8506" w:type="dxa"/>
            <w:gridSpan w:val="5"/>
            <w:vAlign w:val="center"/>
          </w:tcPr>
          <w:p w14:paraId="1AC0C026">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w:t>
            </w:r>
          </w:p>
        </w:tc>
      </w:tr>
      <w:tr w14:paraId="7D5684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6" w:type="dxa"/>
            <w:vAlign w:val="center"/>
          </w:tcPr>
          <w:p w14:paraId="3E59049C">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固体废物</w:t>
            </w:r>
          </w:p>
        </w:tc>
        <w:tc>
          <w:tcPr>
            <w:tcW w:w="8506" w:type="dxa"/>
            <w:gridSpan w:val="5"/>
            <w:vAlign w:val="center"/>
          </w:tcPr>
          <w:p w14:paraId="78129E79">
            <w:pPr>
              <w:rPr>
                <w:rFonts w:eastAsia="仿宋"/>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①</w:t>
            </w:r>
            <w:r>
              <w:rPr>
                <w:rFonts w:eastAsia="仿宋"/>
                <w:color w:val="000000" w:themeColor="text1"/>
                <w:szCs w:val="21"/>
                <w14:textFill>
                  <w14:solidFill>
                    <w14:schemeClr w14:val="tx1"/>
                  </w14:solidFill>
                </w14:textFill>
              </w:rPr>
              <w:t>废RO膜外售综合利用；</w:t>
            </w:r>
            <w:r>
              <w:rPr>
                <w:rFonts w:hint="eastAsia" w:eastAsia="仿宋"/>
                <w:color w:val="000000" w:themeColor="text1"/>
                <w:szCs w:val="21"/>
                <w14:textFill>
                  <w14:solidFill>
                    <w14:schemeClr w14:val="tx1"/>
                  </w14:solidFill>
                </w14:textFill>
              </w:rPr>
              <w:t>②废包装桶/袋、实验室一次性用品、实验废液、废抹布手套、废活性炭、废试剂委托有资质单位处置</w:t>
            </w:r>
            <w:r>
              <w:rPr>
                <w:rFonts w:eastAsia="仿宋"/>
                <w:color w:val="000000" w:themeColor="text1"/>
                <w:szCs w:val="21"/>
                <w14:textFill>
                  <w14:solidFill>
                    <w14:schemeClr w14:val="tx1"/>
                  </w14:solidFill>
                </w14:textFill>
              </w:rPr>
              <w:t>。本项目产生的各类固体废物均能得到无害化处理处置，不外排，对周围环境质量无影响。危废仓库按照</w:t>
            </w:r>
            <w:r>
              <w:rPr>
                <w:rFonts w:eastAsia="仿宋"/>
                <w:bCs/>
                <w:color w:val="000000" w:themeColor="text1"/>
                <w:szCs w:val="21"/>
                <w14:textFill>
                  <w14:solidFill>
                    <w14:schemeClr w14:val="tx1"/>
                  </w14:solidFill>
                </w14:textFill>
              </w:rPr>
              <w:t>《危险废物贮存污染控制标准》（GB18597-20</w:t>
            </w:r>
            <w:r>
              <w:rPr>
                <w:rFonts w:hint="eastAsia" w:eastAsia="仿宋"/>
                <w:bCs/>
                <w:color w:val="000000" w:themeColor="text1"/>
                <w:szCs w:val="21"/>
                <w14:textFill>
                  <w14:solidFill>
                    <w14:schemeClr w14:val="tx1"/>
                  </w14:solidFill>
                </w14:textFill>
              </w:rPr>
              <w:t>23</w:t>
            </w:r>
            <w:r>
              <w:rPr>
                <w:rFonts w:eastAsia="仿宋"/>
                <w:bCs/>
                <w:color w:val="000000" w:themeColor="text1"/>
                <w:szCs w:val="21"/>
                <w14:textFill>
                  <w14:solidFill>
                    <w14:schemeClr w14:val="tx1"/>
                  </w14:solidFill>
                </w14:textFill>
              </w:rPr>
              <w:t>）要求建设。</w:t>
            </w:r>
          </w:p>
        </w:tc>
      </w:tr>
      <w:tr w14:paraId="7B3A53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6" w:type="dxa"/>
            <w:vAlign w:val="center"/>
          </w:tcPr>
          <w:p w14:paraId="7B36C420">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土壤及地下水污染防治措施</w:t>
            </w:r>
          </w:p>
        </w:tc>
        <w:tc>
          <w:tcPr>
            <w:tcW w:w="8506" w:type="dxa"/>
            <w:gridSpan w:val="5"/>
            <w:vAlign w:val="center"/>
          </w:tcPr>
          <w:p w14:paraId="7F0EF0D7">
            <w:pPr>
              <w:adjustRightInd w:val="0"/>
              <w:snapToGrid w:val="0"/>
              <w:jc w:val="left"/>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实验室</w:t>
            </w:r>
            <w:r>
              <w:rPr>
                <w:rFonts w:eastAsia="仿宋"/>
                <w:color w:val="000000" w:themeColor="text1"/>
                <w:szCs w:val="21"/>
                <w14:textFill>
                  <w14:solidFill>
                    <w14:schemeClr w14:val="tx1"/>
                  </w14:solidFill>
                </w14:textFill>
              </w:rPr>
              <w:t>内应有防泄漏措施及应急处理设施，防止污染物的跑、冒、滴、漏，将污染物泄漏的可能性降到最低限度。对于危废贮存间设托板，确保泄漏物料统一收集。建立有效的事故废水收集系统，污水和雨水排放口设置雨水截止阀。尽快将地面上的废水收集进入废水收集系统，减少废水在地面上的停留时间并防止废水进入雨水系统进而污染地下水。</w:t>
            </w:r>
          </w:p>
        </w:tc>
      </w:tr>
      <w:tr w14:paraId="6CEECE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6" w:type="dxa"/>
            <w:vAlign w:val="center"/>
          </w:tcPr>
          <w:p w14:paraId="07A71425">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生态保护措施</w:t>
            </w:r>
          </w:p>
        </w:tc>
        <w:tc>
          <w:tcPr>
            <w:tcW w:w="8506" w:type="dxa"/>
            <w:gridSpan w:val="5"/>
            <w:vAlign w:val="center"/>
          </w:tcPr>
          <w:p w14:paraId="2FBC7C06">
            <w:pPr>
              <w:adjustRightInd w:val="0"/>
              <w:snapToGrid w:val="0"/>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本项目用地范围内不含生态保护目标。</w:t>
            </w:r>
          </w:p>
        </w:tc>
      </w:tr>
      <w:tr w14:paraId="3A778F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6" w:type="dxa"/>
            <w:vAlign w:val="center"/>
          </w:tcPr>
          <w:p w14:paraId="2085C872">
            <w:pPr>
              <w:adjustRightInd w:val="0"/>
              <w:snapToGrid w:val="0"/>
              <w:jc w:val="center"/>
              <w:rPr>
                <w:rFonts w:eastAsia="仿宋"/>
                <w:color w:val="000000" w:themeColor="text1"/>
                <w:spacing w:val="-8"/>
                <w:szCs w:val="21"/>
                <w14:textFill>
                  <w14:solidFill>
                    <w14:schemeClr w14:val="tx1"/>
                  </w14:solidFill>
                </w14:textFill>
              </w:rPr>
            </w:pPr>
            <w:r>
              <w:rPr>
                <w:rFonts w:eastAsia="仿宋"/>
                <w:color w:val="000000" w:themeColor="text1"/>
                <w:spacing w:val="-8"/>
                <w:szCs w:val="21"/>
                <w14:textFill>
                  <w14:solidFill>
                    <w14:schemeClr w14:val="tx1"/>
                  </w14:solidFill>
                </w14:textFill>
              </w:rPr>
              <w:t>环境风险</w:t>
            </w:r>
          </w:p>
          <w:p w14:paraId="47678F9C">
            <w:pPr>
              <w:adjustRightInd w:val="0"/>
              <w:snapToGrid w:val="0"/>
              <w:jc w:val="center"/>
              <w:rPr>
                <w:rFonts w:eastAsia="仿宋"/>
                <w:color w:val="000000" w:themeColor="text1"/>
                <w:spacing w:val="-8"/>
                <w:szCs w:val="21"/>
                <w14:textFill>
                  <w14:solidFill>
                    <w14:schemeClr w14:val="tx1"/>
                  </w14:solidFill>
                </w14:textFill>
              </w:rPr>
            </w:pPr>
            <w:r>
              <w:rPr>
                <w:rFonts w:eastAsia="仿宋"/>
                <w:color w:val="000000" w:themeColor="text1"/>
                <w:spacing w:val="-8"/>
                <w:szCs w:val="21"/>
                <w14:textFill>
                  <w14:solidFill>
                    <w14:schemeClr w14:val="tx1"/>
                  </w14:solidFill>
                </w14:textFill>
              </w:rPr>
              <w:t>防范措施</w:t>
            </w:r>
          </w:p>
        </w:tc>
        <w:tc>
          <w:tcPr>
            <w:tcW w:w="8506" w:type="dxa"/>
            <w:gridSpan w:val="5"/>
            <w:vAlign w:val="center"/>
          </w:tcPr>
          <w:p w14:paraId="6AFD3779">
            <w:pPr>
              <w:adjustRightInd w:val="0"/>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（1）设计中采用的安全防范措施</w:t>
            </w:r>
          </w:p>
          <w:p w14:paraId="0F461B11">
            <w:pPr>
              <w:adjustRightInd w:val="0"/>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设计中严格执行国家、行业有关劳动安全卫生的法规和标准规范。</w:t>
            </w:r>
          </w:p>
          <w:p w14:paraId="0F890344">
            <w:pPr>
              <w:adjustRightInd w:val="0"/>
              <w:snapToGrid w:val="0"/>
              <w:rPr>
                <w:rFonts w:eastAsia="仿宋"/>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①</w:t>
            </w:r>
            <w:r>
              <w:rPr>
                <w:rFonts w:eastAsia="仿宋"/>
                <w:color w:val="000000" w:themeColor="text1"/>
                <w:szCs w:val="21"/>
                <w14:textFill>
                  <w14:solidFill>
                    <w14:schemeClr w14:val="tx1"/>
                  </w14:solidFill>
                </w14:textFill>
              </w:rPr>
              <w:t>完善备用电系统。为了防止因停电而造成事故性排放的发生，必须配套完善备用电系统，采用双电路供电，瞬时切换，以保证对生产的正常运行。</w:t>
            </w:r>
          </w:p>
          <w:p w14:paraId="164F0200">
            <w:pPr>
              <w:adjustRightInd w:val="0"/>
              <w:snapToGrid w:val="0"/>
              <w:rPr>
                <w:rFonts w:eastAsia="仿宋"/>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②</w:t>
            </w:r>
            <w:r>
              <w:rPr>
                <w:rFonts w:eastAsia="仿宋"/>
                <w:color w:val="000000" w:themeColor="text1"/>
                <w:szCs w:val="21"/>
                <w14:textFill>
                  <w14:solidFill>
                    <w14:schemeClr w14:val="tx1"/>
                  </w14:solidFill>
                </w14:textFill>
              </w:rPr>
              <w:t>对主要生产工段的装置采用集散控制系统，设置检测点、报警和联锁系统，提高控制水平，减少因手工操作带来的失误，确保生产安全进行。</w:t>
            </w:r>
          </w:p>
          <w:p w14:paraId="700C799D">
            <w:pPr>
              <w:adjustRightInd w:val="0"/>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（2）生产过程中的风险防范措施</w:t>
            </w:r>
          </w:p>
          <w:p w14:paraId="29A25E0B">
            <w:pPr>
              <w:adjustRightInd w:val="0"/>
              <w:snapToGrid w:val="0"/>
              <w:rPr>
                <w:rFonts w:eastAsia="仿宋"/>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①</w:t>
            </w:r>
            <w:r>
              <w:rPr>
                <w:rFonts w:eastAsia="仿宋"/>
                <w:color w:val="000000" w:themeColor="text1"/>
                <w:szCs w:val="21"/>
                <w14:textFill>
                  <w14:solidFill>
                    <w14:schemeClr w14:val="tx1"/>
                  </w14:solidFill>
                </w14:textFill>
              </w:rPr>
              <w:t>建立安全生产岗位责任制，制定完善的安全生产规章制度、安全操作规程、安全生产检查制度、禁火管理制度、危险化学品的安全管理规定、仓库安全管理制度、事故管理制度等，必须切实加强安全管理，提高事故防范能力。员工实行持证上岗。</w:t>
            </w:r>
          </w:p>
          <w:p w14:paraId="54FE95F3">
            <w:pPr>
              <w:adjustRightInd w:val="0"/>
              <w:snapToGrid w:val="0"/>
              <w:rPr>
                <w:rFonts w:eastAsia="仿宋"/>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②</w:t>
            </w:r>
            <w:r>
              <w:rPr>
                <w:rFonts w:eastAsia="仿宋"/>
                <w:color w:val="000000" w:themeColor="text1"/>
                <w:szCs w:val="21"/>
                <w14:textFill>
                  <w14:solidFill>
                    <w14:schemeClr w14:val="tx1"/>
                  </w14:solidFill>
                </w14:textFill>
              </w:rPr>
              <w:t>易燃生产装置区、管道等危险区域设置永久性《严禁烟火》标志，按照《工业管路的基本识别色和识别符号》的规定对化工装置刷色和作符号，并涂标志色。</w:t>
            </w:r>
          </w:p>
          <w:p w14:paraId="45CB6FD5">
            <w:pPr>
              <w:adjustRightInd w:val="0"/>
              <w:snapToGrid w:val="0"/>
              <w:rPr>
                <w:rFonts w:eastAsia="仿宋"/>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③</w:t>
            </w:r>
            <w:r>
              <w:rPr>
                <w:rFonts w:eastAsia="仿宋"/>
                <w:color w:val="000000" w:themeColor="text1"/>
                <w:szCs w:val="21"/>
                <w14:textFill>
                  <w14:solidFill>
                    <w14:schemeClr w14:val="tx1"/>
                  </w14:solidFill>
                </w14:textFill>
              </w:rPr>
              <w:t>严格执行有关防雷、防静电、防火、防爆、防潮的规定、规程和标准，维修人员经常巡视生产现场，并严格按照维修制度对各生产设备、设施、管道、阀门、法兰等定期检查，及时发现隐患，维护维修，同时，关键设备实行定期大修制度。避免因腐蚀、老化或机械等原因，造成有毒有害物质的泄漏及废物的超标排放，引起环境污染和人员伤害。</w:t>
            </w:r>
          </w:p>
          <w:p w14:paraId="288E0F14">
            <w:pPr>
              <w:adjustRightInd w:val="0"/>
              <w:snapToGrid w:val="0"/>
              <w:rPr>
                <w:rFonts w:eastAsia="仿宋"/>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④</w:t>
            </w:r>
            <w:r>
              <w:rPr>
                <w:rFonts w:eastAsia="仿宋"/>
                <w:color w:val="000000" w:themeColor="text1"/>
                <w:szCs w:val="21"/>
                <w14:textFill>
                  <w14:solidFill>
                    <w14:schemeClr w14:val="tx1"/>
                  </w14:solidFill>
                </w14:textFill>
              </w:rPr>
              <w:t>涉及易挥发有害物质的生产车间和现场原料储存区安装自动报警设备，对具有高危害设备、关键设备设置保险措施，并按规定配备齐全应急救援设施。</w:t>
            </w:r>
          </w:p>
          <w:p w14:paraId="6CE53DCA">
            <w:pPr>
              <w:adjustRightInd w:val="0"/>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（3）贮存过程中的风险防范措施</w:t>
            </w:r>
          </w:p>
          <w:p w14:paraId="3180722F">
            <w:pPr>
              <w:adjustRightInd w:val="0"/>
              <w:snapToGrid w:val="0"/>
              <w:rPr>
                <w:rFonts w:eastAsia="仿宋"/>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①</w:t>
            </w:r>
            <w:r>
              <w:rPr>
                <w:rFonts w:eastAsia="仿宋"/>
                <w:color w:val="000000" w:themeColor="text1"/>
                <w:szCs w:val="21"/>
                <w14:textFill>
                  <w14:solidFill>
                    <w14:schemeClr w14:val="tx1"/>
                  </w14:solidFill>
                </w14:textFill>
              </w:rPr>
              <w:t>易燃危险化学品应储存在阴凉、通风区域内；远离火种、热源和避免阳光直射；配备相应品种和数量消防器材；禁止使用易产生火花的机械设备和工具；要设置“危险”、“禁止烟火”、“防潮”等警示标志。</w:t>
            </w:r>
          </w:p>
          <w:p w14:paraId="27A93C08">
            <w:pPr>
              <w:adjustRightInd w:val="0"/>
              <w:snapToGrid w:val="0"/>
              <w:rPr>
                <w:rFonts w:eastAsia="仿宋"/>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②</w:t>
            </w:r>
            <w:r>
              <w:rPr>
                <w:rFonts w:eastAsia="仿宋"/>
                <w:color w:val="000000" w:themeColor="text1"/>
                <w:szCs w:val="21"/>
                <w14:textFill>
                  <w14:solidFill>
                    <w14:schemeClr w14:val="tx1"/>
                  </w14:solidFill>
                </w14:textFill>
              </w:rPr>
              <w:t>各种物料应按其相应堆存规范堆置，禁止堆栈过高，防止滚动。</w:t>
            </w:r>
          </w:p>
          <w:p w14:paraId="2270D946">
            <w:pPr>
              <w:adjustRightInd w:val="0"/>
              <w:snapToGrid w:val="0"/>
              <w:rPr>
                <w:rFonts w:eastAsia="仿宋"/>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③</w:t>
            </w:r>
            <w:r>
              <w:rPr>
                <w:rFonts w:eastAsia="仿宋"/>
                <w:color w:val="000000" w:themeColor="text1"/>
                <w:szCs w:val="21"/>
                <w14:textFill>
                  <w14:solidFill>
                    <w14:schemeClr w14:val="tx1"/>
                  </w14:solidFill>
                </w14:textFill>
              </w:rPr>
              <w:t>仓库和危险废物暂存场所存放危险物质，为防止泄漏造成污染，应在仓库内采用混凝土防渗；危险废物暂存场所必须按照《危险废物贮存污染控制》GB18597-2023的要求设置。</w:t>
            </w:r>
          </w:p>
          <w:p w14:paraId="5E4C0827">
            <w:pPr>
              <w:adjustRightInd w:val="0"/>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（4）物料泄漏事故的防范措施</w:t>
            </w:r>
          </w:p>
          <w:p w14:paraId="25E1A313">
            <w:pPr>
              <w:adjustRightInd w:val="0"/>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泄漏事故的预防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本项目主要采取以下措施：</w:t>
            </w:r>
          </w:p>
          <w:p w14:paraId="5C39E0C0">
            <w:pPr>
              <w:adjustRightInd w:val="0"/>
              <w:snapToGrid w:val="0"/>
              <w:rPr>
                <w:rFonts w:eastAsia="仿宋"/>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①</w:t>
            </w:r>
            <w:r>
              <w:rPr>
                <w:rFonts w:eastAsia="仿宋"/>
                <w:color w:val="000000" w:themeColor="text1"/>
                <w:szCs w:val="21"/>
                <w14:textFill>
                  <w14:solidFill>
                    <w14:schemeClr w14:val="tx1"/>
                  </w14:solidFill>
                </w14:textFill>
              </w:rPr>
              <w:t>严格执行安全和消防规范。</w:t>
            </w:r>
          </w:p>
          <w:p w14:paraId="336FFF37">
            <w:pPr>
              <w:adjustRightInd w:val="0"/>
              <w:snapToGrid w:val="0"/>
              <w:rPr>
                <w:rFonts w:eastAsia="仿宋"/>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②</w:t>
            </w:r>
            <w:r>
              <w:rPr>
                <w:rFonts w:eastAsia="仿宋"/>
                <w:color w:val="000000" w:themeColor="text1"/>
                <w:szCs w:val="21"/>
                <w14:textFill>
                  <w14:solidFill>
                    <w14:schemeClr w14:val="tx1"/>
                  </w14:solidFill>
                </w14:textFill>
              </w:rPr>
              <w:t>应经常对各类阀门进行检查和维修，以保证其严密性和灵活性，对压力计、温度计及各种调节器进行定期检查。</w:t>
            </w:r>
          </w:p>
          <w:p w14:paraId="6A9EB62C">
            <w:pPr>
              <w:adjustRightInd w:val="0"/>
              <w:snapToGrid w:val="0"/>
              <w:rPr>
                <w:rFonts w:eastAsia="仿宋"/>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③</w:t>
            </w:r>
            <w:r>
              <w:rPr>
                <w:rFonts w:eastAsia="仿宋"/>
                <w:color w:val="000000" w:themeColor="text1"/>
                <w:szCs w:val="21"/>
                <w14:textFill>
                  <w14:solidFill>
                    <w14:schemeClr w14:val="tx1"/>
                  </w14:solidFill>
                </w14:textFill>
              </w:rPr>
              <w:t>对操作人员进行系统教育，严格按操作规程进行操作，严禁违章作业。加强个人防护，作业岗位应配有防护用品，并定期检查维修，保证使用效果。</w:t>
            </w:r>
          </w:p>
          <w:p w14:paraId="65BFA3FA">
            <w:pPr>
              <w:adjustRightInd w:val="0"/>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（5）火灾和爆炸事故的防范措施</w:t>
            </w:r>
          </w:p>
          <w:p w14:paraId="0402A08A">
            <w:pPr>
              <w:adjustRightInd w:val="0"/>
              <w:snapToGrid w:val="0"/>
              <w:rPr>
                <w:rFonts w:eastAsia="仿宋"/>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①</w:t>
            </w:r>
            <w:r>
              <w:rPr>
                <w:rFonts w:eastAsia="仿宋"/>
                <w:color w:val="000000" w:themeColor="text1"/>
                <w:szCs w:val="21"/>
                <w14:textFill>
                  <w14:solidFill>
                    <w14:schemeClr w14:val="tx1"/>
                  </w14:solidFill>
                </w14:textFill>
              </w:rPr>
              <w:t>设备的安全管理：定期对设备进行安全检测，检测内容、时间、人员应有记录保存。安全检测应根据设备的安全性、危险性设定检测频次。</w:t>
            </w:r>
          </w:p>
          <w:p w14:paraId="73D58521">
            <w:pPr>
              <w:adjustRightInd w:val="0"/>
              <w:snapToGrid w:val="0"/>
              <w:rPr>
                <w:rFonts w:eastAsia="仿宋"/>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②</w:t>
            </w:r>
            <w:r>
              <w:rPr>
                <w:rFonts w:eastAsia="仿宋"/>
                <w:color w:val="000000" w:themeColor="text1"/>
                <w:szCs w:val="21"/>
                <w14:textFill>
                  <w14:solidFill>
                    <w14:schemeClr w14:val="tx1"/>
                  </w14:solidFill>
                </w14:textFill>
              </w:rPr>
              <w:t>在储存和输送系统及辅助设施中，在必要的地方安装安全阀和防超压系统。</w:t>
            </w:r>
          </w:p>
          <w:p w14:paraId="61612944">
            <w:pPr>
              <w:adjustRightInd w:val="0"/>
              <w:snapToGrid w:val="0"/>
              <w:rPr>
                <w:rFonts w:eastAsia="仿宋"/>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③</w:t>
            </w:r>
            <w:r>
              <w:rPr>
                <w:rFonts w:eastAsia="仿宋"/>
                <w:color w:val="000000" w:themeColor="text1"/>
                <w:szCs w:val="21"/>
                <w14:textFill>
                  <w14:solidFill>
                    <w14:schemeClr w14:val="tx1"/>
                  </w14:solidFill>
                </w14:textFill>
              </w:rPr>
              <w:t>在管道以及其他设备上，设置永久性接地装置；要有防雷装置，特别防止雷击。</w:t>
            </w:r>
          </w:p>
          <w:p w14:paraId="6778ED4B">
            <w:pPr>
              <w:adjustRightInd w:val="0"/>
              <w:snapToGrid w:val="0"/>
              <w:rPr>
                <w:rFonts w:eastAsia="仿宋"/>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④</w:t>
            </w:r>
            <w:r>
              <w:rPr>
                <w:rFonts w:eastAsia="仿宋"/>
                <w:color w:val="000000" w:themeColor="text1"/>
                <w:szCs w:val="21"/>
                <w14:textFill>
                  <w14:solidFill>
                    <w14:schemeClr w14:val="tx1"/>
                  </w14:solidFill>
                </w14:textFill>
              </w:rPr>
              <w:t>应加强火源的管理，严禁烟火带入，对设备需进行维修焊接，应经安全部门确认、准许，并有记录。</w:t>
            </w:r>
          </w:p>
          <w:p w14:paraId="25343D0D">
            <w:pPr>
              <w:adjustRightInd w:val="0"/>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（6）事故应急对策措施</w:t>
            </w:r>
          </w:p>
          <w:p w14:paraId="6016D74A">
            <w:pPr>
              <w:adjustRightInd w:val="0"/>
              <w:snapToGrid w:val="0"/>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为了加强企业的环境风险防控和应急管理工作，提高应急救援能力，保护企业员工的生命安全，减少财产损失，使环境事故发生后能快速、有效、有序地实施应急救援，减少对周边环境的影响，须组织相关部门和机构编制突发环境事件应急预案。预案须根据《企事业单位和工业园区突发环境事件应急预案编制导则》（DB32/T3795-2020）的要求和其他相关文件要求，并结合企业的实际情况编制，是企业实施应急救援的规范性文件，用于指导企业突发环境事件的应急救援行动。</w:t>
            </w:r>
          </w:p>
          <w:p w14:paraId="674E1B3B">
            <w:pPr>
              <w:adjustRightInd w:val="0"/>
              <w:snapToGrid w:val="0"/>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本项目新建一座2</w:t>
            </w:r>
            <w:r>
              <w:rPr>
                <w:rFonts w:eastAsia="仿宋"/>
                <w:color w:val="000000" w:themeColor="text1"/>
                <w:szCs w:val="21"/>
                <w14:textFill>
                  <w14:solidFill>
                    <w14:schemeClr w14:val="tx1"/>
                  </w14:solidFill>
                </w14:textFill>
              </w:rPr>
              <w:t>0m</w:t>
            </w:r>
            <w:r>
              <w:rPr>
                <w:rFonts w:eastAsia="仿宋"/>
                <w:color w:val="000000" w:themeColor="text1"/>
                <w:szCs w:val="21"/>
                <w:vertAlign w:val="superscript"/>
                <w14:textFill>
                  <w14:solidFill>
                    <w14:schemeClr w14:val="tx1"/>
                  </w14:solidFill>
                </w14:textFill>
              </w:rPr>
              <w:t>3</w:t>
            </w:r>
            <w:r>
              <w:rPr>
                <w:rFonts w:hint="eastAsia" w:eastAsia="仿宋"/>
                <w:color w:val="000000" w:themeColor="text1"/>
                <w:szCs w:val="21"/>
                <w14:textFill>
                  <w14:solidFill>
                    <w14:schemeClr w14:val="tx1"/>
                  </w14:solidFill>
                </w14:textFill>
              </w:rPr>
              <w:t>的事故应急池和5</w:t>
            </w:r>
            <w:r>
              <w:rPr>
                <w:rFonts w:eastAsia="仿宋"/>
                <w:color w:val="000000" w:themeColor="text1"/>
                <w:szCs w:val="21"/>
                <w14:textFill>
                  <w14:solidFill>
                    <w14:schemeClr w14:val="tx1"/>
                  </w14:solidFill>
                </w14:textFill>
              </w:rPr>
              <w:t>00m</w:t>
            </w:r>
            <w:r>
              <w:rPr>
                <w:rFonts w:eastAsia="仿宋"/>
                <w:color w:val="000000" w:themeColor="text1"/>
                <w:szCs w:val="21"/>
                <w:vertAlign w:val="superscript"/>
                <w14:textFill>
                  <w14:solidFill>
                    <w14:schemeClr w14:val="tx1"/>
                  </w14:solidFill>
                </w14:textFill>
              </w:rPr>
              <w:t>3</w:t>
            </w:r>
            <w:r>
              <w:rPr>
                <w:rFonts w:hint="eastAsia" w:eastAsia="仿宋"/>
                <w:color w:val="000000" w:themeColor="text1"/>
                <w:szCs w:val="21"/>
                <w14:textFill>
                  <w14:solidFill>
                    <w14:schemeClr w14:val="tx1"/>
                  </w14:solidFill>
                </w14:textFill>
              </w:rPr>
              <w:t>的消防水池，正常生产运行时，打开雨水管道阀门，收集的雨水直接排入市政雨水管网；事故状态下和下雨初期，打开切换装置，收集的初期雨水和事故消防水排入厂内事故应急池，切断污染物与外部的通道，将污染物控制在厂区内，防止伴生和次生的泄漏物料、污水、消防水直接进入厂内污水管网和雨水管网，给周边水体造成一定的冲击。事故后委托有资质单位处置。确保无任何事故废水流入附近水体，不对周边环境产生影响。</w:t>
            </w:r>
          </w:p>
        </w:tc>
      </w:tr>
      <w:tr w14:paraId="5A2686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6" w:type="dxa"/>
            <w:vAlign w:val="center"/>
          </w:tcPr>
          <w:p w14:paraId="17B9F57F">
            <w:pPr>
              <w:adjustRightInd w:val="0"/>
              <w:snapToGrid w:val="0"/>
              <w:jc w:val="center"/>
              <w:rPr>
                <w:rFonts w:eastAsia="仿宋"/>
                <w:color w:val="000000" w:themeColor="text1"/>
                <w:spacing w:val="-8"/>
                <w:szCs w:val="21"/>
                <w14:textFill>
                  <w14:solidFill>
                    <w14:schemeClr w14:val="tx1"/>
                  </w14:solidFill>
                </w14:textFill>
              </w:rPr>
            </w:pPr>
            <w:r>
              <w:rPr>
                <w:rFonts w:eastAsia="仿宋"/>
                <w:color w:val="000000" w:themeColor="text1"/>
                <w:spacing w:val="-8"/>
                <w:szCs w:val="21"/>
                <w14:textFill>
                  <w14:solidFill>
                    <w14:schemeClr w14:val="tx1"/>
                  </w14:solidFill>
                </w14:textFill>
              </w:rPr>
              <w:t>其他环境</w:t>
            </w:r>
          </w:p>
          <w:p w14:paraId="540BD82F">
            <w:pPr>
              <w:adjustRightInd w:val="0"/>
              <w:snapToGrid w:val="0"/>
              <w:jc w:val="center"/>
              <w:rPr>
                <w:rFonts w:eastAsia="仿宋"/>
                <w:color w:val="000000" w:themeColor="text1"/>
                <w:spacing w:val="-8"/>
                <w:szCs w:val="21"/>
                <w14:textFill>
                  <w14:solidFill>
                    <w14:schemeClr w14:val="tx1"/>
                  </w14:solidFill>
                </w14:textFill>
              </w:rPr>
            </w:pPr>
            <w:r>
              <w:rPr>
                <w:rFonts w:eastAsia="仿宋"/>
                <w:color w:val="000000" w:themeColor="text1"/>
                <w:spacing w:val="-8"/>
                <w:szCs w:val="21"/>
                <w14:textFill>
                  <w14:solidFill>
                    <w14:schemeClr w14:val="tx1"/>
                  </w14:solidFill>
                </w14:textFill>
              </w:rPr>
              <w:t>管理要求</w:t>
            </w:r>
          </w:p>
        </w:tc>
        <w:tc>
          <w:tcPr>
            <w:tcW w:w="8506" w:type="dxa"/>
            <w:gridSpan w:val="5"/>
            <w:vAlign w:val="center"/>
          </w:tcPr>
          <w:p w14:paraId="6571751D">
            <w:pPr>
              <w:adjustRightInd w:val="0"/>
              <w:snapToGrid w:val="0"/>
              <w:jc w:val="lef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（1）环境管理制度</w:t>
            </w:r>
          </w:p>
          <w:p w14:paraId="4CA6C4E8">
            <w:pPr>
              <w:adjustRightInd w:val="0"/>
              <w:snapToGrid w:val="0"/>
              <w:jc w:val="left"/>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实验室</w:t>
            </w:r>
            <w:r>
              <w:rPr>
                <w:rFonts w:eastAsia="仿宋"/>
                <w:color w:val="000000" w:themeColor="text1"/>
                <w:szCs w:val="21"/>
                <w14:textFill>
                  <w14:solidFill>
                    <w14:schemeClr w14:val="tx1"/>
                  </w14:solidFill>
                </w14:textFill>
              </w:rPr>
              <w:t>在运行过程，应依据当前环境保护管理要求，分别制定</w:t>
            </w:r>
            <w:r>
              <w:rPr>
                <w:rFonts w:hint="eastAsia" w:eastAsia="仿宋"/>
                <w:color w:val="000000" w:themeColor="text1"/>
                <w:szCs w:val="21"/>
                <w14:textFill>
                  <w14:solidFill>
                    <w14:schemeClr w14:val="tx1"/>
                  </w14:solidFill>
                </w14:textFill>
              </w:rPr>
              <w:t>实验室</w:t>
            </w:r>
            <w:r>
              <w:rPr>
                <w:rFonts w:eastAsia="仿宋"/>
                <w:color w:val="000000" w:themeColor="text1"/>
                <w:szCs w:val="21"/>
                <w14:textFill>
                  <w14:solidFill>
                    <w14:schemeClr w14:val="tx1"/>
                  </w14:solidFill>
                </w14:textFill>
              </w:rPr>
              <w:t>内部的环境管理制度：</w:t>
            </w:r>
          </w:p>
          <w:p w14:paraId="34DCDD49">
            <w:pPr>
              <w:adjustRightInd w:val="0"/>
              <w:snapToGrid w:val="0"/>
              <w:jc w:val="left"/>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①</w:t>
            </w:r>
            <w:r>
              <w:rPr>
                <w:rFonts w:eastAsia="仿宋"/>
                <w:color w:val="000000" w:themeColor="text1"/>
                <w:szCs w:val="21"/>
                <w14:textFill>
                  <w14:solidFill>
                    <w14:schemeClr w14:val="tx1"/>
                  </w14:solidFill>
                </w14:textFill>
              </w:rPr>
              <w:t>环境影响评价制度。</w:t>
            </w:r>
            <w:r>
              <w:rPr>
                <w:rFonts w:hint="eastAsia" w:eastAsia="仿宋"/>
                <w:color w:val="000000" w:themeColor="text1"/>
                <w:szCs w:val="21"/>
                <w14:textFill>
                  <w14:solidFill>
                    <w14:schemeClr w14:val="tx1"/>
                  </w14:solidFill>
                </w14:textFill>
              </w:rPr>
              <w:t>实验室</w:t>
            </w:r>
            <w:r>
              <w:rPr>
                <w:rFonts w:eastAsia="仿宋"/>
                <w:color w:val="000000" w:themeColor="text1"/>
                <w:szCs w:val="21"/>
                <w14:textFill>
                  <w14:solidFill>
                    <w14:schemeClr w14:val="tx1"/>
                  </w14:solidFill>
                </w14:textFill>
              </w:rPr>
              <w:t>在新建、改建、扩建相关工程时，应按《中华人民共和国环境影响评价法》要求，委托有资质环评单位开展环境影响评价工作。</w:t>
            </w:r>
          </w:p>
          <w:p w14:paraId="18220DAB">
            <w:pPr>
              <w:adjustRightInd w:val="0"/>
              <w:snapToGrid w:val="0"/>
              <w:jc w:val="left"/>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②</w:t>
            </w:r>
            <w:r>
              <w:rPr>
                <w:rFonts w:eastAsia="仿宋"/>
                <w:color w:val="000000" w:themeColor="text1"/>
                <w:szCs w:val="21"/>
                <w14:textFill>
                  <w14:solidFill>
                    <w14:schemeClr w14:val="tx1"/>
                  </w14:solidFill>
                </w14:textFill>
              </w:rPr>
              <w:t>“三同时”制度。建设项目需要配套建设的环境保护设施，必须与主体工程同时设计、同时施工、同时投入使用。建设项目竣工后，建设单位应当按照国务院环境保护行政主管部门规定的标准和程序，对配套建设的环境保护设施进行验收，编制验收报告。除按照国家规定需要保密的情形外，建设单位应当依法向社会公开验收报告。</w:t>
            </w:r>
          </w:p>
          <w:p w14:paraId="6D730BEC">
            <w:pPr>
              <w:adjustRightInd w:val="0"/>
              <w:snapToGrid w:val="0"/>
              <w:jc w:val="left"/>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③</w:t>
            </w:r>
            <w:r>
              <w:rPr>
                <w:rFonts w:eastAsia="仿宋"/>
                <w:color w:val="000000" w:themeColor="text1"/>
                <w:szCs w:val="21"/>
                <w14:textFill>
                  <w14:solidFill>
                    <w14:schemeClr w14:val="tx1"/>
                  </w14:solidFill>
                </w14:textFill>
              </w:rPr>
              <w:t>排污许可制度。</w:t>
            </w:r>
            <w:r>
              <w:rPr>
                <w:rFonts w:hint="eastAsia" w:eastAsia="仿宋"/>
                <w:color w:val="000000" w:themeColor="text1"/>
                <w:szCs w:val="21"/>
                <w14:textFill>
                  <w14:solidFill>
                    <w14:schemeClr w14:val="tx1"/>
                  </w14:solidFill>
                </w14:textFill>
              </w:rPr>
              <w:t>实验室</w:t>
            </w:r>
            <w:r>
              <w:rPr>
                <w:rFonts w:eastAsia="仿宋"/>
                <w:color w:val="000000" w:themeColor="text1"/>
                <w:szCs w:val="21"/>
                <w14:textFill>
                  <w14:solidFill>
                    <w14:schemeClr w14:val="tx1"/>
                  </w14:solidFill>
                </w14:textFill>
              </w:rPr>
              <w:t>应按《排污许可管理办法（试行）》（环境保护部令第48号）要求，在实施时限内，向所在地设区的市级环境保护主管部门申请变更或重新申领排污许可证。</w:t>
            </w:r>
          </w:p>
          <w:p w14:paraId="719D3C6A">
            <w:pPr>
              <w:adjustRightInd w:val="0"/>
              <w:snapToGrid w:val="0"/>
              <w:jc w:val="left"/>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⑤</w:t>
            </w:r>
            <w:r>
              <w:rPr>
                <w:rFonts w:eastAsia="仿宋"/>
                <w:color w:val="000000" w:themeColor="text1"/>
                <w:szCs w:val="21"/>
                <w14:textFill>
                  <w14:solidFill>
                    <w14:schemeClr w14:val="tx1"/>
                  </w14:solidFill>
                </w14:textFill>
              </w:rPr>
              <w:t>奖惩制度。</w:t>
            </w:r>
            <w:r>
              <w:rPr>
                <w:rFonts w:hint="eastAsia" w:eastAsia="仿宋"/>
                <w:color w:val="000000" w:themeColor="text1"/>
                <w:szCs w:val="21"/>
                <w14:textFill>
                  <w14:solidFill>
                    <w14:schemeClr w14:val="tx1"/>
                  </w14:solidFill>
                </w14:textFill>
              </w:rPr>
              <w:t>实验室</w:t>
            </w:r>
            <w:r>
              <w:rPr>
                <w:rFonts w:eastAsia="仿宋"/>
                <w:color w:val="000000" w:themeColor="text1"/>
                <w:szCs w:val="21"/>
                <w14:textFill>
                  <w14:solidFill>
                    <w14:schemeClr w14:val="tx1"/>
                  </w14:solidFill>
                </w14:textFill>
              </w:rPr>
              <w:t>应设置环境保护奖惩制度，明确相关责任人和职责与权利，并落实《最高人民法院、最高人民检察院关于办理环境污染刑事案件适用法律若干问题的解释》相关要求。</w:t>
            </w:r>
          </w:p>
          <w:p w14:paraId="3823AD10">
            <w:pPr>
              <w:adjustRightInd w:val="0"/>
              <w:snapToGrid w:val="0"/>
              <w:jc w:val="left"/>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⑥</w:t>
            </w:r>
            <w:r>
              <w:rPr>
                <w:rFonts w:eastAsia="仿宋"/>
                <w:color w:val="000000" w:themeColor="text1"/>
                <w:szCs w:val="21"/>
                <w14:textFill>
                  <w14:solidFill>
                    <w14:schemeClr w14:val="tx1"/>
                  </w14:solidFill>
                </w14:textFill>
              </w:rPr>
              <w:t>监测制度。按照环评报告、《排污单位自行监测技术指南 总则》、排污许可证要求定期对污染源和环境质量进行监测，并存档保留3年内监测记录。</w:t>
            </w:r>
          </w:p>
          <w:p w14:paraId="4BB310B5">
            <w:pPr>
              <w:adjustRightInd w:val="0"/>
              <w:snapToGrid w:val="0"/>
              <w:jc w:val="left"/>
              <w:rPr>
                <w:rFonts w:eastAsia="仿宋"/>
                <w:color w:val="000000" w:themeColor="text1"/>
                <w:szCs w:val="21"/>
                <w14:textFill>
                  <w14:solidFill>
                    <w14:schemeClr w14:val="tx1"/>
                  </w14:solidFill>
                </w14:textFill>
              </w:rPr>
            </w:pPr>
            <w:bookmarkStart w:id="45" w:name="_Toc8801"/>
            <w:bookmarkStart w:id="46" w:name="_Toc838"/>
            <w:r>
              <w:rPr>
                <w:rFonts w:eastAsia="仿宋"/>
                <w:color w:val="000000" w:themeColor="text1"/>
                <w:szCs w:val="21"/>
                <w14:textFill>
                  <w14:solidFill>
                    <w14:schemeClr w14:val="tx1"/>
                  </w14:solidFill>
                </w14:textFill>
              </w:rPr>
              <w:t>（2）环境管理机构</w:t>
            </w:r>
            <w:bookmarkEnd w:id="45"/>
            <w:bookmarkEnd w:id="46"/>
          </w:p>
          <w:p w14:paraId="2F94DE0D">
            <w:pPr>
              <w:adjustRightInd w:val="0"/>
              <w:snapToGrid w:val="0"/>
              <w:jc w:val="left"/>
              <w:rPr>
                <w:rFonts w:eastAsia="仿宋"/>
                <w:color w:val="000000" w:themeColor="text1"/>
                <w:sz w:val="24"/>
                <w14:textFill>
                  <w14:solidFill>
                    <w14:schemeClr w14:val="tx1"/>
                  </w14:solidFill>
                </w14:textFill>
              </w:rPr>
            </w:pPr>
            <w:r>
              <w:rPr>
                <w:rFonts w:eastAsia="仿宋"/>
                <w:color w:val="000000" w:themeColor="text1"/>
                <w:szCs w:val="21"/>
                <w14:textFill>
                  <w14:solidFill>
                    <w14:schemeClr w14:val="tx1"/>
                  </w14:solidFill>
                </w14:textFill>
              </w:rPr>
              <w:t>为使本工程项目建设实现全过程“守法合规”，</w:t>
            </w:r>
            <w:r>
              <w:rPr>
                <w:rFonts w:hint="eastAsia" w:eastAsia="仿宋"/>
                <w:color w:val="000000" w:themeColor="text1"/>
                <w:szCs w:val="21"/>
                <w14:textFill>
                  <w14:solidFill>
                    <w14:schemeClr w14:val="tx1"/>
                  </w14:solidFill>
                </w14:textFill>
              </w:rPr>
              <w:t>实验室</w:t>
            </w:r>
            <w:r>
              <w:rPr>
                <w:rFonts w:eastAsia="仿宋"/>
                <w:color w:val="000000" w:themeColor="text1"/>
                <w:szCs w:val="21"/>
                <w14:textFill>
                  <w14:solidFill>
                    <w14:schemeClr w14:val="tx1"/>
                  </w14:solidFill>
                </w14:textFill>
              </w:rPr>
              <w:t>应在项目办理前期手续时安排专人办理环保手续，并协调好工程设计与环境保护相关工作，在主体工程建设方案中落实污染防治措施。项目投产后，</w:t>
            </w:r>
            <w:r>
              <w:rPr>
                <w:rFonts w:hint="eastAsia" w:eastAsia="仿宋"/>
                <w:color w:val="000000" w:themeColor="text1"/>
                <w:szCs w:val="21"/>
                <w14:textFill>
                  <w14:solidFill>
                    <w14:schemeClr w14:val="tx1"/>
                  </w14:solidFill>
                </w14:textFill>
              </w:rPr>
              <w:t>实验室主管</w:t>
            </w:r>
            <w:r>
              <w:rPr>
                <w:rFonts w:eastAsia="仿宋"/>
                <w:color w:val="000000" w:themeColor="text1"/>
                <w:szCs w:val="21"/>
                <w14:textFill>
                  <w14:solidFill>
                    <w14:schemeClr w14:val="tx1"/>
                  </w14:solidFill>
                </w14:textFill>
              </w:rPr>
              <w:t>为环境行为的第一负责人，成立以副</w:t>
            </w:r>
            <w:r>
              <w:rPr>
                <w:rFonts w:hint="eastAsia" w:eastAsia="仿宋"/>
                <w:color w:val="000000" w:themeColor="text1"/>
                <w:szCs w:val="21"/>
                <w14:textFill>
                  <w14:solidFill>
                    <w14:schemeClr w14:val="tx1"/>
                  </w14:solidFill>
                </w14:textFill>
              </w:rPr>
              <w:t>主管</w:t>
            </w:r>
            <w:r>
              <w:rPr>
                <w:rFonts w:eastAsia="仿宋"/>
                <w:color w:val="000000" w:themeColor="text1"/>
                <w:szCs w:val="21"/>
                <w14:textFill>
                  <w14:solidFill>
                    <w14:schemeClr w14:val="tx1"/>
                  </w14:solidFill>
                </w14:textFill>
              </w:rPr>
              <w:t>分管环保工作、EHS部为环境管理具体职能部门，并负责环保治理设施运行管理。</w:t>
            </w:r>
          </w:p>
          <w:p w14:paraId="7D175A95">
            <w:pPr>
              <w:adjustRightInd w:val="0"/>
              <w:snapToGrid w:val="0"/>
              <w:jc w:val="lef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环境管理机构主要职能为：执行国家、地方环境保护法律、法规，落实环境保护行政主管部门管理要求并完成相关报表；负责环境保护方案的规划和管理，确保环境保护治理设施运行、维护及更新，确保各项污染物达标排放和对环境的最小影响。</w:t>
            </w:r>
          </w:p>
          <w:p w14:paraId="03FAF95F">
            <w:pPr>
              <w:adjustRightInd w:val="0"/>
              <w:snapToGrid w:val="0"/>
              <w:jc w:val="left"/>
              <w:rPr>
                <w:rFonts w:eastAsia="仿宋"/>
                <w:color w:val="000000" w:themeColor="text1"/>
                <w:szCs w:val="21"/>
                <w14:textFill>
                  <w14:solidFill>
                    <w14:schemeClr w14:val="tx1"/>
                  </w14:solidFill>
                </w14:textFill>
              </w:rPr>
            </w:pPr>
            <w:bookmarkStart w:id="47" w:name="_Toc4996"/>
            <w:bookmarkStart w:id="48" w:name="_Toc7034"/>
            <w:r>
              <w:rPr>
                <w:rFonts w:eastAsia="仿宋"/>
                <w:color w:val="000000" w:themeColor="text1"/>
                <w:szCs w:val="21"/>
                <w14:textFill>
                  <w14:solidFill>
                    <w14:schemeClr w14:val="tx1"/>
                  </w14:solidFill>
                </w14:textFill>
              </w:rPr>
              <w:t>（3）环境管理内容</w:t>
            </w:r>
            <w:bookmarkEnd w:id="47"/>
            <w:bookmarkEnd w:id="48"/>
          </w:p>
          <w:p w14:paraId="4E3D7313">
            <w:pPr>
              <w:adjustRightInd w:val="0"/>
              <w:snapToGrid w:val="0"/>
              <w:jc w:val="left"/>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①</w:t>
            </w:r>
            <w:r>
              <w:rPr>
                <w:rFonts w:eastAsia="仿宋"/>
                <w:color w:val="000000" w:themeColor="text1"/>
                <w:szCs w:val="21"/>
                <w14:textFill>
                  <w14:solidFill>
                    <w14:schemeClr w14:val="tx1"/>
                  </w14:solidFill>
                </w14:textFill>
              </w:rPr>
              <w:t>环保处理设施</w:t>
            </w:r>
          </w:p>
          <w:p w14:paraId="26747745">
            <w:pPr>
              <w:adjustRightInd w:val="0"/>
              <w:snapToGrid w:val="0"/>
              <w:jc w:val="lef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落实专人负责制度，环保处理设施需由专人维护保养并挂牌明示。做好环保设施的日常运行记录，建立健全管理台帐，了解处理设施的动态信息，确保环保处理设施的正常运行。</w:t>
            </w:r>
          </w:p>
          <w:p w14:paraId="5D1063F6">
            <w:pPr>
              <w:adjustRightInd w:val="0"/>
              <w:snapToGrid w:val="0"/>
              <w:jc w:val="left"/>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②</w:t>
            </w:r>
            <w:r>
              <w:rPr>
                <w:rFonts w:eastAsia="仿宋"/>
                <w:color w:val="000000" w:themeColor="text1"/>
                <w:szCs w:val="21"/>
                <w14:textFill>
                  <w14:solidFill>
                    <w14:schemeClr w14:val="tx1"/>
                  </w14:solidFill>
                </w14:textFill>
              </w:rPr>
              <w:t>固废规范管理台账</w:t>
            </w:r>
          </w:p>
          <w:p w14:paraId="58D7C2A9">
            <w:pPr>
              <w:adjustRightInd w:val="0"/>
              <w:snapToGrid w:val="0"/>
              <w:jc w:val="left"/>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实验室</w:t>
            </w:r>
            <w:r>
              <w:rPr>
                <w:rFonts w:eastAsia="仿宋"/>
                <w:color w:val="000000" w:themeColor="text1"/>
                <w:szCs w:val="21"/>
                <w14:textFill>
                  <w14:solidFill>
                    <w14:schemeClr w14:val="tx1"/>
                  </w14:solidFill>
                </w14:textFill>
              </w:rPr>
              <w:t>应通过“江苏省危险废物动态管理信息系统”（江苏省环保厅网站）进行危险废物申报登记，将危险废物的实际产生、贮存、利用、处置等情况纳入运行记录，建立危险废物管理台账和企业内部产生和收集、贮存、转移等部门危险废物交接制度。</w:t>
            </w:r>
          </w:p>
          <w:p w14:paraId="6853B59E">
            <w:pPr>
              <w:adjustRightInd w:val="0"/>
              <w:snapToGrid w:val="0"/>
              <w:jc w:val="left"/>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③</w:t>
            </w:r>
            <w:r>
              <w:rPr>
                <w:rFonts w:eastAsia="仿宋"/>
                <w:color w:val="000000" w:themeColor="text1"/>
                <w:szCs w:val="21"/>
                <w14:textFill>
                  <w14:solidFill>
                    <w14:schemeClr w14:val="tx1"/>
                  </w14:solidFill>
                </w14:textFill>
              </w:rPr>
              <w:t>本项目依托租赁方雨水排放口和污水排放口，各排放口设置必须符合《江苏省排污口设置及规范化整治管理办法》（苏环管</w:t>
            </w:r>
            <w:r>
              <w:rPr>
                <w:rFonts w:hint="eastAsia"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1997</w:t>
            </w:r>
            <w:r>
              <w:rPr>
                <w:rFonts w:hint="eastAsia"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122号）、《关于开展排放口规范化整治工作的通知》（环发</w:t>
            </w:r>
            <w:r>
              <w:rPr>
                <w:rFonts w:hint="eastAsia"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1999</w:t>
            </w:r>
            <w:r>
              <w:rPr>
                <w:rFonts w:hint="eastAsia" w:eastAsia="仿宋"/>
                <w:color w:val="000000" w:themeColor="text1"/>
                <w:szCs w:val="21"/>
                <w14:textFill>
                  <w14:solidFill>
                    <w14:schemeClr w14:val="tx1"/>
                  </w14:solidFill>
                </w14:textFill>
              </w:rPr>
              <w:t>〕</w:t>
            </w:r>
            <w:r>
              <w:rPr>
                <w:rFonts w:eastAsia="仿宋"/>
                <w:color w:val="000000" w:themeColor="text1"/>
                <w:szCs w:val="21"/>
                <w14:textFill>
                  <w14:solidFill>
                    <w14:schemeClr w14:val="tx1"/>
                  </w14:solidFill>
                </w14:textFill>
              </w:rPr>
              <w:t>24号）等文件要求。</w:t>
            </w:r>
          </w:p>
          <w:p w14:paraId="6E6B61A3">
            <w:pPr>
              <w:adjustRightInd w:val="0"/>
              <w:snapToGrid w:val="0"/>
              <w:jc w:val="left"/>
              <w:rPr>
                <w:rFonts w:eastAsia="仿宋"/>
                <w:color w:val="000000" w:themeColor="text1"/>
                <w:szCs w:val="21"/>
                <w14:textFill>
                  <w14:solidFill>
                    <w14:schemeClr w14:val="tx1"/>
                  </w14:solidFill>
                </w14:textFill>
              </w:rPr>
            </w:pPr>
            <w:r>
              <w:rPr>
                <w:rFonts w:hint="eastAsia" w:eastAsia="仿宋"/>
                <w:color w:val="000000" w:themeColor="text1"/>
                <w:szCs w:val="21"/>
                <w14:textFill>
                  <w14:solidFill>
                    <w14:schemeClr w14:val="tx1"/>
                  </w14:solidFill>
                </w14:textFill>
              </w:rPr>
              <w:t>④</w:t>
            </w:r>
            <w:r>
              <w:rPr>
                <w:rFonts w:eastAsia="仿宋"/>
                <w:color w:val="000000" w:themeColor="text1"/>
                <w:szCs w:val="21"/>
                <w14:textFill>
                  <w14:solidFill>
                    <w14:schemeClr w14:val="tx1"/>
                  </w14:solidFill>
                </w14:textFill>
              </w:rPr>
              <w:t>危险废物自控要求</w:t>
            </w:r>
          </w:p>
          <w:p w14:paraId="288D91FE">
            <w:pPr>
              <w:adjustRightInd w:val="0"/>
              <w:snapToGrid w:val="0"/>
              <w:jc w:val="left"/>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按照固体废物进厂要求、处置类别、处置范围及规模回收危险废物，禁止回收负面清单中固体废物，保留进厂检测记录备查。</w:t>
            </w:r>
          </w:p>
        </w:tc>
      </w:tr>
    </w:tbl>
    <w:p w14:paraId="130D6167">
      <w:pPr>
        <w:pStyle w:val="21"/>
        <w:rPr>
          <w:color w:val="000000" w:themeColor="text1"/>
          <w14:textFill>
            <w14:solidFill>
              <w14:schemeClr w14:val="tx1"/>
            </w14:solidFill>
          </w14:textFill>
        </w:rPr>
      </w:pPr>
      <w:r>
        <w:rPr>
          <w:color w:val="000000" w:themeColor="text1"/>
          <w14:textFill>
            <w14:solidFill>
              <w14:schemeClr w14:val="tx1"/>
            </w14:solidFill>
          </w14:textFill>
        </w:rPr>
        <w:br w:type="page"/>
      </w:r>
      <w:r>
        <w:rPr>
          <w:color w:val="000000" w:themeColor="text1"/>
          <w14:textFill>
            <w14:solidFill>
              <w14:schemeClr w14:val="tx1"/>
            </w14:solidFill>
          </w14:textFill>
        </w:rPr>
        <w:t>六、结论</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2C4B8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035E6F7C">
            <w:pPr>
              <w:spacing w:line="48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综上所述，本项目土地手续完备，项目类型及其选址、布局、规模符合相关产业政策、环境保护法律法规和相关法定规划要求；所在区域大气环境质量虽然未达到国家环境质量标准，但常州市</w:t>
            </w:r>
            <w:r>
              <w:rPr>
                <w:rFonts w:hint="eastAsia" w:eastAsia="仿宋"/>
                <w:color w:val="000000" w:themeColor="text1"/>
                <w:sz w:val="24"/>
                <w14:textFill>
                  <w14:solidFill>
                    <w14:schemeClr w14:val="tx1"/>
                  </w14:solidFill>
                </w14:textFill>
              </w:rPr>
              <w:t>新北</w:t>
            </w:r>
            <w:r>
              <w:rPr>
                <w:rFonts w:eastAsia="仿宋"/>
                <w:color w:val="000000" w:themeColor="text1"/>
                <w:sz w:val="24"/>
                <w14:textFill>
                  <w14:solidFill>
                    <w14:schemeClr w14:val="tx1"/>
                  </w14:solidFill>
                </w14:textFill>
              </w:rPr>
              <w:t>区已采取各项措施改善环境质量；本项目采取的污染防治措施合理、有效，项目排放的各类污染物均能达到国家和地方排放标准。故本项目在落实本报告表提出的各项环保措施要求，严格执行环保“三同时”的前提下，从环保角度分析</w:t>
            </w:r>
            <w:r>
              <w:rPr>
                <w:rFonts w:hint="eastAsia" w:eastAsia="仿宋"/>
                <w:color w:val="000000" w:themeColor="text1"/>
                <w:sz w:val="24"/>
                <w14:textFill>
                  <w14:solidFill>
                    <w14:schemeClr w14:val="tx1"/>
                  </w14:solidFill>
                </w14:textFill>
              </w:rPr>
              <w:t>不会造成区域环境质量下降，</w:t>
            </w:r>
            <w:r>
              <w:rPr>
                <w:rFonts w:eastAsia="仿宋"/>
                <w:color w:val="000000" w:themeColor="text1"/>
                <w:sz w:val="24"/>
                <w14:textFill>
                  <w14:solidFill>
                    <w14:schemeClr w14:val="tx1"/>
                  </w14:solidFill>
                </w14:textFill>
              </w:rPr>
              <w:t>本项目建设具有环境可行性。</w:t>
            </w:r>
          </w:p>
          <w:p w14:paraId="58E78AF6">
            <w:pPr>
              <w:spacing w:line="500" w:lineRule="exact"/>
              <w:ind w:firstLine="480" w:firstLineChars="200"/>
              <w:rPr>
                <w:rFonts w:eastAsia="仿宋"/>
                <w:color w:val="000000" w:themeColor="text1"/>
                <w:sz w:val="24"/>
                <w14:textFill>
                  <w14:solidFill>
                    <w14:schemeClr w14:val="tx1"/>
                  </w14:solidFill>
                </w14:textFill>
              </w:rPr>
            </w:pPr>
          </w:p>
          <w:p w14:paraId="45CAF1EF">
            <w:pPr>
              <w:spacing w:line="500" w:lineRule="exact"/>
              <w:ind w:firstLine="480" w:firstLineChars="200"/>
              <w:rPr>
                <w:rFonts w:eastAsia="仿宋"/>
                <w:color w:val="000000" w:themeColor="text1"/>
                <w:sz w:val="24"/>
                <w14:textFill>
                  <w14:solidFill>
                    <w14:schemeClr w14:val="tx1"/>
                  </w14:solidFill>
                </w14:textFill>
              </w:rPr>
            </w:pPr>
          </w:p>
          <w:p w14:paraId="15B02D40">
            <w:pPr>
              <w:spacing w:line="500" w:lineRule="exact"/>
              <w:ind w:firstLine="480" w:firstLineChars="200"/>
              <w:rPr>
                <w:rFonts w:eastAsia="仿宋"/>
                <w:color w:val="000000" w:themeColor="text1"/>
                <w:sz w:val="24"/>
                <w14:textFill>
                  <w14:solidFill>
                    <w14:schemeClr w14:val="tx1"/>
                  </w14:solidFill>
                </w14:textFill>
              </w:rPr>
            </w:pPr>
          </w:p>
        </w:tc>
      </w:tr>
    </w:tbl>
    <w:p w14:paraId="6FE3448C">
      <w:pPr>
        <w:rPr>
          <w:rFonts w:eastAsia="仿宋"/>
          <w:color w:val="000000" w:themeColor="text1"/>
          <w14:textFill>
            <w14:solidFill>
              <w14:schemeClr w14:val="tx1"/>
            </w14:solidFill>
          </w14:textFill>
        </w:rPr>
        <w:sectPr>
          <w:pgSz w:w="11906" w:h="16838"/>
          <w:pgMar w:top="1701" w:right="1531" w:bottom="1701" w:left="1531" w:header="851" w:footer="851" w:gutter="0"/>
          <w:cols w:space="720" w:num="1"/>
          <w:docGrid w:linePitch="312" w:charSpace="0"/>
        </w:sectPr>
      </w:pPr>
    </w:p>
    <w:p w14:paraId="7CC995BC">
      <w:pPr>
        <w:pStyle w:val="21"/>
        <w:jc w:val="left"/>
        <w:outlineLvl w:val="9"/>
        <w:rPr>
          <w:color w:val="000000" w:themeColor="text1"/>
          <w14:textFill>
            <w14:solidFill>
              <w14:schemeClr w14:val="tx1"/>
            </w14:solidFill>
          </w14:textFill>
        </w:rPr>
      </w:pPr>
      <w:r>
        <w:rPr>
          <w:color w:val="000000" w:themeColor="text1"/>
          <w14:textFill>
            <w14:solidFill>
              <w14:schemeClr w14:val="tx1"/>
            </w14:solidFill>
          </w14:textFill>
        </w:rPr>
        <w:t>附表</w:t>
      </w:r>
    </w:p>
    <w:p w14:paraId="5C823645">
      <w:pPr>
        <w:pStyle w:val="21"/>
        <w:spacing w:before="0" w:beforeAutospacing="0" w:after="0" w:afterAutospacing="0"/>
        <w:outlineLvl w:val="9"/>
        <w:rPr>
          <w:color w:val="000000" w:themeColor="text1"/>
          <w14:textFill>
            <w14:solidFill>
              <w14:schemeClr w14:val="tx1"/>
            </w14:solidFill>
          </w14:textFill>
        </w:rPr>
      </w:pPr>
      <w:r>
        <w:rPr>
          <w:color w:val="000000" w:themeColor="text1"/>
          <w14:textFill>
            <w14:solidFill>
              <w14:schemeClr w14:val="tx1"/>
            </w14:solidFill>
          </w14:textFill>
        </w:rPr>
        <w:t>建设项目污染物排放量汇总表（单位t/a）</w:t>
      </w:r>
    </w:p>
    <w:tbl>
      <w:tblPr>
        <w:tblStyle w:val="25"/>
        <w:tblW w:w="137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961"/>
        <w:gridCol w:w="1449"/>
        <w:gridCol w:w="1559"/>
        <w:gridCol w:w="1276"/>
        <w:gridCol w:w="1559"/>
        <w:gridCol w:w="1559"/>
        <w:gridCol w:w="1559"/>
        <w:gridCol w:w="1683"/>
        <w:gridCol w:w="1341"/>
      </w:tblGrid>
      <w:tr w14:paraId="2479A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Borders>
              <w:tl2br w:val="single" w:color="auto" w:sz="4" w:space="0"/>
            </w:tcBorders>
            <w:vAlign w:val="center"/>
          </w:tcPr>
          <w:p w14:paraId="0A68E157">
            <w:pPr>
              <w:pStyle w:val="21"/>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项目分类</w:t>
            </w:r>
          </w:p>
        </w:tc>
        <w:tc>
          <w:tcPr>
            <w:tcW w:w="2410" w:type="dxa"/>
            <w:gridSpan w:val="2"/>
            <w:vAlign w:val="center"/>
          </w:tcPr>
          <w:p w14:paraId="74998C23">
            <w:pPr>
              <w:pStyle w:val="21"/>
              <w:rPr>
                <w:color w:val="000000" w:themeColor="text1"/>
                <w:sz w:val="38"/>
                <w:szCs w:val="38"/>
                <w14:textFill>
                  <w14:solidFill>
                    <w14:schemeClr w14:val="tx1"/>
                  </w14:solidFill>
                </w14:textFill>
              </w:rPr>
            </w:pPr>
            <w:r>
              <w:rPr>
                <w:color w:val="000000" w:themeColor="text1"/>
                <w14:textFill>
                  <w14:solidFill>
                    <w14:schemeClr w14:val="tx1"/>
                  </w14:solidFill>
                </w14:textFill>
              </w:rPr>
              <w:t>污染物名称</w:t>
            </w:r>
          </w:p>
        </w:tc>
        <w:tc>
          <w:tcPr>
            <w:tcW w:w="1559" w:type="dxa"/>
            <w:vAlign w:val="center"/>
          </w:tcPr>
          <w:p w14:paraId="41A20A22">
            <w:pPr>
              <w:adjustRightInd w:val="0"/>
              <w:snapToGrid w:val="0"/>
              <w:jc w:val="center"/>
              <w:rPr>
                <w:rFonts w:ascii="宋体" w:hAnsi="宋体" w:eastAsia="仿宋"/>
                <w:color w:val="000000" w:themeColor="text1"/>
                <w:kern w:val="0"/>
                <w:sz w:val="24"/>
                <w:szCs w:val="21"/>
                <w14:textFill>
                  <w14:solidFill>
                    <w14:schemeClr w14:val="tx1"/>
                  </w14:solidFill>
                </w14:textFill>
              </w:rPr>
            </w:pPr>
            <w:r>
              <w:rPr>
                <w:rFonts w:ascii="宋体" w:hAnsi="宋体" w:eastAsia="仿宋"/>
                <w:color w:val="000000" w:themeColor="text1"/>
                <w:kern w:val="0"/>
                <w:sz w:val="24"/>
                <w:szCs w:val="21"/>
                <w14:textFill>
                  <w14:solidFill>
                    <w14:schemeClr w14:val="tx1"/>
                  </w14:solidFill>
                </w14:textFill>
              </w:rPr>
              <w:t>现有工程排放量（固体废物产生量）</w:t>
            </w:r>
            <w:r>
              <w:rPr>
                <w:rFonts w:ascii="宋体" w:hAnsi="宋体" w:eastAsia="仿宋"/>
                <w:color w:val="000000" w:themeColor="text1"/>
                <w:kern w:val="0"/>
                <w:sz w:val="24"/>
                <w:szCs w:val="21"/>
                <w14:textFill>
                  <w14:solidFill>
                    <w14:schemeClr w14:val="tx1"/>
                  </w14:solidFill>
                </w14:textFill>
              </w:rPr>
              <w:fldChar w:fldCharType="begin"/>
            </w:r>
            <w:r>
              <w:rPr>
                <w:rFonts w:ascii="宋体" w:hAnsi="宋体" w:eastAsia="仿宋"/>
                <w:color w:val="000000" w:themeColor="text1"/>
                <w:kern w:val="0"/>
                <w:sz w:val="24"/>
                <w:szCs w:val="21"/>
                <w14:textFill>
                  <w14:solidFill>
                    <w14:schemeClr w14:val="tx1"/>
                  </w14:solidFill>
                </w14:textFill>
              </w:rPr>
              <w:instrText xml:space="preserve"> = 1 \* GB3 \* MERGEFORMAT </w:instrText>
            </w:r>
            <w:r>
              <w:rPr>
                <w:rFonts w:ascii="宋体" w:hAnsi="宋体" w:eastAsia="仿宋"/>
                <w:color w:val="000000" w:themeColor="text1"/>
                <w:kern w:val="0"/>
                <w:sz w:val="24"/>
                <w:szCs w:val="21"/>
                <w14:textFill>
                  <w14:solidFill>
                    <w14:schemeClr w14:val="tx1"/>
                  </w14:solidFill>
                </w14:textFill>
              </w:rPr>
              <w:fldChar w:fldCharType="separate"/>
            </w:r>
            <w:r>
              <w:rPr>
                <w:rFonts w:hint="eastAsia" w:ascii="宋体" w:hAnsi="宋体" w:eastAsia="仿宋"/>
                <w:color w:val="000000" w:themeColor="text1"/>
                <w:kern w:val="0"/>
                <w:sz w:val="24"/>
                <w:szCs w:val="21"/>
                <w14:textFill>
                  <w14:solidFill>
                    <w14:schemeClr w14:val="tx1"/>
                  </w14:solidFill>
                </w14:textFill>
              </w:rPr>
              <w:t>①</w:t>
            </w:r>
            <w:r>
              <w:rPr>
                <w:rFonts w:ascii="宋体" w:hAnsi="宋体" w:eastAsia="仿宋"/>
                <w:color w:val="000000" w:themeColor="text1"/>
                <w:kern w:val="0"/>
                <w:sz w:val="24"/>
                <w:szCs w:val="21"/>
                <w14:textFill>
                  <w14:solidFill>
                    <w14:schemeClr w14:val="tx1"/>
                  </w14:solidFill>
                </w14:textFill>
              </w:rPr>
              <w:fldChar w:fldCharType="end"/>
            </w:r>
          </w:p>
        </w:tc>
        <w:tc>
          <w:tcPr>
            <w:tcW w:w="1276" w:type="dxa"/>
            <w:vAlign w:val="center"/>
          </w:tcPr>
          <w:p w14:paraId="006B9817">
            <w:pPr>
              <w:adjustRightInd w:val="0"/>
              <w:snapToGrid w:val="0"/>
              <w:jc w:val="center"/>
              <w:rPr>
                <w:rFonts w:ascii="宋体" w:hAnsi="宋体" w:eastAsia="仿宋"/>
                <w:color w:val="000000" w:themeColor="text1"/>
                <w:sz w:val="24"/>
                <w:szCs w:val="21"/>
                <w14:textFill>
                  <w14:solidFill>
                    <w14:schemeClr w14:val="tx1"/>
                  </w14:solidFill>
                </w14:textFill>
              </w:rPr>
            </w:pPr>
            <w:r>
              <w:rPr>
                <w:rFonts w:ascii="宋体" w:hAnsi="宋体" w:eastAsia="仿宋"/>
                <w:color w:val="000000" w:themeColor="text1"/>
                <w:kern w:val="0"/>
                <w:sz w:val="24"/>
                <w:szCs w:val="21"/>
                <w14:textFill>
                  <w14:solidFill>
                    <w14:schemeClr w14:val="tx1"/>
                  </w14:solidFill>
                </w14:textFill>
              </w:rPr>
              <w:t>现有工程许可排放量</w:t>
            </w:r>
            <w:r>
              <w:rPr>
                <w:rFonts w:eastAsia="仿宋"/>
                <w:color w:val="000000" w:themeColor="text1"/>
                <w:szCs w:val="21"/>
                <w14:textFill>
                  <w14:solidFill>
                    <w14:schemeClr w14:val="tx1"/>
                  </w14:solidFill>
                </w14:textFill>
              </w:rPr>
              <w:fldChar w:fldCharType="begin"/>
            </w:r>
            <w:r>
              <w:rPr>
                <w:rFonts w:eastAsia="仿宋"/>
                <w:color w:val="000000" w:themeColor="text1"/>
                <w:szCs w:val="21"/>
                <w14:textFill>
                  <w14:solidFill>
                    <w14:schemeClr w14:val="tx1"/>
                  </w14:solidFill>
                </w14:textFill>
              </w:rPr>
              <w:instrText xml:space="preserve"> = 2 \* GB3 \* MERGEFORMAT </w:instrText>
            </w:r>
            <w:r>
              <w:rPr>
                <w:rFonts w:eastAsia="仿宋"/>
                <w:color w:val="000000" w:themeColor="text1"/>
                <w:szCs w:val="21"/>
                <w14:textFill>
                  <w14:solidFill>
                    <w14:schemeClr w14:val="tx1"/>
                  </w14:solidFill>
                </w14:textFill>
              </w:rPr>
              <w:fldChar w:fldCharType="separate"/>
            </w:r>
            <w:r>
              <w:rPr>
                <w:rFonts w:hint="eastAsia" w:eastAsia="仿宋"/>
                <w:color w:val="000000" w:themeColor="text1"/>
                <w:szCs w:val="21"/>
                <w14:textFill>
                  <w14:solidFill>
                    <w14:schemeClr w14:val="tx1"/>
                  </w14:solidFill>
                </w14:textFill>
              </w:rPr>
              <w:t>②</w:t>
            </w:r>
            <w:r>
              <w:rPr>
                <w:rFonts w:eastAsia="仿宋"/>
                <w:color w:val="000000" w:themeColor="text1"/>
                <w:szCs w:val="21"/>
                <w14:textFill>
                  <w14:solidFill>
                    <w14:schemeClr w14:val="tx1"/>
                  </w14:solidFill>
                </w14:textFill>
              </w:rPr>
              <w:fldChar w:fldCharType="end"/>
            </w:r>
          </w:p>
        </w:tc>
        <w:tc>
          <w:tcPr>
            <w:tcW w:w="1559" w:type="dxa"/>
            <w:vAlign w:val="center"/>
          </w:tcPr>
          <w:p w14:paraId="3AB666C0">
            <w:pPr>
              <w:adjustRightInd w:val="0"/>
              <w:snapToGrid w:val="0"/>
              <w:jc w:val="center"/>
              <w:rPr>
                <w:rFonts w:ascii="宋体" w:hAnsi="宋体" w:eastAsia="仿宋"/>
                <w:color w:val="000000" w:themeColor="text1"/>
                <w:sz w:val="24"/>
                <w:szCs w:val="21"/>
                <w14:textFill>
                  <w14:solidFill>
                    <w14:schemeClr w14:val="tx1"/>
                  </w14:solidFill>
                </w14:textFill>
              </w:rPr>
            </w:pPr>
            <w:r>
              <w:rPr>
                <w:rFonts w:ascii="宋体" w:hAnsi="宋体" w:eastAsia="仿宋"/>
                <w:color w:val="000000" w:themeColor="text1"/>
                <w:kern w:val="0"/>
                <w:sz w:val="24"/>
                <w:szCs w:val="21"/>
                <w14:textFill>
                  <w14:solidFill>
                    <w14:schemeClr w14:val="tx1"/>
                  </w14:solidFill>
                </w14:textFill>
              </w:rPr>
              <w:t>在建工程排放量（固体废物产生量）</w:t>
            </w:r>
            <w:r>
              <w:rPr>
                <w:rFonts w:ascii="宋体" w:hAnsi="宋体" w:eastAsia="仿宋"/>
                <w:color w:val="000000" w:themeColor="text1"/>
                <w:kern w:val="0"/>
                <w:sz w:val="24"/>
                <w:szCs w:val="21"/>
                <w14:textFill>
                  <w14:solidFill>
                    <w14:schemeClr w14:val="tx1"/>
                  </w14:solidFill>
                </w14:textFill>
              </w:rPr>
              <w:fldChar w:fldCharType="begin"/>
            </w:r>
            <w:r>
              <w:rPr>
                <w:rFonts w:ascii="宋体" w:hAnsi="宋体" w:eastAsia="仿宋"/>
                <w:color w:val="000000" w:themeColor="text1"/>
                <w:kern w:val="0"/>
                <w:sz w:val="24"/>
                <w:szCs w:val="21"/>
                <w14:textFill>
                  <w14:solidFill>
                    <w14:schemeClr w14:val="tx1"/>
                  </w14:solidFill>
                </w14:textFill>
              </w:rPr>
              <w:instrText xml:space="preserve"> = 3 \* GB3 \* MERGEFORMAT </w:instrText>
            </w:r>
            <w:r>
              <w:rPr>
                <w:rFonts w:ascii="宋体" w:hAnsi="宋体" w:eastAsia="仿宋"/>
                <w:color w:val="000000" w:themeColor="text1"/>
                <w:kern w:val="0"/>
                <w:sz w:val="24"/>
                <w:szCs w:val="21"/>
                <w14:textFill>
                  <w14:solidFill>
                    <w14:schemeClr w14:val="tx1"/>
                  </w14:solidFill>
                </w14:textFill>
              </w:rPr>
              <w:fldChar w:fldCharType="separate"/>
            </w:r>
            <w:r>
              <w:rPr>
                <w:rFonts w:hint="eastAsia" w:ascii="宋体" w:hAnsi="宋体" w:eastAsia="仿宋"/>
                <w:color w:val="000000" w:themeColor="text1"/>
                <w:kern w:val="0"/>
                <w:sz w:val="24"/>
                <w:szCs w:val="21"/>
                <w14:textFill>
                  <w14:solidFill>
                    <w14:schemeClr w14:val="tx1"/>
                  </w14:solidFill>
                </w14:textFill>
              </w:rPr>
              <w:t>③</w:t>
            </w:r>
            <w:r>
              <w:rPr>
                <w:rFonts w:ascii="宋体" w:hAnsi="宋体" w:eastAsia="仿宋"/>
                <w:color w:val="000000" w:themeColor="text1"/>
                <w:kern w:val="0"/>
                <w:sz w:val="24"/>
                <w:szCs w:val="21"/>
                <w14:textFill>
                  <w14:solidFill>
                    <w14:schemeClr w14:val="tx1"/>
                  </w14:solidFill>
                </w14:textFill>
              </w:rPr>
              <w:fldChar w:fldCharType="end"/>
            </w:r>
          </w:p>
        </w:tc>
        <w:tc>
          <w:tcPr>
            <w:tcW w:w="1559" w:type="dxa"/>
            <w:vAlign w:val="center"/>
          </w:tcPr>
          <w:p w14:paraId="029096AB">
            <w:pPr>
              <w:adjustRightInd w:val="0"/>
              <w:snapToGrid w:val="0"/>
              <w:jc w:val="center"/>
              <w:rPr>
                <w:rFonts w:ascii="宋体" w:hAnsi="宋体" w:eastAsia="仿宋"/>
                <w:color w:val="000000" w:themeColor="text1"/>
                <w:sz w:val="24"/>
                <w:szCs w:val="21"/>
                <w14:textFill>
                  <w14:solidFill>
                    <w14:schemeClr w14:val="tx1"/>
                  </w14:solidFill>
                </w14:textFill>
              </w:rPr>
            </w:pPr>
            <w:r>
              <w:rPr>
                <w:rFonts w:ascii="宋体" w:hAnsi="宋体" w:eastAsia="仿宋"/>
                <w:color w:val="000000" w:themeColor="text1"/>
                <w:kern w:val="0"/>
                <w:sz w:val="24"/>
                <w:szCs w:val="21"/>
                <w14:textFill>
                  <w14:solidFill>
                    <w14:schemeClr w14:val="tx1"/>
                  </w14:solidFill>
                </w14:textFill>
              </w:rPr>
              <w:t>本项目排放量（固体废物产生量）</w:t>
            </w:r>
            <w:r>
              <w:rPr>
                <w:rFonts w:ascii="宋体" w:hAnsi="宋体" w:eastAsia="仿宋"/>
                <w:color w:val="000000" w:themeColor="text1"/>
                <w:kern w:val="0"/>
                <w:sz w:val="24"/>
                <w:szCs w:val="21"/>
                <w14:textFill>
                  <w14:solidFill>
                    <w14:schemeClr w14:val="tx1"/>
                  </w14:solidFill>
                </w14:textFill>
              </w:rPr>
              <w:fldChar w:fldCharType="begin"/>
            </w:r>
            <w:r>
              <w:rPr>
                <w:rFonts w:ascii="宋体" w:hAnsi="宋体" w:eastAsia="仿宋"/>
                <w:color w:val="000000" w:themeColor="text1"/>
                <w:kern w:val="0"/>
                <w:sz w:val="24"/>
                <w:szCs w:val="21"/>
                <w14:textFill>
                  <w14:solidFill>
                    <w14:schemeClr w14:val="tx1"/>
                  </w14:solidFill>
                </w14:textFill>
              </w:rPr>
              <w:instrText xml:space="preserve"> = 4 \* GB3 \* MERGEFORMAT </w:instrText>
            </w:r>
            <w:r>
              <w:rPr>
                <w:rFonts w:ascii="宋体" w:hAnsi="宋体" w:eastAsia="仿宋"/>
                <w:color w:val="000000" w:themeColor="text1"/>
                <w:kern w:val="0"/>
                <w:sz w:val="24"/>
                <w:szCs w:val="21"/>
                <w14:textFill>
                  <w14:solidFill>
                    <w14:schemeClr w14:val="tx1"/>
                  </w14:solidFill>
                </w14:textFill>
              </w:rPr>
              <w:fldChar w:fldCharType="separate"/>
            </w:r>
            <w:r>
              <w:rPr>
                <w:rFonts w:hint="eastAsia" w:ascii="宋体" w:hAnsi="宋体" w:eastAsia="仿宋"/>
                <w:color w:val="000000" w:themeColor="text1"/>
                <w:kern w:val="0"/>
                <w:sz w:val="24"/>
                <w:szCs w:val="21"/>
                <w14:textFill>
                  <w14:solidFill>
                    <w14:schemeClr w14:val="tx1"/>
                  </w14:solidFill>
                </w14:textFill>
              </w:rPr>
              <w:t>④</w:t>
            </w:r>
            <w:r>
              <w:rPr>
                <w:rFonts w:ascii="宋体" w:hAnsi="宋体" w:eastAsia="仿宋"/>
                <w:color w:val="000000" w:themeColor="text1"/>
                <w:kern w:val="0"/>
                <w:sz w:val="24"/>
                <w:szCs w:val="21"/>
                <w14:textFill>
                  <w14:solidFill>
                    <w14:schemeClr w14:val="tx1"/>
                  </w14:solidFill>
                </w14:textFill>
              </w:rPr>
              <w:fldChar w:fldCharType="end"/>
            </w:r>
          </w:p>
        </w:tc>
        <w:tc>
          <w:tcPr>
            <w:tcW w:w="1559" w:type="dxa"/>
            <w:vAlign w:val="center"/>
          </w:tcPr>
          <w:p w14:paraId="7FF0BE90">
            <w:pPr>
              <w:adjustRightInd w:val="0"/>
              <w:snapToGrid w:val="0"/>
              <w:jc w:val="center"/>
              <w:rPr>
                <w:rFonts w:ascii="宋体" w:hAnsi="宋体" w:eastAsia="仿宋"/>
                <w:color w:val="000000" w:themeColor="text1"/>
                <w:sz w:val="24"/>
                <w:szCs w:val="21"/>
                <w14:textFill>
                  <w14:solidFill>
                    <w14:schemeClr w14:val="tx1"/>
                  </w14:solidFill>
                </w14:textFill>
              </w:rPr>
            </w:pPr>
            <w:r>
              <w:rPr>
                <w:rFonts w:ascii="宋体" w:hAnsi="宋体" w:eastAsia="仿宋"/>
                <w:color w:val="000000" w:themeColor="text1"/>
                <w:kern w:val="0"/>
                <w:sz w:val="24"/>
                <w:szCs w:val="21"/>
                <w14:textFill>
                  <w14:solidFill>
                    <w14:schemeClr w14:val="tx1"/>
                  </w14:solidFill>
                </w14:textFill>
              </w:rPr>
              <w:t>以新带老削减量（新建项目不填）</w:t>
            </w:r>
            <w:r>
              <w:rPr>
                <w:rFonts w:ascii="宋体" w:hAnsi="宋体" w:eastAsia="仿宋"/>
                <w:color w:val="000000" w:themeColor="text1"/>
                <w:kern w:val="0"/>
                <w:sz w:val="24"/>
                <w:szCs w:val="21"/>
                <w14:textFill>
                  <w14:solidFill>
                    <w14:schemeClr w14:val="tx1"/>
                  </w14:solidFill>
                </w14:textFill>
              </w:rPr>
              <w:fldChar w:fldCharType="begin"/>
            </w:r>
            <w:r>
              <w:rPr>
                <w:rFonts w:ascii="宋体" w:hAnsi="宋体" w:eastAsia="仿宋"/>
                <w:color w:val="000000" w:themeColor="text1"/>
                <w:kern w:val="0"/>
                <w:sz w:val="24"/>
                <w:szCs w:val="21"/>
                <w14:textFill>
                  <w14:solidFill>
                    <w14:schemeClr w14:val="tx1"/>
                  </w14:solidFill>
                </w14:textFill>
              </w:rPr>
              <w:instrText xml:space="preserve"> = 5 \* GB3 \* MERGEFORMAT </w:instrText>
            </w:r>
            <w:r>
              <w:rPr>
                <w:rFonts w:ascii="宋体" w:hAnsi="宋体" w:eastAsia="仿宋"/>
                <w:color w:val="000000" w:themeColor="text1"/>
                <w:kern w:val="0"/>
                <w:sz w:val="24"/>
                <w:szCs w:val="21"/>
                <w14:textFill>
                  <w14:solidFill>
                    <w14:schemeClr w14:val="tx1"/>
                  </w14:solidFill>
                </w14:textFill>
              </w:rPr>
              <w:fldChar w:fldCharType="separate"/>
            </w:r>
            <w:r>
              <w:rPr>
                <w:rFonts w:hint="eastAsia" w:ascii="宋体" w:hAnsi="宋体" w:eastAsia="仿宋"/>
                <w:color w:val="000000" w:themeColor="text1"/>
                <w:kern w:val="0"/>
                <w:sz w:val="24"/>
                <w:szCs w:val="21"/>
                <w14:textFill>
                  <w14:solidFill>
                    <w14:schemeClr w14:val="tx1"/>
                  </w14:solidFill>
                </w14:textFill>
              </w:rPr>
              <w:t>⑤</w:t>
            </w:r>
            <w:r>
              <w:rPr>
                <w:rFonts w:ascii="宋体" w:hAnsi="宋体" w:eastAsia="仿宋"/>
                <w:color w:val="000000" w:themeColor="text1"/>
                <w:kern w:val="0"/>
                <w:sz w:val="24"/>
                <w:szCs w:val="21"/>
                <w14:textFill>
                  <w14:solidFill>
                    <w14:schemeClr w14:val="tx1"/>
                  </w14:solidFill>
                </w14:textFill>
              </w:rPr>
              <w:fldChar w:fldCharType="end"/>
            </w:r>
          </w:p>
        </w:tc>
        <w:tc>
          <w:tcPr>
            <w:tcW w:w="1683" w:type="dxa"/>
            <w:vAlign w:val="center"/>
          </w:tcPr>
          <w:p w14:paraId="51CB8D1B">
            <w:pPr>
              <w:adjustRightInd w:val="0"/>
              <w:snapToGrid w:val="0"/>
              <w:jc w:val="center"/>
              <w:rPr>
                <w:rFonts w:eastAsia="仿宋"/>
                <w:color w:val="000000" w:themeColor="text1"/>
                <w:sz w:val="24"/>
                <w:szCs w:val="21"/>
                <w14:textFill>
                  <w14:solidFill>
                    <w14:schemeClr w14:val="tx1"/>
                  </w14:solidFill>
                </w14:textFill>
              </w:rPr>
            </w:pPr>
            <w:r>
              <w:rPr>
                <w:rFonts w:eastAsia="仿宋"/>
                <w:color w:val="000000" w:themeColor="text1"/>
                <w:kern w:val="0"/>
                <w:sz w:val="24"/>
                <w:szCs w:val="21"/>
                <w14:textFill>
                  <w14:solidFill>
                    <w14:schemeClr w14:val="tx1"/>
                  </w14:solidFill>
                </w14:textFill>
              </w:rPr>
              <w:t>本项目建成后全厂排放量（固体废物产生量）</w:t>
            </w:r>
            <w:r>
              <w:rPr>
                <w:rFonts w:eastAsia="仿宋"/>
                <w:color w:val="000000" w:themeColor="text1"/>
                <w:kern w:val="0"/>
                <w:sz w:val="24"/>
                <w:szCs w:val="21"/>
                <w14:textFill>
                  <w14:solidFill>
                    <w14:schemeClr w14:val="tx1"/>
                  </w14:solidFill>
                </w14:textFill>
              </w:rPr>
              <w:fldChar w:fldCharType="begin"/>
            </w:r>
            <w:r>
              <w:rPr>
                <w:rFonts w:eastAsia="仿宋"/>
                <w:color w:val="000000" w:themeColor="text1"/>
                <w:kern w:val="0"/>
                <w:sz w:val="24"/>
                <w:szCs w:val="21"/>
                <w14:textFill>
                  <w14:solidFill>
                    <w14:schemeClr w14:val="tx1"/>
                  </w14:solidFill>
                </w14:textFill>
              </w:rPr>
              <w:instrText xml:space="preserve"> = 6 \* GB3 \* MERGEFORMAT </w:instrText>
            </w:r>
            <w:r>
              <w:rPr>
                <w:rFonts w:eastAsia="仿宋"/>
                <w:color w:val="000000" w:themeColor="text1"/>
                <w:kern w:val="0"/>
                <w:sz w:val="24"/>
                <w:szCs w:val="21"/>
                <w14:textFill>
                  <w14:solidFill>
                    <w14:schemeClr w14:val="tx1"/>
                  </w14:solidFill>
                </w14:textFill>
              </w:rPr>
              <w:fldChar w:fldCharType="separate"/>
            </w:r>
            <w:r>
              <w:rPr>
                <w:rFonts w:hint="eastAsia" w:ascii="宋体" w:hAnsi="宋体" w:cs="宋体"/>
                <w:color w:val="000000" w:themeColor="text1"/>
                <w:kern w:val="0"/>
                <w:sz w:val="24"/>
                <w:szCs w:val="21"/>
                <w14:textFill>
                  <w14:solidFill>
                    <w14:schemeClr w14:val="tx1"/>
                  </w14:solidFill>
                </w14:textFill>
              </w:rPr>
              <w:t>⑥</w:t>
            </w:r>
            <w:r>
              <w:rPr>
                <w:rFonts w:eastAsia="仿宋"/>
                <w:color w:val="000000" w:themeColor="text1"/>
                <w:kern w:val="0"/>
                <w:sz w:val="24"/>
                <w:szCs w:val="21"/>
                <w14:textFill>
                  <w14:solidFill>
                    <w14:schemeClr w14:val="tx1"/>
                  </w14:solidFill>
                </w14:textFill>
              </w:rPr>
              <w:fldChar w:fldCharType="end"/>
            </w:r>
          </w:p>
        </w:tc>
        <w:tc>
          <w:tcPr>
            <w:tcW w:w="1341" w:type="dxa"/>
            <w:vAlign w:val="center"/>
          </w:tcPr>
          <w:p w14:paraId="08F119DB">
            <w:pPr>
              <w:adjustRightInd w:val="0"/>
              <w:snapToGrid w:val="0"/>
              <w:jc w:val="center"/>
              <w:rPr>
                <w:rFonts w:eastAsia="仿宋"/>
                <w:color w:val="000000" w:themeColor="text1"/>
                <w14:textFill>
                  <w14:solidFill>
                    <w14:schemeClr w14:val="tx1"/>
                  </w14:solidFill>
                </w14:textFill>
              </w:rPr>
            </w:pPr>
            <w:r>
              <w:rPr>
                <w:rFonts w:eastAsia="仿宋"/>
                <w:color w:val="000000" w:themeColor="text1"/>
                <w:kern w:val="0"/>
                <w:sz w:val="24"/>
                <w:szCs w:val="21"/>
                <w14:textFill>
                  <w14:solidFill>
                    <w14:schemeClr w14:val="tx1"/>
                  </w14:solidFill>
                </w14:textFill>
              </w:rPr>
              <w:t>变化量</w:t>
            </w:r>
            <w:r>
              <w:rPr>
                <w:rFonts w:eastAsia="仿宋"/>
                <w:color w:val="000000" w:themeColor="text1"/>
                <w14:textFill>
                  <w14:solidFill>
                    <w14:schemeClr w14:val="tx1"/>
                  </w14:solidFill>
                </w14:textFill>
              </w:rPr>
              <w:fldChar w:fldCharType="begin"/>
            </w:r>
            <w:r>
              <w:rPr>
                <w:rFonts w:eastAsia="仿宋"/>
                <w:color w:val="000000" w:themeColor="text1"/>
                <w14:textFill>
                  <w14:solidFill>
                    <w14:schemeClr w14:val="tx1"/>
                  </w14:solidFill>
                </w14:textFill>
              </w:rPr>
              <w:instrText xml:space="preserve"> = 7 \* GB3 \* MERGEFORMAT </w:instrText>
            </w:r>
            <w:r>
              <w:rPr>
                <w:rFonts w:eastAsia="仿宋"/>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⑦</w:t>
            </w:r>
            <w:r>
              <w:rPr>
                <w:rFonts w:eastAsia="仿宋"/>
                <w:color w:val="000000" w:themeColor="text1"/>
                <w14:textFill>
                  <w14:solidFill>
                    <w14:schemeClr w14:val="tx1"/>
                  </w14:solidFill>
                </w14:textFill>
              </w:rPr>
              <w:fldChar w:fldCharType="end"/>
            </w:r>
          </w:p>
        </w:tc>
      </w:tr>
      <w:tr w14:paraId="07193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846" w:type="dxa"/>
            <w:vMerge w:val="restart"/>
            <w:vAlign w:val="center"/>
          </w:tcPr>
          <w:p w14:paraId="6905B235">
            <w:pPr>
              <w:pStyle w:val="21"/>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w:t>
            </w:r>
          </w:p>
        </w:tc>
        <w:tc>
          <w:tcPr>
            <w:tcW w:w="961" w:type="dxa"/>
            <w:vMerge w:val="restart"/>
            <w:vAlign w:val="center"/>
          </w:tcPr>
          <w:p w14:paraId="1A9277DE">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有组织废气</w:t>
            </w:r>
          </w:p>
        </w:tc>
        <w:tc>
          <w:tcPr>
            <w:tcW w:w="1449" w:type="dxa"/>
            <w:vAlign w:val="center"/>
          </w:tcPr>
          <w:p w14:paraId="000D469C">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甲醇</w:t>
            </w:r>
          </w:p>
        </w:tc>
        <w:tc>
          <w:tcPr>
            <w:tcW w:w="1559" w:type="dxa"/>
            <w:vAlign w:val="center"/>
          </w:tcPr>
          <w:p w14:paraId="185A82AD">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76" w:type="dxa"/>
            <w:vAlign w:val="center"/>
          </w:tcPr>
          <w:p w14:paraId="6353DC92">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559" w:type="dxa"/>
            <w:vAlign w:val="center"/>
          </w:tcPr>
          <w:p w14:paraId="2341BD9A">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559" w:type="dxa"/>
            <w:vAlign w:val="center"/>
          </w:tcPr>
          <w:p w14:paraId="2C13882D">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1"/>
                <w14:textFill>
                  <w14:solidFill>
                    <w14:schemeClr w14:val="tx1"/>
                  </w14:solidFill>
                </w14:textFill>
              </w:rPr>
              <w:t>0.002</w:t>
            </w:r>
          </w:p>
        </w:tc>
        <w:tc>
          <w:tcPr>
            <w:tcW w:w="1559" w:type="dxa"/>
            <w:vAlign w:val="center"/>
          </w:tcPr>
          <w:p w14:paraId="045BE7EA">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683" w:type="dxa"/>
            <w:vAlign w:val="center"/>
          </w:tcPr>
          <w:p w14:paraId="54DCAD03">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1"/>
                <w14:textFill>
                  <w14:solidFill>
                    <w14:schemeClr w14:val="tx1"/>
                  </w14:solidFill>
                </w14:textFill>
              </w:rPr>
              <w:t>0.002</w:t>
            </w:r>
          </w:p>
        </w:tc>
        <w:tc>
          <w:tcPr>
            <w:tcW w:w="1341" w:type="dxa"/>
            <w:vAlign w:val="center"/>
          </w:tcPr>
          <w:p w14:paraId="30E61DFD">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1"/>
                <w14:textFill>
                  <w14:solidFill>
                    <w14:schemeClr w14:val="tx1"/>
                  </w14:solidFill>
                </w14:textFill>
              </w:rPr>
              <w:t>+0.002</w:t>
            </w:r>
          </w:p>
        </w:tc>
      </w:tr>
      <w:tr w14:paraId="2391C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846" w:type="dxa"/>
            <w:vMerge w:val="continue"/>
            <w:vAlign w:val="center"/>
          </w:tcPr>
          <w:p w14:paraId="6DF33254">
            <w:pPr>
              <w:pStyle w:val="21"/>
              <w:rPr>
                <w:color w:val="000000" w:themeColor="text1"/>
                <w:sz w:val="21"/>
                <w:szCs w:val="21"/>
                <w14:textFill>
                  <w14:solidFill>
                    <w14:schemeClr w14:val="tx1"/>
                  </w14:solidFill>
                </w14:textFill>
              </w:rPr>
            </w:pPr>
          </w:p>
        </w:tc>
        <w:tc>
          <w:tcPr>
            <w:tcW w:w="961" w:type="dxa"/>
            <w:vMerge w:val="continue"/>
            <w:vAlign w:val="center"/>
          </w:tcPr>
          <w:p w14:paraId="25DEB3C2">
            <w:pPr>
              <w:widowControl/>
              <w:jc w:val="center"/>
              <w:rPr>
                <w:rFonts w:eastAsia="仿宋"/>
                <w:color w:val="000000" w:themeColor="text1"/>
                <w:kern w:val="0"/>
                <w:szCs w:val="21"/>
                <w14:textFill>
                  <w14:solidFill>
                    <w14:schemeClr w14:val="tx1"/>
                  </w14:solidFill>
                </w14:textFill>
              </w:rPr>
            </w:pPr>
          </w:p>
        </w:tc>
        <w:tc>
          <w:tcPr>
            <w:tcW w:w="1449" w:type="dxa"/>
            <w:vAlign w:val="center"/>
          </w:tcPr>
          <w:p w14:paraId="6BA2DB09">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非甲烷总烃</w:t>
            </w:r>
          </w:p>
        </w:tc>
        <w:tc>
          <w:tcPr>
            <w:tcW w:w="1559" w:type="dxa"/>
            <w:vAlign w:val="center"/>
          </w:tcPr>
          <w:p w14:paraId="61B9E5FF">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76" w:type="dxa"/>
            <w:vAlign w:val="center"/>
          </w:tcPr>
          <w:p w14:paraId="33B9600C">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559" w:type="dxa"/>
            <w:vAlign w:val="center"/>
          </w:tcPr>
          <w:p w14:paraId="69A6823A">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559" w:type="dxa"/>
            <w:vAlign w:val="center"/>
          </w:tcPr>
          <w:p w14:paraId="33DECB0E">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0.004</w:t>
            </w:r>
          </w:p>
        </w:tc>
        <w:tc>
          <w:tcPr>
            <w:tcW w:w="1559" w:type="dxa"/>
            <w:vAlign w:val="center"/>
          </w:tcPr>
          <w:p w14:paraId="0520A5B7">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683" w:type="dxa"/>
            <w:vAlign w:val="center"/>
          </w:tcPr>
          <w:p w14:paraId="508217D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0.004</w:t>
            </w:r>
          </w:p>
        </w:tc>
        <w:tc>
          <w:tcPr>
            <w:tcW w:w="1341" w:type="dxa"/>
            <w:vAlign w:val="center"/>
          </w:tcPr>
          <w:p w14:paraId="29D9CCC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+0.004</w:t>
            </w:r>
          </w:p>
        </w:tc>
      </w:tr>
      <w:tr w14:paraId="3AF4F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846" w:type="dxa"/>
            <w:vMerge w:val="continue"/>
            <w:vAlign w:val="center"/>
          </w:tcPr>
          <w:p w14:paraId="47E86FED">
            <w:pPr>
              <w:adjustRightInd w:val="0"/>
              <w:snapToGrid w:val="0"/>
              <w:jc w:val="center"/>
              <w:rPr>
                <w:rFonts w:eastAsia="仿宋"/>
                <w:color w:val="000000" w:themeColor="text1"/>
                <w:szCs w:val="21"/>
                <w14:textFill>
                  <w14:solidFill>
                    <w14:schemeClr w14:val="tx1"/>
                  </w14:solidFill>
                </w14:textFill>
              </w:rPr>
            </w:pPr>
          </w:p>
        </w:tc>
        <w:tc>
          <w:tcPr>
            <w:tcW w:w="961" w:type="dxa"/>
            <w:vMerge w:val="continue"/>
            <w:vAlign w:val="center"/>
          </w:tcPr>
          <w:p w14:paraId="3B1AB030">
            <w:pPr>
              <w:adjustRightInd w:val="0"/>
              <w:snapToGrid w:val="0"/>
              <w:jc w:val="center"/>
              <w:rPr>
                <w:rFonts w:eastAsia="仿宋"/>
                <w:color w:val="000000" w:themeColor="text1"/>
                <w:kern w:val="0"/>
                <w:szCs w:val="21"/>
                <w14:textFill>
                  <w14:solidFill>
                    <w14:schemeClr w14:val="tx1"/>
                  </w14:solidFill>
                </w14:textFill>
              </w:rPr>
            </w:pPr>
          </w:p>
        </w:tc>
        <w:tc>
          <w:tcPr>
            <w:tcW w:w="1449" w:type="dxa"/>
            <w:vAlign w:val="center"/>
          </w:tcPr>
          <w:p w14:paraId="09E5FA28">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氮氧化物</w:t>
            </w:r>
          </w:p>
        </w:tc>
        <w:tc>
          <w:tcPr>
            <w:tcW w:w="1559" w:type="dxa"/>
            <w:vAlign w:val="center"/>
          </w:tcPr>
          <w:p w14:paraId="56BA8667">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76" w:type="dxa"/>
            <w:vAlign w:val="center"/>
          </w:tcPr>
          <w:p w14:paraId="4CC30E42">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559" w:type="dxa"/>
            <w:vAlign w:val="center"/>
          </w:tcPr>
          <w:p w14:paraId="7206E8F1">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559" w:type="dxa"/>
            <w:vAlign w:val="center"/>
          </w:tcPr>
          <w:p w14:paraId="0E23662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0.283</w:t>
            </w:r>
          </w:p>
        </w:tc>
        <w:tc>
          <w:tcPr>
            <w:tcW w:w="1559" w:type="dxa"/>
            <w:vAlign w:val="center"/>
          </w:tcPr>
          <w:p w14:paraId="7F11CE23">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683" w:type="dxa"/>
            <w:vAlign w:val="center"/>
          </w:tcPr>
          <w:p w14:paraId="691DFFD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0.283</w:t>
            </w:r>
          </w:p>
        </w:tc>
        <w:tc>
          <w:tcPr>
            <w:tcW w:w="1341" w:type="dxa"/>
            <w:vAlign w:val="center"/>
          </w:tcPr>
          <w:p w14:paraId="3EED918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+0.283</w:t>
            </w:r>
          </w:p>
        </w:tc>
      </w:tr>
      <w:tr w14:paraId="0DBDA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846" w:type="dxa"/>
            <w:vMerge w:val="continue"/>
            <w:vAlign w:val="center"/>
          </w:tcPr>
          <w:p w14:paraId="639506FE">
            <w:pPr>
              <w:adjustRightInd w:val="0"/>
              <w:snapToGrid w:val="0"/>
              <w:jc w:val="center"/>
              <w:rPr>
                <w:rFonts w:eastAsia="仿宋"/>
                <w:color w:val="000000" w:themeColor="text1"/>
                <w:szCs w:val="21"/>
                <w14:textFill>
                  <w14:solidFill>
                    <w14:schemeClr w14:val="tx1"/>
                  </w14:solidFill>
                </w14:textFill>
              </w:rPr>
            </w:pPr>
          </w:p>
        </w:tc>
        <w:tc>
          <w:tcPr>
            <w:tcW w:w="961" w:type="dxa"/>
            <w:vMerge w:val="continue"/>
            <w:vAlign w:val="center"/>
          </w:tcPr>
          <w:p w14:paraId="673A2945">
            <w:pPr>
              <w:adjustRightInd w:val="0"/>
              <w:snapToGrid w:val="0"/>
              <w:jc w:val="center"/>
              <w:rPr>
                <w:rFonts w:eastAsia="仿宋"/>
                <w:color w:val="000000" w:themeColor="text1"/>
                <w:kern w:val="0"/>
                <w:szCs w:val="21"/>
                <w14:textFill>
                  <w14:solidFill>
                    <w14:schemeClr w14:val="tx1"/>
                  </w14:solidFill>
                </w14:textFill>
              </w:rPr>
            </w:pPr>
          </w:p>
        </w:tc>
        <w:tc>
          <w:tcPr>
            <w:tcW w:w="1449" w:type="dxa"/>
            <w:vAlign w:val="center"/>
          </w:tcPr>
          <w:p w14:paraId="3D4E2498">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二氧化硫</w:t>
            </w:r>
          </w:p>
        </w:tc>
        <w:tc>
          <w:tcPr>
            <w:tcW w:w="1559" w:type="dxa"/>
            <w:vAlign w:val="center"/>
          </w:tcPr>
          <w:p w14:paraId="79DE9D9A">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76" w:type="dxa"/>
            <w:vAlign w:val="center"/>
          </w:tcPr>
          <w:p w14:paraId="6C511A99">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559" w:type="dxa"/>
            <w:vAlign w:val="center"/>
          </w:tcPr>
          <w:p w14:paraId="7E7650F2">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559" w:type="dxa"/>
            <w:vAlign w:val="center"/>
          </w:tcPr>
          <w:p w14:paraId="1C0C4D6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0.188</w:t>
            </w:r>
          </w:p>
        </w:tc>
        <w:tc>
          <w:tcPr>
            <w:tcW w:w="1559" w:type="dxa"/>
            <w:vAlign w:val="center"/>
          </w:tcPr>
          <w:p w14:paraId="1F012049">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683" w:type="dxa"/>
            <w:vAlign w:val="center"/>
          </w:tcPr>
          <w:p w14:paraId="0940642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0.188</w:t>
            </w:r>
          </w:p>
        </w:tc>
        <w:tc>
          <w:tcPr>
            <w:tcW w:w="1341" w:type="dxa"/>
            <w:vAlign w:val="center"/>
          </w:tcPr>
          <w:p w14:paraId="064E87D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+0.188</w:t>
            </w:r>
          </w:p>
        </w:tc>
      </w:tr>
      <w:tr w14:paraId="4ABF3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846" w:type="dxa"/>
            <w:vMerge w:val="continue"/>
            <w:vAlign w:val="center"/>
          </w:tcPr>
          <w:p w14:paraId="3F9D2E91">
            <w:pPr>
              <w:adjustRightInd w:val="0"/>
              <w:snapToGrid w:val="0"/>
              <w:jc w:val="center"/>
              <w:rPr>
                <w:rFonts w:eastAsia="仿宋"/>
                <w:color w:val="000000" w:themeColor="text1"/>
                <w:szCs w:val="21"/>
                <w14:textFill>
                  <w14:solidFill>
                    <w14:schemeClr w14:val="tx1"/>
                  </w14:solidFill>
                </w14:textFill>
              </w:rPr>
            </w:pPr>
          </w:p>
        </w:tc>
        <w:tc>
          <w:tcPr>
            <w:tcW w:w="961" w:type="dxa"/>
            <w:vMerge w:val="continue"/>
            <w:vAlign w:val="center"/>
          </w:tcPr>
          <w:p w14:paraId="0C10542F">
            <w:pPr>
              <w:adjustRightInd w:val="0"/>
              <w:snapToGrid w:val="0"/>
              <w:jc w:val="center"/>
              <w:rPr>
                <w:rFonts w:eastAsia="仿宋"/>
                <w:color w:val="000000" w:themeColor="text1"/>
                <w:kern w:val="0"/>
                <w:szCs w:val="21"/>
                <w14:textFill>
                  <w14:solidFill>
                    <w14:schemeClr w14:val="tx1"/>
                  </w14:solidFill>
                </w14:textFill>
              </w:rPr>
            </w:pPr>
          </w:p>
        </w:tc>
        <w:tc>
          <w:tcPr>
            <w:tcW w:w="1449" w:type="dxa"/>
            <w:vAlign w:val="center"/>
          </w:tcPr>
          <w:p w14:paraId="697A4AF1">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颗粒物</w:t>
            </w:r>
          </w:p>
        </w:tc>
        <w:tc>
          <w:tcPr>
            <w:tcW w:w="1559" w:type="dxa"/>
            <w:vAlign w:val="center"/>
          </w:tcPr>
          <w:p w14:paraId="1399DE6A">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76" w:type="dxa"/>
            <w:vAlign w:val="center"/>
          </w:tcPr>
          <w:p w14:paraId="10F63A57">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559" w:type="dxa"/>
            <w:vAlign w:val="center"/>
          </w:tcPr>
          <w:p w14:paraId="5128C710">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559" w:type="dxa"/>
            <w:vAlign w:val="center"/>
          </w:tcPr>
          <w:p w14:paraId="2469982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0.074</w:t>
            </w:r>
          </w:p>
        </w:tc>
        <w:tc>
          <w:tcPr>
            <w:tcW w:w="1559" w:type="dxa"/>
            <w:vAlign w:val="center"/>
          </w:tcPr>
          <w:p w14:paraId="01FE6311">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683" w:type="dxa"/>
            <w:vAlign w:val="center"/>
          </w:tcPr>
          <w:p w14:paraId="172B295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0.074</w:t>
            </w:r>
          </w:p>
        </w:tc>
        <w:tc>
          <w:tcPr>
            <w:tcW w:w="1341" w:type="dxa"/>
            <w:vAlign w:val="center"/>
          </w:tcPr>
          <w:p w14:paraId="6DDCCD5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+0.074</w:t>
            </w:r>
          </w:p>
        </w:tc>
      </w:tr>
      <w:tr w14:paraId="5F987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846" w:type="dxa"/>
            <w:vMerge w:val="continue"/>
            <w:vAlign w:val="center"/>
          </w:tcPr>
          <w:p w14:paraId="24BF7938">
            <w:pPr>
              <w:pStyle w:val="21"/>
              <w:rPr>
                <w:color w:val="000000" w:themeColor="text1"/>
                <w:sz w:val="21"/>
                <w:szCs w:val="21"/>
                <w14:textFill>
                  <w14:solidFill>
                    <w14:schemeClr w14:val="tx1"/>
                  </w14:solidFill>
                </w14:textFill>
              </w:rPr>
            </w:pPr>
          </w:p>
        </w:tc>
        <w:tc>
          <w:tcPr>
            <w:tcW w:w="961" w:type="dxa"/>
            <w:vMerge w:val="restart"/>
            <w:vAlign w:val="center"/>
          </w:tcPr>
          <w:p w14:paraId="609A1A88">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无组织废气</w:t>
            </w:r>
          </w:p>
        </w:tc>
        <w:tc>
          <w:tcPr>
            <w:tcW w:w="1449" w:type="dxa"/>
            <w:vAlign w:val="center"/>
          </w:tcPr>
          <w:p w14:paraId="12F8AE4C">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甲醇</w:t>
            </w:r>
          </w:p>
        </w:tc>
        <w:tc>
          <w:tcPr>
            <w:tcW w:w="1559" w:type="dxa"/>
            <w:vAlign w:val="center"/>
          </w:tcPr>
          <w:p w14:paraId="694359BF">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76" w:type="dxa"/>
            <w:vAlign w:val="center"/>
          </w:tcPr>
          <w:p w14:paraId="57D6E0CF">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559" w:type="dxa"/>
            <w:vAlign w:val="center"/>
          </w:tcPr>
          <w:p w14:paraId="697B38AB">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559" w:type="dxa"/>
            <w:vAlign w:val="center"/>
          </w:tcPr>
          <w:p w14:paraId="3739DF4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0.0003</w:t>
            </w:r>
          </w:p>
        </w:tc>
        <w:tc>
          <w:tcPr>
            <w:tcW w:w="1559" w:type="dxa"/>
            <w:vAlign w:val="center"/>
          </w:tcPr>
          <w:p w14:paraId="42384505">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683" w:type="dxa"/>
            <w:vAlign w:val="center"/>
          </w:tcPr>
          <w:p w14:paraId="03BCA59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0.0003</w:t>
            </w:r>
          </w:p>
        </w:tc>
        <w:tc>
          <w:tcPr>
            <w:tcW w:w="1341" w:type="dxa"/>
            <w:vAlign w:val="center"/>
          </w:tcPr>
          <w:p w14:paraId="7728497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+0.0003</w:t>
            </w:r>
          </w:p>
        </w:tc>
      </w:tr>
      <w:tr w14:paraId="63DD7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846" w:type="dxa"/>
            <w:vMerge w:val="continue"/>
            <w:vAlign w:val="center"/>
          </w:tcPr>
          <w:p w14:paraId="7662832A">
            <w:pPr>
              <w:pStyle w:val="21"/>
              <w:rPr>
                <w:color w:val="000000" w:themeColor="text1"/>
                <w:sz w:val="21"/>
                <w:szCs w:val="21"/>
                <w14:textFill>
                  <w14:solidFill>
                    <w14:schemeClr w14:val="tx1"/>
                  </w14:solidFill>
                </w14:textFill>
              </w:rPr>
            </w:pPr>
          </w:p>
        </w:tc>
        <w:tc>
          <w:tcPr>
            <w:tcW w:w="961" w:type="dxa"/>
            <w:vMerge w:val="continue"/>
            <w:vAlign w:val="center"/>
          </w:tcPr>
          <w:p w14:paraId="3C4EE4A2">
            <w:pPr>
              <w:widowControl/>
              <w:jc w:val="center"/>
              <w:rPr>
                <w:rFonts w:eastAsia="仿宋"/>
                <w:color w:val="000000" w:themeColor="text1"/>
                <w:kern w:val="0"/>
                <w:szCs w:val="21"/>
                <w14:textFill>
                  <w14:solidFill>
                    <w14:schemeClr w14:val="tx1"/>
                  </w14:solidFill>
                </w14:textFill>
              </w:rPr>
            </w:pPr>
          </w:p>
        </w:tc>
        <w:tc>
          <w:tcPr>
            <w:tcW w:w="1449" w:type="dxa"/>
            <w:vAlign w:val="center"/>
          </w:tcPr>
          <w:p w14:paraId="39A5F6CA">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非甲烷总烃</w:t>
            </w:r>
          </w:p>
        </w:tc>
        <w:tc>
          <w:tcPr>
            <w:tcW w:w="1559" w:type="dxa"/>
            <w:vAlign w:val="center"/>
          </w:tcPr>
          <w:p w14:paraId="2EF9785A">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276" w:type="dxa"/>
            <w:vAlign w:val="center"/>
          </w:tcPr>
          <w:p w14:paraId="338AEDC9">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559" w:type="dxa"/>
            <w:vAlign w:val="center"/>
          </w:tcPr>
          <w:p w14:paraId="73D110BB">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559" w:type="dxa"/>
            <w:vAlign w:val="center"/>
          </w:tcPr>
          <w:p w14:paraId="367BD88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0.0008</w:t>
            </w:r>
          </w:p>
        </w:tc>
        <w:tc>
          <w:tcPr>
            <w:tcW w:w="1559" w:type="dxa"/>
            <w:vAlign w:val="center"/>
          </w:tcPr>
          <w:p w14:paraId="482ECA53">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683" w:type="dxa"/>
            <w:vAlign w:val="center"/>
          </w:tcPr>
          <w:p w14:paraId="4614A1B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0.0008</w:t>
            </w:r>
          </w:p>
        </w:tc>
        <w:tc>
          <w:tcPr>
            <w:tcW w:w="1341" w:type="dxa"/>
            <w:vAlign w:val="center"/>
          </w:tcPr>
          <w:p w14:paraId="208D32AA">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+0.0008</w:t>
            </w:r>
          </w:p>
        </w:tc>
      </w:tr>
      <w:tr w14:paraId="633A3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14:paraId="41E57B96">
            <w:pPr>
              <w:pStyle w:val="21"/>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w:t>
            </w:r>
          </w:p>
        </w:tc>
        <w:tc>
          <w:tcPr>
            <w:tcW w:w="2410" w:type="dxa"/>
            <w:gridSpan w:val="2"/>
            <w:vAlign w:val="center"/>
          </w:tcPr>
          <w:p w14:paraId="1BC2F03A">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1"/>
                <w14:textFill>
                  <w14:solidFill>
                    <w14:schemeClr w14:val="tx1"/>
                  </w14:solidFill>
                </w14:textFill>
              </w:rPr>
              <w:t>水量</w:t>
            </w:r>
          </w:p>
        </w:tc>
        <w:tc>
          <w:tcPr>
            <w:tcW w:w="1559" w:type="dxa"/>
            <w:vAlign w:val="center"/>
          </w:tcPr>
          <w:p w14:paraId="2086A688">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480</w:t>
            </w:r>
          </w:p>
        </w:tc>
        <w:tc>
          <w:tcPr>
            <w:tcW w:w="1276" w:type="dxa"/>
            <w:vAlign w:val="center"/>
          </w:tcPr>
          <w:p w14:paraId="68AF717E">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480</w:t>
            </w:r>
          </w:p>
        </w:tc>
        <w:tc>
          <w:tcPr>
            <w:tcW w:w="1559" w:type="dxa"/>
            <w:vAlign w:val="center"/>
          </w:tcPr>
          <w:p w14:paraId="2DA1D08E">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559" w:type="dxa"/>
            <w:vAlign w:val="center"/>
          </w:tcPr>
          <w:p w14:paraId="33CAB300">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1"/>
                <w14:textFill>
                  <w14:solidFill>
                    <w14:schemeClr w14:val="tx1"/>
                  </w14:solidFill>
                </w14:textFill>
              </w:rPr>
              <w:t>1296</w:t>
            </w:r>
          </w:p>
        </w:tc>
        <w:tc>
          <w:tcPr>
            <w:tcW w:w="1559" w:type="dxa"/>
            <w:vAlign w:val="center"/>
          </w:tcPr>
          <w:p w14:paraId="0241D18F">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683" w:type="dxa"/>
            <w:vAlign w:val="center"/>
          </w:tcPr>
          <w:p w14:paraId="32110429">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1"/>
                <w14:textFill>
                  <w14:solidFill>
                    <w14:schemeClr w14:val="tx1"/>
                  </w14:solidFill>
                </w14:textFill>
              </w:rPr>
              <w:t>1776</w:t>
            </w:r>
          </w:p>
        </w:tc>
        <w:tc>
          <w:tcPr>
            <w:tcW w:w="1341" w:type="dxa"/>
            <w:vAlign w:val="center"/>
          </w:tcPr>
          <w:p w14:paraId="51D96EFD">
            <w:pPr>
              <w:widowControl/>
              <w:jc w:val="center"/>
              <w:rPr>
                <w:rFonts w:eastAsia="仿宋"/>
                <w:color w:val="000000" w:themeColor="text1"/>
                <w:kern w:val="0"/>
                <w:szCs w:val="21"/>
                <w14:textFill>
                  <w14:solidFill>
                    <w14:schemeClr w14:val="tx1"/>
                  </w14:solidFill>
                </w14:textFill>
              </w:rPr>
            </w:pPr>
            <w:r>
              <w:rPr>
                <w:rFonts w:eastAsia="仿宋"/>
                <w:color w:val="000000" w:themeColor="text1"/>
                <w:szCs w:val="21"/>
                <w14:textFill>
                  <w14:solidFill>
                    <w14:schemeClr w14:val="tx1"/>
                  </w14:solidFill>
                </w14:textFill>
              </w:rPr>
              <w:t>+1296</w:t>
            </w:r>
          </w:p>
        </w:tc>
      </w:tr>
      <w:tr w14:paraId="48F34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14:paraId="4B8CAB91">
            <w:pPr>
              <w:pStyle w:val="21"/>
              <w:rPr>
                <w:color w:val="000000" w:themeColor="text1"/>
                <w:sz w:val="21"/>
                <w:szCs w:val="21"/>
                <w14:textFill>
                  <w14:solidFill>
                    <w14:schemeClr w14:val="tx1"/>
                  </w14:solidFill>
                </w14:textFill>
              </w:rPr>
            </w:pPr>
          </w:p>
        </w:tc>
        <w:tc>
          <w:tcPr>
            <w:tcW w:w="2410" w:type="dxa"/>
            <w:gridSpan w:val="2"/>
            <w:vAlign w:val="center"/>
          </w:tcPr>
          <w:p w14:paraId="6E9EBBF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COD</w:t>
            </w:r>
          </w:p>
        </w:tc>
        <w:tc>
          <w:tcPr>
            <w:tcW w:w="1559" w:type="dxa"/>
            <w:vAlign w:val="center"/>
          </w:tcPr>
          <w:p w14:paraId="5A9E7203">
            <w:pPr>
              <w:adjustRightInd w:val="0"/>
              <w:snapToGrid w:val="0"/>
              <w:jc w:val="center"/>
              <w:rPr>
                <w:rFonts w:eastAsia="仿宋"/>
                <w:color w:val="000000" w:themeColor="text1"/>
                <w:kern w:val="0"/>
                <w:szCs w:val="21"/>
                <w14:textFill>
                  <w14:solidFill>
                    <w14:schemeClr w14:val="tx1"/>
                  </w14:solidFill>
                </w14:textFill>
              </w:rPr>
            </w:pPr>
            <w:r>
              <w:rPr>
                <w:rFonts w:hint="eastAsia"/>
                <w:color w:val="000000" w:themeColor="text1"/>
                <w:sz w:val="22"/>
                <w:szCs w:val="22"/>
                <w14:textFill>
                  <w14:solidFill>
                    <w14:schemeClr w14:val="tx1"/>
                  </w14:solidFill>
                </w14:textFill>
              </w:rPr>
              <w:t>0.192</w:t>
            </w:r>
          </w:p>
        </w:tc>
        <w:tc>
          <w:tcPr>
            <w:tcW w:w="1276" w:type="dxa"/>
            <w:vAlign w:val="center"/>
          </w:tcPr>
          <w:p w14:paraId="0B88B13D">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559" w:type="dxa"/>
            <w:vAlign w:val="center"/>
          </w:tcPr>
          <w:p w14:paraId="160423F7">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559" w:type="dxa"/>
            <w:vAlign w:val="center"/>
          </w:tcPr>
          <w:p w14:paraId="37E4740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0.518</w:t>
            </w:r>
          </w:p>
        </w:tc>
        <w:tc>
          <w:tcPr>
            <w:tcW w:w="1559" w:type="dxa"/>
            <w:vAlign w:val="center"/>
          </w:tcPr>
          <w:p w14:paraId="5244EED6">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683" w:type="dxa"/>
            <w:vAlign w:val="center"/>
          </w:tcPr>
          <w:p w14:paraId="398B78F6">
            <w:pPr>
              <w:jc w:val="center"/>
              <w:rPr>
                <w:rFonts w:eastAsia="仿宋"/>
                <w:color w:val="000000" w:themeColor="text1"/>
                <w:szCs w:val="21"/>
                <w14:textFill>
                  <w14:solidFill>
                    <w14:schemeClr w14:val="tx1"/>
                  </w14:solidFill>
                </w14:textFill>
              </w:rPr>
            </w:pPr>
            <w:r>
              <w:rPr>
                <w:rFonts w:hint="eastAsia"/>
                <w:color w:val="000000" w:themeColor="text1"/>
                <w:sz w:val="22"/>
                <w:szCs w:val="22"/>
                <w14:textFill>
                  <w14:solidFill>
                    <w14:schemeClr w14:val="tx1"/>
                  </w14:solidFill>
                </w14:textFill>
              </w:rPr>
              <w:t>0.71</w:t>
            </w:r>
          </w:p>
        </w:tc>
        <w:tc>
          <w:tcPr>
            <w:tcW w:w="1341" w:type="dxa"/>
            <w:vAlign w:val="center"/>
          </w:tcPr>
          <w:p w14:paraId="36AC3A74">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+0.518</w:t>
            </w:r>
          </w:p>
        </w:tc>
      </w:tr>
      <w:tr w14:paraId="5A40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14:paraId="38886778">
            <w:pPr>
              <w:pStyle w:val="21"/>
              <w:rPr>
                <w:color w:val="000000" w:themeColor="text1"/>
                <w:sz w:val="21"/>
                <w:szCs w:val="21"/>
                <w14:textFill>
                  <w14:solidFill>
                    <w14:schemeClr w14:val="tx1"/>
                  </w14:solidFill>
                </w14:textFill>
              </w:rPr>
            </w:pPr>
          </w:p>
        </w:tc>
        <w:tc>
          <w:tcPr>
            <w:tcW w:w="2410" w:type="dxa"/>
            <w:gridSpan w:val="2"/>
            <w:vAlign w:val="center"/>
          </w:tcPr>
          <w:p w14:paraId="63F642C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SS</w:t>
            </w:r>
          </w:p>
        </w:tc>
        <w:tc>
          <w:tcPr>
            <w:tcW w:w="1559" w:type="dxa"/>
            <w:vAlign w:val="center"/>
          </w:tcPr>
          <w:p w14:paraId="796BCFFC">
            <w:pPr>
              <w:adjustRightInd w:val="0"/>
              <w:snapToGrid w:val="0"/>
              <w:jc w:val="center"/>
              <w:rPr>
                <w:rFonts w:eastAsia="仿宋"/>
                <w:color w:val="000000" w:themeColor="text1"/>
                <w:kern w:val="0"/>
                <w:szCs w:val="21"/>
                <w14:textFill>
                  <w14:solidFill>
                    <w14:schemeClr w14:val="tx1"/>
                  </w14:solidFill>
                </w14:textFill>
              </w:rPr>
            </w:pPr>
            <w:r>
              <w:rPr>
                <w:rFonts w:hint="eastAsia"/>
                <w:color w:val="000000" w:themeColor="text1"/>
                <w:sz w:val="22"/>
                <w:szCs w:val="22"/>
                <w14:textFill>
                  <w14:solidFill>
                    <w14:schemeClr w14:val="tx1"/>
                  </w14:solidFill>
                </w14:textFill>
              </w:rPr>
              <w:t>0.096</w:t>
            </w:r>
          </w:p>
        </w:tc>
        <w:tc>
          <w:tcPr>
            <w:tcW w:w="1276" w:type="dxa"/>
            <w:vAlign w:val="center"/>
          </w:tcPr>
          <w:p w14:paraId="3816E9A3">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559" w:type="dxa"/>
            <w:vAlign w:val="center"/>
          </w:tcPr>
          <w:p w14:paraId="620DEC0D">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559" w:type="dxa"/>
            <w:vAlign w:val="center"/>
          </w:tcPr>
          <w:p w14:paraId="4B25A6C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0.259</w:t>
            </w:r>
          </w:p>
        </w:tc>
        <w:tc>
          <w:tcPr>
            <w:tcW w:w="1559" w:type="dxa"/>
            <w:vAlign w:val="center"/>
          </w:tcPr>
          <w:p w14:paraId="7E7B39DD">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683" w:type="dxa"/>
            <w:vAlign w:val="center"/>
          </w:tcPr>
          <w:p w14:paraId="5867C7DF">
            <w:pPr>
              <w:jc w:val="center"/>
              <w:rPr>
                <w:rFonts w:eastAsia="仿宋"/>
                <w:color w:val="000000" w:themeColor="text1"/>
                <w:szCs w:val="21"/>
                <w14:textFill>
                  <w14:solidFill>
                    <w14:schemeClr w14:val="tx1"/>
                  </w14:solidFill>
                </w14:textFill>
              </w:rPr>
            </w:pPr>
            <w:r>
              <w:rPr>
                <w:rFonts w:hint="eastAsia"/>
                <w:color w:val="000000" w:themeColor="text1"/>
                <w:sz w:val="22"/>
                <w:szCs w:val="22"/>
                <w14:textFill>
                  <w14:solidFill>
                    <w14:schemeClr w14:val="tx1"/>
                  </w14:solidFill>
                </w14:textFill>
              </w:rPr>
              <w:t>0.355</w:t>
            </w:r>
          </w:p>
        </w:tc>
        <w:tc>
          <w:tcPr>
            <w:tcW w:w="1341" w:type="dxa"/>
            <w:vAlign w:val="center"/>
          </w:tcPr>
          <w:p w14:paraId="206BA82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+0.259</w:t>
            </w:r>
          </w:p>
        </w:tc>
      </w:tr>
      <w:tr w14:paraId="5A59E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14:paraId="75ECDC8D">
            <w:pPr>
              <w:pStyle w:val="21"/>
              <w:rPr>
                <w:color w:val="000000" w:themeColor="text1"/>
                <w:sz w:val="21"/>
                <w:szCs w:val="21"/>
                <w14:textFill>
                  <w14:solidFill>
                    <w14:schemeClr w14:val="tx1"/>
                  </w14:solidFill>
                </w14:textFill>
              </w:rPr>
            </w:pPr>
          </w:p>
        </w:tc>
        <w:tc>
          <w:tcPr>
            <w:tcW w:w="2410" w:type="dxa"/>
            <w:gridSpan w:val="2"/>
            <w:vAlign w:val="center"/>
          </w:tcPr>
          <w:p w14:paraId="1AD6093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NH</w:t>
            </w:r>
            <w:r>
              <w:rPr>
                <w:rStyle w:val="106"/>
                <w:rFonts w:eastAsia="仿宋"/>
                <w:color w:val="000000" w:themeColor="text1"/>
                <w:vertAlign w:val="subscript"/>
                <w14:textFill>
                  <w14:solidFill>
                    <w14:schemeClr w14:val="tx1"/>
                  </w14:solidFill>
                </w14:textFill>
              </w:rPr>
              <w:t>3</w:t>
            </w:r>
            <w:r>
              <w:rPr>
                <w:rStyle w:val="104"/>
                <w:rFonts w:hint="default" w:ascii="Times New Roman" w:hAnsi="Times New Roman" w:cs="Times New Roman"/>
                <w:color w:val="000000" w:themeColor="text1"/>
                <w14:textFill>
                  <w14:solidFill>
                    <w14:schemeClr w14:val="tx1"/>
                  </w14:solidFill>
                </w14:textFill>
              </w:rPr>
              <w:t>-N</w:t>
            </w:r>
          </w:p>
        </w:tc>
        <w:tc>
          <w:tcPr>
            <w:tcW w:w="1559" w:type="dxa"/>
            <w:vAlign w:val="center"/>
          </w:tcPr>
          <w:p w14:paraId="202CE797">
            <w:pPr>
              <w:adjustRightInd w:val="0"/>
              <w:snapToGrid w:val="0"/>
              <w:jc w:val="center"/>
              <w:rPr>
                <w:rFonts w:eastAsia="仿宋"/>
                <w:color w:val="000000" w:themeColor="text1"/>
                <w:kern w:val="0"/>
                <w:szCs w:val="21"/>
                <w14:textFill>
                  <w14:solidFill>
                    <w14:schemeClr w14:val="tx1"/>
                  </w14:solidFill>
                </w14:textFill>
              </w:rPr>
            </w:pPr>
            <w:r>
              <w:rPr>
                <w:rFonts w:hint="eastAsia"/>
                <w:color w:val="000000" w:themeColor="text1"/>
                <w:sz w:val="22"/>
                <w:szCs w:val="22"/>
                <w14:textFill>
                  <w14:solidFill>
                    <w14:schemeClr w14:val="tx1"/>
                  </w14:solidFill>
                </w14:textFill>
              </w:rPr>
              <w:t>0.014</w:t>
            </w:r>
          </w:p>
        </w:tc>
        <w:tc>
          <w:tcPr>
            <w:tcW w:w="1276" w:type="dxa"/>
            <w:vAlign w:val="center"/>
          </w:tcPr>
          <w:p w14:paraId="75BD4672">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559" w:type="dxa"/>
            <w:vAlign w:val="center"/>
          </w:tcPr>
          <w:p w14:paraId="79448543">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559" w:type="dxa"/>
            <w:vAlign w:val="center"/>
          </w:tcPr>
          <w:p w14:paraId="54B9534D">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0.039</w:t>
            </w:r>
          </w:p>
        </w:tc>
        <w:tc>
          <w:tcPr>
            <w:tcW w:w="1559" w:type="dxa"/>
            <w:vAlign w:val="center"/>
          </w:tcPr>
          <w:p w14:paraId="64BD8377">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683" w:type="dxa"/>
            <w:vAlign w:val="center"/>
          </w:tcPr>
          <w:p w14:paraId="55696BE8">
            <w:pPr>
              <w:jc w:val="center"/>
              <w:rPr>
                <w:rFonts w:eastAsia="仿宋"/>
                <w:color w:val="000000" w:themeColor="text1"/>
                <w:szCs w:val="21"/>
                <w14:textFill>
                  <w14:solidFill>
                    <w14:schemeClr w14:val="tx1"/>
                  </w14:solidFill>
                </w14:textFill>
              </w:rPr>
            </w:pPr>
            <w:r>
              <w:rPr>
                <w:rFonts w:hint="eastAsia"/>
                <w:color w:val="000000" w:themeColor="text1"/>
                <w:sz w:val="22"/>
                <w:szCs w:val="22"/>
                <w14:textFill>
                  <w14:solidFill>
                    <w14:schemeClr w14:val="tx1"/>
                  </w14:solidFill>
                </w14:textFill>
              </w:rPr>
              <w:t>0.053</w:t>
            </w:r>
          </w:p>
        </w:tc>
        <w:tc>
          <w:tcPr>
            <w:tcW w:w="1341" w:type="dxa"/>
            <w:vAlign w:val="center"/>
          </w:tcPr>
          <w:p w14:paraId="485D90E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+0.039</w:t>
            </w:r>
          </w:p>
        </w:tc>
      </w:tr>
      <w:tr w14:paraId="58203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14:paraId="45009ABC">
            <w:pPr>
              <w:pStyle w:val="21"/>
              <w:rPr>
                <w:color w:val="000000" w:themeColor="text1"/>
                <w:sz w:val="21"/>
                <w:szCs w:val="21"/>
                <w14:textFill>
                  <w14:solidFill>
                    <w14:schemeClr w14:val="tx1"/>
                  </w14:solidFill>
                </w14:textFill>
              </w:rPr>
            </w:pPr>
          </w:p>
        </w:tc>
        <w:tc>
          <w:tcPr>
            <w:tcW w:w="2410" w:type="dxa"/>
            <w:gridSpan w:val="2"/>
            <w:vAlign w:val="center"/>
          </w:tcPr>
          <w:p w14:paraId="433D076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TP</w:t>
            </w:r>
          </w:p>
        </w:tc>
        <w:tc>
          <w:tcPr>
            <w:tcW w:w="1559" w:type="dxa"/>
            <w:vAlign w:val="center"/>
          </w:tcPr>
          <w:p w14:paraId="17528E02">
            <w:pPr>
              <w:adjustRightInd w:val="0"/>
              <w:snapToGrid w:val="0"/>
              <w:jc w:val="center"/>
              <w:rPr>
                <w:rFonts w:eastAsia="仿宋"/>
                <w:color w:val="000000" w:themeColor="text1"/>
                <w:kern w:val="0"/>
                <w:szCs w:val="21"/>
                <w14:textFill>
                  <w14:solidFill>
                    <w14:schemeClr w14:val="tx1"/>
                  </w14:solidFill>
                </w14:textFill>
              </w:rPr>
            </w:pPr>
            <w:r>
              <w:rPr>
                <w:rFonts w:hint="eastAsia"/>
                <w:color w:val="000000" w:themeColor="text1"/>
                <w:sz w:val="22"/>
                <w:szCs w:val="22"/>
                <w14:textFill>
                  <w14:solidFill>
                    <w14:schemeClr w14:val="tx1"/>
                  </w14:solidFill>
                </w14:textFill>
              </w:rPr>
              <w:t>0.001</w:t>
            </w:r>
          </w:p>
        </w:tc>
        <w:tc>
          <w:tcPr>
            <w:tcW w:w="1276" w:type="dxa"/>
            <w:vAlign w:val="center"/>
          </w:tcPr>
          <w:p w14:paraId="551E990C">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559" w:type="dxa"/>
            <w:vAlign w:val="center"/>
          </w:tcPr>
          <w:p w14:paraId="11E255A7">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559" w:type="dxa"/>
            <w:vAlign w:val="center"/>
          </w:tcPr>
          <w:p w14:paraId="32FC978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0.004</w:t>
            </w:r>
          </w:p>
        </w:tc>
        <w:tc>
          <w:tcPr>
            <w:tcW w:w="1559" w:type="dxa"/>
            <w:vAlign w:val="center"/>
          </w:tcPr>
          <w:p w14:paraId="1F4EB253">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683" w:type="dxa"/>
            <w:vAlign w:val="center"/>
          </w:tcPr>
          <w:p w14:paraId="291BD32D">
            <w:pPr>
              <w:jc w:val="center"/>
              <w:rPr>
                <w:rFonts w:eastAsia="仿宋"/>
                <w:color w:val="000000" w:themeColor="text1"/>
                <w:szCs w:val="21"/>
                <w14:textFill>
                  <w14:solidFill>
                    <w14:schemeClr w14:val="tx1"/>
                  </w14:solidFill>
                </w14:textFill>
              </w:rPr>
            </w:pPr>
            <w:r>
              <w:rPr>
                <w:rFonts w:hint="eastAsia"/>
                <w:color w:val="000000" w:themeColor="text1"/>
                <w:sz w:val="22"/>
                <w:szCs w:val="22"/>
                <w14:textFill>
                  <w14:solidFill>
                    <w14:schemeClr w14:val="tx1"/>
                  </w14:solidFill>
                </w14:textFill>
              </w:rPr>
              <w:t>0.005</w:t>
            </w:r>
          </w:p>
        </w:tc>
        <w:tc>
          <w:tcPr>
            <w:tcW w:w="1341" w:type="dxa"/>
            <w:vAlign w:val="center"/>
          </w:tcPr>
          <w:p w14:paraId="2B81219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+0.004</w:t>
            </w:r>
          </w:p>
        </w:tc>
      </w:tr>
      <w:tr w14:paraId="46DAE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14:paraId="66E13771">
            <w:pPr>
              <w:pStyle w:val="21"/>
              <w:rPr>
                <w:color w:val="000000" w:themeColor="text1"/>
                <w:sz w:val="21"/>
                <w:szCs w:val="21"/>
                <w14:textFill>
                  <w14:solidFill>
                    <w14:schemeClr w14:val="tx1"/>
                  </w14:solidFill>
                </w14:textFill>
              </w:rPr>
            </w:pPr>
          </w:p>
        </w:tc>
        <w:tc>
          <w:tcPr>
            <w:tcW w:w="2410" w:type="dxa"/>
            <w:gridSpan w:val="2"/>
            <w:vAlign w:val="center"/>
          </w:tcPr>
          <w:p w14:paraId="6918E621">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TN</w:t>
            </w:r>
          </w:p>
        </w:tc>
        <w:tc>
          <w:tcPr>
            <w:tcW w:w="1559" w:type="dxa"/>
            <w:vAlign w:val="center"/>
          </w:tcPr>
          <w:p w14:paraId="7B417865">
            <w:pPr>
              <w:adjustRightInd w:val="0"/>
              <w:snapToGrid w:val="0"/>
              <w:jc w:val="center"/>
              <w:rPr>
                <w:rFonts w:eastAsia="仿宋"/>
                <w:color w:val="000000" w:themeColor="text1"/>
                <w:kern w:val="0"/>
                <w:szCs w:val="21"/>
                <w14:textFill>
                  <w14:solidFill>
                    <w14:schemeClr w14:val="tx1"/>
                  </w14:solidFill>
                </w14:textFill>
              </w:rPr>
            </w:pPr>
            <w:r>
              <w:rPr>
                <w:rFonts w:hint="eastAsia"/>
                <w:color w:val="000000" w:themeColor="text1"/>
                <w:sz w:val="22"/>
                <w:szCs w:val="22"/>
                <w14:textFill>
                  <w14:solidFill>
                    <w14:schemeClr w14:val="tx1"/>
                  </w14:solidFill>
                </w14:textFill>
              </w:rPr>
              <w:t>0.022</w:t>
            </w:r>
          </w:p>
        </w:tc>
        <w:tc>
          <w:tcPr>
            <w:tcW w:w="1276" w:type="dxa"/>
            <w:vAlign w:val="center"/>
          </w:tcPr>
          <w:p w14:paraId="19B4B6ED">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559" w:type="dxa"/>
            <w:vAlign w:val="center"/>
          </w:tcPr>
          <w:p w14:paraId="44DA5BDE">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559" w:type="dxa"/>
            <w:vAlign w:val="center"/>
          </w:tcPr>
          <w:p w14:paraId="08032F3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0.058</w:t>
            </w:r>
          </w:p>
        </w:tc>
        <w:tc>
          <w:tcPr>
            <w:tcW w:w="1559" w:type="dxa"/>
            <w:vAlign w:val="center"/>
          </w:tcPr>
          <w:p w14:paraId="7D37031B">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683" w:type="dxa"/>
            <w:vAlign w:val="center"/>
          </w:tcPr>
          <w:p w14:paraId="427F1081">
            <w:pPr>
              <w:jc w:val="center"/>
              <w:rPr>
                <w:rFonts w:eastAsia="仿宋"/>
                <w:color w:val="000000" w:themeColor="text1"/>
                <w:szCs w:val="21"/>
                <w14:textFill>
                  <w14:solidFill>
                    <w14:schemeClr w14:val="tx1"/>
                  </w14:solidFill>
                </w14:textFill>
              </w:rPr>
            </w:pPr>
            <w:r>
              <w:rPr>
                <w:rFonts w:hint="eastAsia"/>
                <w:color w:val="000000" w:themeColor="text1"/>
                <w:sz w:val="22"/>
                <w:szCs w:val="22"/>
                <w14:textFill>
                  <w14:solidFill>
                    <w14:schemeClr w14:val="tx1"/>
                  </w14:solidFill>
                </w14:textFill>
              </w:rPr>
              <w:t>0.126</w:t>
            </w:r>
          </w:p>
        </w:tc>
        <w:tc>
          <w:tcPr>
            <w:tcW w:w="1341" w:type="dxa"/>
            <w:vAlign w:val="center"/>
          </w:tcPr>
          <w:p w14:paraId="1FA8FBB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+0.058</w:t>
            </w:r>
          </w:p>
        </w:tc>
      </w:tr>
      <w:tr w14:paraId="546B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14:paraId="55E64D01">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一般工业固体废物</w:t>
            </w:r>
          </w:p>
        </w:tc>
        <w:tc>
          <w:tcPr>
            <w:tcW w:w="2410" w:type="dxa"/>
            <w:gridSpan w:val="2"/>
            <w:vAlign w:val="center"/>
          </w:tcPr>
          <w:p w14:paraId="7F2504E3">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生活垃圾</w:t>
            </w:r>
          </w:p>
        </w:tc>
        <w:tc>
          <w:tcPr>
            <w:tcW w:w="1559" w:type="dxa"/>
            <w:vAlign w:val="center"/>
          </w:tcPr>
          <w:p w14:paraId="4A397D63">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5</w:t>
            </w:r>
          </w:p>
        </w:tc>
        <w:tc>
          <w:tcPr>
            <w:tcW w:w="1276" w:type="dxa"/>
            <w:vAlign w:val="center"/>
          </w:tcPr>
          <w:p w14:paraId="1A8C21CC">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5</w:t>
            </w:r>
          </w:p>
        </w:tc>
        <w:tc>
          <w:tcPr>
            <w:tcW w:w="1559" w:type="dxa"/>
            <w:vAlign w:val="center"/>
          </w:tcPr>
          <w:p w14:paraId="0CF958FE">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559" w:type="dxa"/>
            <w:vAlign w:val="center"/>
          </w:tcPr>
          <w:p w14:paraId="54D7BF7F">
            <w:pPr>
              <w:widowControl/>
              <w:jc w:val="center"/>
              <w:textAlignment w:val="center"/>
              <w:rPr>
                <w:rFonts w:eastAsia="仿宋"/>
                <w:color w:val="000000" w:themeColor="text1"/>
                <w:kern w:val="0"/>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6</w:t>
            </w:r>
          </w:p>
        </w:tc>
        <w:tc>
          <w:tcPr>
            <w:tcW w:w="1559" w:type="dxa"/>
            <w:vAlign w:val="center"/>
          </w:tcPr>
          <w:p w14:paraId="73DA3FF4">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683" w:type="dxa"/>
            <w:vAlign w:val="center"/>
          </w:tcPr>
          <w:p w14:paraId="16D46529">
            <w:pPr>
              <w:widowControl/>
              <w:jc w:val="center"/>
              <w:textAlignment w:val="center"/>
              <w:rPr>
                <w:rFonts w:eastAsia="仿宋"/>
                <w:color w:val="000000" w:themeColor="text1"/>
                <w:kern w:val="0"/>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11</w:t>
            </w:r>
          </w:p>
        </w:tc>
        <w:tc>
          <w:tcPr>
            <w:tcW w:w="1341" w:type="dxa"/>
            <w:vAlign w:val="center"/>
          </w:tcPr>
          <w:p w14:paraId="6D399090">
            <w:pPr>
              <w:widowControl/>
              <w:jc w:val="center"/>
              <w:textAlignment w:val="center"/>
              <w:rPr>
                <w:rFonts w:eastAsia="仿宋"/>
                <w:color w:val="000000" w:themeColor="text1"/>
                <w:kern w:val="0"/>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+6</w:t>
            </w:r>
          </w:p>
        </w:tc>
      </w:tr>
      <w:tr w14:paraId="6E43E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tcPr>
          <w:p w14:paraId="45B5411E">
            <w:pPr>
              <w:pStyle w:val="21"/>
              <w:rPr>
                <w:color w:val="000000" w:themeColor="text1"/>
                <w:sz w:val="21"/>
                <w:szCs w:val="21"/>
                <w14:textFill>
                  <w14:solidFill>
                    <w14:schemeClr w14:val="tx1"/>
                  </w14:solidFill>
                </w14:textFill>
              </w:rPr>
            </w:pPr>
          </w:p>
        </w:tc>
        <w:tc>
          <w:tcPr>
            <w:tcW w:w="2410" w:type="dxa"/>
            <w:gridSpan w:val="2"/>
            <w:vAlign w:val="center"/>
          </w:tcPr>
          <w:p w14:paraId="558FF5A9">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一般固废</w:t>
            </w:r>
          </w:p>
        </w:tc>
        <w:tc>
          <w:tcPr>
            <w:tcW w:w="1559" w:type="dxa"/>
            <w:vAlign w:val="center"/>
          </w:tcPr>
          <w:p w14:paraId="0ED04577">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0.6</w:t>
            </w:r>
          </w:p>
        </w:tc>
        <w:tc>
          <w:tcPr>
            <w:tcW w:w="1276" w:type="dxa"/>
            <w:vAlign w:val="center"/>
          </w:tcPr>
          <w:p w14:paraId="67059D60">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0.6</w:t>
            </w:r>
          </w:p>
        </w:tc>
        <w:tc>
          <w:tcPr>
            <w:tcW w:w="1559" w:type="dxa"/>
            <w:vAlign w:val="center"/>
          </w:tcPr>
          <w:p w14:paraId="5D736016">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559" w:type="dxa"/>
            <w:vAlign w:val="center"/>
          </w:tcPr>
          <w:p w14:paraId="2E3A21A2">
            <w:pPr>
              <w:widowControl/>
              <w:jc w:val="center"/>
              <w:textAlignment w:val="center"/>
              <w:rPr>
                <w:rFonts w:eastAsia="仿宋"/>
                <w:color w:val="000000" w:themeColor="text1"/>
                <w:kern w:val="0"/>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0.054t/2~3a</w:t>
            </w:r>
          </w:p>
        </w:tc>
        <w:tc>
          <w:tcPr>
            <w:tcW w:w="1559" w:type="dxa"/>
            <w:vAlign w:val="center"/>
          </w:tcPr>
          <w:p w14:paraId="0728FE13">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683" w:type="dxa"/>
            <w:vAlign w:val="center"/>
          </w:tcPr>
          <w:p w14:paraId="4AA7D78C">
            <w:pPr>
              <w:widowControl/>
              <w:jc w:val="center"/>
              <w:textAlignment w:val="center"/>
              <w:rPr>
                <w:rFonts w:eastAsia="仿宋"/>
                <w:color w:val="000000" w:themeColor="text1"/>
                <w:kern w:val="0"/>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0.6+0.054t/2~3a</w:t>
            </w:r>
          </w:p>
        </w:tc>
        <w:tc>
          <w:tcPr>
            <w:tcW w:w="1341" w:type="dxa"/>
            <w:vAlign w:val="center"/>
          </w:tcPr>
          <w:p w14:paraId="2404FBFD">
            <w:pPr>
              <w:widowControl/>
              <w:jc w:val="center"/>
              <w:textAlignment w:val="center"/>
              <w:rPr>
                <w:rFonts w:eastAsia="仿宋"/>
                <w:color w:val="000000" w:themeColor="text1"/>
                <w:kern w:val="0"/>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+0.054t/2~3a</w:t>
            </w:r>
          </w:p>
        </w:tc>
      </w:tr>
      <w:tr w14:paraId="55C48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3D54BD7C">
            <w:pPr>
              <w:pStyle w:val="21"/>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危险废物</w:t>
            </w:r>
          </w:p>
        </w:tc>
        <w:tc>
          <w:tcPr>
            <w:tcW w:w="2410" w:type="dxa"/>
            <w:gridSpan w:val="2"/>
            <w:vAlign w:val="center"/>
          </w:tcPr>
          <w:p w14:paraId="76F6236C">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危险废物</w:t>
            </w:r>
          </w:p>
        </w:tc>
        <w:tc>
          <w:tcPr>
            <w:tcW w:w="1559" w:type="dxa"/>
            <w:vAlign w:val="center"/>
          </w:tcPr>
          <w:p w14:paraId="5BB9DD38">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195.48L</w:t>
            </w:r>
          </w:p>
        </w:tc>
        <w:tc>
          <w:tcPr>
            <w:tcW w:w="1276" w:type="dxa"/>
            <w:vAlign w:val="center"/>
          </w:tcPr>
          <w:p w14:paraId="04689845">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195.48L</w:t>
            </w:r>
          </w:p>
        </w:tc>
        <w:tc>
          <w:tcPr>
            <w:tcW w:w="1559" w:type="dxa"/>
            <w:vAlign w:val="center"/>
          </w:tcPr>
          <w:p w14:paraId="3BA64A43">
            <w:pPr>
              <w:adjustRightInd w:val="0"/>
              <w:snapToGrid w:val="0"/>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559" w:type="dxa"/>
            <w:vAlign w:val="center"/>
          </w:tcPr>
          <w:p w14:paraId="757BB2D8">
            <w:pPr>
              <w:widowControl/>
              <w:jc w:val="center"/>
              <w:textAlignment w:val="center"/>
              <w:rPr>
                <w:rFonts w:eastAsia="仿宋"/>
                <w:color w:val="000000" w:themeColor="text1"/>
                <w:kern w:val="0"/>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3.81</w:t>
            </w:r>
          </w:p>
        </w:tc>
        <w:tc>
          <w:tcPr>
            <w:tcW w:w="1559" w:type="dxa"/>
            <w:vAlign w:val="center"/>
          </w:tcPr>
          <w:p w14:paraId="258905C0">
            <w:pPr>
              <w:widowControl/>
              <w:jc w:val="center"/>
              <w:rPr>
                <w:rFonts w:eastAsia="仿宋"/>
                <w:color w:val="000000" w:themeColor="text1"/>
                <w:kern w:val="0"/>
                <w:szCs w:val="21"/>
                <w14:textFill>
                  <w14:solidFill>
                    <w14:schemeClr w14:val="tx1"/>
                  </w14:solidFill>
                </w14:textFill>
              </w:rPr>
            </w:pPr>
            <w:r>
              <w:rPr>
                <w:rFonts w:eastAsia="仿宋"/>
                <w:color w:val="000000" w:themeColor="text1"/>
                <w:kern w:val="0"/>
                <w:szCs w:val="21"/>
                <w14:textFill>
                  <w14:solidFill>
                    <w14:schemeClr w14:val="tx1"/>
                  </w14:solidFill>
                </w14:textFill>
              </w:rPr>
              <w:t>0</w:t>
            </w:r>
          </w:p>
        </w:tc>
        <w:tc>
          <w:tcPr>
            <w:tcW w:w="1683" w:type="dxa"/>
            <w:vAlign w:val="center"/>
          </w:tcPr>
          <w:p w14:paraId="14AE6534">
            <w:pPr>
              <w:widowControl/>
              <w:jc w:val="center"/>
              <w:textAlignment w:val="center"/>
              <w:rPr>
                <w:rFonts w:eastAsia="仿宋"/>
                <w:color w:val="000000" w:themeColor="text1"/>
                <w:kern w:val="0"/>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3.81+195.48L</w:t>
            </w:r>
          </w:p>
        </w:tc>
        <w:tc>
          <w:tcPr>
            <w:tcW w:w="1341" w:type="dxa"/>
            <w:vAlign w:val="center"/>
          </w:tcPr>
          <w:p w14:paraId="016D3630">
            <w:pPr>
              <w:widowControl/>
              <w:jc w:val="center"/>
              <w:textAlignment w:val="center"/>
              <w:rPr>
                <w:rFonts w:eastAsia="仿宋"/>
                <w:color w:val="000000" w:themeColor="text1"/>
                <w:kern w:val="0"/>
                <w:szCs w:val="21"/>
                <w14:textFill>
                  <w14:solidFill>
                    <w14:schemeClr w14:val="tx1"/>
                  </w14:solidFill>
                </w14:textFill>
              </w:rPr>
            </w:pPr>
            <w:r>
              <w:rPr>
                <w:rFonts w:eastAsia="仿宋"/>
                <w:color w:val="000000" w:themeColor="text1"/>
                <w:kern w:val="0"/>
                <w:szCs w:val="21"/>
                <w:lang w:bidi="ar"/>
                <w14:textFill>
                  <w14:solidFill>
                    <w14:schemeClr w14:val="tx1"/>
                  </w14:solidFill>
                </w14:textFill>
              </w:rPr>
              <w:t>+3.81</w:t>
            </w:r>
          </w:p>
        </w:tc>
      </w:tr>
    </w:tbl>
    <w:p w14:paraId="002B273C">
      <w:pPr>
        <w:pStyle w:val="48"/>
        <w:spacing w:before="192" w:beforeLines="80" w:after="24"/>
        <w:jc w:val="left"/>
        <w:rPr>
          <w:rFonts w:ascii="Times New Roman" w:eastAsia="仿宋"/>
          <w:color w:val="000000" w:themeColor="text1"/>
          <w14:textFill>
            <w14:solidFill>
              <w14:schemeClr w14:val="tx1"/>
            </w14:solidFill>
          </w14:textFill>
        </w:rPr>
        <w:sectPr>
          <w:footerReference r:id="rId6" w:type="default"/>
          <w:pgSz w:w="16838" w:h="11906" w:orient="landscape"/>
          <w:pgMar w:top="1701" w:right="1531" w:bottom="1701" w:left="1531" w:header="851" w:footer="851" w:gutter="0"/>
          <w:cols w:space="720" w:num="1"/>
          <w:docGrid w:linePitch="312" w:charSpace="0"/>
        </w:sectPr>
      </w:pPr>
      <w:r>
        <w:rPr>
          <w:rFonts w:ascii="Times New Roman" w:eastAsia="仿宋"/>
          <w:snapToGrid w:val="0"/>
          <w:color w:val="000000" w:themeColor="text1"/>
          <w:kern w:val="21"/>
          <w:szCs w:val="21"/>
          <w14:textFill>
            <w14:solidFill>
              <w14:schemeClr w14:val="tx1"/>
            </w14:solidFill>
          </w14:textFill>
        </w:rPr>
        <w:t>注：</w:t>
      </w:r>
      <w:r>
        <w:rPr>
          <w:rFonts w:ascii="Times New Roman" w:eastAsia="仿宋"/>
          <w:snapToGrid w:val="0"/>
          <w:color w:val="000000" w:themeColor="text1"/>
          <w:spacing w:val="-16"/>
          <w:kern w:val="21"/>
          <w:szCs w:val="21"/>
          <w14:textFill>
            <w14:solidFill>
              <w14:schemeClr w14:val="tx1"/>
            </w14:solidFill>
          </w14:textFill>
        </w:rPr>
        <w:fldChar w:fldCharType="begin"/>
      </w:r>
      <w:r>
        <w:rPr>
          <w:rFonts w:ascii="Times New Roman" w:eastAsia="仿宋"/>
          <w:snapToGrid w:val="0"/>
          <w:color w:val="000000" w:themeColor="text1"/>
          <w:spacing w:val="-16"/>
          <w:kern w:val="21"/>
          <w:szCs w:val="21"/>
          <w14:textFill>
            <w14:solidFill>
              <w14:schemeClr w14:val="tx1"/>
            </w14:solidFill>
          </w14:textFill>
        </w:rPr>
        <w:instrText xml:space="preserve"> = 6 \* GB3 \* MERGEFORMAT </w:instrText>
      </w:r>
      <w:r>
        <w:rPr>
          <w:rFonts w:ascii="Times New Roman" w:eastAsia="仿宋"/>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⑥</w:t>
      </w:r>
      <w:r>
        <w:rPr>
          <w:rFonts w:ascii="Times New Roman" w:eastAsia="仿宋"/>
          <w:snapToGrid w:val="0"/>
          <w:color w:val="000000" w:themeColor="text1"/>
          <w:spacing w:val="-16"/>
          <w:kern w:val="21"/>
          <w:szCs w:val="21"/>
          <w14:textFill>
            <w14:solidFill>
              <w14:schemeClr w14:val="tx1"/>
            </w14:solidFill>
          </w14:textFill>
        </w:rPr>
        <w:fldChar w:fldCharType="end"/>
      </w:r>
      <w:r>
        <w:rPr>
          <w:rFonts w:ascii="Times New Roman" w:eastAsia="仿宋"/>
          <w:snapToGrid w:val="0"/>
          <w:color w:val="000000" w:themeColor="text1"/>
          <w:spacing w:val="-16"/>
          <w:kern w:val="21"/>
          <w:szCs w:val="21"/>
          <w14:textFill>
            <w14:solidFill>
              <w14:schemeClr w14:val="tx1"/>
            </w14:solidFill>
          </w14:textFill>
        </w:rPr>
        <w:t>=</w:t>
      </w:r>
      <w:r>
        <w:rPr>
          <w:rFonts w:ascii="Times New Roman" w:eastAsia="仿宋"/>
          <w:snapToGrid w:val="0"/>
          <w:color w:val="000000" w:themeColor="text1"/>
          <w:spacing w:val="-6"/>
          <w:kern w:val="21"/>
          <w:szCs w:val="21"/>
          <w14:textFill>
            <w14:solidFill>
              <w14:schemeClr w14:val="tx1"/>
            </w14:solidFill>
          </w14:textFill>
        </w:rPr>
        <w:fldChar w:fldCharType="begin"/>
      </w:r>
      <w:r>
        <w:rPr>
          <w:rFonts w:ascii="Times New Roman" w:eastAsia="仿宋"/>
          <w:snapToGrid w:val="0"/>
          <w:color w:val="000000" w:themeColor="text1"/>
          <w:spacing w:val="-6"/>
          <w:kern w:val="21"/>
          <w:szCs w:val="21"/>
          <w14:textFill>
            <w14:solidFill>
              <w14:schemeClr w14:val="tx1"/>
            </w14:solidFill>
          </w14:textFill>
        </w:rPr>
        <w:instrText xml:space="preserve"> = 1 \* GB3 \* MERGEFORMAT </w:instrText>
      </w:r>
      <w:r>
        <w:rPr>
          <w:rFonts w:ascii="Times New Roman" w:eastAsia="仿宋"/>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①</w:t>
      </w:r>
      <w:r>
        <w:rPr>
          <w:rFonts w:ascii="Times New Roman" w:eastAsia="仿宋"/>
          <w:snapToGrid w:val="0"/>
          <w:color w:val="000000" w:themeColor="text1"/>
          <w:spacing w:val="-6"/>
          <w:kern w:val="21"/>
          <w:szCs w:val="21"/>
          <w14:textFill>
            <w14:solidFill>
              <w14:schemeClr w14:val="tx1"/>
            </w14:solidFill>
          </w14:textFill>
        </w:rPr>
        <w:fldChar w:fldCharType="end"/>
      </w:r>
      <w:r>
        <w:rPr>
          <w:rFonts w:ascii="Times New Roman" w:eastAsia="仿宋"/>
          <w:snapToGrid w:val="0"/>
          <w:color w:val="000000" w:themeColor="text1"/>
          <w:spacing w:val="-6"/>
          <w:kern w:val="21"/>
          <w:szCs w:val="21"/>
          <w14:textFill>
            <w14:solidFill>
              <w14:schemeClr w14:val="tx1"/>
            </w14:solidFill>
          </w14:textFill>
        </w:rPr>
        <w:t>+</w:t>
      </w:r>
      <w:r>
        <w:rPr>
          <w:rFonts w:ascii="Times New Roman" w:eastAsia="仿宋"/>
          <w:snapToGrid w:val="0"/>
          <w:color w:val="000000" w:themeColor="text1"/>
          <w:spacing w:val="-6"/>
          <w:kern w:val="21"/>
          <w:szCs w:val="21"/>
          <w14:textFill>
            <w14:solidFill>
              <w14:schemeClr w14:val="tx1"/>
            </w14:solidFill>
          </w14:textFill>
        </w:rPr>
        <w:fldChar w:fldCharType="begin"/>
      </w:r>
      <w:r>
        <w:rPr>
          <w:rFonts w:ascii="Times New Roman" w:eastAsia="仿宋"/>
          <w:snapToGrid w:val="0"/>
          <w:color w:val="000000" w:themeColor="text1"/>
          <w:spacing w:val="-6"/>
          <w:kern w:val="21"/>
          <w:szCs w:val="21"/>
          <w14:textFill>
            <w14:solidFill>
              <w14:schemeClr w14:val="tx1"/>
            </w14:solidFill>
          </w14:textFill>
        </w:rPr>
        <w:instrText xml:space="preserve"> = 3 \* GB3 \* MERGEFORMAT </w:instrText>
      </w:r>
      <w:r>
        <w:rPr>
          <w:rFonts w:ascii="Times New Roman" w:eastAsia="仿宋"/>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③</w:t>
      </w:r>
      <w:r>
        <w:rPr>
          <w:rFonts w:ascii="Times New Roman" w:eastAsia="仿宋"/>
          <w:snapToGrid w:val="0"/>
          <w:color w:val="000000" w:themeColor="text1"/>
          <w:spacing w:val="-6"/>
          <w:kern w:val="21"/>
          <w:szCs w:val="21"/>
          <w14:textFill>
            <w14:solidFill>
              <w14:schemeClr w14:val="tx1"/>
            </w14:solidFill>
          </w14:textFill>
        </w:rPr>
        <w:fldChar w:fldCharType="end"/>
      </w:r>
      <w:r>
        <w:rPr>
          <w:rFonts w:ascii="Times New Roman" w:eastAsia="仿宋"/>
          <w:snapToGrid w:val="0"/>
          <w:color w:val="000000" w:themeColor="text1"/>
          <w:spacing w:val="-6"/>
          <w:kern w:val="21"/>
          <w:szCs w:val="21"/>
          <w14:textFill>
            <w14:solidFill>
              <w14:schemeClr w14:val="tx1"/>
            </w14:solidFill>
          </w14:textFill>
        </w:rPr>
        <w:t>+</w:t>
      </w:r>
      <w:r>
        <w:rPr>
          <w:rFonts w:ascii="Times New Roman" w:eastAsia="仿宋"/>
          <w:snapToGrid w:val="0"/>
          <w:color w:val="000000" w:themeColor="text1"/>
          <w:spacing w:val="-6"/>
          <w:kern w:val="21"/>
          <w:szCs w:val="21"/>
          <w14:textFill>
            <w14:solidFill>
              <w14:schemeClr w14:val="tx1"/>
            </w14:solidFill>
          </w14:textFill>
        </w:rPr>
        <w:fldChar w:fldCharType="begin"/>
      </w:r>
      <w:r>
        <w:rPr>
          <w:rFonts w:ascii="Times New Roman" w:eastAsia="仿宋"/>
          <w:snapToGrid w:val="0"/>
          <w:color w:val="000000" w:themeColor="text1"/>
          <w:spacing w:val="-6"/>
          <w:kern w:val="21"/>
          <w:szCs w:val="21"/>
          <w14:textFill>
            <w14:solidFill>
              <w14:schemeClr w14:val="tx1"/>
            </w14:solidFill>
          </w14:textFill>
        </w:rPr>
        <w:instrText xml:space="preserve"> = 4 \* GB3 \* MERGEFORMAT </w:instrText>
      </w:r>
      <w:r>
        <w:rPr>
          <w:rFonts w:ascii="Times New Roman" w:eastAsia="仿宋"/>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④</w:t>
      </w:r>
      <w:r>
        <w:rPr>
          <w:rFonts w:ascii="Times New Roman" w:eastAsia="仿宋"/>
          <w:snapToGrid w:val="0"/>
          <w:color w:val="000000" w:themeColor="text1"/>
          <w:spacing w:val="-6"/>
          <w:kern w:val="21"/>
          <w:szCs w:val="21"/>
          <w14:textFill>
            <w14:solidFill>
              <w14:schemeClr w14:val="tx1"/>
            </w14:solidFill>
          </w14:textFill>
        </w:rPr>
        <w:fldChar w:fldCharType="end"/>
      </w:r>
      <w:r>
        <w:rPr>
          <w:rFonts w:ascii="Times New Roman" w:eastAsia="仿宋"/>
          <w:snapToGrid w:val="0"/>
          <w:color w:val="000000" w:themeColor="text1"/>
          <w:spacing w:val="-6"/>
          <w:kern w:val="21"/>
          <w:szCs w:val="21"/>
          <w14:textFill>
            <w14:solidFill>
              <w14:schemeClr w14:val="tx1"/>
            </w14:solidFill>
          </w14:textFill>
        </w:rPr>
        <w:t>-</w:t>
      </w:r>
      <w:r>
        <w:rPr>
          <w:rFonts w:ascii="Times New Roman" w:eastAsia="仿宋"/>
          <w:snapToGrid w:val="0"/>
          <w:color w:val="000000" w:themeColor="text1"/>
          <w:spacing w:val="-16"/>
          <w:kern w:val="21"/>
          <w:szCs w:val="21"/>
          <w14:textFill>
            <w14:solidFill>
              <w14:schemeClr w14:val="tx1"/>
            </w14:solidFill>
          </w14:textFill>
        </w:rPr>
        <w:fldChar w:fldCharType="begin"/>
      </w:r>
      <w:r>
        <w:rPr>
          <w:rFonts w:ascii="Times New Roman" w:eastAsia="仿宋"/>
          <w:snapToGrid w:val="0"/>
          <w:color w:val="000000" w:themeColor="text1"/>
          <w:spacing w:val="-16"/>
          <w:kern w:val="21"/>
          <w:szCs w:val="21"/>
          <w14:textFill>
            <w14:solidFill>
              <w14:schemeClr w14:val="tx1"/>
            </w14:solidFill>
          </w14:textFill>
        </w:rPr>
        <w:instrText xml:space="preserve"> = 5 \* GB3 \* MERGEFORMAT </w:instrText>
      </w:r>
      <w:r>
        <w:rPr>
          <w:rFonts w:ascii="Times New Roman" w:eastAsia="仿宋"/>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⑤</w:t>
      </w:r>
      <w:r>
        <w:rPr>
          <w:rFonts w:ascii="Times New Roman" w:eastAsia="仿宋"/>
          <w:snapToGrid w:val="0"/>
          <w:color w:val="000000" w:themeColor="text1"/>
          <w:spacing w:val="-16"/>
          <w:kern w:val="21"/>
          <w:szCs w:val="21"/>
          <w14:textFill>
            <w14:solidFill>
              <w14:schemeClr w14:val="tx1"/>
            </w14:solidFill>
          </w14:textFill>
        </w:rPr>
        <w:fldChar w:fldCharType="end"/>
      </w:r>
      <w:r>
        <w:rPr>
          <w:rFonts w:ascii="Times New Roman" w:eastAsia="仿宋"/>
          <w:snapToGrid w:val="0"/>
          <w:color w:val="000000" w:themeColor="text1"/>
          <w:spacing w:val="-16"/>
          <w:kern w:val="21"/>
          <w:szCs w:val="21"/>
          <w14:textFill>
            <w14:solidFill>
              <w14:schemeClr w14:val="tx1"/>
            </w14:solidFill>
          </w14:textFill>
        </w:rPr>
        <w:t>；</w:t>
      </w:r>
      <w:r>
        <w:rPr>
          <w:rFonts w:ascii="Times New Roman" w:eastAsia="仿宋"/>
          <w:snapToGrid w:val="0"/>
          <w:color w:val="000000" w:themeColor="text1"/>
          <w:spacing w:val="-6"/>
          <w:kern w:val="21"/>
          <w:szCs w:val="21"/>
          <w14:textFill>
            <w14:solidFill>
              <w14:schemeClr w14:val="tx1"/>
            </w14:solidFill>
          </w14:textFill>
        </w:rPr>
        <w:fldChar w:fldCharType="begin"/>
      </w:r>
      <w:r>
        <w:rPr>
          <w:rFonts w:ascii="Times New Roman" w:eastAsia="仿宋"/>
          <w:snapToGrid w:val="0"/>
          <w:color w:val="000000" w:themeColor="text1"/>
          <w:spacing w:val="-6"/>
          <w:kern w:val="21"/>
          <w:szCs w:val="21"/>
          <w14:textFill>
            <w14:solidFill>
              <w14:schemeClr w14:val="tx1"/>
            </w14:solidFill>
          </w14:textFill>
        </w:rPr>
        <w:instrText xml:space="preserve"> = 7 \* GB3 \* MERGEFORMAT </w:instrText>
      </w:r>
      <w:r>
        <w:rPr>
          <w:rFonts w:ascii="Times New Roman" w:eastAsia="仿宋"/>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⑦</w:t>
      </w:r>
      <w:r>
        <w:rPr>
          <w:rFonts w:ascii="Times New Roman" w:eastAsia="仿宋"/>
          <w:snapToGrid w:val="0"/>
          <w:color w:val="000000" w:themeColor="text1"/>
          <w:spacing w:val="-6"/>
          <w:kern w:val="21"/>
          <w:szCs w:val="21"/>
          <w14:textFill>
            <w14:solidFill>
              <w14:schemeClr w14:val="tx1"/>
            </w14:solidFill>
          </w14:textFill>
        </w:rPr>
        <w:fldChar w:fldCharType="end"/>
      </w:r>
      <w:r>
        <w:rPr>
          <w:rFonts w:ascii="Times New Roman" w:eastAsia="仿宋"/>
          <w:snapToGrid w:val="0"/>
          <w:color w:val="000000" w:themeColor="text1"/>
          <w:spacing w:val="-6"/>
          <w:kern w:val="21"/>
          <w:szCs w:val="21"/>
          <w14:textFill>
            <w14:solidFill>
              <w14:schemeClr w14:val="tx1"/>
            </w14:solidFill>
          </w14:textFill>
        </w:rPr>
        <w:t>=</w:t>
      </w:r>
      <w:r>
        <w:rPr>
          <w:rFonts w:ascii="Times New Roman" w:eastAsia="仿宋"/>
          <w:snapToGrid w:val="0"/>
          <w:color w:val="000000" w:themeColor="text1"/>
          <w:spacing w:val="-16"/>
          <w:kern w:val="21"/>
          <w:szCs w:val="21"/>
          <w14:textFill>
            <w14:solidFill>
              <w14:schemeClr w14:val="tx1"/>
            </w14:solidFill>
          </w14:textFill>
        </w:rPr>
        <w:fldChar w:fldCharType="begin"/>
      </w:r>
      <w:r>
        <w:rPr>
          <w:rFonts w:ascii="Times New Roman" w:eastAsia="仿宋"/>
          <w:snapToGrid w:val="0"/>
          <w:color w:val="000000" w:themeColor="text1"/>
          <w:spacing w:val="-16"/>
          <w:kern w:val="21"/>
          <w:szCs w:val="21"/>
          <w14:textFill>
            <w14:solidFill>
              <w14:schemeClr w14:val="tx1"/>
            </w14:solidFill>
          </w14:textFill>
        </w:rPr>
        <w:instrText xml:space="preserve"> = 6 \* GB3 \* MERGEFORMAT </w:instrText>
      </w:r>
      <w:r>
        <w:rPr>
          <w:rFonts w:ascii="Times New Roman" w:eastAsia="仿宋"/>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⑥</w:t>
      </w:r>
      <w:r>
        <w:rPr>
          <w:rFonts w:ascii="Times New Roman" w:eastAsia="仿宋"/>
          <w:snapToGrid w:val="0"/>
          <w:color w:val="000000" w:themeColor="text1"/>
          <w:spacing w:val="-16"/>
          <w:kern w:val="21"/>
          <w:szCs w:val="21"/>
          <w14:textFill>
            <w14:solidFill>
              <w14:schemeClr w14:val="tx1"/>
            </w14:solidFill>
          </w14:textFill>
        </w:rPr>
        <w:fldChar w:fldCharType="end"/>
      </w:r>
      <w:r>
        <w:rPr>
          <w:rFonts w:ascii="Times New Roman" w:eastAsia="仿宋"/>
          <w:snapToGrid w:val="0"/>
          <w:color w:val="000000" w:themeColor="text1"/>
          <w:spacing w:val="-16"/>
          <w:kern w:val="21"/>
          <w:szCs w:val="21"/>
          <w14:textFill>
            <w14:solidFill>
              <w14:schemeClr w14:val="tx1"/>
            </w14:solidFill>
          </w14:textFill>
        </w:rPr>
        <w:t>-</w:t>
      </w:r>
      <w:r>
        <w:rPr>
          <w:rFonts w:ascii="Times New Roman" w:eastAsia="仿宋"/>
          <w:snapToGrid w:val="0"/>
          <w:color w:val="000000" w:themeColor="text1"/>
          <w:spacing w:val="-6"/>
          <w:kern w:val="21"/>
          <w:szCs w:val="21"/>
          <w14:textFill>
            <w14:solidFill>
              <w14:schemeClr w14:val="tx1"/>
            </w14:solidFill>
          </w14:textFill>
        </w:rPr>
        <w:fldChar w:fldCharType="begin"/>
      </w:r>
      <w:r>
        <w:rPr>
          <w:rFonts w:ascii="Times New Roman" w:eastAsia="仿宋"/>
          <w:snapToGrid w:val="0"/>
          <w:color w:val="000000" w:themeColor="text1"/>
          <w:spacing w:val="-6"/>
          <w:kern w:val="21"/>
          <w:szCs w:val="21"/>
          <w14:textFill>
            <w14:solidFill>
              <w14:schemeClr w14:val="tx1"/>
            </w14:solidFill>
          </w14:textFill>
        </w:rPr>
        <w:instrText xml:space="preserve"> = 1 \* GB3 \* MERGEFORMAT </w:instrText>
      </w:r>
      <w:r>
        <w:rPr>
          <w:rFonts w:ascii="Times New Roman" w:eastAsia="仿宋"/>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①</w:t>
      </w:r>
      <w:r>
        <w:rPr>
          <w:rFonts w:ascii="Times New Roman" w:eastAsia="仿宋"/>
          <w:snapToGrid w:val="0"/>
          <w:color w:val="000000" w:themeColor="text1"/>
          <w:spacing w:val="-6"/>
          <w:kern w:val="21"/>
          <w:szCs w:val="21"/>
          <w14:textFill>
            <w14:solidFill>
              <w14:schemeClr w14:val="tx1"/>
            </w14:solidFill>
          </w14:textFill>
        </w:rPr>
        <w:fldChar w:fldCharType="end"/>
      </w:r>
      <w:r>
        <w:rPr>
          <w:rFonts w:eastAsia="仿宋"/>
          <w:color w:val="000000" w:themeColor="text1"/>
          <w14:textFill>
            <w14:solidFill>
              <w14:schemeClr w14:val="tx1"/>
            </w14:solidFill>
          </w14:textFill>
        </w:rPr>
        <w:tab/>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14:paraId="0800D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14:paraId="128CE8CA">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本报告表附以下附图、附件：</w:t>
            </w:r>
          </w:p>
          <w:p w14:paraId="42CB4581">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附图：</w:t>
            </w:r>
          </w:p>
          <w:p w14:paraId="0B364FF2">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附图1：项目地理位置</w:t>
            </w:r>
            <w:r>
              <w:rPr>
                <w:rFonts w:hint="eastAsia" w:eastAsia="仿宋"/>
                <w:color w:val="000000" w:themeColor="text1"/>
                <w:sz w:val="24"/>
                <w14:textFill>
                  <w14:solidFill>
                    <w14:schemeClr w14:val="tx1"/>
                  </w14:solidFill>
                </w14:textFill>
              </w:rPr>
              <w:t>示意</w:t>
            </w:r>
            <w:r>
              <w:rPr>
                <w:rFonts w:eastAsia="仿宋"/>
                <w:color w:val="000000" w:themeColor="text1"/>
                <w:sz w:val="24"/>
                <w14:textFill>
                  <w14:solidFill>
                    <w14:schemeClr w14:val="tx1"/>
                  </w14:solidFill>
                </w14:textFill>
              </w:rPr>
              <w:t>图</w:t>
            </w:r>
          </w:p>
          <w:p w14:paraId="3DA5BA0D">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附图2：项目周边500米范围用地现状图</w:t>
            </w:r>
          </w:p>
          <w:p w14:paraId="19DF54F9">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附图3</w:t>
            </w:r>
            <w:r>
              <w:rPr>
                <w:rFonts w:hint="eastAsia" w:eastAsia="仿宋"/>
                <w:color w:val="000000" w:themeColor="text1"/>
                <w:sz w:val="24"/>
                <w14:textFill>
                  <w14:solidFill>
                    <w14:schemeClr w14:val="tx1"/>
                  </w14:solidFill>
                </w14:textFill>
              </w:rPr>
              <w:t>-1</w:t>
            </w:r>
            <w:r>
              <w:rPr>
                <w:rFonts w:eastAsia="仿宋"/>
                <w:color w:val="000000" w:themeColor="text1"/>
                <w:sz w:val="24"/>
                <w14:textFill>
                  <w14:solidFill>
                    <w14:schemeClr w14:val="tx1"/>
                  </w14:solidFill>
                </w14:textFill>
              </w:rPr>
              <w:t>：厂区平面布置图</w:t>
            </w:r>
          </w:p>
          <w:p w14:paraId="27CB9C8A">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附图3</w:t>
            </w:r>
            <w:r>
              <w:rPr>
                <w:rFonts w:hint="eastAsia" w:eastAsia="仿宋"/>
                <w:color w:val="000000" w:themeColor="text1"/>
                <w:sz w:val="24"/>
                <w14:textFill>
                  <w14:solidFill>
                    <w14:schemeClr w14:val="tx1"/>
                  </w14:solidFill>
                </w14:textFill>
              </w:rPr>
              <w:t>-2</w:t>
            </w:r>
            <w:r>
              <w:rPr>
                <w:rFonts w:eastAsia="仿宋"/>
                <w:color w:val="000000" w:themeColor="text1"/>
                <w:sz w:val="24"/>
                <w14:textFill>
                  <w14:solidFill>
                    <w14:schemeClr w14:val="tx1"/>
                  </w14:solidFill>
                </w14:textFill>
              </w:rPr>
              <w:t>：</w:t>
            </w:r>
            <w:r>
              <w:rPr>
                <w:rFonts w:hint="eastAsia" w:eastAsia="仿宋"/>
                <w:color w:val="000000" w:themeColor="text1"/>
                <w:sz w:val="24"/>
                <w14:textFill>
                  <w14:solidFill>
                    <w14:schemeClr w14:val="tx1"/>
                  </w14:solidFill>
                </w14:textFill>
              </w:rPr>
              <w:t>车间负一楼平面布置图</w:t>
            </w:r>
          </w:p>
          <w:p w14:paraId="494129EE">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附图3</w:t>
            </w:r>
            <w:r>
              <w:rPr>
                <w:rFonts w:hint="eastAsia" w:eastAsia="仿宋"/>
                <w:color w:val="000000" w:themeColor="text1"/>
                <w:sz w:val="24"/>
                <w14:textFill>
                  <w14:solidFill>
                    <w14:schemeClr w14:val="tx1"/>
                  </w14:solidFill>
                </w14:textFill>
              </w:rPr>
              <w:t>-3</w:t>
            </w:r>
            <w:r>
              <w:rPr>
                <w:rFonts w:eastAsia="仿宋"/>
                <w:color w:val="000000" w:themeColor="text1"/>
                <w:sz w:val="24"/>
                <w14:textFill>
                  <w14:solidFill>
                    <w14:schemeClr w14:val="tx1"/>
                  </w14:solidFill>
                </w14:textFill>
              </w:rPr>
              <w:t>：</w:t>
            </w:r>
            <w:r>
              <w:rPr>
                <w:rFonts w:hint="eastAsia" w:eastAsia="仿宋"/>
                <w:color w:val="000000" w:themeColor="text1"/>
                <w:sz w:val="24"/>
                <w14:textFill>
                  <w14:solidFill>
                    <w14:schemeClr w14:val="tx1"/>
                  </w14:solidFill>
                </w14:textFill>
              </w:rPr>
              <w:t>车间一层平面布置图</w:t>
            </w:r>
          </w:p>
          <w:p w14:paraId="63F27A75">
            <w:pPr>
              <w:spacing w:line="50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附图3-4：车间二层平面布置图</w:t>
            </w:r>
          </w:p>
          <w:p w14:paraId="6850C307">
            <w:pPr>
              <w:spacing w:line="50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附图3-5：车间三层平面布置图</w:t>
            </w:r>
          </w:p>
          <w:p w14:paraId="7D56CC4A">
            <w:pPr>
              <w:spacing w:line="50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附图3-6：车间顶楼平面布置图</w:t>
            </w:r>
          </w:p>
          <w:p w14:paraId="05E8308B">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附图4：</w:t>
            </w:r>
            <w:r>
              <w:rPr>
                <w:rFonts w:hint="eastAsia" w:eastAsia="仿宋"/>
                <w:color w:val="000000" w:themeColor="text1"/>
                <w:sz w:val="24"/>
                <w14:textFill>
                  <w14:solidFill>
                    <w14:schemeClr w14:val="tx1"/>
                  </w14:solidFill>
                </w14:textFill>
              </w:rPr>
              <w:t>江苏金坛经济开发区用地规划图</w:t>
            </w:r>
          </w:p>
          <w:p w14:paraId="379AE923">
            <w:pPr>
              <w:spacing w:line="50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附图5：项目周边水系概化示意（附地表水监测断面）</w:t>
            </w:r>
          </w:p>
          <w:p w14:paraId="4CEEB6BC">
            <w:pPr>
              <w:spacing w:line="50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附图6：常州市生态空间保护区分图</w:t>
            </w:r>
          </w:p>
          <w:p w14:paraId="7CE52E06">
            <w:pPr>
              <w:spacing w:line="500" w:lineRule="exact"/>
              <w:ind w:firstLine="480" w:firstLineChars="200"/>
              <w:rPr>
                <w:rFonts w:eastAsia="仿宋"/>
                <w:color w:val="000000" w:themeColor="text1"/>
                <w:sz w:val="24"/>
                <w14:textFill>
                  <w14:solidFill>
                    <w14:schemeClr w14:val="tx1"/>
                  </w14:solidFill>
                </w14:textFill>
              </w:rPr>
            </w:pPr>
            <w:r>
              <w:rPr>
                <w:rFonts w:hint="eastAsia" w:eastAsia="仿宋"/>
                <w:color w:val="000000" w:themeColor="text1"/>
                <w:sz w:val="24"/>
                <w14:textFill>
                  <w14:solidFill>
                    <w14:schemeClr w14:val="tx1"/>
                  </w14:solidFill>
                </w14:textFill>
              </w:rPr>
              <w:t>附图7：常州市国土空间规划图</w:t>
            </w:r>
          </w:p>
          <w:p w14:paraId="7F239350">
            <w:pPr>
              <w:spacing w:line="500" w:lineRule="exact"/>
              <w:rPr>
                <w:rFonts w:eastAsia="仿宋"/>
                <w:color w:val="000000" w:themeColor="text1"/>
                <w:sz w:val="24"/>
                <w14:textFill>
                  <w14:solidFill>
                    <w14:schemeClr w14:val="tx1"/>
                  </w14:solidFill>
                </w14:textFill>
              </w:rPr>
            </w:pPr>
          </w:p>
          <w:p w14:paraId="12D75D13">
            <w:pPr>
              <w:spacing w:line="500" w:lineRule="exact"/>
              <w:ind w:firstLine="480" w:firstLineChars="200"/>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附件：</w:t>
            </w:r>
          </w:p>
          <w:p w14:paraId="6B1A62DD">
            <w:pPr>
              <w:autoSpaceDE w:val="0"/>
              <w:autoSpaceDN w:val="0"/>
              <w:adjustRightInd w:val="0"/>
              <w:spacing w:line="500" w:lineRule="exact"/>
              <w:ind w:firstLine="480" w:firstLineChars="200"/>
              <w:jc w:val="left"/>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附件1：营业执照</w:t>
            </w:r>
          </w:p>
          <w:p w14:paraId="6E4FA4A1">
            <w:pPr>
              <w:autoSpaceDE w:val="0"/>
              <w:autoSpaceDN w:val="0"/>
              <w:adjustRightInd w:val="0"/>
              <w:spacing w:line="500" w:lineRule="exact"/>
              <w:ind w:firstLine="480" w:firstLineChars="200"/>
              <w:jc w:val="left"/>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附件</w:t>
            </w:r>
            <w:r>
              <w:rPr>
                <w:rFonts w:hint="eastAsia" w:eastAsia="仿宋"/>
                <w:color w:val="000000" w:themeColor="text1"/>
                <w:kern w:val="0"/>
                <w:sz w:val="24"/>
                <w14:textFill>
                  <w14:solidFill>
                    <w14:schemeClr w14:val="tx1"/>
                  </w14:solidFill>
                </w14:textFill>
              </w:rPr>
              <w:t>2</w:t>
            </w:r>
            <w:r>
              <w:rPr>
                <w:rFonts w:eastAsia="仿宋"/>
                <w:color w:val="000000" w:themeColor="text1"/>
                <w:kern w:val="0"/>
                <w:sz w:val="24"/>
                <w14:textFill>
                  <w14:solidFill>
                    <w14:schemeClr w14:val="tx1"/>
                  </w14:solidFill>
                </w14:textFill>
              </w:rPr>
              <w:t>：法人身份证</w:t>
            </w:r>
          </w:p>
          <w:p w14:paraId="006BA782">
            <w:pPr>
              <w:autoSpaceDE w:val="0"/>
              <w:autoSpaceDN w:val="0"/>
              <w:adjustRightInd w:val="0"/>
              <w:spacing w:line="500" w:lineRule="exact"/>
              <w:ind w:firstLine="480" w:firstLineChars="200"/>
              <w:jc w:val="left"/>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附件</w:t>
            </w:r>
            <w:r>
              <w:rPr>
                <w:rFonts w:hint="eastAsia" w:eastAsia="仿宋"/>
                <w:color w:val="000000" w:themeColor="text1"/>
                <w:kern w:val="0"/>
                <w:sz w:val="24"/>
                <w14:textFill>
                  <w14:solidFill>
                    <w14:schemeClr w14:val="tx1"/>
                  </w14:solidFill>
                </w14:textFill>
              </w:rPr>
              <w:t>3</w:t>
            </w:r>
            <w:r>
              <w:rPr>
                <w:rFonts w:eastAsia="仿宋"/>
                <w:color w:val="000000" w:themeColor="text1"/>
                <w:kern w:val="0"/>
                <w:sz w:val="24"/>
                <w14:textFill>
                  <w14:solidFill>
                    <w14:schemeClr w14:val="tx1"/>
                  </w14:solidFill>
                </w14:textFill>
              </w:rPr>
              <w:t>：江苏省投资项目备案证</w:t>
            </w:r>
          </w:p>
          <w:p w14:paraId="3D05D2CF">
            <w:pPr>
              <w:autoSpaceDE w:val="0"/>
              <w:autoSpaceDN w:val="0"/>
              <w:adjustRightInd w:val="0"/>
              <w:spacing w:line="500" w:lineRule="exact"/>
              <w:ind w:firstLine="480" w:firstLineChars="200"/>
              <w:jc w:val="left"/>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附件</w:t>
            </w:r>
            <w:r>
              <w:rPr>
                <w:rFonts w:hint="eastAsia" w:eastAsia="仿宋"/>
                <w:color w:val="000000" w:themeColor="text1"/>
                <w:kern w:val="0"/>
                <w:sz w:val="24"/>
                <w14:textFill>
                  <w14:solidFill>
                    <w14:schemeClr w14:val="tx1"/>
                  </w14:solidFill>
                </w14:textFill>
              </w:rPr>
              <w:t>4</w:t>
            </w:r>
            <w:r>
              <w:rPr>
                <w:rFonts w:eastAsia="仿宋"/>
                <w:color w:val="000000" w:themeColor="text1"/>
                <w:kern w:val="0"/>
                <w:sz w:val="24"/>
                <w14:textFill>
                  <w14:solidFill>
                    <w14:schemeClr w14:val="tx1"/>
                  </w14:solidFill>
                </w14:textFill>
              </w:rPr>
              <w:t>：不动产权证书</w:t>
            </w:r>
          </w:p>
          <w:p w14:paraId="23752BF7">
            <w:pPr>
              <w:autoSpaceDE w:val="0"/>
              <w:autoSpaceDN w:val="0"/>
              <w:adjustRightInd w:val="0"/>
              <w:spacing w:line="500" w:lineRule="exact"/>
              <w:ind w:firstLine="480" w:firstLineChars="200"/>
              <w:jc w:val="left"/>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附件</w:t>
            </w:r>
            <w:r>
              <w:rPr>
                <w:rFonts w:hint="eastAsia" w:eastAsia="仿宋"/>
                <w:color w:val="000000" w:themeColor="text1"/>
                <w:kern w:val="0"/>
                <w:sz w:val="24"/>
                <w14:textFill>
                  <w14:solidFill>
                    <w14:schemeClr w14:val="tx1"/>
                  </w14:solidFill>
                </w14:textFill>
              </w:rPr>
              <w:t>5</w:t>
            </w:r>
            <w:r>
              <w:rPr>
                <w:rFonts w:eastAsia="仿宋"/>
                <w:color w:val="000000" w:themeColor="text1"/>
                <w:kern w:val="0"/>
                <w:sz w:val="24"/>
                <w14:textFill>
                  <w14:solidFill>
                    <w14:schemeClr w14:val="tx1"/>
                  </w14:solidFill>
                </w14:textFill>
              </w:rPr>
              <w:t>：原有项目环评批复</w:t>
            </w:r>
          </w:p>
          <w:p w14:paraId="61245CB9">
            <w:pPr>
              <w:autoSpaceDE w:val="0"/>
              <w:autoSpaceDN w:val="0"/>
              <w:adjustRightInd w:val="0"/>
              <w:spacing w:line="500" w:lineRule="exact"/>
              <w:ind w:firstLine="480" w:firstLineChars="200"/>
              <w:jc w:val="left"/>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附件</w:t>
            </w:r>
            <w:r>
              <w:rPr>
                <w:rFonts w:hint="eastAsia" w:eastAsia="仿宋"/>
                <w:color w:val="000000" w:themeColor="text1"/>
                <w:kern w:val="0"/>
                <w:sz w:val="24"/>
                <w14:textFill>
                  <w14:solidFill>
                    <w14:schemeClr w14:val="tx1"/>
                  </w14:solidFill>
                </w14:textFill>
              </w:rPr>
              <w:t>6</w:t>
            </w:r>
            <w:r>
              <w:rPr>
                <w:rFonts w:eastAsia="仿宋"/>
                <w:color w:val="000000" w:themeColor="text1"/>
                <w:kern w:val="0"/>
                <w:sz w:val="24"/>
                <w14:textFill>
                  <w14:solidFill>
                    <w14:schemeClr w14:val="tx1"/>
                  </w14:solidFill>
                </w14:textFill>
              </w:rPr>
              <w:t>：</w:t>
            </w:r>
            <w:r>
              <w:rPr>
                <w:rFonts w:hint="eastAsia" w:eastAsia="仿宋"/>
                <w:color w:val="000000" w:themeColor="text1"/>
                <w:kern w:val="0"/>
                <w:sz w:val="24"/>
                <w14:textFill>
                  <w14:solidFill>
                    <w14:schemeClr w14:val="tx1"/>
                  </w14:solidFill>
                </w14:textFill>
              </w:rPr>
              <w:t>污水接管意向书</w:t>
            </w:r>
          </w:p>
          <w:p w14:paraId="4B0615AD">
            <w:pPr>
              <w:autoSpaceDE w:val="0"/>
              <w:autoSpaceDN w:val="0"/>
              <w:adjustRightInd w:val="0"/>
              <w:spacing w:line="500" w:lineRule="exact"/>
              <w:ind w:firstLine="480" w:firstLineChars="200"/>
              <w:jc w:val="left"/>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附件</w:t>
            </w:r>
            <w:r>
              <w:rPr>
                <w:rFonts w:hint="eastAsia" w:eastAsia="仿宋"/>
                <w:color w:val="000000" w:themeColor="text1"/>
                <w:kern w:val="0"/>
                <w:sz w:val="24"/>
                <w14:textFill>
                  <w14:solidFill>
                    <w14:schemeClr w14:val="tx1"/>
                  </w14:solidFill>
                </w14:textFill>
              </w:rPr>
              <w:t>7</w:t>
            </w:r>
            <w:r>
              <w:rPr>
                <w:rFonts w:eastAsia="仿宋"/>
                <w:color w:val="000000" w:themeColor="text1"/>
                <w:kern w:val="0"/>
                <w:sz w:val="24"/>
                <w14:textFill>
                  <w14:solidFill>
                    <w14:schemeClr w14:val="tx1"/>
                  </w14:solidFill>
                </w14:textFill>
              </w:rPr>
              <w:t>：检测报告（含引用说明）</w:t>
            </w:r>
          </w:p>
          <w:p w14:paraId="437A59FA">
            <w:pPr>
              <w:spacing w:line="500" w:lineRule="exact"/>
              <w:ind w:firstLine="480" w:firstLineChars="200"/>
              <w:rPr>
                <w:rFonts w:eastAsia="仿宋"/>
                <w:color w:val="000000" w:themeColor="text1"/>
                <w:kern w:val="0"/>
                <w:sz w:val="24"/>
                <w14:textFill>
                  <w14:solidFill>
                    <w14:schemeClr w14:val="tx1"/>
                  </w14:solidFill>
                </w14:textFill>
              </w:rPr>
            </w:pPr>
            <w:r>
              <w:rPr>
                <w:rFonts w:eastAsia="仿宋"/>
                <w:color w:val="000000" w:themeColor="text1"/>
                <w:kern w:val="0"/>
                <w:sz w:val="24"/>
                <w14:textFill>
                  <w14:solidFill>
                    <w14:schemeClr w14:val="tx1"/>
                  </w14:solidFill>
                </w14:textFill>
              </w:rPr>
              <w:t>附件</w:t>
            </w:r>
            <w:r>
              <w:rPr>
                <w:rFonts w:hint="eastAsia" w:eastAsia="仿宋"/>
                <w:color w:val="000000" w:themeColor="text1"/>
                <w:kern w:val="0"/>
                <w:sz w:val="24"/>
                <w14:textFill>
                  <w14:solidFill>
                    <w14:schemeClr w14:val="tx1"/>
                  </w14:solidFill>
                </w14:textFill>
              </w:rPr>
              <w:t>8</w:t>
            </w:r>
            <w:r>
              <w:rPr>
                <w:rFonts w:eastAsia="仿宋"/>
                <w:color w:val="000000" w:themeColor="text1"/>
                <w:kern w:val="0"/>
                <w:sz w:val="24"/>
                <w14:textFill>
                  <w14:solidFill>
                    <w14:schemeClr w14:val="tx1"/>
                  </w14:solidFill>
                </w14:textFill>
              </w:rPr>
              <w:t>：</w:t>
            </w:r>
            <w:r>
              <w:rPr>
                <w:rFonts w:hint="eastAsia" w:eastAsia="仿宋"/>
                <w:color w:val="000000" w:themeColor="text1"/>
                <w:kern w:val="0"/>
                <w:sz w:val="24"/>
                <w14:textFill>
                  <w14:solidFill>
                    <w14:schemeClr w14:val="tx1"/>
                  </w14:solidFill>
                </w14:textFill>
              </w:rPr>
              <w:t>关于金坛经济开发区发展规划环境影响评价审查意见</w:t>
            </w:r>
          </w:p>
          <w:p w14:paraId="47DA9447">
            <w:pPr>
              <w:spacing w:line="500" w:lineRule="exact"/>
              <w:ind w:firstLine="480" w:firstLineChars="200"/>
              <w:rPr>
                <w:rFonts w:eastAsia="仿宋"/>
                <w:color w:val="000000" w:themeColor="text1"/>
                <w:kern w:val="0"/>
                <w:sz w:val="24"/>
                <w14:textFill>
                  <w14:solidFill>
                    <w14:schemeClr w14:val="tx1"/>
                  </w14:solidFill>
                </w14:textFill>
              </w:rPr>
            </w:pPr>
            <w:r>
              <w:rPr>
                <w:rFonts w:hint="eastAsia" w:eastAsia="仿宋"/>
                <w:color w:val="000000" w:themeColor="text1"/>
                <w:kern w:val="0"/>
                <w:sz w:val="24"/>
                <w14:textFill>
                  <w14:solidFill>
                    <w14:schemeClr w14:val="tx1"/>
                  </w14:solidFill>
                </w14:textFill>
              </w:rPr>
              <w:t>附件9：金坛区第二污水处理厂环评批复</w:t>
            </w:r>
          </w:p>
          <w:p w14:paraId="27773412">
            <w:pPr>
              <w:pStyle w:val="10"/>
              <w:rPr>
                <w:color w:val="000000" w:themeColor="text1"/>
                <w14:textFill>
                  <w14:solidFill>
                    <w14:schemeClr w14:val="tx1"/>
                  </w14:solidFill>
                </w14:textFill>
              </w:rPr>
            </w:pPr>
          </w:p>
          <w:p w14:paraId="23156CEF">
            <w:pPr>
              <w:tabs>
                <w:tab w:val="left" w:pos="2190"/>
              </w:tabs>
              <w:jc w:val="left"/>
              <w:rPr>
                <w:rFonts w:eastAsia="仿宋"/>
                <w:color w:val="000000" w:themeColor="text1"/>
                <w14:textFill>
                  <w14:solidFill>
                    <w14:schemeClr w14:val="tx1"/>
                  </w14:solidFill>
                </w14:textFill>
              </w:rPr>
            </w:pPr>
          </w:p>
        </w:tc>
      </w:tr>
    </w:tbl>
    <w:p w14:paraId="22595F11">
      <w:pPr>
        <w:tabs>
          <w:tab w:val="left" w:pos="2302"/>
        </w:tabs>
        <w:jc w:val="left"/>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drawing>
          <wp:inline distT="0" distB="0" distL="0" distR="0">
            <wp:extent cx="5615940" cy="7878445"/>
            <wp:effectExtent l="0" t="0" r="381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615940" cy="7878445"/>
                    </a:xfrm>
                    <a:prstGeom prst="rect">
                      <a:avLst/>
                    </a:prstGeom>
                    <a:noFill/>
                    <a:ln>
                      <a:noFill/>
                    </a:ln>
                  </pic:spPr>
                </pic:pic>
              </a:graphicData>
            </a:graphic>
          </wp:inline>
        </w:drawing>
      </w:r>
    </w:p>
    <w:p w14:paraId="797525CC">
      <w:pPr>
        <w:tabs>
          <w:tab w:val="left" w:pos="2302"/>
        </w:tabs>
        <w:jc w:val="left"/>
        <w:rPr>
          <w:rFonts w:hint="eastAsia"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drawing>
          <wp:inline distT="0" distB="0" distL="0" distR="0">
            <wp:extent cx="5050790" cy="853186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050790" cy="8531860"/>
                    </a:xfrm>
                    <a:prstGeom prst="rect">
                      <a:avLst/>
                    </a:prstGeom>
                    <a:noFill/>
                    <a:ln>
                      <a:noFill/>
                    </a:ln>
                  </pic:spPr>
                </pic:pic>
              </a:graphicData>
            </a:graphic>
          </wp:inline>
        </w:drawing>
      </w:r>
    </w:p>
    <w:sectPr>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1" w:fontKey="{0A9FFB42-F8CB-4ABC-915A-C431E32482AF}"/>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embedRegular r:id="rId2" w:fontKey="{4C167B0A-7982-4B6C-B70D-C4ECF9D12395}"/>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embedRegular r:id="rId3" w:fontKey="{A819F11A-2AD0-48C4-B1BA-B1E40489AA8B}"/>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Cambria Math">
    <w:panose1 w:val="02040503050406030204"/>
    <w:charset w:val="00"/>
    <w:family w:val="roman"/>
    <w:pitch w:val="default"/>
    <w:sig w:usb0="E00002FF" w:usb1="420024FF" w:usb2="00000000" w:usb3="00000000" w:csb0="2000019F" w:csb1="00000000"/>
    <w:embedRegular r:id="rId4" w:fontKey="{A806DD08-693B-4B37-A680-7026CE352334}"/>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Segoe UI Symbol">
    <w:panose1 w:val="020B0502040204020203"/>
    <w:charset w:val="00"/>
    <w:family w:val="swiss"/>
    <w:pitch w:val="default"/>
    <w:sig w:usb0="8000006F" w:usb1="1200FBEF" w:usb2="0064C000" w:usb3="00000002" w:csb0="00000001" w:csb1="40000000"/>
  </w:font>
  <w:font w:name="TimesNewRomanPSMT">
    <w:altName w:val="Times New Roman"/>
    <w:panose1 w:val="00000000000000000000"/>
    <w:charset w:val="00"/>
    <w:family w:val="auto"/>
    <w:pitch w:val="default"/>
    <w:sig w:usb0="00000000" w:usb1="00000000" w:usb2="00000000" w:usb3="00000000" w:csb0="00000000" w:csb1="00000000"/>
  </w:font>
  <w:font w:name="Wingdings 2">
    <w:panose1 w:val="05020102010507070707"/>
    <w:charset w:val="02"/>
    <w:family w:val="roman"/>
    <w:pitch w:val="default"/>
    <w:sig w:usb0="00000000" w:usb1="00000000" w:usb2="00000000" w:usb3="00000000" w:csb0="80000000" w:csb1="00000000"/>
    <w:embedRegular r:id="rId5" w:fontKey="{21028EBB-C6C2-4B1B-B92A-FC8A3F808F75}"/>
  </w:font>
  <w:font w:name="等线">
    <w:altName w:val="微软雅黑"/>
    <w:panose1 w:val="02010600030101010101"/>
    <w:charset w:val="86"/>
    <w:family w:val="auto"/>
    <w:pitch w:val="default"/>
    <w:sig w:usb0="00000000" w:usb1="00000000" w:usb2="00000016" w:usb3="00000000" w:csb0="0004000F" w:csb1="00000000"/>
    <w:embedRegular r:id="rId6" w:fontKey="{F38C5799-330A-4F51-9EC0-1D44AA1D887B}"/>
  </w:font>
  <w:font w:name="DengXian">
    <w:altName w:val="Segoe Print"/>
    <w:panose1 w:val="00000000000000000000"/>
    <w:charset w:val="00"/>
    <w:family w:val="auto"/>
    <w:pitch w:val="default"/>
    <w:sig w:usb0="00000000" w:usb1="00000000" w:usb2="00000000" w:usb3="00000000" w:csb0="00000000" w:csb1="00000000"/>
  </w:font>
  <w:font w:name="华文仿宋">
    <w:panose1 w:val="02010600040101010101"/>
    <w:charset w:val="86"/>
    <w:family w:val="auto"/>
    <w:pitch w:val="default"/>
    <w:sig w:usb0="00000287" w:usb1="080F0000" w:usb2="00000000" w:usb3="00000000" w:csb0="0004009F" w:csb1="DFD70000"/>
    <w:embedRegular r:id="rId7" w:fontKey="{51E6035C-31B5-4DFF-8476-3D14535DC777}"/>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26D35">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66D93">
    <w:pPr>
      <w:pStyle w:val="16"/>
      <w:framePr w:wrap="around" w:vAnchor="text" w:hAnchor="margin" w:xAlign="center" w:y="1"/>
      <w:rPr>
        <w:rStyle w:val="28"/>
      </w:rPr>
    </w:pPr>
    <w:r>
      <w:fldChar w:fldCharType="begin"/>
    </w:r>
    <w:r>
      <w:rPr>
        <w:rStyle w:val="28"/>
      </w:rPr>
      <w:instrText xml:space="preserve">PAGE  </w:instrText>
    </w:r>
    <w:r>
      <w:fldChar w:fldCharType="end"/>
    </w:r>
  </w:p>
  <w:p w14:paraId="41E6A181">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87483724"/>
    </w:sdtPr>
    <w:sdtContent>
      <w:p w14:paraId="6CC189BE">
        <w:pPr>
          <w:pStyle w:val="16"/>
          <w:jc w:val="center"/>
        </w:pPr>
        <w:r>
          <w:fldChar w:fldCharType="begin"/>
        </w:r>
        <w:r>
          <w:instrText xml:space="preserve">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46435770"/>
    </w:sdtPr>
    <w:sdtContent>
      <w:p w14:paraId="48EB265A">
        <w:pPr>
          <w:pStyle w:val="16"/>
          <w:jc w:val="center"/>
        </w:pPr>
        <w:r>
          <w:fldChar w:fldCharType="begin"/>
        </w:r>
        <w:r>
          <w:instrText xml:space="preserve">PAGE   \* MERGEFORMAT</w:instrText>
        </w:r>
        <w:r>
          <w:fldChar w:fldCharType="separate"/>
        </w:r>
        <w:r>
          <w:rPr>
            <w:lang w:val="zh-CN"/>
          </w:rPr>
          <w:t>2</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5706AB"/>
    <w:multiLevelType w:val="singleLevel"/>
    <w:tmpl w:val="8A5706AB"/>
    <w:lvl w:ilvl="0" w:tentative="0">
      <w:start w:val="1"/>
      <w:numFmt w:val="bullet"/>
      <w:pStyle w:val="13"/>
      <w:lvlText w:val=""/>
      <w:lvlJc w:val="left"/>
      <w:pPr>
        <w:tabs>
          <w:tab w:val="left" w:pos="3032"/>
        </w:tabs>
        <w:ind w:left="3032"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documentProtection w:edit="trackedChanges" w:enforcement="0"/>
  <w:defaultTabStop w:val="420"/>
  <w:doNotHyphenateCaps/>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Q0NjZkZWIzZGQ3ODdmNDY5NjM4ZWFlYjM5NzgxMjkifQ=="/>
  </w:docVars>
  <w:rsids>
    <w:rsidRoot w:val="00172A27"/>
    <w:rsid w:val="00000098"/>
    <w:rsid w:val="00002B62"/>
    <w:rsid w:val="00003699"/>
    <w:rsid w:val="000060B3"/>
    <w:rsid w:val="00006479"/>
    <w:rsid w:val="000076AE"/>
    <w:rsid w:val="00007C3D"/>
    <w:rsid w:val="00007CEE"/>
    <w:rsid w:val="00010714"/>
    <w:rsid w:val="00012C3B"/>
    <w:rsid w:val="00012CF7"/>
    <w:rsid w:val="00012D9C"/>
    <w:rsid w:val="000132AE"/>
    <w:rsid w:val="00013502"/>
    <w:rsid w:val="0001371A"/>
    <w:rsid w:val="00013AF6"/>
    <w:rsid w:val="00013C2C"/>
    <w:rsid w:val="000142C8"/>
    <w:rsid w:val="0001449E"/>
    <w:rsid w:val="000149B7"/>
    <w:rsid w:val="00015FEB"/>
    <w:rsid w:val="0001642F"/>
    <w:rsid w:val="00016E6D"/>
    <w:rsid w:val="0001749A"/>
    <w:rsid w:val="0001749D"/>
    <w:rsid w:val="00017611"/>
    <w:rsid w:val="0002170A"/>
    <w:rsid w:val="00021848"/>
    <w:rsid w:val="00021FB1"/>
    <w:rsid w:val="00022223"/>
    <w:rsid w:val="00023017"/>
    <w:rsid w:val="000231F0"/>
    <w:rsid w:val="00023EB5"/>
    <w:rsid w:val="000240BA"/>
    <w:rsid w:val="00024E5C"/>
    <w:rsid w:val="00025546"/>
    <w:rsid w:val="0002566C"/>
    <w:rsid w:val="00025D7E"/>
    <w:rsid w:val="00025EF3"/>
    <w:rsid w:val="000266C7"/>
    <w:rsid w:val="00026999"/>
    <w:rsid w:val="00026DA5"/>
    <w:rsid w:val="00026E96"/>
    <w:rsid w:val="00027428"/>
    <w:rsid w:val="0002764D"/>
    <w:rsid w:val="0002782C"/>
    <w:rsid w:val="00027846"/>
    <w:rsid w:val="00027DA6"/>
    <w:rsid w:val="00030321"/>
    <w:rsid w:val="000303B9"/>
    <w:rsid w:val="0003047F"/>
    <w:rsid w:val="0003068C"/>
    <w:rsid w:val="000309A7"/>
    <w:rsid w:val="00031EB0"/>
    <w:rsid w:val="0003212D"/>
    <w:rsid w:val="0003307E"/>
    <w:rsid w:val="0003378B"/>
    <w:rsid w:val="00033B57"/>
    <w:rsid w:val="000341AA"/>
    <w:rsid w:val="000346C3"/>
    <w:rsid w:val="000353EE"/>
    <w:rsid w:val="000355FF"/>
    <w:rsid w:val="00035A9D"/>
    <w:rsid w:val="00036348"/>
    <w:rsid w:val="0003634B"/>
    <w:rsid w:val="00037C88"/>
    <w:rsid w:val="00037DEE"/>
    <w:rsid w:val="00040505"/>
    <w:rsid w:val="00040ED9"/>
    <w:rsid w:val="0004104D"/>
    <w:rsid w:val="000414D8"/>
    <w:rsid w:val="00041FE7"/>
    <w:rsid w:val="000420B5"/>
    <w:rsid w:val="00042585"/>
    <w:rsid w:val="00043247"/>
    <w:rsid w:val="0004364B"/>
    <w:rsid w:val="00043F6B"/>
    <w:rsid w:val="0004589D"/>
    <w:rsid w:val="00046A35"/>
    <w:rsid w:val="00046AE6"/>
    <w:rsid w:val="0004716A"/>
    <w:rsid w:val="000502B2"/>
    <w:rsid w:val="00050489"/>
    <w:rsid w:val="00051469"/>
    <w:rsid w:val="00051820"/>
    <w:rsid w:val="00051825"/>
    <w:rsid w:val="000519D5"/>
    <w:rsid w:val="00052001"/>
    <w:rsid w:val="00052585"/>
    <w:rsid w:val="000543B3"/>
    <w:rsid w:val="00054446"/>
    <w:rsid w:val="000555B6"/>
    <w:rsid w:val="000555BA"/>
    <w:rsid w:val="00055806"/>
    <w:rsid w:val="00055FDF"/>
    <w:rsid w:val="00056C26"/>
    <w:rsid w:val="00057220"/>
    <w:rsid w:val="0005729B"/>
    <w:rsid w:val="0005775E"/>
    <w:rsid w:val="0006047D"/>
    <w:rsid w:val="00060B88"/>
    <w:rsid w:val="0006125F"/>
    <w:rsid w:val="00061B1F"/>
    <w:rsid w:val="000622F4"/>
    <w:rsid w:val="00062FDA"/>
    <w:rsid w:val="00064ADA"/>
    <w:rsid w:val="00065315"/>
    <w:rsid w:val="00065B77"/>
    <w:rsid w:val="00065BD2"/>
    <w:rsid w:val="00065D1C"/>
    <w:rsid w:val="000661AC"/>
    <w:rsid w:val="00066204"/>
    <w:rsid w:val="000663F9"/>
    <w:rsid w:val="00067180"/>
    <w:rsid w:val="00067683"/>
    <w:rsid w:val="00067786"/>
    <w:rsid w:val="00070617"/>
    <w:rsid w:val="0007061C"/>
    <w:rsid w:val="00070ED2"/>
    <w:rsid w:val="00070FEA"/>
    <w:rsid w:val="000714B3"/>
    <w:rsid w:val="000723D8"/>
    <w:rsid w:val="00073102"/>
    <w:rsid w:val="000733C4"/>
    <w:rsid w:val="0007424B"/>
    <w:rsid w:val="00074260"/>
    <w:rsid w:val="00074783"/>
    <w:rsid w:val="00074901"/>
    <w:rsid w:val="00074A2A"/>
    <w:rsid w:val="00075B07"/>
    <w:rsid w:val="0007669F"/>
    <w:rsid w:val="00076DD6"/>
    <w:rsid w:val="000775CF"/>
    <w:rsid w:val="00077F78"/>
    <w:rsid w:val="0008001C"/>
    <w:rsid w:val="0008070B"/>
    <w:rsid w:val="00080E6E"/>
    <w:rsid w:val="000810AC"/>
    <w:rsid w:val="00081A02"/>
    <w:rsid w:val="00082231"/>
    <w:rsid w:val="00082A0E"/>
    <w:rsid w:val="00083DEF"/>
    <w:rsid w:val="000846D2"/>
    <w:rsid w:val="00084905"/>
    <w:rsid w:val="00085345"/>
    <w:rsid w:val="0008550B"/>
    <w:rsid w:val="000856E8"/>
    <w:rsid w:val="00085963"/>
    <w:rsid w:val="00086947"/>
    <w:rsid w:val="00086AC0"/>
    <w:rsid w:val="00086F47"/>
    <w:rsid w:val="00087E4E"/>
    <w:rsid w:val="00087E5A"/>
    <w:rsid w:val="000911C3"/>
    <w:rsid w:val="00091211"/>
    <w:rsid w:val="00091408"/>
    <w:rsid w:val="00091833"/>
    <w:rsid w:val="00092A2D"/>
    <w:rsid w:val="00092D27"/>
    <w:rsid w:val="00092D38"/>
    <w:rsid w:val="00092D55"/>
    <w:rsid w:val="000936DD"/>
    <w:rsid w:val="0009377B"/>
    <w:rsid w:val="000948D4"/>
    <w:rsid w:val="00096109"/>
    <w:rsid w:val="00096286"/>
    <w:rsid w:val="0009728F"/>
    <w:rsid w:val="000975AF"/>
    <w:rsid w:val="00097D6E"/>
    <w:rsid w:val="00097FA1"/>
    <w:rsid w:val="000A03AF"/>
    <w:rsid w:val="000A0D45"/>
    <w:rsid w:val="000A1205"/>
    <w:rsid w:val="000A1BB0"/>
    <w:rsid w:val="000A20C9"/>
    <w:rsid w:val="000A28AD"/>
    <w:rsid w:val="000A28BF"/>
    <w:rsid w:val="000A2E45"/>
    <w:rsid w:val="000A2E8E"/>
    <w:rsid w:val="000A3541"/>
    <w:rsid w:val="000A38A3"/>
    <w:rsid w:val="000A4567"/>
    <w:rsid w:val="000A46A3"/>
    <w:rsid w:val="000A485C"/>
    <w:rsid w:val="000A50FA"/>
    <w:rsid w:val="000A5620"/>
    <w:rsid w:val="000A6040"/>
    <w:rsid w:val="000A623E"/>
    <w:rsid w:val="000A67F2"/>
    <w:rsid w:val="000A748B"/>
    <w:rsid w:val="000B058F"/>
    <w:rsid w:val="000B16C1"/>
    <w:rsid w:val="000B1C38"/>
    <w:rsid w:val="000B2749"/>
    <w:rsid w:val="000B2BD6"/>
    <w:rsid w:val="000B4467"/>
    <w:rsid w:val="000B4D4F"/>
    <w:rsid w:val="000B4DB9"/>
    <w:rsid w:val="000B558B"/>
    <w:rsid w:val="000B5743"/>
    <w:rsid w:val="000B5B1C"/>
    <w:rsid w:val="000B61B3"/>
    <w:rsid w:val="000B66E1"/>
    <w:rsid w:val="000B743E"/>
    <w:rsid w:val="000C09AC"/>
    <w:rsid w:val="000C0BEC"/>
    <w:rsid w:val="000C0E0C"/>
    <w:rsid w:val="000C130C"/>
    <w:rsid w:val="000C1416"/>
    <w:rsid w:val="000C1C2E"/>
    <w:rsid w:val="000C3438"/>
    <w:rsid w:val="000C3905"/>
    <w:rsid w:val="000C4105"/>
    <w:rsid w:val="000C4CF9"/>
    <w:rsid w:val="000C51EC"/>
    <w:rsid w:val="000C6186"/>
    <w:rsid w:val="000C6C86"/>
    <w:rsid w:val="000C6EBD"/>
    <w:rsid w:val="000C767F"/>
    <w:rsid w:val="000D00A1"/>
    <w:rsid w:val="000D050B"/>
    <w:rsid w:val="000D15CF"/>
    <w:rsid w:val="000D1A6B"/>
    <w:rsid w:val="000D1FF9"/>
    <w:rsid w:val="000D4CCB"/>
    <w:rsid w:val="000D5232"/>
    <w:rsid w:val="000D5289"/>
    <w:rsid w:val="000D5A44"/>
    <w:rsid w:val="000D5A57"/>
    <w:rsid w:val="000D5DC3"/>
    <w:rsid w:val="000D642F"/>
    <w:rsid w:val="000D7384"/>
    <w:rsid w:val="000E090F"/>
    <w:rsid w:val="000E1422"/>
    <w:rsid w:val="000E18D6"/>
    <w:rsid w:val="000E2A5F"/>
    <w:rsid w:val="000E367A"/>
    <w:rsid w:val="000E3B9E"/>
    <w:rsid w:val="000E3ED2"/>
    <w:rsid w:val="000E4468"/>
    <w:rsid w:val="000E4550"/>
    <w:rsid w:val="000E5385"/>
    <w:rsid w:val="000E567E"/>
    <w:rsid w:val="000E6468"/>
    <w:rsid w:val="000E64AA"/>
    <w:rsid w:val="000E6F97"/>
    <w:rsid w:val="000F0407"/>
    <w:rsid w:val="000F137A"/>
    <w:rsid w:val="000F192E"/>
    <w:rsid w:val="000F1D00"/>
    <w:rsid w:val="000F2F41"/>
    <w:rsid w:val="000F4796"/>
    <w:rsid w:val="000F4BE7"/>
    <w:rsid w:val="000F5672"/>
    <w:rsid w:val="000F5801"/>
    <w:rsid w:val="000F6C17"/>
    <w:rsid w:val="000F6DE9"/>
    <w:rsid w:val="000F6E78"/>
    <w:rsid w:val="000F759E"/>
    <w:rsid w:val="000F75B9"/>
    <w:rsid w:val="00100615"/>
    <w:rsid w:val="00100B8B"/>
    <w:rsid w:val="00100CFF"/>
    <w:rsid w:val="001024DF"/>
    <w:rsid w:val="0010250D"/>
    <w:rsid w:val="00102F34"/>
    <w:rsid w:val="00104731"/>
    <w:rsid w:val="00104A93"/>
    <w:rsid w:val="00104B30"/>
    <w:rsid w:val="00104CD7"/>
    <w:rsid w:val="00105C8C"/>
    <w:rsid w:val="00105E5B"/>
    <w:rsid w:val="00106079"/>
    <w:rsid w:val="001063A0"/>
    <w:rsid w:val="00106C66"/>
    <w:rsid w:val="00107FE5"/>
    <w:rsid w:val="00110463"/>
    <w:rsid w:val="00110866"/>
    <w:rsid w:val="00110FF4"/>
    <w:rsid w:val="00111BDD"/>
    <w:rsid w:val="00112EE2"/>
    <w:rsid w:val="001138E0"/>
    <w:rsid w:val="00113D06"/>
    <w:rsid w:val="00114D7E"/>
    <w:rsid w:val="001157E4"/>
    <w:rsid w:val="00115A72"/>
    <w:rsid w:val="00115CA7"/>
    <w:rsid w:val="00115F90"/>
    <w:rsid w:val="00117595"/>
    <w:rsid w:val="001178AB"/>
    <w:rsid w:val="00117B21"/>
    <w:rsid w:val="00120AA5"/>
    <w:rsid w:val="00121754"/>
    <w:rsid w:val="00123C1E"/>
    <w:rsid w:val="00123F11"/>
    <w:rsid w:val="001240D0"/>
    <w:rsid w:val="001253A2"/>
    <w:rsid w:val="00125AEC"/>
    <w:rsid w:val="00126DCE"/>
    <w:rsid w:val="00127688"/>
    <w:rsid w:val="001304DB"/>
    <w:rsid w:val="001315D6"/>
    <w:rsid w:val="00131E52"/>
    <w:rsid w:val="00131F42"/>
    <w:rsid w:val="001322F0"/>
    <w:rsid w:val="0013263A"/>
    <w:rsid w:val="00133130"/>
    <w:rsid w:val="001339BA"/>
    <w:rsid w:val="00134496"/>
    <w:rsid w:val="001357F1"/>
    <w:rsid w:val="00135BAE"/>
    <w:rsid w:val="0013787C"/>
    <w:rsid w:val="00137D3A"/>
    <w:rsid w:val="00137F48"/>
    <w:rsid w:val="00140500"/>
    <w:rsid w:val="00140FA8"/>
    <w:rsid w:val="00140FCE"/>
    <w:rsid w:val="001410FA"/>
    <w:rsid w:val="0014112B"/>
    <w:rsid w:val="00141B2E"/>
    <w:rsid w:val="00141FB1"/>
    <w:rsid w:val="00142E89"/>
    <w:rsid w:val="00142FEB"/>
    <w:rsid w:val="00143288"/>
    <w:rsid w:val="00143A2D"/>
    <w:rsid w:val="00143E3D"/>
    <w:rsid w:val="00144B40"/>
    <w:rsid w:val="00144C57"/>
    <w:rsid w:val="00144F2B"/>
    <w:rsid w:val="00145A41"/>
    <w:rsid w:val="00145A80"/>
    <w:rsid w:val="001464A4"/>
    <w:rsid w:val="0014654C"/>
    <w:rsid w:val="001466AD"/>
    <w:rsid w:val="0014691C"/>
    <w:rsid w:val="00146C71"/>
    <w:rsid w:val="001504BB"/>
    <w:rsid w:val="00150783"/>
    <w:rsid w:val="00150D2A"/>
    <w:rsid w:val="00150FF8"/>
    <w:rsid w:val="00151675"/>
    <w:rsid w:val="00151E90"/>
    <w:rsid w:val="00152139"/>
    <w:rsid w:val="001522AB"/>
    <w:rsid w:val="001527E7"/>
    <w:rsid w:val="00153E70"/>
    <w:rsid w:val="00153F04"/>
    <w:rsid w:val="0015448D"/>
    <w:rsid w:val="0015485A"/>
    <w:rsid w:val="00155476"/>
    <w:rsid w:val="001557BB"/>
    <w:rsid w:val="00155A99"/>
    <w:rsid w:val="00156307"/>
    <w:rsid w:val="00157435"/>
    <w:rsid w:val="0015781D"/>
    <w:rsid w:val="00157834"/>
    <w:rsid w:val="00160BE3"/>
    <w:rsid w:val="0016115D"/>
    <w:rsid w:val="00161588"/>
    <w:rsid w:val="00161806"/>
    <w:rsid w:val="0016319F"/>
    <w:rsid w:val="0016394B"/>
    <w:rsid w:val="00165A6E"/>
    <w:rsid w:val="00165AC9"/>
    <w:rsid w:val="00166225"/>
    <w:rsid w:val="0016627F"/>
    <w:rsid w:val="001672F1"/>
    <w:rsid w:val="00167C06"/>
    <w:rsid w:val="00167FBA"/>
    <w:rsid w:val="00170604"/>
    <w:rsid w:val="001709C8"/>
    <w:rsid w:val="0017121C"/>
    <w:rsid w:val="00172209"/>
    <w:rsid w:val="00172356"/>
    <w:rsid w:val="00172629"/>
    <w:rsid w:val="00172A27"/>
    <w:rsid w:val="00172CE5"/>
    <w:rsid w:val="00173223"/>
    <w:rsid w:val="00173BD6"/>
    <w:rsid w:val="00174A67"/>
    <w:rsid w:val="0017504D"/>
    <w:rsid w:val="0017671A"/>
    <w:rsid w:val="00177422"/>
    <w:rsid w:val="001806E3"/>
    <w:rsid w:val="00180EF6"/>
    <w:rsid w:val="001813FD"/>
    <w:rsid w:val="0018162A"/>
    <w:rsid w:val="001825AF"/>
    <w:rsid w:val="001827F5"/>
    <w:rsid w:val="00183989"/>
    <w:rsid w:val="00183B20"/>
    <w:rsid w:val="00183FCC"/>
    <w:rsid w:val="00184033"/>
    <w:rsid w:val="00184590"/>
    <w:rsid w:val="00184BAA"/>
    <w:rsid w:val="00184F16"/>
    <w:rsid w:val="00185415"/>
    <w:rsid w:val="00186B1A"/>
    <w:rsid w:val="00186BFA"/>
    <w:rsid w:val="00186C83"/>
    <w:rsid w:val="00186DA5"/>
    <w:rsid w:val="001870D1"/>
    <w:rsid w:val="001871EF"/>
    <w:rsid w:val="00187472"/>
    <w:rsid w:val="0018758E"/>
    <w:rsid w:val="0018781E"/>
    <w:rsid w:val="00187B59"/>
    <w:rsid w:val="00187DA1"/>
    <w:rsid w:val="00187F14"/>
    <w:rsid w:val="00190393"/>
    <w:rsid w:val="0019237C"/>
    <w:rsid w:val="001925D9"/>
    <w:rsid w:val="0019262D"/>
    <w:rsid w:val="00192EBC"/>
    <w:rsid w:val="001934DB"/>
    <w:rsid w:val="00194642"/>
    <w:rsid w:val="00194D39"/>
    <w:rsid w:val="001971E8"/>
    <w:rsid w:val="001976F0"/>
    <w:rsid w:val="00197AC1"/>
    <w:rsid w:val="001A16E9"/>
    <w:rsid w:val="001A1B35"/>
    <w:rsid w:val="001A1D7E"/>
    <w:rsid w:val="001A1DC6"/>
    <w:rsid w:val="001A241A"/>
    <w:rsid w:val="001A2915"/>
    <w:rsid w:val="001A29DF"/>
    <w:rsid w:val="001A2F40"/>
    <w:rsid w:val="001A455F"/>
    <w:rsid w:val="001A48A2"/>
    <w:rsid w:val="001A594F"/>
    <w:rsid w:val="001A5B3E"/>
    <w:rsid w:val="001A665F"/>
    <w:rsid w:val="001A6C88"/>
    <w:rsid w:val="001A6F61"/>
    <w:rsid w:val="001A77C2"/>
    <w:rsid w:val="001B08BF"/>
    <w:rsid w:val="001B0B01"/>
    <w:rsid w:val="001B0BFB"/>
    <w:rsid w:val="001B0D37"/>
    <w:rsid w:val="001B0DF2"/>
    <w:rsid w:val="001B1736"/>
    <w:rsid w:val="001B185B"/>
    <w:rsid w:val="001B1A62"/>
    <w:rsid w:val="001B2000"/>
    <w:rsid w:val="001B2D2D"/>
    <w:rsid w:val="001B4E1C"/>
    <w:rsid w:val="001B5720"/>
    <w:rsid w:val="001B6383"/>
    <w:rsid w:val="001B648F"/>
    <w:rsid w:val="001B72B8"/>
    <w:rsid w:val="001B74F2"/>
    <w:rsid w:val="001C0384"/>
    <w:rsid w:val="001C05CD"/>
    <w:rsid w:val="001C070E"/>
    <w:rsid w:val="001C2AB9"/>
    <w:rsid w:val="001C2CFF"/>
    <w:rsid w:val="001C2E41"/>
    <w:rsid w:val="001C355F"/>
    <w:rsid w:val="001C43EF"/>
    <w:rsid w:val="001C455B"/>
    <w:rsid w:val="001C4826"/>
    <w:rsid w:val="001C4A0A"/>
    <w:rsid w:val="001C570C"/>
    <w:rsid w:val="001C5758"/>
    <w:rsid w:val="001C5823"/>
    <w:rsid w:val="001C5DFC"/>
    <w:rsid w:val="001C5E0D"/>
    <w:rsid w:val="001C6564"/>
    <w:rsid w:val="001C664C"/>
    <w:rsid w:val="001C69B3"/>
    <w:rsid w:val="001C6D7A"/>
    <w:rsid w:val="001D003A"/>
    <w:rsid w:val="001D083F"/>
    <w:rsid w:val="001D0AF8"/>
    <w:rsid w:val="001D0CE5"/>
    <w:rsid w:val="001D1144"/>
    <w:rsid w:val="001D2CE5"/>
    <w:rsid w:val="001D3679"/>
    <w:rsid w:val="001D3955"/>
    <w:rsid w:val="001D3CD6"/>
    <w:rsid w:val="001D5072"/>
    <w:rsid w:val="001D5595"/>
    <w:rsid w:val="001D59E6"/>
    <w:rsid w:val="001D5CC3"/>
    <w:rsid w:val="001D73C2"/>
    <w:rsid w:val="001D77A9"/>
    <w:rsid w:val="001D7874"/>
    <w:rsid w:val="001D789C"/>
    <w:rsid w:val="001D78B4"/>
    <w:rsid w:val="001D7D16"/>
    <w:rsid w:val="001D7F22"/>
    <w:rsid w:val="001E0A75"/>
    <w:rsid w:val="001E1E68"/>
    <w:rsid w:val="001E268C"/>
    <w:rsid w:val="001E27C1"/>
    <w:rsid w:val="001E28C4"/>
    <w:rsid w:val="001E2B99"/>
    <w:rsid w:val="001E322C"/>
    <w:rsid w:val="001E35E3"/>
    <w:rsid w:val="001E42C7"/>
    <w:rsid w:val="001E4410"/>
    <w:rsid w:val="001E53F4"/>
    <w:rsid w:val="001E576F"/>
    <w:rsid w:val="001E5833"/>
    <w:rsid w:val="001E5E92"/>
    <w:rsid w:val="001E6009"/>
    <w:rsid w:val="001E63FD"/>
    <w:rsid w:val="001E67FB"/>
    <w:rsid w:val="001F0591"/>
    <w:rsid w:val="001F0AB5"/>
    <w:rsid w:val="001F0CC8"/>
    <w:rsid w:val="001F0F17"/>
    <w:rsid w:val="001F1FB4"/>
    <w:rsid w:val="001F25BF"/>
    <w:rsid w:val="001F269D"/>
    <w:rsid w:val="001F272D"/>
    <w:rsid w:val="001F2B3E"/>
    <w:rsid w:val="001F3347"/>
    <w:rsid w:val="001F4626"/>
    <w:rsid w:val="001F49F6"/>
    <w:rsid w:val="001F5CC5"/>
    <w:rsid w:val="001F658B"/>
    <w:rsid w:val="001F69E4"/>
    <w:rsid w:val="001F6C9B"/>
    <w:rsid w:val="001F72EC"/>
    <w:rsid w:val="001F7BF0"/>
    <w:rsid w:val="001F7D71"/>
    <w:rsid w:val="001F7F36"/>
    <w:rsid w:val="002006B8"/>
    <w:rsid w:val="00201578"/>
    <w:rsid w:val="0020224F"/>
    <w:rsid w:val="00202EE2"/>
    <w:rsid w:val="00203AE6"/>
    <w:rsid w:val="002049A6"/>
    <w:rsid w:val="00204EAA"/>
    <w:rsid w:val="0020511C"/>
    <w:rsid w:val="00205B82"/>
    <w:rsid w:val="00205D82"/>
    <w:rsid w:val="00206CB6"/>
    <w:rsid w:val="00207981"/>
    <w:rsid w:val="0021036F"/>
    <w:rsid w:val="002104D7"/>
    <w:rsid w:val="00210A2D"/>
    <w:rsid w:val="0021213C"/>
    <w:rsid w:val="002122D2"/>
    <w:rsid w:val="002125B4"/>
    <w:rsid w:val="00213468"/>
    <w:rsid w:val="002137E4"/>
    <w:rsid w:val="0021393C"/>
    <w:rsid w:val="00214CCF"/>
    <w:rsid w:val="002155B8"/>
    <w:rsid w:val="00215EA2"/>
    <w:rsid w:val="0021606C"/>
    <w:rsid w:val="00216197"/>
    <w:rsid w:val="0021667E"/>
    <w:rsid w:val="00216BBC"/>
    <w:rsid w:val="002175DD"/>
    <w:rsid w:val="00221D82"/>
    <w:rsid w:val="002224A8"/>
    <w:rsid w:val="00222646"/>
    <w:rsid w:val="00222867"/>
    <w:rsid w:val="0022299A"/>
    <w:rsid w:val="0022341C"/>
    <w:rsid w:val="002235F7"/>
    <w:rsid w:val="002242E1"/>
    <w:rsid w:val="00224839"/>
    <w:rsid w:val="00224968"/>
    <w:rsid w:val="002249B2"/>
    <w:rsid w:val="00224FB7"/>
    <w:rsid w:val="00225EBE"/>
    <w:rsid w:val="00226574"/>
    <w:rsid w:val="00226608"/>
    <w:rsid w:val="002278EC"/>
    <w:rsid w:val="00227DC6"/>
    <w:rsid w:val="00227F52"/>
    <w:rsid w:val="00232334"/>
    <w:rsid w:val="002324C6"/>
    <w:rsid w:val="0023280E"/>
    <w:rsid w:val="002328A4"/>
    <w:rsid w:val="00232950"/>
    <w:rsid w:val="00232BBD"/>
    <w:rsid w:val="00232F95"/>
    <w:rsid w:val="00234092"/>
    <w:rsid w:val="002343B6"/>
    <w:rsid w:val="00235D66"/>
    <w:rsid w:val="0023684F"/>
    <w:rsid w:val="00237432"/>
    <w:rsid w:val="00237748"/>
    <w:rsid w:val="002377D1"/>
    <w:rsid w:val="00240601"/>
    <w:rsid w:val="00240B3C"/>
    <w:rsid w:val="002417D5"/>
    <w:rsid w:val="00241D2A"/>
    <w:rsid w:val="00241F00"/>
    <w:rsid w:val="002421DF"/>
    <w:rsid w:val="00242778"/>
    <w:rsid w:val="00242E01"/>
    <w:rsid w:val="0024469A"/>
    <w:rsid w:val="0024486A"/>
    <w:rsid w:val="0024575D"/>
    <w:rsid w:val="00245B84"/>
    <w:rsid w:val="00246FA6"/>
    <w:rsid w:val="00247F00"/>
    <w:rsid w:val="002506BC"/>
    <w:rsid w:val="002507B7"/>
    <w:rsid w:val="00252339"/>
    <w:rsid w:val="002523A2"/>
    <w:rsid w:val="002528E9"/>
    <w:rsid w:val="00252A63"/>
    <w:rsid w:val="00253989"/>
    <w:rsid w:val="00253DBA"/>
    <w:rsid w:val="00254277"/>
    <w:rsid w:val="002542EC"/>
    <w:rsid w:val="00254334"/>
    <w:rsid w:val="00254345"/>
    <w:rsid w:val="00254595"/>
    <w:rsid w:val="00255778"/>
    <w:rsid w:val="00255A86"/>
    <w:rsid w:val="00255BED"/>
    <w:rsid w:val="002561D6"/>
    <w:rsid w:val="00256928"/>
    <w:rsid w:val="0025757A"/>
    <w:rsid w:val="00260378"/>
    <w:rsid w:val="00260DF1"/>
    <w:rsid w:val="00260EA3"/>
    <w:rsid w:val="002613AB"/>
    <w:rsid w:val="0026194C"/>
    <w:rsid w:val="0026229D"/>
    <w:rsid w:val="002627BC"/>
    <w:rsid w:val="00262CBD"/>
    <w:rsid w:val="00263CD2"/>
    <w:rsid w:val="00264557"/>
    <w:rsid w:val="00265117"/>
    <w:rsid w:val="00265951"/>
    <w:rsid w:val="00265BA0"/>
    <w:rsid w:val="00265CDC"/>
    <w:rsid w:val="0026755C"/>
    <w:rsid w:val="002676FC"/>
    <w:rsid w:val="0027014B"/>
    <w:rsid w:val="00270301"/>
    <w:rsid w:val="0027083E"/>
    <w:rsid w:val="00271F3A"/>
    <w:rsid w:val="00272042"/>
    <w:rsid w:val="002720E4"/>
    <w:rsid w:val="00272C3B"/>
    <w:rsid w:val="00273409"/>
    <w:rsid w:val="00273CB6"/>
    <w:rsid w:val="002748AC"/>
    <w:rsid w:val="002751B8"/>
    <w:rsid w:val="002805AB"/>
    <w:rsid w:val="002806FA"/>
    <w:rsid w:val="002810FB"/>
    <w:rsid w:val="002814F5"/>
    <w:rsid w:val="002817D5"/>
    <w:rsid w:val="00281981"/>
    <w:rsid w:val="00281D1E"/>
    <w:rsid w:val="00281E8C"/>
    <w:rsid w:val="002820DD"/>
    <w:rsid w:val="00283279"/>
    <w:rsid w:val="00283559"/>
    <w:rsid w:val="00284204"/>
    <w:rsid w:val="002846AC"/>
    <w:rsid w:val="00285B1B"/>
    <w:rsid w:val="002864A3"/>
    <w:rsid w:val="00286519"/>
    <w:rsid w:val="00287192"/>
    <w:rsid w:val="00287D16"/>
    <w:rsid w:val="00291773"/>
    <w:rsid w:val="00292B5E"/>
    <w:rsid w:val="00294C4B"/>
    <w:rsid w:val="00294D8B"/>
    <w:rsid w:val="002951FC"/>
    <w:rsid w:val="00295233"/>
    <w:rsid w:val="00295272"/>
    <w:rsid w:val="002957D0"/>
    <w:rsid w:val="0029602A"/>
    <w:rsid w:val="0029649B"/>
    <w:rsid w:val="00296D43"/>
    <w:rsid w:val="002972B0"/>
    <w:rsid w:val="002972C5"/>
    <w:rsid w:val="00297394"/>
    <w:rsid w:val="0029746D"/>
    <w:rsid w:val="002A0145"/>
    <w:rsid w:val="002A03F9"/>
    <w:rsid w:val="002A168C"/>
    <w:rsid w:val="002A19F0"/>
    <w:rsid w:val="002A1ED8"/>
    <w:rsid w:val="002A3269"/>
    <w:rsid w:val="002A37F3"/>
    <w:rsid w:val="002A3DC7"/>
    <w:rsid w:val="002A3FDE"/>
    <w:rsid w:val="002A4A0A"/>
    <w:rsid w:val="002A4C9E"/>
    <w:rsid w:val="002A4DFE"/>
    <w:rsid w:val="002A52F8"/>
    <w:rsid w:val="002A6BF0"/>
    <w:rsid w:val="002A6D0D"/>
    <w:rsid w:val="002B0404"/>
    <w:rsid w:val="002B2D5E"/>
    <w:rsid w:val="002B2E48"/>
    <w:rsid w:val="002B33A0"/>
    <w:rsid w:val="002B453A"/>
    <w:rsid w:val="002B49E2"/>
    <w:rsid w:val="002B4A0A"/>
    <w:rsid w:val="002B58EF"/>
    <w:rsid w:val="002B694C"/>
    <w:rsid w:val="002B6C1E"/>
    <w:rsid w:val="002B6D0E"/>
    <w:rsid w:val="002B749D"/>
    <w:rsid w:val="002B76A2"/>
    <w:rsid w:val="002B7B00"/>
    <w:rsid w:val="002B7C44"/>
    <w:rsid w:val="002C07EF"/>
    <w:rsid w:val="002C0B1F"/>
    <w:rsid w:val="002C11B9"/>
    <w:rsid w:val="002C1887"/>
    <w:rsid w:val="002C2629"/>
    <w:rsid w:val="002C2B17"/>
    <w:rsid w:val="002C2F3C"/>
    <w:rsid w:val="002C33A1"/>
    <w:rsid w:val="002C3F92"/>
    <w:rsid w:val="002C5491"/>
    <w:rsid w:val="002C5CD2"/>
    <w:rsid w:val="002C6227"/>
    <w:rsid w:val="002C6CF3"/>
    <w:rsid w:val="002C6E80"/>
    <w:rsid w:val="002C72A1"/>
    <w:rsid w:val="002C7715"/>
    <w:rsid w:val="002D02C5"/>
    <w:rsid w:val="002D09AB"/>
    <w:rsid w:val="002D0A3D"/>
    <w:rsid w:val="002D15F5"/>
    <w:rsid w:val="002D1B37"/>
    <w:rsid w:val="002D33D9"/>
    <w:rsid w:val="002D3DA4"/>
    <w:rsid w:val="002D3DD0"/>
    <w:rsid w:val="002D4495"/>
    <w:rsid w:val="002D492D"/>
    <w:rsid w:val="002D4C15"/>
    <w:rsid w:val="002D5226"/>
    <w:rsid w:val="002D58C3"/>
    <w:rsid w:val="002D5E40"/>
    <w:rsid w:val="002D5F93"/>
    <w:rsid w:val="002D6424"/>
    <w:rsid w:val="002D642C"/>
    <w:rsid w:val="002D706B"/>
    <w:rsid w:val="002D7D87"/>
    <w:rsid w:val="002E0A2C"/>
    <w:rsid w:val="002E0D14"/>
    <w:rsid w:val="002E1F3A"/>
    <w:rsid w:val="002E22B3"/>
    <w:rsid w:val="002E298A"/>
    <w:rsid w:val="002E3349"/>
    <w:rsid w:val="002E46E0"/>
    <w:rsid w:val="002E49DD"/>
    <w:rsid w:val="002E4BB4"/>
    <w:rsid w:val="002E4C00"/>
    <w:rsid w:val="002E4F38"/>
    <w:rsid w:val="002E5282"/>
    <w:rsid w:val="002E5F3A"/>
    <w:rsid w:val="002E623F"/>
    <w:rsid w:val="002E6F12"/>
    <w:rsid w:val="002E75DF"/>
    <w:rsid w:val="002E7815"/>
    <w:rsid w:val="002E796A"/>
    <w:rsid w:val="002F0D84"/>
    <w:rsid w:val="002F15A5"/>
    <w:rsid w:val="002F1AC1"/>
    <w:rsid w:val="002F32B7"/>
    <w:rsid w:val="002F3828"/>
    <w:rsid w:val="002F3A98"/>
    <w:rsid w:val="002F3ACB"/>
    <w:rsid w:val="002F4CE6"/>
    <w:rsid w:val="002F5267"/>
    <w:rsid w:val="002F655F"/>
    <w:rsid w:val="002F723B"/>
    <w:rsid w:val="002F7587"/>
    <w:rsid w:val="002F7C7D"/>
    <w:rsid w:val="002F7F84"/>
    <w:rsid w:val="0030007F"/>
    <w:rsid w:val="00300643"/>
    <w:rsid w:val="00300DD8"/>
    <w:rsid w:val="003013AB"/>
    <w:rsid w:val="00301978"/>
    <w:rsid w:val="00302680"/>
    <w:rsid w:val="0030332C"/>
    <w:rsid w:val="00303751"/>
    <w:rsid w:val="00303763"/>
    <w:rsid w:val="0030439D"/>
    <w:rsid w:val="003047FF"/>
    <w:rsid w:val="00304F01"/>
    <w:rsid w:val="0030511E"/>
    <w:rsid w:val="003051C2"/>
    <w:rsid w:val="003059C9"/>
    <w:rsid w:val="00306505"/>
    <w:rsid w:val="00306D45"/>
    <w:rsid w:val="00307125"/>
    <w:rsid w:val="00307FB9"/>
    <w:rsid w:val="0031036E"/>
    <w:rsid w:val="00311AFB"/>
    <w:rsid w:val="00311EFD"/>
    <w:rsid w:val="00312296"/>
    <w:rsid w:val="003127AA"/>
    <w:rsid w:val="00314766"/>
    <w:rsid w:val="00314D49"/>
    <w:rsid w:val="00314F0E"/>
    <w:rsid w:val="00315532"/>
    <w:rsid w:val="003165EF"/>
    <w:rsid w:val="00317315"/>
    <w:rsid w:val="003174CF"/>
    <w:rsid w:val="00317B77"/>
    <w:rsid w:val="003214D8"/>
    <w:rsid w:val="003216B8"/>
    <w:rsid w:val="003218DB"/>
    <w:rsid w:val="00321BD8"/>
    <w:rsid w:val="00321D8E"/>
    <w:rsid w:val="0032386F"/>
    <w:rsid w:val="0032410E"/>
    <w:rsid w:val="0032426F"/>
    <w:rsid w:val="00325928"/>
    <w:rsid w:val="0032654C"/>
    <w:rsid w:val="00327552"/>
    <w:rsid w:val="0033023E"/>
    <w:rsid w:val="00330647"/>
    <w:rsid w:val="00330B35"/>
    <w:rsid w:val="003313BB"/>
    <w:rsid w:val="00331FBE"/>
    <w:rsid w:val="00332863"/>
    <w:rsid w:val="00332ABE"/>
    <w:rsid w:val="00332D86"/>
    <w:rsid w:val="00332E7D"/>
    <w:rsid w:val="003332DA"/>
    <w:rsid w:val="00333486"/>
    <w:rsid w:val="003334EC"/>
    <w:rsid w:val="003337D4"/>
    <w:rsid w:val="00333E51"/>
    <w:rsid w:val="00334854"/>
    <w:rsid w:val="0033486C"/>
    <w:rsid w:val="0033497A"/>
    <w:rsid w:val="003357F2"/>
    <w:rsid w:val="0033684D"/>
    <w:rsid w:val="00337B42"/>
    <w:rsid w:val="00337C3F"/>
    <w:rsid w:val="0034163D"/>
    <w:rsid w:val="00341922"/>
    <w:rsid w:val="0034194F"/>
    <w:rsid w:val="00341B42"/>
    <w:rsid w:val="00341D2E"/>
    <w:rsid w:val="0034348F"/>
    <w:rsid w:val="00343A4E"/>
    <w:rsid w:val="00344945"/>
    <w:rsid w:val="00345548"/>
    <w:rsid w:val="00345AEB"/>
    <w:rsid w:val="00345EE0"/>
    <w:rsid w:val="0034609F"/>
    <w:rsid w:val="00346821"/>
    <w:rsid w:val="00347B81"/>
    <w:rsid w:val="00350716"/>
    <w:rsid w:val="00351438"/>
    <w:rsid w:val="003534AA"/>
    <w:rsid w:val="00353831"/>
    <w:rsid w:val="00353F41"/>
    <w:rsid w:val="00355332"/>
    <w:rsid w:val="00356653"/>
    <w:rsid w:val="0035743F"/>
    <w:rsid w:val="00357926"/>
    <w:rsid w:val="00357BE2"/>
    <w:rsid w:val="003607CB"/>
    <w:rsid w:val="00360874"/>
    <w:rsid w:val="00361072"/>
    <w:rsid w:val="00361552"/>
    <w:rsid w:val="0036170C"/>
    <w:rsid w:val="00361D3F"/>
    <w:rsid w:val="0036264E"/>
    <w:rsid w:val="003627B7"/>
    <w:rsid w:val="00362C34"/>
    <w:rsid w:val="00364324"/>
    <w:rsid w:val="003649C9"/>
    <w:rsid w:val="00364A87"/>
    <w:rsid w:val="00364DAE"/>
    <w:rsid w:val="00364FC9"/>
    <w:rsid w:val="003653E4"/>
    <w:rsid w:val="00365CC4"/>
    <w:rsid w:val="00366558"/>
    <w:rsid w:val="00366C73"/>
    <w:rsid w:val="00366C79"/>
    <w:rsid w:val="00366E0F"/>
    <w:rsid w:val="00367B59"/>
    <w:rsid w:val="00370243"/>
    <w:rsid w:val="00371484"/>
    <w:rsid w:val="00371AAF"/>
    <w:rsid w:val="003728B7"/>
    <w:rsid w:val="00372CB0"/>
    <w:rsid w:val="00373891"/>
    <w:rsid w:val="00375A75"/>
    <w:rsid w:val="00376066"/>
    <w:rsid w:val="003768B2"/>
    <w:rsid w:val="003773BF"/>
    <w:rsid w:val="00377B93"/>
    <w:rsid w:val="00377DD7"/>
    <w:rsid w:val="00380D24"/>
    <w:rsid w:val="00381450"/>
    <w:rsid w:val="00381593"/>
    <w:rsid w:val="00381A32"/>
    <w:rsid w:val="00381A72"/>
    <w:rsid w:val="00382420"/>
    <w:rsid w:val="00382786"/>
    <w:rsid w:val="00382811"/>
    <w:rsid w:val="003830DF"/>
    <w:rsid w:val="00383229"/>
    <w:rsid w:val="00383936"/>
    <w:rsid w:val="003840F3"/>
    <w:rsid w:val="00384676"/>
    <w:rsid w:val="0038481C"/>
    <w:rsid w:val="00384CBB"/>
    <w:rsid w:val="00384F49"/>
    <w:rsid w:val="00385DCA"/>
    <w:rsid w:val="00386C9F"/>
    <w:rsid w:val="00387094"/>
    <w:rsid w:val="0038765B"/>
    <w:rsid w:val="003879B1"/>
    <w:rsid w:val="00387BA7"/>
    <w:rsid w:val="0039057A"/>
    <w:rsid w:val="00390857"/>
    <w:rsid w:val="00390AF7"/>
    <w:rsid w:val="00391541"/>
    <w:rsid w:val="003915D2"/>
    <w:rsid w:val="003916A7"/>
    <w:rsid w:val="003920AA"/>
    <w:rsid w:val="003925CC"/>
    <w:rsid w:val="003935CD"/>
    <w:rsid w:val="00393BAB"/>
    <w:rsid w:val="00393C51"/>
    <w:rsid w:val="00394587"/>
    <w:rsid w:val="00394B89"/>
    <w:rsid w:val="00395449"/>
    <w:rsid w:val="003958AF"/>
    <w:rsid w:val="00396140"/>
    <w:rsid w:val="0039658F"/>
    <w:rsid w:val="00397556"/>
    <w:rsid w:val="003A012B"/>
    <w:rsid w:val="003A15B1"/>
    <w:rsid w:val="003A32F3"/>
    <w:rsid w:val="003A348F"/>
    <w:rsid w:val="003A35FE"/>
    <w:rsid w:val="003A4BF3"/>
    <w:rsid w:val="003A4F4B"/>
    <w:rsid w:val="003A52AD"/>
    <w:rsid w:val="003A5BEE"/>
    <w:rsid w:val="003A61D6"/>
    <w:rsid w:val="003A77C0"/>
    <w:rsid w:val="003B3728"/>
    <w:rsid w:val="003B420D"/>
    <w:rsid w:val="003B4725"/>
    <w:rsid w:val="003B5619"/>
    <w:rsid w:val="003B62B3"/>
    <w:rsid w:val="003B6B41"/>
    <w:rsid w:val="003B732C"/>
    <w:rsid w:val="003B75E1"/>
    <w:rsid w:val="003B773E"/>
    <w:rsid w:val="003C04C8"/>
    <w:rsid w:val="003C0983"/>
    <w:rsid w:val="003C0A9F"/>
    <w:rsid w:val="003C107C"/>
    <w:rsid w:val="003C2494"/>
    <w:rsid w:val="003C3968"/>
    <w:rsid w:val="003C42D8"/>
    <w:rsid w:val="003C48E9"/>
    <w:rsid w:val="003C540D"/>
    <w:rsid w:val="003C5B04"/>
    <w:rsid w:val="003C6A31"/>
    <w:rsid w:val="003C6A92"/>
    <w:rsid w:val="003C6C16"/>
    <w:rsid w:val="003C797E"/>
    <w:rsid w:val="003C7C0B"/>
    <w:rsid w:val="003D051C"/>
    <w:rsid w:val="003D0E72"/>
    <w:rsid w:val="003D15EA"/>
    <w:rsid w:val="003D200D"/>
    <w:rsid w:val="003D21D6"/>
    <w:rsid w:val="003D2B05"/>
    <w:rsid w:val="003D2B0D"/>
    <w:rsid w:val="003D2E59"/>
    <w:rsid w:val="003D34BC"/>
    <w:rsid w:val="003D3F5E"/>
    <w:rsid w:val="003D5071"/>
    <w:rsid w:val="003D659E"/>
    <w:rsid w:val="003D7181"/>
    <w:rsid w:val="003D738C"/>
    <w:rsid w:val="003D794D"/>
    <w:rsid w:val="003D7D47"/>
    <w:rsid w:val="003E09C7"/>
    <w:rsid w:val="003E0BAB"/>
    <w:rsid w:val="003E17DD"/>
    <w:rsid w:val="003E2FB3"/>
    <w:rsid w:val="003E3058"/>
    <w:rsid w:val="003E34B4"/>
    <w:rsid w:val="003E51E7"/>
    <w:rsid w:val="003E59A5"/>
    <w:rsid w:val="003E5FBC"/>
    <w:rsid w:val="003E76A9"/>
    <w:rsid w:val="003E76D2"/>
    <w:rsid w:val="003F045B"/>
    <w:rsid w:val="003F0809"/>
    <w:rsid w:val="003F1AF1"/>
    <w:rsid w:val="003F1E43"/>
    <w:rsid w:val="003F2CEC"/>
    <w:rsid w:val="003F37A4"/>
    <w:rsid w:val="003F39D6"/>
    <w:rsid w:val="003F3B53"/>
    <w:rsid w:val="003F3CE6"/>
    <w:rsid w:val="003F418D"/>
    <w:rsid w:val="003F4394"/>
    <w:rsid w:val="003F4DC2"/>
    <w:rsid w:val="003F5B79"/>
    <w:rsid w:val="003F5DD5"/>
    <w:rsid w:val="003F6874"/>
    <w:rsid w:val="003F6A8C"/>
    <w:rsid w:val="003F6AC6"/>
    <w:rsid w:val="003F6BB6"/>
    <w:rsid w:val="003F6EFF"/>
    <w:rsid w:val="003F755C"/>
    <w:rsid w:val="004002E5"/>
    <w:rsid w:val="00401BF7"/>
    <w:rsid w:val="00401F1D"/>
    <w:rsid w:val="004025FB"/>
    <w:rsid w:val="0040290F"/>
    <w:rsid w:val="004029B7"/>
    <w:rsid w:val="00402D45"/>
    <w:rsid w:val="0040326F"/>
    <w:rsid w:val="004045ED"/>
    <w:rsid w:val="004051FC"/>
    <w:rsid w:val="00405C55"/>
    <w:rsid w:val="00405FC9"/>
    <w:rsid w:val="00406F01"/>
    <w:rsid w:val="00407777"/>
    <w:rsid w:val="00411137"/>
    <w:rsid w:val="0041158D"/>
    <w:rsid w:val="0041289D"/>
    <w:rsid w:val="00412A24"/>
    <w:rsid w:val="00412C5A"/>
    <w:rsid w:val="00412D7A"/>
    <w:rsid w:val="00412EF8"/>
    <w:rsid w:val="0041313E"/>
    <w:rsid w:val="0041390C"/>
    <w:rsid w:val="00413999"/>
    <w:rsid w:val="00413C56"/>
    <w:rsid w:val="0041413D"/>
    <w:rsid w:val="0041423B"/>
    <w:rsid w:val="0041445D"/>
    <w:rsid w:val="004150D9"/>
    <w:rsid w:val="0041523A"/>
    <w:rsid w:val="00415280"/>
    <w:rsid w:val="0041578E"/>
    <w:rsid w:val="00415A1F"/>
    <w:rsid w:val="00416D50"/>
    <w:rsid w:val="00416FD5"/>
    <w:rsid w:val="004171DA"/>
    <w:rsid w:val="0041767E"/>
    <w:rsid w:val="00417772"/>
    <w:rsid w:val="00417F7C"/>
    <w:rsid w:val="004200B5"/>
    <w:rsid w:val="00420621"/>
    <w:rsid w:val="00420D62"/>
    <w:rsid w:val="00420E6A"/>
    <w:rsid w:val="0042119F"/>
    <w:rsid w:val="00422A1E"/>
    <w:rsid w:val="00422D26"/>
    <w:rsid w:val="00423080"/>
    <w:rsid w:val="0042379E"/>
    <w:rsid w:val="004241AD"/>
    <w:rsid w:val="00424858"/>
    <w:rsid w:val="004256FA"/>
    <w:rsid w:val="004257A8"/>
    <w:rsid w:val="00425A9E"/>
    <w:rsid w:val="004261F6"/>
    <w:rsid w:val="004261FA"/>
    <w:rsid w:val="00426D6B"/>
    <w:rsid w:val="00426EEE"/>
    <w:rsid w:val="00427AB7"/>
    <w:rsid w:val="004301E8"/>
    <w:rsid w:val="0043032C"/>
    <w:rsid w:val="00430E81"/>
    <w:rsid w:val="0043105A"/>
    <w:rsid w:val="00431B5F"/>
    <w:rsid w:val="00431B72"/>
    <w:rsid w:val="00431DEB"/>
    <w:rsid w:val="00431E6C"/>
    <w:rsid w:val="00431FA1"/>
    <w:rsid w:val="00432952"/>
    <w:rsid w:val="00433CE7"/>
    <w:rsid w:val="004344EA"/>
    <w:rsid w:val="0043556B"/>
    <w:rsid w:val="0043653A"/>
    <w:rsid w:val="004367A2"/>
    <w:rsid w:val="0043687E"/>
    <w:rsid w:val="00436BB2"/>
    <w:rsid w:val="00436D6A"/>
    <w:rsid w:val="0043729B"/>
    <w:rsid w:val="00437A77"/>
    <w:rsid w:val="004407CE"/>
    <w:rsid w:val="0044133D"/>
    <w:rsid w:val="004418A3"/>
    <w:rsid w:val="0044201B"/>
    <w:rsid w:val="0044278D"/>
    <w:rsid w:val="0044427B"/>
    <w:rsid w:val="004446B7"/>
    <w:rsid w:val="00444868"/>
    <w:rsid w:val="00444D1B"/>
    <w:rsid w:val="004451F5"/>
    <w:rsid w:val="0044555E"/>
    <w:rsid w:val="004463DB"/>
    <w:rsid w:val="004473A1"/>
    <w:rsid w:val="00447587"/>
    <w:rsid w:val="0045010E"/>
    <w:rsid w:val="00450417"/>
    <w:rsid w:val="004516EE"/>
    <w:rsid w:val="00451A27"/>
    <w:rsid w:val="00451BE8"/>
    <w:rsid w:val="00452702"/>
    <w:rsid w:val="00452738"/>
    <w:rsid w:val="00453C63"/>
    <w:rsid w:val="00454683"/>
    <w:rsid w:val="00454AB4"/>
    <w:rsid w:val="00454C54"/>
    <w:rsid w:val="00454CCD"/>
    <w:rsid w:val="00454E49"/>
    <w:rsid w:val="004550C7"/>
    <w:rsid w:val="00455348"/>
    <w:rsid w:val="004554A0"/>
    <w:rsid w:val="004555C0"/>
    <w:rsid w:val="00455F34"/>
    <w:rsid w:val="00456091"/>
    <w:rsid w:val="00456216"/>
    <w:rsid w:val="004567D7"/>
    <w:rsid w:val="004569D3"/>
    <w:rsid w:val="00456EBD"/>
    <w:rsid w:val="00457162"/>
    <w:rsid w:val="00457D05"/>
    <w:rsid w:val="00463799"/>
    <w:rsid w:val="00464055"/>
    <w:rsid w:val="004647FE"/>
    <w:rsid w:val="00464BB0"/>
    <w:rsid w:val="00465005"/>
    <w:rsid w:val="00465997"/>
    <w:rsid w:val="00466321"/>
    <w:rsid w:val="0046691D"/>
    <w:rsid w:val="00466FFB"/>
    <w:rsid w:val="00467244"/>
    <w:rsid w:val="00467722"/>
    <w:rsid w:val="00467F83"/>
    <w:rsid w:val="0047052A"/>
    <w:rsid w:val="00472BD5"/>
    <w:rsid w:val="00472C0D"/>
    <w:rsid w:val="00472D35"/>
    <w:rsid w:val="00472F6D"/>
    <w:rsid w:val="00473FCF"/>
    <w:rsid w:val="00474B0C"/>
    <w:rsid w:val="00474C28"/>
    <w:rsid w:val="00474E71"/>
    <w:rsid w:val="00475865"/>
    <w:rsid w:val="00476A4F"/>
    <w:rsid w:val="00476BC0"/>
    <w:rsid w:val="00476D68"/>
    <w:rsid w:val="00477370"/>
    <w:rsid w:val="00477638"/>
    <w:rsid w:val="00477CD8"/>
    <w:rsid w:val="00477DEF"/>
    <w:rsid w:val="00481585"/>
    <w:rsid w:val="004826FB"/>
    <w:rsid w:val="00482C35"/>
    <w:rsid w:val="00483728"/>
    <w:rsid w:val="00483C06"/>
    <w:rsid w:val="0048433C"/>
    <w:rsid w:val="00484903"/>
    <w:rsid w:val="0048492F"/>
    <w:rsid w:val="00484B9B"/>
    <w:rsid w:val="004852A0"/>
    <w:rsid w:val="004855F6"/>
    <w:rsid w:val="0048661E"/>
    <w:rsid w:val="00486ECD"/>
    <w:rsid w:val="00487D28"/>
    <w:rsid w:val="00487DC5"/>
    <w:rsid w:val="004903B6"/>
    <w:rsid w:val="0049052B"/>
    <w:rsid w:val="00490C82"/>
    <w:rsid w:val="004918F2"/>
    <w:rsid w:val="004934F4"/>
    <w:rsid w:val="00494670"/>
    <w:rsid w:val="00494773"/>
    <w:rsid w:val="004948AE"/>
    <w:rsid w:val="00494C12"/>
    <w:rsid w:val="00495A72"/>
    <w:rsid w:val="00495CA3"/>
    <w:rsid w:val="00495DA2"/>
    <w:rsid w:val="0049631C"/>
    <w:rsid w:val="00496B22"/>
    <w:rsid w:val="00497406"/>
    <w:rsid w:val="00497723"/>
    <w:rsid w:val="00497D2D"/>
    <w:rsid w:val="00497DD1"/>
    <w:rsid w:val="004A0F80"/>
    <w:rsid w:val="004A1D3B"/>
    <w:rsid w:val="004A3823"/>
    <w:rsid w:val="004A3914"/>
    <w:rsid w:val="004A3B4A"/>
    <w:rsid w:val="004A4035"/>
    <w:rsid w:val="004A5AE7"/>
    <w:rsid w:val="004A5CE5"/>
    <w:rsid w:val="004A6620"/>
    <w:rsid w:val="004A6689"/>
    <w:rsid w:val="004A68DD"/>
    <w:rsid w:val="004A722F"/>
    <w:rsid w:val="004A7A58"/>
    <w:rsid w:val="004B032F"/>
    <w:rsid w:val="004B074E"/>
    <w:rsid w:val="004B2934"/>
    <w:rsid w:val="004B2AA9"/>
    <w:rsid w:val="004B3421"/>
    <w:rsid w:val="004B3472"/>
    <w:rsid w:val="004B354D"/>
    <w:rsid w:val="004B38DF"/>
    <w:rsid w:val="004B3D31"/>
    <w:rsid w:val="004B4DF6"/>
    <w:rsid w:val="004B5100"/>
    <w:rsid w:val="004B5453"/>
    <w:rsid w:val="004B54BC"/>
    <w:rsid w:val="004B5A06"/>
    <w:rsid w:val="004B5B6D"/>
    <w:rsid w:val="004B6C5A"/>
    <w:rsid w:val="004B7601"/>
    <w:rsid w:val="004B79A8"/>
    <w:rsid w:val="004B7BE9"/>
    <w:rsid w:val="004B7D67"/>
    <w:rsid w:val="004B7E06"/>
    <w:rsid w:val="004B7FCD"/>
    <w:rsid w:val="004C1990"/>
    <w:rsid w:val="004C2350"/>
    <w:rsid w:val="004C3AFD"/>
    <w:rsid w:val="004C5947"/>
    <w:rsid w:val="004C5D19"/>
    <w:rsid w:val="004C66ED"/>
    <w:rsid w:val="004D01A3"/>
    <w:rsid w:val="004D17E5"/>
    <w:rsid w:val="004D359F"/>
    <w:rsid w:val="004D59F8"/>
    <w:rsid w:val="004D6BB5"/>
    <w:rsid w:val="004D6EC2"/>
    <w:rsid w:val="004D748A"/>
    <w:rsid w:val="004D7548"/>
    <w:rsid w:val="004E052B"/>
    <w:rsid w:val="004E097A"/>
    <w:rsid w:val="004E0CA2"/>
    <w:rsid w:val="004E157D"/>
    <w:rsid w:val="004E2330"/>
    <w:rsid w:val="004E4F1B"/>
    <w:rsid w:val="004E5162"/>
    <w:rsid w:val="004E5CF2"/>
    <w:rsid w:val="004E5DB2"/>
    <w:rsid w:val="004E68E4"/>
    <w:rsid w:val="004E6946"/>
    <w:rsid w:val="004E6A69"/>
    <w:rsid w:val="004E753A"/>
    <w:rsid w:val="004E794F"/>
    <w:rsid w:val="004F079B"/>
    <w:rsid w:val="004F0A09"/>
    <w:rsid w:val="004F1539"/>
    <w:rsid w:val="004F1AD8"/>
    <w:rsid w:val="004F1F08"/>
    <w:rsid w:val="004F20AD"/>
    <w:rsid w:val="004F2213"/>
    <w:rsid w:val="004F26BA"/>
    <w:rsid w:val="004F32FB"/>
    <w:rsid w:val="004F35CB"/>
    <w:rsid w:val="004F3A65"/>
    <w:rsid w:val="004F3E61"/>
    <w:rsid w:val="004F3F96"/>
    <w:rsid w:val="004F57FD"/>
    <w:rsid w:val="004F5CBF"/>
    <w:rsid w:val="004F5CFF"/>
    <w:rsid w:val="004F61FB"/>
    <w:rsid w:val="004F62BC"/>
    <w:rsid w:val="004F6302"/>
    <w:rsid w:val="004F64A9"/>
    <w:rsid w:val="004F6A6D"/>
    <w:rsid w:val="004F6DEC"/>
    <w:rsid w:val="004F7760"/>
    <w:rsid w:val="004F781F"/>
    <w:rsid w:val="004F7D01"/>
    <w:rsid w:val="004F7FB5"/>
    <w:rsid w:val="004F7FE0"/>
    <w:rsid w:val="00501160"/>
    <w:rsid w:val="00501727"/>
    <w:rsid w:val="005024FC"/>
    <w:rsid w:val="005030AC"/>
    <w:rsid w:val="00503661"/>
    <w:rsid w:val="005039CB"/>
    <w:rsid w:val="005051C0"/>
    <w:rsid w:val="0050558F"/>
    <w:rsid w:val="00506286"/>
    <w:rsid w:val="00506BB3"/>
    <w:rsid w:val="00506C9E"/>
    <w:rsid w:val="00507702"/>
    <w:rsid w:val="005078F7"/>
    <w:rsid w:val="00510813"/>
    <w:rsid w:val="00510BF4"/>
    <w:rsid w:val="00510D7E"/>
    <w:rsid w:val="005113E7"/>
    <w:rsid w:val="00511990"/>
    <w:rsid w:val="00511AA7"/>
    <w:rsid w:val="00511DE0"/>
    <w:rsid w:val="005123C5"/>
    <w:rsid w:val="005124FB"/>
    <w:rsid w:val="005125AB"/>
    <w:rsid w:val="00512CD2"/>
    <w:rsid w:val="00513612"/>
    <w:rsid w:val="00513A1F"/>
    <w:rsid w:val="00513D24"/>
    <w:rsid w:val="00514870"/>
    <w:rsid w:val="00514ABB"/>
    <w:rsid w:val="00514B9B"/>
    <w:rsid w:val="00515384"/>
    <w:rsid w:val="00515604"/>
    <w:rsid w:val="00515803"/>
    <w:rsid w:val="00515C11"/>
    <w:rsid w:val="00515DAF"/>
    <w:rsid w:val="00515E0F"/>
    <w:rsid w:val="00516C24"/>
    <w:rsid w:val="00517B02"/>
    <w:rsid w:val="00517F02"/>
    <w:rsid w:val="0052010C"/>
    <w:rsid w:val="00520130"/>
    <w:rsid w:val="00520487"/>
    <w:rsid w:val="0052063A"/>
    <w:rsid w:val="00520FAE"/>
    <w:rsid w:val="00521E4B"/>
    <w:rsid w:val="00521F23"/>
    <w:rsid w:val="00522217"/>
    <w:rsid w:val="00522BC7"/>
    <w:rsid w:val="00522CDD"/>
    <w:rsid w:val="00523375"/>
    <w:rsid w:val="005237FD"/>
    <w:rsid w:val="00524303"/>
    <w:rsid w:val="005249DC"/>
    <w:rsid w:val="005258A2"/>
    <w:rsid w:val="005259BE"/>
    <w:rsid w:val="00525F29"/>
    <w:rsid w:val="0052715D"/>
    <w:rsid w:val="005304BC"/>
    <w:rsid w:val="005305EF"/>
    <w:rsid w:val="005323DD"/>
    <w:rsid w:val="00532715"/>
    <w:rsid w:val="00532895"/>
    <w:rsid w:val="00533CA2"/>
    <w:rsid w:val="00536E67"/>
    <w:rsid w:val="00536F45"/>
    <w:rsid w:val="00536FD6"/>
    <w:rsid w:val="00537011"/>
    <w:rsid w:val="005377A5"/>
    <w:rsid w:val="005401AE"/>
    <w:rsid w:val="00540A01"/>
    <w:rsid w:val="00540D34"/>
    <w:rsid w:val="0054183C"/>
    <w:rsid w:val="00542B3C"/>
    <w:rsid w:val="00542E07"/>
    <w:rsid w:val="00543C11"/>
    <w:rsid w:val="0054424D"/>
    <w:rsid w:val="00544B7E"/>
    <w:rsid w:val="00545424"/>
    <w:rsid w:val="00547B3B"/>
    <w:rsid w:val="00547E42"/>
    <w:rsid w:val="005500FD"/>
    <w:rsid w:val="005501C4"/>
    <w:rsid w:val="00550922"/>
    <w:rsid w:val="00550A9E"/>
    <w:rsid w:val="00550C0D"/>
    <w:rsid w:val="005511C3"/>
    <w:rsid w:val="00551491"/>
    <w:rsid w:val="005514C2"/>
    <w:rsid w:val="00551F67"/>
    <w:rsid w:val="00552C41"/>
    <w:rsid w:val="00553A57"/>
    <w:rsid w:val="00553CBF"/>
    <w:rsid w:val="00554A7B"/>
    <w:rsid w:val="00554F5E"/>
    <w:rsid w:val="00555202"/>
    <w:rsid w:val="0055572C"/>
    <w:rsid w:val="00555DE7"/>
    <w:rsid w:val="005568BF"/>
    <w:rsid w:val="005569F7"/>
    <w:rsid w:val="005571DC"/>
    <w:rsid w:val="00557370"/>
    <w:rsid w:val="0056106A"/>
    <w:rsid w:val="005655D4"/>
    <w:rsid w:val="0056678C"/>
    <w:rsid w:val="005668E9"/>
    <w:rsid w:val="005673C6"/>
    <w:rsid w:val="00567480"/>
    <w:rsid w:val="005676DF"/>
    <w:rsid w:val="00567DD6"/>
    <w:rsid w:val="0057083D"/>
    <w:rsid w:val="00570D1C"/>
    <w:rsid w:val="00571A10"/>
    <w:rsid w:val="00571CF5"/>
    <w:rsid w:val="005720AE"/>
    <w:rsid w:val="0057213F"/>
    <w:rsid w:val="005721F0"/>
    <w:rsid w:val="00572A3A"/>
    <w:rsid w:val="00573470"/>
    <w:rsid w:val="00573542"/>
    <w:rsid w:val="00573907"/>
    <w:rsid w:val="005741E0"/>
    <w:rsid w:val="00574877"/>
    <w:rsid w:val="005748BE"/>
    <w:rsid w:val="00574AB0"/>
    <w:rsid w:val="0057504D"/>
    <w:rsid w:val="0057626C"/>
    <w:rsid w:val="00580215"/>
    <w:rsid w:val="00580A6A"/>
    <w:rsid w:val="005811E2"/>
    <w:rsid w:val="0058128F"/>
    <w:rsid w:val="00581F77"/>
    <w:rsid w:val="00581FE6"/>
    <w:rsid w:val="00582995"/>
    <w:rsid w:val="00582B73"/>
    <w:rsid w:val="00582E3E"/>
    <w:rsid w:val="00583ACB"/>
    <w:rsid w:val="00584198"/>
    <w:rsid w:val="00585168"/>
    <w:rsid w:val="00587D02"/>
    <w:rsid w:val="00591479"/>
    <w:rsid w:val="005927E2"/>
    <w:rsid w:val="00592C39"/>
    <w:rsid w:val="0059449C"/>
    <w:rsid w:val="00594D77"/>
    <w:rsid w:val="005963A5"/>
    <w:rsid w:val="0059684A"/>
    <w:rsid w:val="005969E4"/>
    <w:rsid w:val="005969EF"/>
    <w:rsid w:val="00597D0A"/>
    <w:rsid w:val="00597FA2"/>
    <w:rsid w:val="005A00BB"/>
    <w:rsid w:val="005A02BF"/>
    <w:rsid w:val="005A06B7"/>
    <w:rsid w:val="005A13F4"/>
    <w:rsid w:val="005A1759"/>
    <w:rsid w:val="005A2739"/>
    <w:rsid w:val="005A3234"/>
    <w:rsid w:val="005A4A91"/>
    <w:rsid w:val="005A4FE0"/>
    <w:rsid w:val="005A68A7"/>
    <w:rsid w:val="005A6BB3"/>
    <w:rsid w:val="005A6D3D"/>
    <w:rsid w:val="005A700B"/>
    <w:rsid w:val="005A7061"/>
    <w:rsid w:val="005B0636"/>
    <w:rsid w:val="005B0ECB"/>
    <w:rsid w:val="005B1461"/>
    <w:rsid w:val="005B1EE4"/>
    <w:rsid w:val="005B1FB7"/>
    <w:rsid w:val="005B2317"/>
    <w:rsid w:val="005B33C2"/>
    <w:rsid w:val="005B3B89"/>
    <w:rsid w:val="005B3C87"/>
    <w:rsid w:val="005B4B44"/>
    <w:rsid w:val="005B4C12"/>
    <w:rsid w:val="005B4F74"/>
    <w:rsid w:val="005B518B"/>
    <w:rsid w:val="005B64B7"/>
    <w:rsid w:val="005B66CA"/>
    <w:rsid w:val="005B6903"/>
    <w:rsid w:val="005C03C4"/>
    <w:rsid w:val="005C0694"/>
    <w:rsid w:val="005C2272"/>
    <w:rsid w:val="005C24FC"/>
    <w:rsid w:val="005C2653"/>
    <w:rsid w:val="005C2722"/>
    <w:rsid w:val="005C373B"/>
    <w:rsid w:val="005C3A0F"/>
    <w:rsid w:val="005C40EF"/>
    <w:rsid w:val="005C410A"/>
    <w:rsid w:val="005C41DE"/>
    <w:rsid w:val="005C5543"/>
    <w:rsid w:val="005C558B"/>
    <w:rsid w:val="005C6042"/>
    <w:rsid w:val="005C6410"/>
    <w:rsid w:val="005C6D29"/>
    <w:rsid w:val="005C6DE6"/>
    <w:rsid w:val="005C7A2A"/>
    <w:rsid w:val="005C7C2E"/>
    <w:rsid w:val="005C7FC4"/>
    <w:rsid w:val="005D0780"/>
    <w:rsid w:val="005D08DA"/>
    <w:rsid w:val="005D0F7B"/>
    <w:rsid w:val="005D237C"/>
    <w:rsid w:val="005D2C06"/>
    <w:rsid w:val="005D3248"/>
    <w:rsid w:val="005D325A"/>
    <w:rsid w:val="005D36AB"/>
    <w:rsid w:val="005D3AAD"/>
    <w:rsid w:val="005D542C"/>
    <w:rsid w:val="005D5E73"/>
    <w:rsid w:val="005D65B8"/>
    <w:rsid w:val="005D77CB"/>
    <w:rsid w:val="005E0923"/>
    <w:rsid w:val="005E0C85"/>
    <w:rsid w:val="005E1234"/>
    <w:rsid w:val="005E144C"/>
    <w:rsid w:val="005E1729"/>
    <w:rsid w:val="005E1799"/>
    <w:rsid w:val="005E2667"/>
    <w:rsid w:val="005E2FBE"/>
    <w:rsid w:val="005E40BC"/>
    <w:rsid w:val="005E44C3"/>
    <w:rsid w:val="005E6245"/>
    <w:rsid w:val="005E62E0"/>
    <w:rsid w:val="005E6D79"/>
    <w:rsid w:val="005E70E0"/>
    <w:rsid w:val="005E79AD"/>
    <w:rsid w:val="005F1B42"/>
    <w:rsid w:val="005F2D12"/>
    <w:rsid w:val="005F304B"/>
    <w:rsid w:val="005F3E64"/>
    <w:rsid w:val="005F4535"/>
    <w:rsid w:val="005F4988"/>
    <w:rsid w:val="005F543B"/>
    <w:rsid w:val="005F6770"/>
    <w:rsid w:val="005F6E91"/>
    <w:rsid w:val="005F6EA2"/>
    <w:rsid w:val="005F709C"/>
    <w:rsid w:val="00600410"/>
    <w:rsid w:val="006006FD"/>
    <w:rsid w:val="00601ACF"/>
    <w:rsid w:val="00601DFE"/>
    <w:rsid w:val="00601E08"/>
    <w:rsid w:val="00602FDE"/>
    <w:rsid w:val="00603214"/>
    <w:rsid w:val="0060603B"/>
    <w:rsid w:val="006065E0"/>
    <w:rsid w:val="00607015"/>
    <w:rsid w:val="00607C9C"/>
    <w:rsid w:val="00611BBF"/>
    <w:rsid w:val="00611D00"/>
    <w:rsid w:val="00611DC0"/>
    <w:rsid w:val="00611DD4"/>
    <w:rsid w:val="0061264E"/>
    <w:rsid w:val="00612AC8"/>
    <w:rsid w:val="0061387A"/>
    <w:rsid w:val="0061496A"/>
    <w:rsid w:val="0061583C"/>
    <w:rsid w:val="006159A5"/>
    <w:rsid w:val="00615B10"/>
    <w:rsid w:val="006163EB"/>
    <w:rsid w:val="006172E7"/>
    <w:rsid w:val="006173C5"/>
    <w:rsid w:val="00617CC3"/>
    <w:rsid w:val="006209A7"/>
    <w:rsid w:val="00620A99"/>
    <w:rsid w:val="00620D43"/>
    <w:rsid w:val="00620F3A"/>
    <w:rsid w:val="00620F48"/>
    <w:rsid w:val="0062272E"/>
    <w:rsid w:val="00622AEA"/>
    <w:rsid w:val="00623694"/>
    <w:rsid w:val="00623907"/>
    <w:rsid w:val="006239E8"/>
    <w:rsid w:val="00624A1B"/>
    <w:rsid w:val="0062532B"/>
    <w:rsid w:val="006265CB"/>
    <w:rsid w:val="00627197"/>
    <w:rsid w:val="00630392"/>
    <w:rsid w:val="0063067A"/>
    <w:rsid w:val="00630696"/>
    <w:rsid w:val="0063110F"/>
    <w:rsid w:val="00631123"/>
    <w:rsid w:val="006316B1"/>
    <w:rsid w:val="00631E83"/>
    <w:rsid w:val="006330E9"/>
    <w:rsid w:val="00633533"/>
    <w:rsid w:val="0063396C"/>
    <w:rsid w:val="006340C8"/>
    <w:rsid w:val="0063473A"/>
    <w:rsid w:val="00634CCC"/>
    <w:rsid w:val="0063501F"/>
    <w:rsid w:val="00636993"/>
    <w:rsid w:val="006377A6"/>
    <w:rsid w:val="00637A15"/>
    <w:rsid w:val="00637A3D"/>
    <w:rsid w:val="0064045E"/>
    <w:rsid w:val="006411EF"/>
    <w:rsid w:val="006418A4"/>
    <w:rsid w:val="00642AB3"/>
    <w:rsid w:val="006431B1"/>
    <w:rsid w:val="00645289"/>
    <w:rsid w:val="006457D5"/>
    <w:rsid w:val="00645949"/>
    <w:rsid w:val="006459F5"/>
    <w:rsid w:val="00646236"/>
    <w:rsid w:val="006477E1"/>
    <w:rsid w:val="00647990"/>
    <w:rsid w:val="00650287"/>
    <w:rsid w:val="0065086A"/>
    <w:rsid w:val="0065136B"/>
    <w:rsid w:val="0065243C"/>
    <w:rsid w:val="00655977"/>
    <w:rsid w:val="00656C18"/>
    <w:rsid w:val="00657E7F"/>
    <w:rsid w:val="00660240"/>
    <w:rsid w:val="006604A5"/>
    <w:rsid w:val="0066254D"/>
    <w:rsid w:val="00662FA9"/>
    <w:rsid w:val="006631BC"/>
    <w:rsid w:val="006641BB"/>
    <w:rsid w:val="00664AFC"/>
    <w:rsid w:val="00664D9A"/>
    <w:rsid w:val="00664E7A"/>
    <w:rsid w:val="00665912"/>
    <w:rsid w:val="00665A0C"/>
    <w:rsid w:val="0066695F"/>
    <w:rsid w:val="00666BEA"/>
    <w:rsid w:val="00666E8C"/>
    <w:rsid w:val="006673BF"/>
    <w:rsid w:val="006679B9"/>
    <w:rsid w:val="00670F75"/>
    <w:rsid w:val="00670F79"/>
    <w:rsid w:val="0067169D"/>
    <w:rsid w:val="00671F76"/>
    <w:rsid w:val="00671FFF"/>
    <w:rsid w:val="00672D40"/>
    <w:rsid w:val="00673790"/>
    <w:rsid w:val="006748B8"/>
    <w:rsid w:val="00675142"/>
    <w:rsid w:val="0067599E"/>
    <w:rsid w:val="006760B8"/>
    <w:rsid w:val="006766A6"/>
    <w:rsid w:val="0067676F"/>
    <w:rsid w:val="00676F2C"/>
    <w:rsid w:val="006775C3"/>
    <w:rsid w:val="00680E5D"/>
    <w:rsid w:val="00681A5D"/>
    <w:rsid w:val="00681BD6"/>
    <w:rsid w:val="0068403E"/>
    <w:rsid w:val="00685249"/>
    <w:rsid w:val="006861F2"/>
    <w:rsid w:val="006867CC"/>
    <w:rsid w:val="006878D5"/>
    <w:rsid w:val="00690989"/>
    <w:rsid w:val="00690E78"/>
    <w:rsid w:val="0069132C"/>
    <w:rsid w:val="00691AE0"/>
    <w:rsid w:val="006928FC"/>
    <w:rsid w:val="0069290A"/>
    <w:rsid w:val="00692E9D"/>
    <w:rsid w:val="00692FAE"/>
    <w:rsid w:val="006939F2"/>
    <w:rsid w:val="006948B6"/>
    <w:rsid w:val="006955CB"/>
    <w:rsid w:val="00695AC0"/>
    <w:rsid w:val="00695CEC"/>
    <w:rsid w:val="00695DEB"/>
    <w:rsid w:val="0069648A"/>
    <w:rsid w:val="00696BF0"/>
    <w:rsid w:val="0069775A"/>
    <w:rsid w:val="00697813"/>
    <w:rsid w:val="006A0A9F"/>
    <w:rsid w:val="006A10A2"/>
    <w:rsid w:val="006A12E8"/>
    <w:rsid w:val="006A225B"/>
    <w:rsid w:val="006A2E67"/>
    <w:rsid w:val="006A3171"/>
    <w:rsid w:val="006A3783"/>
    <w:rsid w:val="006A3DD4"/>
    <w:rsid w:val="006A3EE8"/>
    <w:rsid w:val="006A429A"/>
    <w:rsid w:val="006A4864"/>
    <w:rsid w:val="006A4CC6"/>
    <w:rsid w:val="006A708F"/>
    <w:rsid w:val="006A7257"/>
    <w:rsid w:val="006A72BF"/>
    <w:rsid w:val="006B014C"/>
    <w:rsid w:val="006B03F2"/>
    <w:rsid w:val="006B0905"/>
    <w:rsid w:val="006B13F2"/>
    <w:rsid w:val="006B1FB7"/>
    <w:rsid w:val="006B24AC"/>
    <w:rsid w:val="006B2DE6"/>
    <w:rsid w:val="006B3709"/>
    <w:rsid w:val="006B37DC"/>
    <w:rsid w:val="006B3FB5"/>
    <w:rsid w:val="006B4597"/>
    <w:rsid w:val="006B4658"/>
    <w:rsid w:val="006B4955"/>
    <w:rsid w:val="006B4F68"/>
    <w:rsid w:val="006B5D28"/>
    <w:rsid w:val="006B6965"/>
    <w:rsid w:val="006B74B3"/>
    <w:rsid w:val="006B79EB"/>
    <w:rsid w:val="006B7F0B"/>
    <w:rsid w:val="006B7FAF"/>
    <w:rsid w:val="006C0592"/>
    <w:rsid w:val="006C088D"/>
    <w:rsid w:val="006C134B"/>
    <w:rsid w:val="006C1DF5"/>
    <w:rsid w:val="006C24FA"/>
    <w:rsid w:val="006C272E"/>
    <w:rsid w:val="006C2E38"/>
    <w:rsid w:val="006C3168"/>
    <w:rsid w:val="006C3663"/>
    <w:rsid w:val="006C3E0A"/>
    <w:rsid w:val="006C476A"/>
    <w:rsid w:val="006C5479"/>
    <w:rsid w:val="006C58DA"/>
    <w:rsid w:val="006C6660"/>
    <w:rsid w:val="006C69E0"/>
    <w:rsid w:val="006C69EA"/>
    <w:rsid w:val="006C7D3F"/>
    <w:rsid w:val="006D047D"/>
    <w:rsid w:val="006D0737"/>
    <w:rsid w:val="006D0E7F"/>
    <w:rsid w:val="006D117C"/>
    <w:rsid w:val="006D13B5"/>
    <w:rsid w:val="006D2012"/>
    <w:rsid w:val="006D2D92"/>
    <w:rsid w:val="006D3D93"/>
    <w:rsid w:val="006D4EE3"/>
    <w:rsid w:val="006D55F6"/>
    <w:rsid w:val="006D5A4D"/>
    <w:rsid w:val="006D77EE"/>
    <w:rsid w:val="006D7805"/>
    <w:rsid w:val="006D7C56"/>
    <w:rsid w:val="006E02C0"/>
    <w:rsid w:val="006E0918"/>
    <w:rsid w:val="006E114A"/>
    <w:rsid w:val="006E12FF"/>
    <w:rsid w:val="006E2F0A"/>
    <w:rsid w:val="006E353F"/>
    <w:rsid w:val="006E4C0A"/>
    <w:rsid w:val="006E54C5"/>
    <w:rsid w:val="006E5F34"/>
    <w:rsid w:val="006E5FBF"/>
    <w:rsid w:val="006E607E"/>
    <w:rsid w:val="006E64AE"/>
    <w:rsid w:val="006E64CB"/>
    <w:rsid w:val="006E7735"/>
    <w:rsid w:val="006E779A"/>
    <w:rsid w:val="006F068B"/>
    <w:rsid w:val="006F082F"/>
    <w:rsid w:val="006F2E17"/>
    <w:rsid w:val="006F32C8"/>
    <w:rsid w:val="006F3784"/>
    <w:rsid w:val="006F3860"/>
    <w:rsid w:val="006F3878"/>
    <w:rsid w:val="006F3AF0"/>
    <w:rsid w:val="006F3B00"/>
    <w:rsid w:val="006F4FCD"/>
    <w:rsid w:val="006F5003"/>
    <w:rsid w:val="006F510A"/>
    <w:rsid w:val="006F552A"/>
    <w:rsid w:val="006F55AE"/>
    <w:rsid w:val="006F5C37"/>
    <w:rsid w:val="006F6568"/>
    <w:rsid w:val="006F6E38"/>
    <w:rsid w:val="007005AD"/>
    <w:rsid w:val="00701B84"/>
    <w:rsid w:val="00701D5B"/>
    <w:rsid w:val="00702AB9"/>
    <w:rsid w:val="00702CA9"/>
    <w:rsid w:val="0070357F"/>
    <w:rsid w:val="00703949"/>
    <w:rsid w:val="00703BA3"/>
    <w:rsid w:val="0070403F"/>
    <w:rsid w:val="007049F9"/>
    <w:rsid w:val="00704D76"/>
    <w:rsid w:val="00705553"/>
    <w:rsid w:val="007060BF"/>
    <w:rsid w:val="00706C5D"/>
    <w:rsid w:val="00707E0E"/>
    <w:rsid w:val="007101DF"/>
    <w:rsid w:val="00710298"/>
    <w:rsid w:val="00710CDA"/>
    <w:rsid w:val="00712045"/>
    <w:rsid w:val="00713015"/>
    <w:rsid w:val="00713663"/>
    <w:rsid w:val="007139FA"/>
    <w:rsid w:val="00713E50"/>
    <w:rsid w:val="007140C5"/>
    <w:rsid w:val="0071483E"/>
    <w:rsid w:val="00714CC9"/>
    <w:rsid w:val="00715058"/>
    <w:rsid w:val="00715885"/>
    <w:rsid w:val="00715DE4"/>
    <w:rsid w:val="007169A7"/>
    <w:rsid w:val="00717A2B"/>
    <w:rsid w:val="00717F08"/>
    <w:rsid w:val="00720795"/>
    <w:rsid w:val="00721A0F"/>
    <w:rsid w:val="007220F5"/>
    <w:rsid w:val="007223AB"/>
    <w:rsid w:val="007229EA"/>
    <w:rsid w:val="00722E4D"/>
    <w:rsid w:val="00722F23"/>
    <w:rsid w:val="007232C8"/>
    <w:rsid w:val="00723332"/>
    <w:rsid w:val="00723752"/>
    <w:rsid w:val="0072554A"/>
    <w:rsid w:val="00725F39"/>
    <w:rsid w:val="00726046"/>
    <w:rsid w:val="0072627E"/>
    <w:rsid w:val="007270E9"/>
    <w:rsid w:val="00727A1E"/>
    <w:rsid w:val="00727B9A"/>
    <w:rsid w:val="00727D60"/>
    <w:rsid w:val="0073031A"/>
    <w:rsid w:val="00730E13"/>
    <w:rsid w:val="0073109C"/>
    <w:rsid w:val="00731122"/>
    <w:rsid w:val="0073141F"/>
    <w:rsid w:val="00731599"/>
    <w:rsid w:val="00731755"/>
    <w:rsid w:val="0073190A"/>
    <w:rsid w:val="0073261F"/>
    <w:rsid w:val="00732922"/>
    <w:rsid w:val="00732FED"/>
    <w:rsid w:val="00733DFD"/>
    <w:rsid w:val="00734457"/>
    <w:rsid w:val="0073509C"/>
    <w:rsid w:val="00735386"/>
    <w:rsid w:val="007356D1"/>
    <w:rsid w:val="00735B12"/>
    <w:rsid w:val="00735CAC"/>
    <w:rsid w:val="00735F35"/>
    <w:rsid w:val="00736AE0"/>
    <w:rsid w:val="00737325"/>
    <w:rsid w:val="00737A4F"/>
    <w:rsid w:val="007427C2"/>
    <w:rsid w:val="00742A5D"/>
    <w:rsid w:val="00742F55"/>
    <w:rsid w:val="00743111"/>
    <w:rsid w:val="007442A0"/>
    <w:rsid w:val="007448D5"/>
    <w:rsid w:val="007450EB"/>
    <w:rsid w:val="00745142"/>
    <w:rsid w:val="00745E19"/>
    <w:rsid w:val="007463D9"/>
    <w:rsid w:val="00747C1A"/>
    <w:rsid w:val="0075162E"/>
    <w:rsid w:val="00751841"/>
    <w:rsid w:val="0075191C"/>
    <w:rsid w:val="00751C5F"/>
    <w:rsid w:val="00752768"/>
    <w:rsid w:val="00752AF9"/>
    <w:rsid w:val="007533D5"/>
    <w:rsid w:val="00754034"/>
    <w:rsid w:val="0075432E"/>
    <w:rsid w:val="00755A77"/>
    <w:rsid w:val="00756336"/>
    <w:rsid w:val="00756556"/>
    <w:rsid w:val="00760A05"/>
    <w:rsid w:val="00761273"/>
    <w:rsid w:val="007618C4"/>
    <w:rsid w:val="00761AD2"/>
    <w:rsid w:val="00761D41"/>
    <w:rsid w:val="00761F91"/>
    <w:rsid w:val="00763F45"/>
    <w:rsid w:val="00764C4A"/>
    <w:rsid w:val="00764D17"/>
    <w:rsid w:val="00764E0C"/>
    <w:rsid w:val="00765496"/>
    <w:rsid w:val="00765A7D"/>
    <w:rsid w:val="00767980"/>
    <w:rsid w:val="00767D7E"/>
    <w:rsid w:val="00770B19"/>
    <w:rsid w:val="00770F60"/>
    <w:rsid w:val="007710AC"/>
    <w:rsid w:val="007712D7"/>
    <w:rsid w:val="0077193F"/>
    <w:rsid w:val="00771FEF"/>
    <w:rsid w:val="00772CB3"/>
    <w:rsid w:val="007734F7"/>
    <w:rsid w:val="0077395A"/>
    <w:rsid w:val="00773B9D"/>
    <w:rsid w:val="0077463F"/>
    <w:rsid w:val="00775CAD"/>
    <w:rsid w:val="007762BF"/>
    <w:rsid w:val="00776D58"/>
    <w:rsid w:val="00777490"/>
    <w:rsid w:val="00780A49"/>
    <w:rsid w:val="00780CB3"/>
    <w:rsid w:val="00781172"/>
    <w:rsid w:val="00781255"/>
    <w:rsid w:val="00781585"/>
    <w:rsid w:val="00782393"/>
    <w:rsid w:val="0078260E"/>
    <w:rsid w:val="00782A8B"/>
    <w:rsid w:val="0078348D"/>
    <w:rsid w:val="007836EA"/>
    <w:rsid w:val="00784310"/>
    <w:rsid w:val="00784CDA"/>
    <w:rsid w:val="00784F1D"/>
    <w:rsid w:val="0078727F"/>
    <w:rsid w:val="00787EA4"/>
    <w:rsid w:val="007906C4"/>
    <w:rsid w:val="00791A18"/>
    <w:rsid w:val="00792F3A"/>
    <w:rsid w:val="0079310E"/>
    <w:rsid w:val="00793D1A"/>
    <w:rsid w:val="00793F37"/>
    <w:rsid w:val="00794022"/>
    <w:rsid w:val="0079404F"/>
    <w:rsid w:val="007940EA"/>
    <w:rsid w:val="0079424C"/>
    <w:rsid w:val="00794324"/>
    <w:rsid w:val="007946B1"/>
    <w:rsid w:val="007956EE"/>
    <w:rsid w:val="00796140"/>
    <w:rsid w:val="007967E8"/>
    <w:rsid w:val="007977AE"/>
    <w:rsid w:val="0079790A"/>
    <w:rsid w:val="007979AD"/>
    <w:rsid w:val="00797BA1"/>
    <w:rsid w:val="00797C0D"/>
    <w:rsid w:val="007A057D"/>
    <w:rsid w:val="007A0611"/>
    <w:rsid w:val="007A10E3"/>
    <w:rsid w:val="007A1185"/>
    <w:rsid w:val="007A2170"/>
    <w:rsid w:val="007A22BF"/>
    <w:rsid w:val="007A22EA"/>
    <w:rsid w:val="007A2BDD"/>
    <w:rsid w:val="007A3323"/>
    <w:rsid w:val="007A3D73"/>
    <w:rsid w:val="007A419B"/>
    <w:rsid w:val="007A428A"/>
    <w:rsid w:val="007A5111"/>
    <w:rsid w:val="007A5233"/>
    <w:rsid w:val="007A5288"/>
    <w:rsid w:val="007A5318"/>
    <w:rsid w:val="007A5438"/>
    <w:rsid w:val="007A5CE5"/>
    <w:rsid w:val="007A62FE"/>
    <w:rsid w:val="007A6A6C"/>
    <w:rsid w:val="007A6C72"/>
    <w:rsid w:val="007A6D7B"/>
    <w:rsid w:val="007A705B"/>
    <w:rsid w:val="007B0CEF"/>
    <w:rsid w:val="007B18D3"/>
    <w:rsid w:val="007B20A1"/>
    <w:rsid w:val="007B2572"/>
    <w:rsid w:val="007B2600"/>
    <w:rsid w:val="007B32AF"/>
    <w:rsid w:val="007B337A"/>
    <w:rsid w:val="007B33A9"/>
    <w:rsid w:val="007B34B4"/>
    <w:rsid w:val="007B3B59"/>
    <w:rsid w:val="007B4531"/>
    <w:rsid w:val="007B4DC7"/>
    <w:rsid w:val="007B506F"/>
    <w:rsid w:val="007B5502"/>
    <w:rsid w:val="007B5F1E"/>
    <w:rsid w:val="007B5F99"/>
    <w:rsid w:val="007B643E"/>
    <w:rsid w:val="007B6EFA"/>
    <w:rsid w:val="007B72B8"/>
    <w:rsid w:val="007B7A58"/>
    <w:rsid w:val="007B7D65"/>
    <w:rsid w:val="007B7D7D"/>
    <w:rsid w:val="007C04E0"/>
    <w:rsid w:val="007C0896"/>
    <w:rsid w:val="007C0F64"/>
    <w:rsid w:val="007C1B6A"/>
    <w:rsid w:val="007C1C4D"/>
    <w:rsid w:val="007C1F25"/>
    <w:rsid w:val="007C1F60"/>
    <w:rsid w:val="007C21B5"/>
    <w:rsid w:val="007C2496"/>
    <w:rsid w:val="007C29F3"/>
    <w:rsid w:val="007C2F66"/>
    <w:rsid w:val="007C354F"/>
    <w:rsid w:val="007C36C0"/>
    <w:rsid w:val="007C38B9"/>
    <w:rsid w:val="007C3A85"/>
    <w:rsid w:val="007C3DB8"/>
    <w:rsid w:val="007C4180"/>
    <w:rsid w:val="007C443B"/>
    <w:rsid w:val="007C4F19"/>
    <w:rsid w:val="007C55DB"/>
    <w:rsid w:val="007C567A"/>
    <w:rsid w:val="007C580E"/>
    <w:rsid w:val="007C7015"/>
    <w:rsid w:val="007D0550"/>
    <w:rsid w:val="007D0A11"/>
    <w:rsid w:val="007D0AA5"/>
    <w:rsid w:val="007D0B20"/>
    <w:rsid w:val="007D0F6C"/>
    <w:rsid w:val="007D19EC"/>
    <w:rsid w:val="007D2025"/>
    <w:rsid w:val="007D2ECA"/>
    <w:rsid w:val="007D37A7"/>
    <w:rsid w:val="007D3AB5"/>
    <w:rsid w:val="007D3ADC"/>
    <w:rsid w:val="007D455A"/>
    <w:rsid w:val="007D45A3"/>
    <w:rsid w:val="007D4719"/>
    <w:rsid w:val="007D4A7E"/>
    <w:rsid w:val="007D4B3F"/>
    <w:rsid w:val="007D4B55"/>
    <w:rsid w:val="007D5F61"/>
    <w:rsid w:val="007D6B0C"/>
    <w:rsid w:val="007D6CD5"/>
    <w:rsid w:val="007D72F5"/>
    <w:rsid w:val="007D7728"/>
    <w:rsid w:val="007E1F9D"/>
    <w:rsid w:val="007E31AA"/>
    <w:rsid w:val="007E34E2"/>
    <w:rsid w:val="007E3BC0"/>
    <w:rsid w:val="007E3D5C"/>
    <w:rsid w:val="007E42EA"/>
    <w:rsid w:val="007E44A3"/>
    <w:rsid w:val="007E4BD2"/>
    <w:rsid w:val="007E4E4D"/>
    <w:rsid w:val="007E6164"/>
    <w:rsid w:val="007E618E"/>
    <w:rsid w:val="007E6AA2"/>
    <w:rsid w:val="007E7760"/>
    <w:rsid w:val="007F119B"/>
    <w:rsid w:val="007F1593"/>
    <w:rsid w:val="007F16CF"/>
    <w:rsid w:val="007F1905"/>
    <w:rsid w:val="007F1BB7"/>
    <w:rsid w:val="007F1C9D"/>
    <w:rsid w:val="007F26C0"/>
    <w:rsid w:val="007F3DB9"/>
    <w:rsid w:val="007F486A"/>
    <w:rsid w:val="007F5076"/>
    <w:rsid w:val="007F5723"/>
    <w:rsid w:val="007F6016"/>
    <w:rsid w:val="007F6341"/>
    <w:rsid w:val="007F67FB"/>
    <w:rsid w:val="007F693E"/>
    <w:rsid w:val="007F6F39"/>
    <w:rsid w:val="007F7B4D"/>
    <w:rsid w:val="007F7B6C"/>
    <w:rsid w:val="0080048C"/>
    <w:rsid w:val="00800BAA"/>
    <w:rsid w:val="00800F2D"/>
    <w:rsid w:val="008012BD"/>
    <w:rsid w:val="008012D8"/>
    <w:rsid w:val="00801393"/>
    <w:rsid w:val="00801546"/>
    <w:rsid w:val="008017E7"/>
    <w:rsid w:val="00801BD7"/>
    <w:rsid w:val="00802168"/>
    <w:rsid w:val="00802740"/>
    <w:rsid w:val="00802F88"/>
    <w:rsid w:val="0080457D"/>
    <w:rsid w:val="00804622"/>
    <w:rsid w:val="0080475D"/>
    <w:rsid w:val="00804B49"/>
    <w:rsid w:val="008075D6"/>
    <w:rsid w:val="008104DD"/>
    <w:rsid w:val="00810734"/>
    <w:rsid w:val="00810AAE"/>
    <w:rsid w:val="00810BB9"/>
    <w:rsid w:val="00810EFA"/>
    <w:rsid w:val="008117FA"/>
    <w:rsid w:val="00811A06"/>
    <w:rsid w:val="00811EC6"/>
    <w:rsid w:val="0081226E"/>
    <w:rsid w:val="00812500"/>
    <w:rsid w:val="0081262B"/>
    <w:rsid w:val="0081293E"/>
    <w:rsid w:val="00812F48"/>
    <w:rsid w:val="00813068"/>
    <w:rsid w:val="00813E30"/>
    <w:rsid w:val="008145D9"/>
    <w:rsid w:val="00814AC8"/>
    <w:rsid w:val="00814B86"/>
    <w:rsid w:val="00815465"/>
    <w:rsid w:val="0081647D"/>
    <w:rsid w:val="00817C8B"/>
    <w:rsid w:val="00817DEE"/>
    <w:rsid w:val="00817E9A"/>
    <w:rsid w:val="008208E1"/>
    <w:rsid w:val="00820F53"/>
    <w:rsid w:val="00821958"/>
    <w:rsid w:val="00821AAC"/>
    <w:rsid w:val="0082232C"/>
    <w:rsid w:val="00822562"/>
    <w:rsid w:val="00822E51"/>
    <w:rsid w:val="00822ECF"/>
    <w:rsid w:val="00823FF0"/>
    <w:rsid w:val="008241E3"/>
    <w:rsid w:val="008249D3"/>
    <w:rsid w:val="00824C3F"/>
    <w:rsid w:val="00824C9B"/>
    <w:rsid w:val="00824CAA"/>
    <w:rsid w:val="00826A60"/>
    <w:rsid w:val="00826B8A"/>
    <w:rsid w:val="0082766D"/>
    <w:rsid w:val="008306BD"/>
    <w:rsid w:val="008306C3"/>
    <w:rsid w:val="00830783"/>
    <w:rsid w:val="008307C2"/>
    <w:rsid w:val="0083097E"/>
    <w:rsid w:val="00830D9A"/>
    <w:rsid w:val="008310EA"/>
    <w:rsid w:val="0083163A"/>
    <w:rsid w:val="00831A80"/>
    <w:rsid w:val="0083220C"/>
    <w:rsid w:val="0083230D"/>
    <w:rsid w:val="00832A95"/>
    <w:rsid w:val="00833743"/>
    <w:rsid w:val="00833827"/>
    <w:rsid w:val="00834099"/>
    <w:rsid w:val="008340A4"/>
    <w:rsid w:val="0083459D"/>
    <w:rsid w:val="00835A3B"/>
    <w:rsid w:val="008364DA"/>
    <w:rsid w:val="00836A59"/>
    <w:rsid w:val="00837456"/>
    <w:rsid w:val="00837584"/>
    <w:rsid w:val="00840A6B"/>
    <w:rsid w:val="008418BE"/>
    <w:rsid w:val="00842B54"/>
    <w:rsid w:val="0084302D"/>
    <w:rsid w:val="00844040"/>
    <w:rsid w:val="00844BDC"/>
    <w:rsid w:val="0084678A"/>
    <w:rsid w:val="00846AC2"/>
    <w:rsid w:val="00847012"/>
    <w:rsid w:val="00847336"/>
    <w:rsid w:val="008473AC"/>
    <w:rsid w:val="00850A92"/>
    <w:rsid w:val="00850C8C"/>
    <w:rsid w:val="00850F9C"/>
    <w:rsid w:val="00852A5B"/>
    <w:rsid w:val="008534AA"/>
    <w:rsid w:val="008549A1"/>
    <w:rsid w:val="008550AB"/>
    <w:rsid w:val="008557F9"/>
    <w:rsid w:val="00855964"/>
    <w:rsid w:val="00856458"/>
    <w:rsid w:val="0085697E"/>
    <w:rsid w:val="008569B0"/>
    <w:rsid w:val="00856C4F"/>
    <w:rsid w:val="00856E94"/>
    <w:rsid w:val="00856F44"/>
    <w:rsid w:val="00857D1D"/>
    <w:rsid w:val="00860706"/>
    <w:rsid w:val="008609E5"/>
    <w:rsid w:val="00860CAA"/>
    <w:rsid w:val="00860F0F"/>
    <w:rsid w:val="00861A98"/>
    <w:rsid w:val="0086211E"/>
    <w:rsid w:val="0086248A"/>
    <w:rsid w:val="0086272C"/>
    <w:rsid w:val="00862AD1"/>
    <w:rsid w:val="00862BED"/>
    <w:rsid w:val="00862F72"/>
    <w:rsid w:val="008638EC"/>
    <w:rsid w:val="00864473"/>
    <w:rsid w:val="00865699"/>
    <w:rsid w:val="008658C7"/>
    <w:rsid w:val="00865B7F"/>
    <w:rsid w:val="00867586"/>
    <w:rsid w:val="0086764A"/>
    <w:rsid w:val="00867A02"/>
    <w:rsid w:val="00870381"/>
    <w:rsid w:val="008706B7"/>
    <w:rsid w:val="00870CF9"/>
    <w:rsid w:val="0087135F"/>
    <w:rsid w:val="008725F4"/>
    <w:rsid w:val="00872D94"/>
    <w:rsid w:val="008738E5"/>
    <w:rsid w:val="00874A94"/>
    <w:rsid w:val="00874BFA"/>
    <w:rsid w:val="00874DF5"/>
    <w:rsid w:val="00874F7F"/>
    <w:rsid w:val="008751C1"/>
    <w:rsid w:val="0087559C"/>
    <w:rsid w:val="008756C6"/>
    <w:rsid w:val="008763DA"/>
    <w:rsid w:val="00877006"/>
    <w:rsid w:val="0087716F"/>
    <w:rsid w:val="00880364"/>
    <w:rsid w:val="00881137"/>
    <w:rsid w:val="008815B7"/>
    <w:rsid w:val="00881785"/>
    <w:rsid w:val="00881839"/>
    <w:rsid w:val="0088222D"/>
    <w:rsid w:val="008826C6"/>
    <w:rsid w:val="00884D0A"/>
    <w:rsid w:val="00885069"/>
    <w:rsid w:val="0088531A"/>
    <w:rsid w:val="0088672F"/>
    <w:rsid w:val="008871FE"/>
    <w:rsid w:val="00887940"/>
    <w:rsid w:val="00887F74"/>
    <w:rsid w:val="00890071"/>
    <w:rsid w:val="00890E7D"/>
    <w:rsid w:val="00891592"/>
    <w:rsid w:val="00891753"/>
    <w:rsid w:val="00891E9E"/>
    <w:rsid w:val="00892646"/>
    <w:rsid w:val="008938F0"/>
    <w:rsid w:val="00893B35"/>
    <w:rsid w:val="00893B4E"/>
    <w:rsid w:val="00894B0F"/>
    <w:rsid w:val="00894C18"/>
    <w:rsid w:val="008972CE"/>
    <w:rsid w:val="008972EF"/>
    <w:rsid w:val="00897D54"/>
    <w:rsid w:val="008A14F5"/>
    <w:rsid w:val="008A1F9B"/>
    <w:rsid w:val="008A2203"/>
    <w:rsid w:val="008A2F68"/>
    <w:rsid w:val="008A3348"/>
    <w:rsid w:val="008A47E3"/>
    <w:rsid w:val="008A4A47"/>
    <w:rsid w:val="008A51B2"/>
    <w:rsid w:val="008A52AD"/>
    <w:rsid w:val="008A5C48"/>
    <w:rsid w:val="008A5EB8"/>
    <w:rsid w:val="008A622B"/>
    <w:rsid w:val="008A6274"/>
    <w:rsid w:val="008A6613"/>
    <w:rsid w:val="008A7921"/>
    <w:rsid w:val="008B01A9"/>
    <w:rsid w:val="008B07CB"/>
    <w:rsid w:val="008B1070"/>
    <w:rsid w:val="008B330F"/>
    <w:rsid w:val="008B42DC"/>
    <w:rsid w:val="008B4F99"/>
    <w:rsid w:val="008B4FA6"/>
    <w:rsid w:val="008B5282"/>
    <w:rsid w:val="008B5810"/>
    <w:rsid w:val="008B5CD9"/>
    <w:rsid w:val="008B6449"/>
    <w:rsid w:val="008B7C17"/>
    <w:rsid w:val="008C0A02"/>
    <w:rsid w:val="008C0FD7"/>
    <w:rsid w:val="008C180D"/>
    <w:rsid w:val="008C2609"/>
    <w:rsid w:val="008C2D01"/>
    <w:rsid w:val="008C3ACA"/>
    <w:rsid w:val="008C3CF3"/>
    <w:rsid w:val="008C3E28"/>
    <w:rsid w:val="008C402D"/>
    <w:rsid w:val="008C4056"/>
    <w:rsid w:val="008C40E6"/>
    <w:rsid w:val="008C44CD"/>
    <w:rsid w:val="008C4CFB"/>
    <w:rsid w:val="008C50CB"/>
    <w:rsid w:val="008C596D"/>
    <w:rsid w:val="008C5FFB"/>
    <w:rsid w:val="008C6170"/>
    <w:rsid w:val="008C65F4"/>
    <w:rsid w:val="008C6A23"/>
    <w:rsid w:val="008C6ACD"/>
    <w:rsid w:val="008C6B27"/>
    <w:rsid w:val="008C6CF2"/>
    <w:rsid w:val="008C74D8"/>
    <w:rsid w:val="008C7E3B"/>
    <w:rsid w:val="008D0F7A"/>
    <w:rsid w:val="008D0F9E"/>
    <w:rsid w:val="008D1E07"/>
    <w:rsid w:val="008D3DE3"/>
    <w:rsid w:val="008D51A7"/>
    <w:rsid w:val="008D56B6"/>
    <w:rsid w:val="008D64EE"/>
    <w:rsid w:val="008D68E4"/>
    <w:rsid w:val="008D6F12"/>
    <w:rsid w:val="008D7908"/>
    <w:rsid w:val="008E0506"/>
    <w:rsid w:val="008E0682"/>
    <w:rsid w:val="008E0757"/>
    <w:rsid w:val="008E075A"/>
    <w:rsid w:val="008E0CFF"/>
    <w:rsid w:val="008E120D"/>
    <w:rsid w:val="008E189B"/>
    <w:rsid w:val="008E20AF"/>
    <w:rsid w:val="008E3145"/>
    <w:rsid w:val="008E388B"/>
    <w:rsid w:val="008E3B3C"/>
    <w:rsid w:val="008E4AA0"/>
    <w:rsid w:val="008E4C22"/>
    <w:rsid w:val="008E532F"/>
    <w:rsid w:val="008E534A"/>
    <w:rsid w:val="008E58F2"/>
    <w:rsid w:val="008E5D6B"/>
    <w:rsid w:val="008E6592"/>
    <w:rsid w:val="008E68DF"/>
    <w:rsid w:val="008E6AAA"/>
    <w:rsid w:val="008E6AD1"/>
    <w:rsid w:val="008E76F0"/>
    <w:rsid w:val="008E7C77"/>
    <w:rsid w:val="008F15FE"/>
    <w:rsid w:val="008F1DD6"/>
    <w:rsid w:val="008F2284"/>
    <w:rsid w:val="008F26DF"/>
    <w:rsid w:val="008F2D29"/>
    <w:rsid w:val="008F3CE6"/>
    <w:rsid w:val="008F3EA7"/>
    <w:rsid w:val="008F4BDC"/>
    <w:rsid w:val="008F5187"/>
    <w:rsid w:val="008F5A1C"/>
    <w:rsid w:val="008F60D8"/>
    <w:rsid w:val="008F61BF"/>
    <w:rsid w:val="008F6317"/>
    <w:rsid w:val="008F67D5"/>
    <w:rsid w:val="008F6B1E"/>
    <w:rsid w:val="008F73F7"/>
    <w:rsid w:val="008F778D"/>
    <w:rsid w:val="009006C3"/>
    <w:rsid w:val="00900884"/>
    <w:rsid w:val="009012BA"/>
    <w:rsid w:val="0090148C"/>
    <w:rsid w:val="0090174F"/>
    <w:rsid w:val="00902248"/>
    <w:rsid w:val="00902727"/>
    <w:rsid w:val="009029C5"/>
    <w:rsid w:val="0090312B"/>
    <w:rsid w:val="009033DC"/>
    <w:rsid w:val="00903633"/>
    <w:rsid w:val="00904693"/>
    <w:rsid w:val="009047A4"/>
    <w:rsid w:val="0090484A"/>
    <w:rsid w:val="0090573C"/>
    <w:rsid w:val="00905C14"/>
    <w:rsid w:val="009060F5"/>
    <w:rsid w:val="00906920"/>
    <w:rsid w:val="00907A96"/>
    <w:rsid w:val="0091071B"/>
    <w:rsid w:val="00910A03"/>
    <w:rsid w:val="00910FAB"/>
    <w:rsid w:val="0091144D"/>
    <w:rsid w:val="009118E3"/>
    <w:rsid w:val="00911C67"/>
    <w:rsid w:val="00911F83"/>
    <w:rsid w:val="00912074"/>
    <w:rsid w:val="00913205"/>
    <w:rsid w:val="0091333B"/>
    <w:rsid w:val="00914465"/>
    <w:rsid w:val="00914C5D"/>
    <w:rsid w:val="00914CB0"/>
    <w:rsid w:val="00914D0E"/>
    <w:rsid w:val="00916092"/>
    <w:rsid w:val="0091736D"/>
    <w:rsid w:val="009203EB"/>
    <w:rsid w:val="0092093E"/>
    <w:rsid w:val="00920A4E"/>
    <w:rsid w:val="00921619"/>
    <w:rsid w:val="009227FE"/>
    <w:rsid w:val="0092310D"/>
    <w:rsid w:val="00923A2E"/>
    <w:rsid w:val="009242D0"/>
    <w:rsid w:val="00924523"/>
    <w:rsid w:val="00924D95"/>
    <w:rsid w:val="0092537C"/>
    <w:rsid w:val="009254E6"/>
    <w:rsid w:val="009256A3"/>
    <w:rsid w:val="00925ECD"/>
    <w:rsid w:val="00926872"/>
    <w:rsid w:val="0092694E"/>
    <w:rsid w:val="009269CE"/>
    <w:rsid w:val="00926CA2"/>
    <w:rsid w:val="00927649"/>
    <w:rsid w:val="00927779"/>
    <w:rsid w:val="0093037A"/>
    <w:rsid w:val="0093147B"/>
    <w:rsid w:val="00931A78"/>
    <w:rsid w:val="00933A29"/>
    <w:rsid w:val="0093458F"/>
    <w:rsid w:val="00934781"/>
    <w:rsid w:val="00934853"/>
    <w:rsid w:val="009361D6"/>
    <w:rsid w:val="0093717D"/>
    <w:rsid w:val="009374C7"/>
    <w:rsid w:val="00940BBF"/>
    <w:rsid w:val="00940D11"/>
    <w:rsid w:val="0094154D"/>
    <w:rsid w:val="00941C4E"/>
    <w:rsid w:val="00941FEA"/>
    <w:rsid w:val="00942BA7"/>
    <w:rsid w:val="009430B6"/>
    <w:rsid w:val="009432EB"/>
    <w:rsid w:val="009444A0"/>
    <w:rsid w:val="009452C2"/>
    <w:rsid w:val="00945987"/>
    <w:rsid w:val="00945D7F"/>
    <w:rsid w:val="00946881"/>
    <w:rsid w:val="00946B8F"/>
    <w:rsid w:val="00946FB2"/>
    <w:rsid w:val="00947653"/>
    <w:rsid w:val="00947C9C"/>
    <w:rsid w:val="00947D1A"/>
    <w:rsid w:val="00950BB3"/>
    <w:rsid w:val="00951255"/>
    <w:rsid w:val="0095155F"/>
    <w:rsid w:val="0095199C"/>
    <w:rsid w:val="00951A44"/>
    <w:rsid w:val="009526A7"/>
    <w:rsid w:val="009528D9"/>
    <w:rsid w:val="0095293F"/>
    <w:rsid w:val="009529CD"/>
    <w:rsid w:val="00953A29"/>
    <w:rsid w:val="00953A87"/>
    <w:rsid w:val="00953FC3"/>
    <w:rsid w:val="00954429"/>
    <w:rsid w:val="0095460E"/>
    <w:rsid w:val="00954946"/>
    <w:rsid w:val="0095519F"/>
    <w:rsid w:val="00956030"/>
    <w:rsid w:val="009563CE"/>
    <w:rsid w:val="00956604"/>
    <w:rsid w:val="00956838"/>
    <w:rsid w:val="00956D8D"/>
    <w:rsid w:val="00960961"/>
    <w:rsid w:val="00960D3E"/>
    <w:rsid w:val="009617CB"/>
    <w:rsid w:val="00961C0D"/>
    <w:rsid w:val="00962394"/>
    <w:rsid w:val="009625D1"/>
    <w:rsid w:val="00962B06"/>
    <w:rsid w:val="00962B76"/>
    <w:rsid w:val="00962D43"/>
    <w:rsid w:val="00963884"/>
    <w:rsid w:val="00964919"/>
    <w:rsid w:val="00964937"/>
    <w:rsid w:val="00966817"/>
    <w:rsid w:val="00967A8B"/>
    <w:rsid w:val="00970055"/>
    <w:rsid w:val="00970164"/>
    <w:rsid w:val="00970BC2"/>
    <w:rsid w:val="00971BEB"/>
    <w:rsid w:val="009720FC"/>
    <w:rsid w:val="00973E76"/>
    <w:rsid w:val="009740E4"/>
    <w:rsid w:val="009748F4"/>
    <w:rsid w:val="00975EF6"/>
    <w:rsid w:val="00976328"/>
    <w:rsid w:val="009765D9"/>
    <w:rsid w:val="0097680D"/>
    <w:rsid w:val="009768EC"/>
    <w:rsid w:val="00977AF7"/>
    <w:rsid w:val="00977E92"/>
    <w:rsid w:val="009802A7"/>
    <w:rsid w:val="00980B8D"/>
    <w:rsid w:val="009811CA"/>
    <w:rsid w:val="00981A0F"/>
    <w:rsid w:val="00982438"/>
    <w:rsid w:val="00982619"/>
    <w:rsid w:val="00982AA3"/>
    <w:rsid w:val="0098404C"/>
    <w:rsid w:val="009844AA"/>
    <w:rsid w:val="00985283"/>
    <w:rsid w:val="00985885"/>
    <w:rsid w:val="00985DFA"/>
    <w:rsid w:val="00986276"/>
    <w:rsid w:val="0098641D"/>
    <w:rsid w:val="00986821"/>
    <w:rsid w:val="009868A0"/>
    <w:rsid w:val="00990698"/>
    <w:rsid w:val="00990ABC"/>
    <w:rsid w:val="009916B1"/>
    <w:rsid w:val="009933A6"/>
    <w:rsid w:val="00994104"/>
    <w:rsid w:val="0099419F"/>
    <w:rsid w:val="00994B7F"/>
    <w:rsid w:val="00995118"/>
    <w:rsid w:val="009951D0"/>
    <w:rsid w:val="00995992"/>
    <w:rsid w:val="00995C1E"/>
    <w:rsid w:val="00995D19"/>
    <w:rsid w:val="00997051"/>
    <w:rsid w:val="00997094"/>
    <w:rsid w:val="00997254"/>
    <w:rsid w:val="00997A89"/>
    <w:rsid w:val="009A03E5"/>
    <w:rsid w:val="009A063F"/>
    <w:rsid w:val="009A0751"/>
    <w:rsid w:val="009A0D7D"/>
    <w:rsid w:val="009A0F3B"/>
    <w:rsid w:val="009A1BB4"/>
    <w:rsid w:val="009A2628"/>
    <w:rsid w:val="009A3200"/>
    <w:rsid w:val="009A36DC"/>
    <w:rsid w:val="009A3839"/>
    <w:rsid w:val="009A431E"/>
    <w:rsid w:val="009A4BE0"/>
    <w:rsid w:val="009A4D2E"/>
    <w:rsid w:val="009A4D6F"/>
    <w:rsid w:val="009A535A"/>
    <w:rsid w:val="009A593C"/>
    <w:rsid w:val="009A5C2B"/>
    <w:rsid w:val="009A6B3A"/>
    <w:rsid w:val="009A6B90"/>
    <w:rsid w:val="009A70B2"/>
    <w:rsid w:val="009A74E3"/>
    <w:rsid w:val="009A77F4"/>
    <w:rsid w:val="009A7914"/>
    <w:rsid w:val="009A7CA1"/>
    <w:rsid w:val="009B0408"/>
    <w:rsid w:val="009B0512"/>
    <w:rsid w:val="009B0897"/>
    <w:rsid w:val="009B1FE5"/>
    <w:rsid w:val="009B205E"/>
    <w:rsid w:val="009B227B"/>
    <w:rsid w:val="009B31AE"/>
    <w:rsid w:val="009B3A28"/>
    <w:rsid w:val="009B48DC"/>
    <w:rsid w:val="009B4B2C"/>
    <w:rsid w:val="009B4E9C"/>
    <w:rsid w:val="009B6B1D"/>
    <w:rsid w:val="009B6EC0"/>
    <w:rsid w:val="009B7BD9"/>
    <w:rsid w:val="009C0380"/>
    <w:rsid w:val="009C067D"/>
    <w:rsid w:val="009C0919"/>
    <w:rsid w:val="009C1465"/>
    <w:rsid w:val="009C18C7"/>
    <w:rsid w:val="009C225A"/>
    <w:rsid w:val="009C22B8"/>
    <w:rsid w:val="009C6123"/>
    <w:rsid w:val="009C6570"/>
    <w:rsid w:val="009C73F2"/>
    <w:rsid w:val="009C78C8"/>
    <w:rsid w:val="009C7DD5"/>
    <w:rsid w:val="009C7E35"/>
    <w:rsid w:val="009D0098"/>
    <w:rsid w:val="009D1FD2"/>
    <w:rsid w:val="009D21C8"/>
    <w:rsid w:val="009D2237"/>
    <w:rsid w:val="009D234E"/>
    <w:rsid w:val="009D2598"/>
    <w:rsid w:val="009D3716"/>
    <w:rsid w:val="009D3761"/>
    <w:rsid w:val="009D3ADD"/>
    <w:rsid w:val="009D3ED0"/>
    <w:rsid w:val="009D5EE5"/>
    <w:rsid w:val="009D6251"/>
    <w:rsid w:val="009D7613"/>
    <w:rsid w:val="009D7909"/>
    <w:rsid w:val="009D7EFA"/>
    <w:rsid w:val="009E01EB"/>
    <w:rsid w:val="009E1127"/>
    <w:rsid w:val="009E16ED"/>
    <w:rsid w:val="009E1F99"/>
    <w:rsid w:val="009E201F"/>
    <w:rsid w:val="009E227D"/>
    <w:rsid w:val="009E252F"/>
    <w:rsid w:val="009E286C"/>
    <w:rsid w:val="009E4E1B"/>
    <w:rsid w:val="009E5019"/>
    <w:rsid w:val="009E7537"/>
    <w:rsid w:val="009F09E6"/>
    <w:rsid w:val="009F0FEC"/>
    <w:rsid w:val="009F11E9"/>
    <w:rsid w:val="009F1B5E"/>
    <w:rsid w:val="009F1C35"/>
    <w:rsid w:val="009F2209"/>
    <w:rsid w:val="009F368B"/>
    <w:rsid w:val="009F3D82"/>
    <w:rsid w:val="009F41FD"/>
    <w:rsid w:val="009F5157"/>
    <w:rsid w:val="009F5BA7"/>
    <w:rsid w:val="009F5E0A"/>
    <w:rsid w:val="009F6302"/>
    <w:rsid w:val="009F6794"/>
    <w:rsid w:val="009F7B73"/>
    <w:rsid w:val="00A00666"/>
    <w:rsid w:val="00A008C5"/>
    <w:rsid w:val="00A00D34"/>
    <w:rsid w:val="00A010B6"/>
    <w:rsid w:val="00A0178A"/>
    <w:rsid w:val="00A01FC0"/>
    <w:rsid w:val="00A02EF8"/>
    <w:rsid w:val="00A04F1B"/>
    <w:rsid w:val="00A0501B"/>
    <w:rsid w:val="00A062B9"/>
    <w:rsid w:val="00A0647D"/>
    <w:rsid w:val="00A064CE"/>
    <w:rsid w:val="00A06C70"/>
    <w:rsid w:val="00A07C6C"/>
    <w:rsid w:val="00A07C7B"/>
    <w:rsid w:val="00A1008A"/>
    <w:rsid w:val="00A10E22"/>
    <w:rsid w:val="00A11634"/>
    <w:rsid w:val="00A12E1A"/>
    <w:rsid w:val="00A13381"/>
    <w:rsid w:val="00A13699"/>
    <w:rsid w:val="00A13DD4"/>
    <w:rsid w:val="00A13FA2"/>
    <w:rsid w:val="00A140AE"/>
    <w:rsid w:val="00A14947"/>
    <w:rsid w:val="00A149B3"/>
    <w:rsid w:val="00A1574C"/>
    <w:rsid w:val="00A16FAF"/>
    <w:rsid w:val="00A175DC"/>
    <w:rsid w:val="00A17755"/>
    <w:rsid w:val="00A177C2"/>
    <w:rsid w:val="00A17C94"/>
    <w:rsid w:val="00A17DFE"/>
    <w:rsid w:val="00A17F20"/>
    <w:rsid w:val="00A200CC"/>
    <w:rsid w:val="00A20AD0"/>
    <w:rsid w:val="00A2105A"/>
    <w:rsid w:val="00A22066"/>
    <w:rsid w:val="00A243E1"/>
    <w:rsid w:val="00A2476E"/>
    <w:rsid w:val="00A24D36"/>
    <w:rsid w:val="00A26EE6"/>
    <w:rsid w:val="00A26F7D"/>
    <w:rsid w:val="00A2771B"/>
    <w:rsid w:val="00A27DD1"/>
    <w:rsid w:val="00A310F9"/>
    <w:rsid w:val="00A31D97"/>
    <w:rsid w:val="00A32714"/>
    <w:rsid w:val="00A32A83"/>
    <w:rsid w:val="00A32F0B"/>
    <w:rsid w:val="00A332BD"/>
    <w:rsid w:val="00A336A8"/>
    <w:rsid w:val="00A33D08"/>
    <w:rsid w:val="00A33DFD"/>
    <w:rsid w:val="00A3410A"/>
    <w:rsid w:val="00A341CD"/>
    <w:rsid w:val="00A34329"/>
    <w:rsid w:val="00A35748"/>
    <w:rsid w:val="00A35861"/>
    <w:rsid w:val="00A359AC"/>
    <w:rsid w:val="00A365C9"/>
    <w:rsid w:val="00A368DB"/>
    <w:rsid w:val="00A37334"/>
    <w:rsid w:val="00A374E9"/>
    <w:rsid w:val="00A407DA"/>
    <w:rsid w:val="00A408A6"/>
    <w:rsid w:val="00A4124D"/>
    <w:rsid w:val="00A4162C"/>
    <w:rsid w:val="00A42216"/>
    <w:rsid w:val="00A423AA"/>
    <w:rsid w:val="00A46643"/>
    <w:rsid w:val="00A4686F"/>
    <w:rsid w:val="00A46EF9"/>
    <w:rsid w:val="00A47E5F"/>
    <w:rsid w:val="00A5090E"/>
    <w:rsid w:val="00A510B0"/>
    <w:rsid w:val="00A51C67"/>
    <w:rsid w:val="00A51D2C"/>
    <w:rsid w:val="00A52EAF"/>
    <w:rsid w:val="00A53E0F"/>
    <w:rsid w:val="00A53EC6"/>
    <w:rsid w:val="00A548CB"/>
    <w:rsid w:val="00A55C0F"/>
    <w:rsid w:val="00A55D33"/>
    <w:rsid w:val="00A55F6D"/>
    <w:rsid w:val="00A564D3"/>
    <w:rsid w:val="00A56842"/>
    <w:rsid w:val="00A56C37"/>
    <w:rsid w:val="00A5769D"/>
    <w:rsid w:val="00A57DD0"/>
    <w:rsid w:val="00A61FAF"/>
    <w:rsid w:val="00A6290C"/>
    <w:rsid w:val="00A62E65"/>
    <w:rsid w:val="00A637A6"/>
    <w:rsid w:val="00A63886"/>
    <w:rsid w:val="00A63DDB"/>
    <w:rsid w:val="00A64684"/>
    <w:rsid w:val="00A646E8"/>
    <w:rsid w:val="00A64B4C"/>
    <w:rsid w:val="00A64D8C"/>
    <w:rsid w:val="00A651ED"/>
    <w:rsid w:val="00A65FEF"/>
    <w:rsid w:val="00A670C7"/>
    <w:rsid w:val="00A70300"/>
    <w:rsid w:val="00A70D36"/>
    <w:rsid w:val="00A73FE6"/>
    <w:rsid w:val="00A74168"/>
    <w:rsid w:val="00A742B5"/>
    <w:rsid w:val="00A743F2"/>
    <w:rsid w:val="00A75A32"/>
    <w:rsid w:val="00A75F75"/>
    <w:rsid w:val="00A76188"/>
    <w:rsid w:val="00A762C0"/>
    <w:rsid w:val="00A77FC2"/>
    <w:rsid w:val="00A8126C"/>
    <w:rsid w:val="00A83A89"/>
    <w:rsid w:val="00A83AEF"/>
    <w:rsid w:val="00A83C64"/>
    <w:rsid w:val="00A84A1B"/>
    <w:rsid w:val="00A84C74"/>
    <w:rsid w:val="00A8501A"/>
    <w:rsid w:val="00A8579D"/>
    <w:rsid w:val="00A857F4"/>
    <w:rsid w:val="00A8627D"/>
    <w:rsid w:val="00A866BB"/>
    <w:rsid w:val="00A86C81"/>
    <w:rsid w:val="00A86E96"/>
    <w:rsid w:val="00A8713F"/>
    <w:rsid w:val="00A90551"/>
    <w:rsid w:val="00A90BA1"/>
    <w:rsid w:val="00A90E41"/>
    <w:rsid w:val="00A913CF"/>
    <w:rsid w:val="00A91E71"/>
    <w:rsid w:val="00A92603"/>
    <w:rsid w:val="00A92679"/>
    <w:rsid w:val="00A9303F"/>
    <w:rsid w:val="00A93B93"/>
    <w:rsid w:val="00A93E70"/>
    <w:rsid w:val="00A940F4"/>
    <w:rsid w:val="00A94624"/>
    <w:rsid w:val="00A9520B"/>
    <w:rsid w:val="00A959C8"/>
    <w:rsid w:val="00A95A69"/>
    <w:rsid w:val="00A962E4"/>
    <w:rsid w:val="00A97794"/>
    <w:rsid w:val="00A97A9A"/>
    <w:rsid w:val="00A97AB1"/>
    <w:rsid w:val="00AA05ED"/>
    <w:rsid w:val="00AA0671"/>
    <w:rsid w:val="00AA070D"/>
    <w:rsid w:val="00AA0D03"/>
    <w:rsid w:val="00AA1D62"/>
    <w:rsid w:val="00AA1F6B"/>
    <w:rsid w:val="00AA24E0"/>
    <w:rsid w:val="00AA2531"/>
    <w:rsid w:val="00AA2E2B"/>
    <w:rsid w:val="00AA2ED3"/>
    <w:rsid w:val="00AA30D1"/>
    <w:rsid w:val="00AA3105"/>
    <w:rsid w:val="00AA3E45"/>
    <w:rsid w:val="00AA3F05"/>
    <w:rsid w:val="00AA41CC"/>
    <w:rsid w:val="00AA420F"/>
    <w:rsid w:val="00AA4421"/>
    <w:rsid w:val="00AA48A6"/>
    <w:rsid w:val="00AA5F05"/>
    <w:rsid w:val="00AA6201"/>
    <w:rsid w:val="00AA6472"/>
    <w:rsid w:val="00AA6EEC"/>
    <w:rsid w:val="00AA74D1"/>
    <w:rsid w:val="00AB01B4"/>
    <w:rsid w:val="00AB0315"/>
    <w:rsid w:val="00AB0798"/>
    <w:rsid w:val="00AB0D0E"/>
    <w:rsid w:val="00AB0E51"/>
    <w:rsid w:val="00AB193E"/>
    <w:rsid w:val="00AB1B32"/>
    <w:rsid w:val="00AB1E09"/>
    <w:rsid w:val="00AB21A5"/>
    <w:rsid w:val="00AB2697"/>
    <w:rsid w:val="00AB2ACE"/>
    <w:rsid w:val="00AB2B4F"/>
    <w:rsid w:val="00AB300B"/>
    <w:rsid w:val="00AB3E3B"/>
    <w:rsid w:val="00AB43FC"/>
    <w:rsid w:val="00AB4924"/>
    <w:rsid w:val="00AB5330"/>
    <w:rsid w:val="00AB56B5"/>
    <w:rsid w:val="00AB6046"/>
    <w:rsid w:val="00AB658A"/>
    <w:rsid w:val="00AB680D"/>
    <w:rsid w:val="00AB6D94"/>
    <w:rsid w:val="00AB6FC8"/>
    <w:rsid w:val="00AB738A"/>
    <w:rsid w:val="00AB7747"/>
    <w:rsid w:val="00AC01DA"/>
    <w:rsid w:val="00AC0477"/>
    <w:rsid w:val="00AC10B3"/>
    <w:rsid w:val="00AC1311"/>
    <w:rsid w:val="00AC14CE"/>
    <w:rsid w:val="00AC1E2C"/>
    <w:rsid w:val="00AC2A56"/>
    <w:rsid w:val="00AC3450"/>
    <w:rsid w:val="00AC3EA2"/>
    <w:rsid w:val="00AC531D"/>
    <w:rsid w:val="00AC5A27"/>
    <w:rsid w:val="00AC5B59"/>
    <w:rsid w:val="00AC6D49"/>
    <w:rsid w:val="00AC750D"/>
    <w:rsid w:val="00AC7D0B"/>
    <w:rsid w:val="00AD055E"/>
    <w:rsid w:val="00AD0ACC"/>
    <w:rsid w:val="00AD103C"/>
    <w:rsid w:val="00AD13C6"/>
    <w:rsid w:val="00AD2627"/>
    <w:rsid w:val="00AD26F8"/>
    <w:rsid w:val="00AD291E"/>
    <w:rsid w:val="00AD2D9B"/>
    <w:rsid w:val="00AD4330"/>
    <w:rsid w:val="00AD47A7"/>
    <w:rsid w:val="00AD66B8"/>
    <w:rsid w:val="00AD6D30"/>
    <w:rsid w:val="00AD7431"/>
    <w:rsid w:val="00AE022A"/>
    <w:rsid w:val="00AE0DDD"/>
    <w:rsid w:val="00AE294D"/>
    <w:rsid w:val="00AE29CD"/>
    <w:rsid w:val="00AE2B08"/>
    <w:rsid w:val="00AE3AB0"/>
    <w:rsid w:val="00AE4759"/>
    <w:rsid w:val="00AE49B9"/>
    <w:rsid w:val="00AE505C"/>
    <w:rsid w:val="00AE5491"/>
    <w:rsid w:val="00AE5807"/>
    <w:rsid w:val="00AE5A39"/>
    <w:rsid w:val="00AE5A91"/>
    <w:rsid w:val="00AE69A4"/>
    <w:rsid w:val="00AE6F9C"/>
    <w:rsid w:val="00AE725A"/>
    <w:rsid w:val="00AF01FA"/>
    <w:rsid w:val="00AF0AC8"/>
    <w:rsid w:val="00AF0CBF"/>
    <w:rsid w:val="00AF1301"/>
    <w:rsid w:val="00AF1ACE"/>
    <w:rsid w:val="00AF1CF6"/>
    <w:rsid w:val="00AF257F"/>
    <w:rsid w:val="00AF33CF"/>
    <w:rsid w:val="00AF35A9"/>
    <w:rsid w:val="00AF3DF4"/>
    <w:rsid w:val="00AF40E5"/>
    <w:rsid w:val="00AF4669"/>
    <w:rsid w:val="00AF4A98"/>
    <w:rsid w:val="00AF4D50"/>
    <w:rsid w:val="00AF52C0"/>
    <w:rsid w:val="00AF55F1"/>
    <w:rsid w:val="00AF571E"/>
    <w:rsid w:val="00AF5936"/>
    <w:rsid w:val="00AF5C40"/>
    <w:rsid w:val="00AF6179"/>
    <w:rsid w:val="00AF62BF"/>
    <w:rsid w:val="00B00ED8"/>
    <w:rsid w:val="00B01483"/>
    <w:rsid w:val="00B022DC"/>
    <w:rsid w:val="00B022E7"/>
    <w:rsid w:val="00B031A5"/>
    <w:rsid w:val="00B0392D"/>
    <w:rsid w:val="00B054C4"/>
    <w:rsid w:val="00B05AF6"/>
    <w:rsid w:val="00B063CA"/>
    <w:rsid w:val="00B06603"/>
    <w:rsid w:val="00B06DC3"/>
    <w:rsid w:val="00B075C1"/>
    <w:rsid w:val="00B1009E"/>
    <w:rsid w:val="00B10DFB"/>
    <w:rsid w:val="00B11195"/>
    <w:rsid w:val="00B122C3"/>
    <w:rsid w:val="00B1295A"/>
    <w:rsid w:val="00B12A6A"/>
    <w:rsid w:val="00B12EC7"/>
    <w:rsid w:val="00B13994"/>
    <w:rsid w:val="00B14153"/>
    <w:rsid w:val="00B14768"/>
    <w:rsid w:val="00B15556"/>
    <w:rsid w:val="00B15984"/>
    <w:rsid w:val="00B15B56"/>
    <w:rsid w:val="00B16558"/>
    <w:rsid w:val="00B17054"/>
    <w:rsid w:val="00B17241"/>
    <w:rsid w:val="00B1731C"/>
    <w:rsid w:val="00B1759B"/>
    <w:rsid w:val="00B17BCE"/>
    <w:rsid w:val="00B17C1F"/>
    <w:rsid w:val="00B17FF2"/>
    <w:rsid w:val="00B20A45"/>
    <w:rsid w:val="00B20AD0"/>
    <w:rsid w:val="00B20F78"/>
    <w:rsid w:val="00B21466"/>
    <w:rsid w:val="00B2192C"/>
    <w:rsid w:val="00B22BA5"/>
    <w:rsid w:val="00B22C5C"/>
    <w:rsid w:val="00B23099"/>
    <w:rsid w:val="00B233D1"/>
    <w:rsid w:val="00B23685"/>
    <w:rsid w:val="00B23F11"/>
    <w:rsid w:val="00B23F31"/>
    <w:rsid w:val="00B243FE"/>
    <w:rsid w:val="00B2481D"/>
    <w:rsid w:val="00B24F30"/>
    <w:rsid w:val="00B25032"/>
    <w:rsid w:val="00B25371"/>
    <w:rsid w:val="00B27226"/>
    <w:rsid w:val="00B2728F"/>
    <w:rsid w:val="00B279D4"/>
    <w:rsid w:val="00B303A9"/>
    <w:rsid w:val="00B30585"/>
    <w:rsid w:val="00B31498"/>
    <w:rsid w:val="00B3174E"/>
    <w:rsid w:val="00B31ABF"/>
    <w:rsid w:val="00B31CDC"/>
    <w:rsid w:val="00B31D19"/>
    <w:rsid w:val="00B33BE3"/>
    <w:rsid w:val="00B343E2"/>
    <w:rsid w:val="00B34F62"/>
    <w:rsid w:val="00B353E7"/>
    <w:rsid w:val="00B356BB"/>
    <w:rsid w:val="00B35D26"/>
    <w:rsid w:val="00B3673B"/>
    <w:rsid w:val="00B36FCB"/>
    <w:rsid w:val="00B36FDE"/>
    <w:rsid w:val="00B3756A"/>
    <w:rsid w:val="00B40BB8"/>
    <w:rsid w:val="00B40C18"/>
    <w:rsid w:val="00B40F0A"/>
    <w:rsid w:val="00B40F4E"/>
    <w:rsid w:val="00B419E7"/>
    <w:rsid w:val="00B42BBC"/>
    <w:rsid w:val="00B42D16"/>
    <w:rsid w:val="00B42F1F"/>
    <w:rsid w:val="00B431C4"/>
    <w:rsid w:val="00B4388A"/>
    <w:rsid w:val="00B44116"/>
    <w:rsid w:val="00B44D88"/>
    <w:rsid w:val="00B45851"/>
    <w:rsid w:val="00B45FF4"/>
    <w:rsid w:val="00B4680A"/>
    <w:rsid w:val="00B46AC6"/>
    <w:rsid w:val="00B47375"/>
    <w:rsid w:val="00B5071E"/>
    <w:rsid w:val="00B509A2"/>
    <w:rsid w:val="00B50BB5"/>
    <w:rsid w:val="00B50FDC"/>
    <w:rsid w:val="00B5202B"/>
    <w:rsid w:val="00B52673"/>
    <w:rsid w:val="00B53B5D"/>
    <w:rsid w:val="00B5403C"/>
    <w:rsid w:val="00B5438D"/>
    <w:rsid w:val="00B548CB"/>
    <w:rsid w:val="00B54EA8"/>
    <w:rsid w:val="00B55120"/>
    <w:rsid w:val="00B5533E"/>
    <w:rsid w:val="00B5545A"/>
    <w:rsid w:val="00B55D13"/>
    <w:rsid w:val="00B56522"/>
    <w:rsid w:val="00B57791"/>
    <w:rsid w:val="00B6002F"/>
    <w:rsid w:val="00B6029C"/>
    <w:rsid w:val="00B6055E"/>
    <w:rsid w:val="00B608B7"/>
    <w:rsid w:val="00B61000"/>
    <w:rsid w:val="00B615A4"/>
    <w:rsid w:val="00B62557"/>
    <w:rsid w:val="00B6275D"/>
    <w:rsid w:val="00B6317D"/>
    <w:rsid w:val="00B637A2"/>
    <w:rsid w:val="00B63963"/>
    <w:rsid w:val="00B64564"/>
    <w:rsid w:val="00B646A0"/>
    <w:rsid w:val="00B6510A"/>
    <w:rsid w:val="00B661EB"/>
    <w:rsid w:val="00B667CF"/>
    <w:rsid w:val="00B67325"/>
    <w:rsid w:val="00B7096F"/>
    <w:rsid w:val="00B70D84"/>
    <w:rsid w:val="00B71788"/>
    <w:rsid w:val="00B719DB"/>
    <w:rsid w:val="00B72278"/>
    <w:rsid w:val="00B725DC"/>
    <w:rsid w:val="00B72A08"/>
    <w:rsid w:val="00B72D93"/>
    <w:rsid w:val="00B73098"/>
    <w:rsid w:val="00B734C7"/>
    <w:rsid w:val="00B73690"/>
    <w:rsid w:val="00B7485F"/>
    <w:rsid w:val="00B762BF"/>
    <w:rsid w:val="00B76ABD"/>
    <w:rsid w:val="00B76CFF"/>
    <w:rsid w:val="00B7723A"/>
    <w:rsid w:val="00B7723F"/>
    <w:rsid w:val="00B804C3"/>
    <w:rsid w:val="00B80534"/>
    <w:rsid w:val="00B806B2"/>
    <w:rsid w:val="00B808C9"/>
    <w:rsid w:val="00B80FA9"/>
    <w:rsid w:val="00B8128A"/>
    <w:rsid w:val="00B818C6"/>
    <w:rsid w:val="00B8230B"/>
    <w:rsid w:val="00B829B8"/>
    <w:rsid w:val="00B82DBB"/>
    <w:rsid w:val="00B8341B"/>
    <w:rsid w:val="00B83636"/>
    <w:rsid w:val="00B836EF"/>
    <w:rsid w:val="00B838A3"/>
    <w:rsid w:val="00B840DF"/>
    <w:rsid w:val="00B8433C"/>
    <w:rsid w:val="00B84818"/>
    <w:rsid w:val="00B84D78"/>
    <w:rsid w:val="00B8598D"/>
    <w:rsid w:val="00B85AE5"/>
    <w:rsid w:val="00B85CFE"/>
    <w:rsid w:val="00B87491"/>
    <w:rsid w:val="00B87582"/>
    <w:rsid w:val="00B87BD4"/>
    <w:rsid w:val="00B909FA"/>
    <w:rsid w:val="00B9120D"/>
    <w:rsid w:val="00B91391"/>
    <w:rsid w:val="00B914AA"/>
    <w:rsid w:val="00B92154"/>
    <w:rsid w:val="00B92375"/>
    <w:rsid w:val="00B92D6D"/>
    <w:rsid w:val="00B93303"/>
    <w:rsid w:val="00B9356B"/>
    <w:rsid w:val="00B939E2"/>
    <w:rsid w:val="00B93B68"/>
    <w:rsid w:val="00B93FFF"/>
    <w:rsid w:val="00B94D1A"/>
    <w:rsid w:val="00B95DC8"/>
    <w:rsid w:val="00B95DF6"/>
    <w:rsid w:val="00B96698"/>
    <w:rsid w:val="00B96E9F"/>
    <w:rsid w:val="00BA050A"/>
    <w:rsid w:val="00BA12E8"/>
    <w:rsid w:val="00BA1401"/>
    <w:rsid w:val="00BA29E9"/>
    <w:rsid w:val="00BA33F0"/>
    <w:rsid w:val="00BA3D76"/>
    <w:rsid w:val="00BA3FCD"/>
    <w:rsid w:val="00BA4EE8"/>
    <w:rsid w:val="00BA50D9"/>
    <w:rsid w:val="00BA5994"/>
    <w:rsid w:val="00BA5B65"/>
    <w:rsid w:val="00BA5CDA"/>
    <w:rsid w:val="00BA707B"/>
    <w:rsid w:val="00BA70BA"/>
    <w:rsid w:val="00BA7142"/>
    <w:rsid w:val="00BB006B"/>
    <w:rsid w:val="00BB1C6A"/>
    <w:rsid w:val="00BB2025"/>
    <w:rsid w:val="00BB237C"/>
    <w:rsid w:val="00BB25D6"/>
    <w:rsid w:val="00BB2EF9"/>
    <w:rsid w:val="00BB410E"/>
    <w:rsid w:val="00BB41A3"/>
    <w:rsid w:val="00BB42BB"/>
    <w:rsid w:val="00BB5884"/>
    <w:rsid w:val="00BB5AB2"/>
    <w:rsid w:val="00BB6FB0"/>
    <w:rsid w:val="00BB75D4"/>
    <w:rsid w:val="00BB7ECF"/>
    <w:rsid w:val="00BC03B4"/>
    <w:rsid w:val="00BC0B59"/>
    <w:rsid w:val="00BC214D"/>
    <w:rsid w:val="00BC2201"/>
    <w:rsid w:val="00BC2CF0"/>
    <w:rsid w:val="00BC32DC"/>
    <w:rsid w:val="00BC331B"/>
    <w:rsid w:val="00BC35B6"/>
    <w:rsid w:val="00BC39AD"/>
    <w:rsid w:val="00BC40F9"/>
    <w:rsid w:val="00BC498F"/>
    <w:rsid w:val="00BC5325"/>
    <w:rsid w:val="00BC5765"/>
    <w:rsid w:val="00BC579D"/>
    <w:rsid w:val="00BC61B1"/>
    <w:rsid w:val="00BC6B1D"/>
    <w:rsid w:val="00BC700B"/>
    <w:rsid w:val="00BC7419"/>
    <w:rsid w:val="00BC7877"/>
    <w:rsid w:val="00BC7EB9"/>
    <w:rsid w:val="00BC7F91"/>
    <w:rsid w:val="00BD05D8"/>
    <w:rsid w:val="00BD1581"/>
    <w:rsid w:val="00BD1B51"/>
    <w:rsid w:val="00BD2085"/>
    <w:rsid w:val="00BD2149"/>
    <w:rsid w:val="00BD28E7"/>
    <w:rsid w:val="00BD28F4"/>
    <w:rsid w:val="00BD2EC9"/>
    <w:rsid w:val="00BD313F"/>
    <w:rsid w:val="00BD3C9C"/>
    <w:rsid w:val="00BD3CEA"/>
    <w:rsid w:val="00BD3CF5"/>
    <w:rsid w:val="00BD4596"/>
    <w:rsid w:val="00BD6A9D"/>
    <w:rsid w:val="00BD6D24"/>
    <w:rsid w:val="00BD6EFA"/>
    <w:rsid w:val="00BD7EEF"/>
    <w:rsid w:val="00BE05B5"/>
    <w:rsid w:val="00BE05E1"/>
    <w:rsid w:val="00BE11C1"/>
    <w:rsid w:val="00BE1405"/>
    <w:rsid w:val="00BE17DE"/>
    <w:rsid w:val="00BE1CD3"/>
    <w:rsid w:val="00BE2101"/>
    <w:rsid w:val="00BE2839"/>
    <w:rsid w:val="00BE30D8"/>
    <w:rsid w:val="00BE312D"/>
    <w:rsid w:val="00BE4204"/>
    <w:rsid w:val="00BE4E8C"/>
    <w:rsid w:val="00BE568A"/>
    <w:rsid w:val="00BE5E27"/>
    <w:rsid w:val="00BE5ECF"/>
    <w:rsid w:val="00BE6865"/>
    <w:rsid w:val="00BF07B5"/>
    <w:rsid w:val="00BF0F4F"/>
    <w:rsid w:val="00BF115D"/>
    <w:rsid w:val="00BF1C20"/>
    <w:rsid w:val="00BF1D4D"/>
    <w:rsid w:val="00BF37CE"/>
    <w:rsid w:val="00BF3A26"/>
    <w:rsid w:val="00BF3B38"/>
    <w:rsid w:val="00BF3D30"/>
    <w:rsid w:val="00BF4759"/>
    <w:rsid w:val="00BF4AC5"/>
    <w:rsid w:val="00BF4C39"/>
    <w:rsid w:val="00BF577B"/>
    <w:rsid w:val="00BF68F9"/>
    <w:rsid w:val="00BF6B70"/>
    <w:rsid w:val="00BF73C3"/>
    <w:rsid w:val="00BF7D52"/>
    <w:rsid w:val="00BF7F51"/>
    <w:rsid w:val="00C01C7C"/>
    <w:rsid w:val="00C01E14"/>
    <w:rsid w:val="00C021CB"/>
    <w:rsid w:val="00C028F8"/>
    <w:rsid w:val="00C02B08"/>
    <w:rsid w:val="00C02DC5"/>
    <w:rsid w:val="00C03013"/>
    <w:rsid w:val="00C03BFD"/>
    <w:rsid w:val="00C04098"/>
    <w:rsid w:val="00C04229"/>
    <w:rsid w:val="00C04A33"/>
    <w:rsid w:val="00C0585D"/>
    <w:rsid w:val="00C060A4"/>
    <w:rsid w:val="00C064E6"/>
    <w:rsid w:val="00C0689C"/>
    <w:rsid w:val="00C06F3C"/>
    <w:rsid w:val="00C07691"/>
    <w:rsid w:val="00C07CCC"/>
    <w:rsid w:val="00C07F32"/>
    <w:rsid w:val="00C103A8"/>
    <w:rsid w:val="00C10578"/>
    <w:rsid w:val="00C10A76"/>
    <w:rsid w:val="00C10F74"/>
    <w:rsid w:val="00C11408"/>
    <w:rsid w:val="00C117D5"/>
    <w:rsid w:val="00C11AFB"/>
    <w:rsid w:val="00C12516"/>
    <w:rsid w:val="00C12AE8"/>
    <w:rsid w:val="00C135BC"/>
    <w:rsid w:val="00C13F3A"/>
    <w:rsid w:val="00C1424F"/>
    <w:rsid w:val="00C147AC"/>
    <w:rsid w:val="00C15517"/>
    <w:rsid w:val="00C155D4"/>
    <w:rsid w:val="00C15C72"/>
    <w:rsid w:val="00C15C95"/>
    <w:rsid w:val="00C15F74"/>
    <w:rsid w:val="00C15F7B"/>
    <w:rsid w:val="00C1633F"/>
    <w:rsid w:val="00C164B4"/>
    <w:rsid w:val="00C20136"/>
    <w:rsid w:val="00C21185"/>
    <w:rsid w:val="00C21FF1"/>
    <w:rsid w:val="00C22230"/>
    <w:rsid w:val="00C22CB3"/>
    <w:rsid w:val="00C24CFA"/>
    <w:rsid w:val="00C25450"/>
    <w:rsid w:val="00C25891"/>
    <w:rsid w:val="00C2596A"/>
    <w:rsid w:val="00C264C0"/>
    <w:rsid w:val="00C2665F"/>
    <w:rsid w:val="00C268BD"/>
    <w:rsid w:val="00C27537"/>
    <w:rsid w:val="00C30674"/>
    <w:rsid w:val="00C307C2"/>
    <w:rsid w:val="00C3178D"/>
    <w:rsid w:val="00C32326"/>
    <w:rsid w:val="00C328FE"/>
    <w:rsid w:val="00C33507"/>
    <w:rsid w:val="00C33F57"/>
    <w:rsid w:val="00C34A5B"/>
    <w:rsid w:val="00C35148"/>
    <w:rsid w:val="00C3555E"/>
    <w:rsid w:val="00C3790B"/>
    <w:rsid w:val="00C37D3E"/>
    <w:rsid w:val="00C40124"/>
    <w:rsid w:val="00C40F3D"/>
    <w:rsid w:val="00C414D6"/>
    <w:rsid w:val="00C426EE"/>
    <w:rsid w:val="00C42D82"/>
    <w:rsid w:val="00C43394"/>
    <w:rsid w:val="00C43E89"/>
    <w:rsid w:val="00C4409D"/>
    <w:rsid w:val="00C4414F"/>
    <w:rsid w:val="00C44A80"/>
    <w:rsid w:val="00C44C8A"/>
    <w:rsid w:val="00C44E72"/>
    <w:rsid w:val="00C45895"/>
    <w:rsid w:val="00C45A06"/>
    <w:rsid w:val="00C45E43"/>
    <w:rsid w:val="00C464CA"/>
    <w:rsid w:val="00C4670A"/>
    <w:rsid w:val="00C4678E"/>
    <w:rsid w:val="00C46859"/>
    <w:rsid w:val="00C473D9"/>
    <w:rsid w:val="00C4741B"/>
    <w:rsid w:val="00C47475"/>
    <w:rsid w:val="00C474BE"/>
    <w:rsid w:val="00C479FA"/>
    <w:rsid w:val="00C47E5B"/>
    <w:rsid w:val="00C5104D"/>
    <w:rsid w:val="00C52385"/>
    <w:rsid w:val="00C5254C"/>
    <w:rsid w:val="00C54240"/>
    <w:rsid w:val="00C5485E"/>
    <w:rsid w:val="00C54CD3"/>
    <w:rsid w:val="00C5503C"/>
    <w:rsid w:val="00C55846"/>
    <w:rsid w:val="00C559EB"/>
    <w:rsid w:val="00C561A7"/>
    <w:rsid w:val="00C5627A"/>
    <w:rsid w:val="00C56D95"/>
    <w:rsid w:val="00C57087"/>
    <w:rsid w:val="00C60729"/>
    <w:rsid w:val="00C60F94"/>
    <w:rsid w:val="00C618A8"/>
    <w:rsid w:val="00C61A2A"/>
    <w:rsid w:val="00C61E4B"/>
    <w:rsid w:val="00C62661"/>
    <w:rsid w:val="00C629A0"/>
    <w:rsid w:val="00C62B4E"/>
    <w:rsid w:val="00C633AE"/>
    <w:rsid w:val="00C6343C"/>
    <w:rsid w:val="00C64942"/>
    <w:rsid w:val="00C64BFF"/>
    <w:rsid w:val="00C650E5"/>
    <w:rsid w:val="00C65986"/>
    <w:rsid w:val="00C65E17"/>
    <w:rsid w:val="00C66458"/>
    <w:rsid w:val="00C67B74"/>
    <w:rsid w:val="00C701E9"/>
    <w:rsid w:val="00C704E9"/>
    <w:rsid w:val="00C70636"/>
    <w:rsid w:val="00C7063F"/>
    <w:rsid w:val="00C70F4C"/>
    <w:rsid w:val="00C71BC2"/>
    <w:rsid w:val="00C71C8A"/>
    <w:rsid w:val="00C720BC"/>
    <w:rsid w:val="00C72762"/>
    <w:rsid w:val="00C73604"/>
    <w:rsid w:val="00C73DA7"/>
    <w:rsid w:val="00C75A96"/>
    <w:rsid w:val="00C75E18"/>
    <w:rsid w:val="00C763C9"/>
    <w:rsid w:val="00C7665D"/>
    <w:rsid w:val="00C769F3"/>
    <w:rsid w:val="00C7787C"/>
    <w:rsid w:val="00C77904"/>
    <w:rsid w:val="00C77B1C"/>
    <w:rsid w:val="00C77C93"/>
    <w:rsid w:val="00C77DE1"/>
    <w:rsid w:val="00C80057"/>
    <w:rsid w:val="00C800CA"/>
    <w:rsid w:val="00C8076D"/>
    <w:rsid w:val="00C808D7"/>
    <w:rsid w:val="00C80903"/>
    <w:rsid w:val="00C80BC6"/>
    <w:rsid w:val="00C8106B"/>
    <w:rsid w:val="00C8107D"/>
    <w:rsid w:val="00C81138"/>
    <w:rsid w:val="00C81E0C"/>
    <w:rsid w:val="00C821C4"/>
    <w:rsid w:val="00C82232"/>
    <w:rsid w:val="00C82718"/>
    <w:rsid w:val="00C82913"/>
    <w:rsid w:val="00C82D0E"/>
    <w:rsid w:val="00C833F6"/>
    <w:rsid w:val="00C83800"/>
    <w:rsid w:val="00C8402C"/>
    <w:rsid w:val="00C84E45"/>
    <w:rsid w:val="00C856C2"/>
    <w:rsid w:val="00C85A75"/>
    <w:rsid w:val="00C86288"/>
    <w:rsid w:val="00C8663D"/>
    <w:rsid w:val="00C86F43"/>
    <w:rsid w:val="00C87978"/>
    <w:rsid w:val="00C87FBA"/>
    <w:rsid w:val="00C9054D"/>
    <w:rsid w:val="00C92BBF"/>
    <w:rsid w:val="00C92D20"/>
    <w:rsid w:val="00C933AD"/>
    <w:rsid w:val="00C934F0"/>
    <w:rsid w:val="00C9557C"/>
    <w:rsid w:val="00C959FF"/>
    <w:rsid w:val="00C95BAD"/>
    <w:rsid w:val="00C96E8F"/>
    <w:rsid w:val="00C972B1"/>
    <w:rsid w:val="00C979A8"/>
    <w:rsid w:val="00CA0121"/>
    <w:rsid w:val="00CA2CCE"/>
    <w:rsid w:val="00CA34DD"/>
    <w:rsid w:val="00CA39D7"/>
    <w:rsid w:val="00CA3EAD"/>
    <w:rsid w:val="00CA3FD1"/>
    <w:rsid w:val="00CA43FD"/>
    <w:rsid w:val="00CA44C2"/>
    <w:rsid w:val="00CA5040"/>
    <w:rsid w:val="00CA7196"/>
    <w:rsid w:val="00CA7303"/>
    <w:rsid w:val="00CA7EF8"/>
    <w:rsid w:val="00CB04DD"/>
    <w:rsid w:val="00CB0892"/>
    <w:rsid w:val="00CB0C16"/>
    <w:rsid w:val="00CB107F"/>
    <w:rsid w:val="00CB16DD"/>
    <w:rsid w:val="00CB1D7E"/>
    <w:rsid w:val="00CB2127"/>
    <w:rsid w:val="00CB285C"/>
    <w:rsid w:val="00CB2F77"/>
    <w:rsid w:val="00CB3156"/>
    <w:rsid w:val="00CB3644"/>
    <w:rsid w:val="00CB3CFF"/>
    <w:rsid w:val="00CB5438"/>
    <w:rsid w:val="00CB543F"/>
    <w:rsid w:val="00CB574A"/>
    <w:rsid w:val="00CB5B04"/>
    <w:rsid w:val="00CB5DF8"/>
    <w:rsid w:val="00CB62A5"/>
    <w:rsid w:val="00CB7267"/>
    <w:rsid w:val="00CC0DF7"/>
    <w:rsid w:val="00CC1409"/>
    <w:rsid w:val="00CC1DFC"/>
    <w:rsid w:val="00CC1F22"/>
    <w:rsid w:val="00CC2253"/>
    <w:rsid w:val="00CC2649"/>
    <w:rsid w:val="00CC43E6"/>
    <w:rsid w:val="00CC4421"/>
    <w:rsid w:val="00CC489B"/>
    <w:rsid w:val="00CC4EE4"/>
    <w:rsid w:val="00CC50C5"/>
    <w:rsid w:val="00CC52BF"/>
    <w:rsid w:val="00CC5983"/>
    <w:rsid w:val="00CC5EB5"/>
    <w:rsid w:val="00CC674A"/>
    <w:rsid w:val="00CC7B40"/>
    <w:rsid w:val="00CD004C"/>
    <w:rsid w:val="00CD00A3"/>
    <w:rsid w:val="00CD01F9"/>
    <w:rsid w:val="00CD101C"/>
    <w:rsid w:val="00CD1850"/>
    <w:rsid w:val="00CD1BE9"/>
    <w:rsid w:val="00CD281D"/>
    <w:rsid w:val="00CD2937"/>
    <w:rsid w:val="00CD2B99"/>
    <w:rsid w:val="00CD2BCD"/>
    <w:rsid w:val="00CD2EF6"/>
    <w:rsid w:val="00CD358A"/>
    <w:rsid w:val="00CD3911"/>
    <w:rsid w:val="00CD3A4C"/>
    <w:rsid w:val="00CD3A8A"/>
    <w:rsid w:val="00CD3D5C"/>
    <w:rsid w:val="00CD440E"/>
    <w:rsid w:val="00CD45B6"/>
    <w:rsid w:val="00CD4C85"/>
    <w:rsid w:val="00CD4CC1"/>
    <w:rsid w:val="00CD5FC0"/>
    <w:rsid w:val="00CD6EB5"/>
    <w:rsid w:val="00CD7DEB"/>
    <w:rsid w:val="00CE10E9"/>
    <w:rsid w:val="00CE132F"/>
    <w:rsid w:val="00CE1368"/>
    <w:rsid w:val="00CE240E"/>
    <w:rsid w:val="00CE2910"/>
    <w:rsid w:val="00CE4D57"/>
    <w:rsid w:val="00CE4EEC"/>
    <w:rsid w:val="00CE5393"/>
    <w:rsid w:val="00CE55AD"/>
    <w:rsid w:val="00CE6AFA"/>
    <w:rsid w:val="00CE75B8"/>
    <w:rsid w:val="00CE7FEB"/>
    <w:rsid w:val="00CF044D"/>
    <w:rsid w:val="00CF0646"/>
    <w:rsid w:val="00CF0BD7"/>
    <w:rsid w:val="00CF1B5B"/>
    <w:rsid w:val="00CF2B95"/>
    <w:rsid w:val="00CF2E5F"/>
    <w:rsid w:val="00CF308E"/>
    <w:rsid w:val="00CF3290"/>
    <w:rsid w:val="00CF36BE"/>
    <w:rsid w:val="00CF3B18"/>
    <w:rsid w:val="00CF3E27"/>
    <w:rsid w:val="00CF453E"/>
    <w:rsid w:val="00CF483E"/>
    <w:rsid w:val="00CF4BA8"/>
    <w:rsid w:val="00CF52E6"/>
    <w:rsid w:val="00CF6000"/>
    <w:rsid w:val="00CF6D89"/>
    <w:rsid w:val="00CF70CF"/>
    <w:rsid w:val="00CF74F6"/>
    <w:rsid w:val="00CF7BC7"/>
    <w:rsid w:val="00D003F3"/>
    <w:rsid w:val="00D012A8"/>
    <w:rsid w:val="00D0153D"/>
    <w:rsid w:val="00D01949"/>
    <w:rsid w:val="00D02F22"/>
    <w:rsid w:val="00D030EF"/>
    <w:rsid w:val="00D0364F"/>
    <w:rsid w:val="00D03C47"/>
    <w:rsid w:val="00D03E7C"/>
    <w:rsid w:val="00D040AC"/>
    <w:rsid w:val="00D04640"/>
    <w:rsid w:val="00D04693"/>
    <w:rsid w:val="00D05310"/>
    <w:rsid w:val="00D054FE"/>
    <w:rsid w:val="00D06834"/>
    <w:rsid w:val="00D06979"/>
    <w:rsid w:val="00D0707A"/>
    <w:rsid w:val="00D0776C"/>
    <w:rsid w:val="00D07EEE"/>
    <w:rsid w:val="00D07F4C"/>
    <w:rsid w:val="00D07F60"/>
    <w:rsid w:val="00D10246"/>
    <w:rsid w:val="00D103B3"/>
    <w:rsid w:val="00D10478"/>
    <w:rsid w:val="00D10968"/>
    <w:rsid w:val="00D111CD"/>
    <w:rsid w:val="00D11439"/>
    <w:rsid w:val="00D1213B"/>
    <w:rsid w:val="00D126FD"/>
    <w:rsid w:val="00D128E6"/>
    <w:rsid w:val="00D13C52"/>
    <w:rsid w:val="00D13DA8"/>
    <w:rsid w:val="00D13E0B"/>
    <w:rsid w:val="00D145D3"/>
    <w:rsid w:val="00D14D5B"/>
    <w:rsid w:val="00D154B7"/>
    <w:rsid w:val="00D161BD"/>
    <w:rsid w:val="00D1628F"/>
    <w:rsid w:val="00D16A75"/>
    <w:rsid w:val="00D16BBC"/>
    <w:rsid w:val="00D16D0E"/>
    <w:rsid w:val="00D16D8A"/>
    <w:rsid w:val="00D17BD1"/>
    <w:rsid w:val="00D20424"/>
    <w:rsid w:val="00D206D4"/>
    <w:rsid w:val="00D20B42"/>
    <w:rsid w:val="00D20D29"/>
    <w:rsid w:val="00D20F6F"/>
    <w:rsid w:val="00D210B3"/>
    <w:rsid w:val="00D21DA3"/>
    <w:rsid w:val="00D223B5"/>
    <w:rsid w:val="00D229B7"/>
    <w:rsid w:val="00D23AF6"/>
    <w:rsid w:val="00D2411D"/>
    <w:rsid w:val="00D24ADB"/>
    <w:rsid w:val="00D25966"/>
    <w:rsid w:val="00D259E1"/>
    <w:rsid w:val="00D27546"/>
    <w:rsid w:val="00D277ED"/>
    <w:rsid w:val="00D279C5"/>
    <w:rsid w:val="00D27D75"/>
    <w:rsid w:val="00D308ED"/>
    <w:rsid w:val="00D30A22"/>
    <w:rsid w:val="00D31350"/>
    <w:rsid w:val="00D31EE4"/>
    <w:rsid w:val="00D3267E"/>
    <w:rsid w:val="00D32B52"/>
    <w:rsid w:val="00D334B1"/>
    <w:rsid w:val="00D342C3"/>
    <w:rsid w:val="00D346FA"/>
    <w:rsid w:val="00D34CBD"/>
    <w:rsid w:val="00D3527B"/>
    <w:rsid w:val="00D36D86"/>
    <w:rsid w:val="00D37449"/>
    <w:rsid w:val="00D375E8"/>
    <w:rsid w:val="00D37DA0"/>
    <w:rsid w:val="00D4005D"/>
    <w:rsid w:val="00D405AD"/>
    <w:rsid w:val="00D41CAD"/>
    <w:rsid w:val="00D428AA"/>
    <w:rsid w:val="00D42F5A"/>
    <w:rsid w:val="00D432DC"/>
    <w:rsid w:val="00D4381D"/>
    <w:rsid w:val="00D4467A"/>
    <w:rsid w:val="00D44A58"/>
    <w:rsid w:val="00D44AC0"/>
    <w:rsid w:val="00D45F1A"/>
    <w:rsid w:val="00D4662B"/>
    <w:rsid w:val="00D47A2E"/>
    <w:rsid w:val="00D507E3"/>
    <w:rsid w:val="00D50A34"/>
    <w:rsid w:val="00D50E77"/>
    <w:rsid w:val="00D51D01"/>
    <w:rsid w:val="00D52EFE"/>
    <w:rsid w:val="00D533BE"/>
    <w:rsid w:val="00D5386B"/>
    <w:rsid w:val="00D53EFA"/>
    <w:rsid w:val="00D55ECE"/>
    <w:rsid w:val="00D55F24"/>
    <w:rsid w:val="00D55FDE"/>
    <w:rsid w:val="00D56131"/>
    <w:rsid w:val="00D5652E"/>
    <w:rsid w:val="00D56668"/>
    <w:rsid w:val="00D56671"/>
    <w:rsid w:val="00D5669F"/>
    <w:rsid w:val="00D5682D"/>
    <w:rsid w:val="00D56AA3"/>
    <w:rsid w:val="00D56CFD"/>
    <w:rsid w:val="00D5774B"/>
    <w:rsid w:val="00D611CF"/>
    <w:rsid w:val="00D62570"/>
    <w:rsid w:val="00D62686"/>
    <w:rsid w:val="00D634D5"/>
    <w:rsid w:val="00D63931"/>
    <w:rsid w:val="00D65077"/>
    <w:rsid w:val="00D656EB"/>
    <w:rsid w:val="00D65F59"/>
    <w:rsid w:val="00D66C8C"/>
    <w:rsid w:val="00D66F61"/>
    <w:rsid w:val="00D706B8"/>
    <w:rsid w:val="00D708FA"/>
    <w:rsid w:val="00D710FC"/>
    <w:rsid w:val="00D7116C"/>
    <w:rsid w:val="00D711F4"/>
    <w:rsid w:val="00D715B1"/>
    <w:rsid w:val="00D71DAC"/>
    <w:rsid w:val="00D71DD7"/>
    <w:rsid w:val="00D7213C"/>
    <w:rsid w:val="00D72245"/>
    <w:rsid w:val="00D72C8E"/>
    <w:rsid w:val="00D733EF"/>
    <w:rsid w:val="00D73514"/>
    <w:rsid w:val="00D73D6B"/>
    <w:rsid w:val="00D73DB8"/>
    <w:rsid w:val="00D74BCF"/>
    <w:rsid w:val="00D74C8F"/>
    <w:rsid w:val="00D7553D"/>
    <w:rsid w:val="00D767C4"/>
    <w:rsid w:val="00D77551"/>
    <w:rsid w:val="00D77D33"/>
    <w:rsid w:val="00D803D1"/>
    <w:rsid w:val="00D81BB9"/>
    <w:rsid w:val="00D83B0F"/>
    <w:rsid w:val="00D83DB1"/>
    <w:rsid w:val="00D840AD"/>
    <w:rsid w:val="00D8460D"/>
    <w:rsid w:val="00D8523C"/>
    <w:rsid w:val="00D85BD8"/>
    <w:rsid w:val="00D85D9E"/>
    <w:rsid w:val="00D867B5"/>
    <w:rsid w:val="00D87042"/>
    <w:rsid w:val="00D87B93"/>
    <w:rsid w:val="00D87EFA"/>
    <w:rsid w:val="00D90AD1"/>
    <w:rsid w:val="00D910C3"/>
    <w:rsid w:val="00D91B72"/>
    <w:rsid w:val="00D929D6"/>
    <w:rsid w:val="00D92D46"/>
    <w:rsid w:val="00D92EA0"/>
    <w:rsid w:val="00D9313E"/>
    <w:rsid w:val="00D93398"/>
    <w:rsid w:val="00D93B4A"/>
    <w:rsid w:val="00D93D4F"/>
    <w:rsid w:val="00D944A8"/>
    <w:rsid w:val="00D94636"/>
    <w:rsid w:val="00D94A7C"/>
    <w:rsid w:val="00D94C64"/>
    <w:rsid w:val="00D95896"/>
    <w:rsid w:val="00D96000"/>
    <w:rsid w:val="00D97668"/>
    <w:rsid w:val="00DA0080"/>
    <w:rsid w:val="00DA0D59"/>
    <w:rsid w:val="00DA10FF"/>
    <w:rsid w:val="00DA1A1B"/>
    <w:rsid w:val="00DA2840"/>
    <w:rsid w:val="00DA3B07"/>
    <w:rsid w:val="00DA3D53"/>
    <w:rsid w:val="00DA4CBC"/>
    <w:rsid w:val="00DA578C"/>
    <w:rsid w:val="00DA59EB"/>
    <w:rsid w:val="00DA6393"/>
    <w:rsid w:val="00DA71B4"/>
    <w:rsid w:val="00DA755A"/>
    <w:rsid w:val="00DB0F7E"/>
    <w:rsid w:val="00DB1920"/>
    <w:rsid w:val="00DB1E0C"/>
    <w:rsid w:val="00DB2763"/>
    <w:rsid w:val="00DB2983"/>
    <w:rsid w:val="00DB30AC"/>
    <w:rsid w:val="00DB362C"/>
    <w:rsid w:val="00DB38B8"/>
    <w:rsid w:val="00DB39B3"/>
    <w:rsid w:val="00DB3A87"/>
    <w:rsid w:val="00DB4EF9"/>
    <w:rsid w:val="00DB4FB6"/>
    <w:rsid w:val="00DB55A0"/>
    <w:rsid w:val="00DB6BBF"/>
    <w:rsid w:val="00DB7000"/>
    <w:rsid w:val="00DB7873"/>
    <w:rsid w:val="00DB787A"/>
    <w:rsid w:val="00DB7E44"/>
    <w:rsid w:val="00DC0D44"/>
    <w:rsid w:val="00DC1257"/>
    <w:rsid w:val="00DC1BD7"/>
    <w:rsid w:val="00DC38FB"/>
    <w:rsid w:val="00DC3DC0"/>
    <w:rsid w:val="00DC3F22"/>
    <w:rsid w:val="00DC47B9"/>
    <w:rsid w:val="00DC498F"/>
    <w:rsid w:val="00DC4CE3"/>
    <w:rsid w:val="00DC5433"/>
    <w:rsid w:val="00DC547C"/>
    <w:rsid w:val="00DC5839"/>
    <w:rsid w:val="00DC5B2B"/>
    <w:rsid w:val="00DC5B6D"/>
    <w:rsid w:val="00DC5D68"/>
    <w:rsid w:val="00DC7B91"/>
    <w:rsid w:val="00DD005C"/>
    <w:rsid w:val="00DD04B3"/>
    <w:rsid w:val="00DD09C5"/>
    <w:rsid w:val="00DD267D"/>
    <w:rsid w:val="00DD318D"/>
    <w:rsid w:val="00DD45F6"/>
    <w:rsid w:val="00DD5853"/>
    <w:rsid w:val="00DD5C04"/>
    <w:rsid w:val="00DD6818"/>
    <w:rsid w:val="00DD7BF1"/>
    <w:rsid w:val="00DE0439"/>
    <w:rsid w:val="00DE08D9"/>
    <w:rsid w:val="00DE08F2"/>
    <w:rsid w:val="00DE1334"/>
    <w:rsid w:val="00DE14D7"/>
    <w:rsid w:val="00DE167F"/>
    <w:rsid w:val="00DE2186"/>
    <w:rsid w:val="00DE272B"/>
    <w:rsid w:val="00DE3470"/>
    <w:rsid w:val="00DE3E98"/>
    <w:rsid w:val="00DE3F3E"/>
    <w:rsid w:val="00DE3F8E"/>
    <w:rsid w:val="00DE44E8"/>
    <w:rsid w:val="00DE4836"/>
    <w:rsid w:val="00DE563E"/>
    <w:rsid w:val="00DE605A"/>
    <w:rsid w:val="00DE62ED"/>
    <w:rsid w:val="00DE63D4"/>
    <w:rsid w:val="00DE74A5"/>
    <w:rsid w:val="00DE76A3"/>
    <w:rsid w:val="00DF0CE3"/>
    <w:rsid w:val="00DF1CB2"/>
    <w:rsid w:val="00DF249F"/>
    <w:rsid w:val="00DF2B09"/>
    <w:rsid w:val="00DF2C18"/>
    <w:rsid w:val="00DF2E12"/>
    <w:rsid w:val="00DF3186"/>
    <w:rsid w:val="00DF36D3"/>
    <w:rsid w:val="00DF40D0"/>
    <w:rsid w:val="00DF514A"/>
    <w:rsid w:val="00DF54D3"/>
    <w:rsid w:val="00DF5593"/>
    <w:rsid w:val="00DF6690"/>
    <w:rsid w:val="00DF6804"/>
    <w:rsid w:val="00E0053F"/>
    <w:rsid w:val="00E01D72"/>
    <w:rsid w:val="00E027DA"/>
    <w:rsid w:val="00E02EA5"/>
    <w:rsid w:val="00E0358D"/>
    <w:rsid w:val="00E035BA"/>
    <w:rsid w:val="00E037D6"/>
    <w:rsid w:val="00E040CD"/>
    <w:rsid w:val="00E04323"/>
    <w:rsid w:val="00E04F0F"/>
    <w:rsid w:val="00E052C0"/>
    <w:rsid w:val="00E058F7"/>
    <w:rsid w:val="00E05CBC"/>
    <w:rsid w:val="00E05FA9"/>
    <w:rsid w:val="00E06005"/>
    <w:rsid w:val="00E064B4"/>
    <w:rsid w:val="00E06DC8"/>
    <w:rsid w:val="00E06F34"/>
    <w:rsid w:val="00E070A2"/>
    <w:rsid w:val="00E07BC3"/>
    <w:rsid w:val="00E07D96"/>
    <w:rsid w:val="00E07F3B"/>
    <w:rsid w:val="00E10AA7"/>
    <w:rsid w:val="00E11166"/>
    <w:rsid w:val="00E11C34"/>
    <w:rsid w:val="00E1220C"/>
    <w:rsid w:val="00E12D09"/>
    <w:rsid w:val="00E13893"/>
    <w:rsid w:val="00E13FAE"/>
    <w:rsid w:val="00E144FB"/>
    <w:rsid w:val="00E14A26"/>
    <w:rsid w:val="00E14CDF"/>
    <w:rsid w:val="00E1634E"/>
    <w:rsid w:val="00E169CD"/>
    <w:rsid w:val="00E173FA"/>
    <w:rsid w:val="00E20163"/>
    <w:rsid w:val="00E20954"/>
    <w:rsid w:val="00E20D18"/>
    <w:rsid w:val="00E21AA4"/>
    <w:rsid w:val="00E22AC3"/>
    <w:rsid w:val="00E234C0"/>
    <w:rsid w:val="00E23B4F"/>
    <w:rsid w:val="00E23E3F"/>
    <w:rsid w:val="00E24E8A"/>
    <w:rsid w:val="00E2507A"/>
    <w:rsid w:val="00E258CF"/>
    <w:rsid w:val="00E25F82"/>
    <w:rsid w:val="00E2656A"/>
    <w:rsid w:val="00E30311"/>
    <w:rsid w:val="00E30B13"/>
    <w:rsid w:val="00E3135B"/>
    <w:rsid w:val="00E31383"/>
    <w:rsid w:val="00E31ADB"/>
    <w:rsid w:val="00E326BD"/>
    <w:rsid w:val="00E32981"/>
    <w:rsid w:val="00E33320"/>
    <w:rsid w:val="00E3377E"/>
    <w:rsid w:val="00E339D0"/>
    <w:rsid w:val="00E34FE0"/>
    <w:rsid w:val="00E35912"/>
    <w:rsid w:val="00E35994"/>
    <w:rsid w:val="00E36162"/>
    <w:rsid w:val="00E3625C"/>
    <w:rsid w:val="00E366C9"/>
    <w:rsid w:val="00E36AA3"/>
    <w:rsid w:val="00E37382"/>
    <w:rsid w:val="00E3798F"/>
    <w:rsid w:val="00E40747"/>
    <w:rsid w:val="00E40756"/>
    <w:rsid w:val="00E412D0"/>
    <w:rsid w:val="00E41F64"/>
    <w:rsid w:val="00E42A7D"/>
    <w:rsid w:val="00E42C20"/>
    <w:rsid w:val="00E42DE3"/>
    <w:rsid w:val="00E4363A"/>
    <w:rsid w:val="00E437B0"/>
    <w:rsid w:val="00E43B04"/>
    <w:rsid w:val="00E44233"/>
    <w:rsid w:val="00E443EE"/>
    <w:rsid w:val="00E45A87"/>
    <w:rsid w:val="00E45CD8"/>
    <w:rsid w:val="00E462FB"/>
    <w:rsid w:val="00E4632B"/>
    <w:rsid w:val="00E47C78"/>
    <w:rsid w:val="00E511C9"/>
    <w:rsid w:val="00E51CDF"/>
    <w:rsid w:val="00E52966"/>
    <w:rsid w:val="00E52BAD"/>
    <w:rsid w:val="00E5391D"/>
    <w:rsid w:val="00E541D9"/>
    <w:rsid w:val="00E543CE"/>
    <w:rsid w:val="00E54D19"/>
    <w:rsid w:val="00E54EED"/>
    <w:rsid w:val="00E5519C"/>
    <w:rsid w:val="00E55348"/>
    <w:rsid w:val="00E554FB"/>
    <w:rsid w:val="00E55A9C"/>
    <w:rsid w:val="00E55E25"/>
    <w:rsid w:val="00E56322"/>
    <w:rsid w:val="00E57CA3"/>
    <w:rsid w:val="00E60982"/>
    <w:rsid w:val="00E61255"/>
    <w:rsid w:val="00E61EA7"/>
    <w:rsid w:val="00E61FD2"/>
    <w:rsid w:val="00E62C62"/>
    <w:rsid w:val="00E6302B"/>
    <w:rsid w:val="00E63773"/>
    <w:rsid w:val="00E63C9B"/>
    <w:rsid w:val="00E654C1"/>
    <w:rsid w:val="00E65D97"/>
    <w:rsid w:val="00E66B62"/>
    <w:rsid w:val="00E67DC1"/>
    <w:rsid w:val="00E67F0F"/>
    <w:rsid w:val="00E72A5A"/>
    <w:rsid w:val="00E73354"/>
    <w:rsid w:val="00E73E96"/>
    <w:rsid w:val="00E74A54"/>
    <w:rsid w:val="00E74A9C"/>
    <w:rsid w:val="00E77C49"/>
    <w:rsid w:val="00E77D05"/>
    <w:rsid w:val="00E80DB4"/>
    <w:rsid w:val="00E80E4B"/>
    <w:rsid w:val="00E811E9"/>
    <w:rsid w:val="00E84D77"/>
    <w:rsid w:val="00E8646F"/>
    <w:rsid w:val="00E865CE"/>
    <w:rsid w:val="00E86E8E"/>
    <w:rsid w:val="00E8710C"/>
    <w:rsid w:val="00E87894"/>
    <w:rsid w:val="00E90FD0"/>
    <w:rsid w:val="00E917D2"/>
    <w:rsid w:val="00E9242D"/>
    <w:rsid w:val="00E928AF"/>
    <w:rsid w:val="00E929CE"/>
    <w:rsid w:val="00E92F1B"/>
    <w:rsid w:val="00E93D4B"/>
    <w:rsid w:val="00E93DA8"/>
    <w:rsid w:val="00E93DE2"/>
    <w:rsid w:val="00E947FF"/>
    <w:rsid w:val="00E95CD3"/>
    <w:rsid w:val="00E95F08"/>
    <w:rsid w:val="00E9612F"/>
    <w:rsid w:val="00E9625F"/>
    <w:rsid w:val="00E96E3E"/>
    <w:rsid w:val="00E9796B"/>
    <w:rsid w:val="00EA02D6"/>
    <w:rsid w:val="00EA0D45"/>
    <w:rsid w:val="00EA1BEE"/>
    <w:rsid w:val="00EA2AA0"/>
    <w:rsid w:val="00EA2C35"/>
    <w:rsid w:val="00EA4476"/>
    <w:rsid w:val="00EA5067"/>
    <w:rsid w:val="00EA50CB"/>
    <w:rsid w:val="00EA64EA"/>
    <w:rsid w:val="00EA6BF7"/>
    <w:rsid w:val="00EA765B"/>
    <w:rsid w:val="00EA796C"/>
    <w:rsid w:val="00EA79C6"/>
    <w:rsid w:val="00EA79FA"/>
    <w:rsid w:val="00EB0745"/>
    <w:rsid w:val="00EB0C2F"/>
    <w:rsid w:val="00EB0E7F"/>
    <w:rsid w:val="00EB10F3"/>
    <w:rsid w:val="00EB2611"/>
    <w:rsid w:val="00EB2705"/>
    <w:rsid w:val="00EB354C"/>
    <w:rsid w:val="00EB3724"/>
    <w:rsid w:val="00EB390D"/>
    <w:rsid w:val="00EB3943"/>
    <w:rsid w:val="00EB4767"/>
    <w:rsid w:val="00EB5255"/>
    <w:rsid w:val="00EB5C47"/>
    <w:rsid w:val="00EB697A"/>
    <w:rsid w:val="00EB79F1"/>
    <w:rsid w:val="00EC0199"/>
    <w:rsid w:val="00EC05DE"/>
    <w:rsid w:val="00EC12B5"/>
    <w:rsid w:val="00EC1AE0"/>
    <w:rsid w:val="00EC2D7D"/>
    <w:rsid w:val="00EC2EC6"/>
    <w:rsid w:val="00EC442D"/>
    <w:rsid w:val="00EC4B05"/>
    <w:rsid w:val="00EC4D2E"/>
    <w:rsid w:val="00EC5E2F"/>
    <w:rsid w:val="00EC6552"/>
    <w:rsid w:val="00EC693B"/>
    <w:rsid w:val="00EC6B88"/>
    <w:rsid w:val="00EC7953"/>
    <w:rsid w:val="00EC7963"/>
    <w:rsid w:val="00EC796F"/>
    <w:rsid w:val="00ED0639"/>
    <w:rsid w:val="00ED079E"/>
    <w:rsid w:val="00ED08C7"/>
    <w:rsid w:val="00ED0B41"/>
    <w:rsid w:val="00ED10F1"/>
    <w:rsid w:val="00ED117F"/>
    <w:rsid w:val="00ED1ADE"/>
    <w:rsid w:val="00ED3130"/>
    <w:rsid w:val="00ED35BE"/>
    <w:rsid w:val="00ED3F66"/>
    <w:rsid w:val="00ED4FB8"/>
    <w:rsid w:val="00ED5B11"/>
    <w:rsid w:val="00ED5BD4"/>
    <w:rsid w:val="00ED6CAC"/>
    <w:rsid w:val="00ED6CCA"/>
    <w:rsid w:val="00ED6E06"/>
    <w:rsid w:val="00ED715E"/>
    <w:rsid w:val="00ED7372"/>
    <w:rsid w:val="00ED7E55"/>
    <w:rsid w:val="00EE2544"/>
    <w:rsid w:val="00EE2CBA"/>
    <w:rsid w:val="00EE366D"/>
    <w:rsid w:val="00EE373F"/>
    <w:rsid w:val="00EE4098"/>
    <w:rsid w:val="00EE4D40"/>
    <w:rsid w:val="00EE4E8C"/>
    <w:rsid w:val="00EE5965"/>
    <w:rsid w:val="00EE59C2"/>
    <w:rsid w:val="00EE6BF8"/>
    <w:rsid w:val="00EE75F2"/>
    <w:rsid w:val="00EF08D0"/>
    <w:rsid w:val="00EF09CA"/>
    <w:rsid w:val="00EF0AD7"/>
    <w:rsid w:val="00EF0BDC"/>
    <w:rsid w:val="00EF25BF"/>
    <w:rsid w:val="00EF3162"/>
    <w:rsid w:val="00EF35F7"/>
    <w:rsid w:val="00EF3DB1"/>
    <w:rsid w:val="00EF3F82"/>
    <w:rsid w:val="00EF4755"/>
    <w:rsid w:val="00EF4B64"/>
    <w:rsid w:val="00EF4E25"/>
    <w:rsid w:val="00EF5E69"/>
    <w:rsid w:val="00EF6412"/>
    <w:rsid w:val="00EF7135"/>
    <w:rsid w:val="00F00452"/>
    <w:rsid w:val="00F01967"/>
    <w:rsid w:val="00F01AF7"/>
    <w:rsid w:val="00F02282"/>
    <w:rsid w:val="00F027DB"/>
    <w:rsid w:val="00F02DC9"/>
    <w:rsid w:val="00F030FC"/>
    <w:rsid w:val="00F0344C"/>
    <w:rsid w:val="00F037FE"/>
    <w:rsid w:val="00F03F67"/>
    <w:rsid w:val="00F04EB6"/>
    <w:rsid w:val="00F07682"/>
    <w:rsid w:val="00F07E00"/>
    <w:rsid w:val="00F105A8"/>
    <w:rsid w:val="00F106F3"/>
    <w:rsid w:val="00F110A5"/>
    <w:rsid w:val="00F1157B"/>
    <w:rsid w:val="00F1162E"/>
    <w:rsid w:val="00F11AFF"/>
    <w:rsid w:val="00F124AB"/>
    <w:rsid w:val="00F12531"/>
    <w:rsid w:val="00F1284D"/>
    <w:rsid w:val="00F12E68"/>
    <w:rsid w:val="00F137A1"/>
    <w:rsid w:val="00F14A7A"/>
    <w:rsid w:val="00F15623"/>
    <w:rsid w:val="00F157F5"/>
    <w:rsid w:val="00F15EA3"/>
    <w:rsid w:val="00F16028"/>
    <w:rsid w:val="00F162BB"/>
    <w:rsid w:val="00F16E1F"/>
    <w:rsid w:val="00F17273"/>
    <w:rsid w:val="00F17B4A"/>
    <w:rsid w:val="00F20FAA"/>
    <w:rsid w:val="00F211E6"/>
    <w:rsid w:val="00F2134B"/>
    <w:rsid w:val="00F21432"/>
    <w:rsid w:val="00F215F0"/>
    <w:rsid w:val="00F216BC"/>
    <w:rsid w:val="00F21A6C"/>
    <w:rsid w:val="00F21D77"/>
    <w:rsid w:val="00F22071"/>
    <w:rsid w:val="00F22812"/>
    <w:rsid w:val="00F22985"/>
    <w:rsid w:val="00F2318D"/>
    <w:rsid w:val="00F235B5"/>
    <w:rsid w:val="00F244BD"/>
    <w:rsid w:val="00F25C49"/>
    <w:rsid w:val="00F25DA4"/>
    <w:rsid w:val="00F260E2"/>
    <w:rsid w:val="00F26346"/>
    <w:rsid w:val="00F264B7"/>
    <w:rsid w:val="00F26558"/>
    <w:rsid w:val="00F275EC"/>
    <w:rsid w:val="00F27E3E"/>
    <w:rsid w:val="00F306CE"/>
    <w:rsid w:val="00F318F7"/>
    <w:rsid w:val="00F3218C"/>
    <w:rsid w:val="00F321B4"/>
    <w:rsid w:val="00F32394"/>
    <w:rsid w:val="00F32719"/>
    <w:rsid w:val="00F33016"/>
    <w:rsid w:val="00F3383E"/>
    <w:rsid w:val="00F34DB9"/>
    <w:rsid w:val="00F35521"/>
    <w:rsid w:val="00F35A17"/>
    <w:rsid w:val="00F35BA2"/>
    <w:rsid w:val="00F363E9"/>
    <w:rsid w:val="00F371B6"/>
    <w:rsid w:val="00F405A9"/>
    <w:rsid w:val="00F4139B"/>
    <w:rsid w:val="00F420B9"/>
    <w:rsid w:val="00F42680"/>
    <w:rsid w:val="00F429BA"/>
    <w:rsid w:val="00F42B3C"/>
    <w:rsid w:val="00F42F5C"/>
    <w:rsid w:val="00F43778"/>
    <w:rsid w:val="00F43E31"/>
    <w:rsid w:val="00F43FD8"/>
    <w:rsid w:val="00F44501"/>
    <w:rsid w:val="00F4489E"/>
    <w:rsid w:val="00F4514D"/>
    <w:rsid w:val="00F4533C"/>
    <w:rsid w:val="00F4591A"/>
    <w:rsid w:val="00F45CA7"/>
    <w:rsid w:val="00F465A7"/>
    <w:rsid w:val="00F46F66"/>
    <w:rsid w:val="00F476E8"/>
    <w:rsid w:val="00F47D97"/>
    <w:rsid w:val="00F50530"/>
    <w:rsid w:val="00F508BE"/>
    <w:rsid w:val="00F50B7C"/>
    <w:rsid w:val="00F50CE7"/>
    <w:rsid w:val="00F51A1B"/>
    <w:rsid w:val="00F51B18"/>
    <w:rsid w:val="00F51BCA"/>
    <w:rsid w:val="00F51BDA"/>
    <w:rsid w:val="00F52484"/>
    <w:rsid w:val="00F52AB4"/>
    <w:rsid w:val="00F52B6A"/>
    <w:rsid w:val="00F5355C"/>
    <w:rsid w:val="00F5388B"/>
    <w:rsid w:val="00F53D64"/>
    <w:rsid w:val="00F550E6"/>
    <w:rsid w:val="00F55218"/>
    <w:rsid w:val="00F553A8"/>
    <w:rsid w:val="00F55B6B"/>
    <w:rsid w:val="00F56091"/>
    <w:rsid w:val="00F56432"/>
    <w:rsid w:val="00F5658B"/>
    <w:rsid w:val="00F56FE7"/>
    <w:rsid w:val="00F5714C"/>
    <w:rsid w:val="00F5724D"/>
    <w:rsid w:val="00F572EE"/>
    <w:rsid w:val="00F579B9"/>
    <w:rsid w:val="00F6006C"/>
    <w:rsid w:val="00F60088"/>
    <w:rsid w:val="00F614C6"/>
    <w:rsid w:val="00F61E91"/>
    <w:rsid w:val="00F61FEE"/>
    <w:rsid w:val="00F621E6"/>
    <w:rsid w:val="00F6254E"/>
    <w:rsid w:val="00F626D1"/>
    <w:rsid w:val="00F63371"/>
    <w:rsid w:val="00F65D5B"/>
    <w:rsid w:val="00F6622B"/>
    <w:rsid w:val="00F679DA"/>
    <w:rsid w:val="00F67C08"/>
    <w:rsid w:val="00F703BC"/>
    <w:rsid w:val="00F7047F"/>
    <w:rsid w:val="00F70699"/>
    <w:rsid w:val="00F7340C"/>
    <w:rsid w:val="00F736BA"/>
    <w:rsid w:val="00F742B1"/>
    <w:rsid w:val="00F74345"/>
    <w:rsid w:val="00F74D77"/>
    <w:rsid w:val="00F75E88"/>
    <w:rsid w:val="00F75F79"/>
    <w:rsid w:val="00F7627C"/>
    <w:rsid w:val="00F77764"/>
    <w:rsid w:val="00F80288"/>
    <w:rsid w:val="00F802B2"/>
    <w:rsid w:val="00F80A0A"/>
    <w:rsid w:val="00F80A3D"/>
    <w:rsid w:val="00F812D7"/>
    <w:rsid w:val="00F81731"/>
    <w:rsid w:val="00F82267"/>
    <w:rsid w:val="00F8280F"/>
    <w:rsid w:val="00F82B19"/>
    <w:rsid w:val="00F82CC1"/>
    <w:rsid w:val="00F83607"/>
    <w:rsid w:val="00F83CFC"/>
    <w:rsid w:val="00F83D5E"/>
    <w:rsid w:val="00F847BC"/>
    <w:rsid w:val="00F84B80"/>
    <w:rsid w:val="00F852DB"/>
    <w:rsid w:val="00F8597A"/>
    <w:rsid w:val="00F87E13"/>
    <w:rsid w:val="00F87E80"/>
    <w:rsid w:val="00F901A8"/>
    <w:rsid w:val="00F902D8"/>
    <w:rsid w:val="00F91635"/>
    <w:rsid w:val="00F9212D"/>
    <w:rsid w:val="00F9259A"/>
    <w:rsid w:val="00F9413A"/>
    <w:rsid w:val="00F94277"/>
    <w:rsid w:val="00F954FB"/>
    <w:rsid w:val="00F95538"/>
    <w:rsid w:val="00F9593B"/>
    <w:rsid w:val="00F95D8D"/>
    <w:rsid w:val="00F960E1"/>
    <w:rsid w:val="00F96398"/>
    <w:rsid w:val="00F965DA"/>
    <w:rsid w:val="00F96982"/>
    <w:rsid w:val="00F96A85"/>
    <w:rsid w:val="00FA04D9"/>
    <w:rsid w:val="00FA1DB6"/>
    <w:rsid w:val="00FA2183"/>
    <w:rsid w:val="00FA279B"/>
    <w:rsid w:val="00FA30A0"/>
    <w:rsid w:val="00FA3AED"/>
    <w:rsid w:val="00FA3F4C"/>
    <w:rsid w:val="00FA406A"/>
    <w:rsid w:val="00FA48CC"/>
    <w:rsid w:val="00FA5664"/>
    <w:rsid w:val="00FA59DA"/>
    <w:rsid w:val="00FA6365"/>
    <w:rsid w:val="00FA7252"/>
    <w:rsid w:val="00FA7352"/>
    <w:rsid w:val="00FB0D18"/>
    <w:rsid w:val="00FB12F2"/>
    <w:rsid w:val="00FB1599"/>
    <w:rsid w:val="00FB191A"/>
    <w:rsid w:val="00FB2CF6"/>
    <w:rsid w:val="00FB2D4E"/>
    <w:rsid w:val="00FB3125"/>
    <w:rsid w:val="00FB394A"/>
    <w:rsid w:val="00FB4442"/>
    <w:rsid w:val="00FB485B"/>
    <w:rsid w:val="00FB4FDF"/>
    <w:rsid w:val="00FB503A"/>
    <w:rsid w:val="00FB516C"/>
    <w:rsid w:val="00FB5317"/>
    <w:rsid w:val="00FB5C6F"/>
    <w:rsid w:val="00FB65D4"/>
    <w:rsid w:val="00FB6A86"/>
    <w:rsid w:val="00FB7541"/>
    <w:rsid w:val="00FB7856"/>
    <w:rsid w:val="00FC0CCA"/>
    <w:rsid w:val="00FC0D84"/>
    <w:rsid w:val="00FC166F"/>
    <w:rsid w:val="00FC2033"/>
    <w:rsid w:val="00FC2C45"/>
    <w:rsid w:val="00FC3A33"/>
    <w:rsid w:val="00FC4238"/>
    <w:rsid w:val="00FC4292"/>
    <w:rsid w:val="00FC514A"/>
    <w:rsid w:val="00FC5493"/>
    <w:rsid w:val="00FC58C8"/>
    <w:rsid w:val="00FC5DFB"/>
    <w:rsid w:val="00FC5FFA"/>
    <w:rsid w:val="00FC63F5"/>
    <w:rsid w:val="00FC7304"/>
    <w:rsid w:val="00FD0236"/>
    <w:rsid w:val="00FD11F5"/>
    <w:rsid w:val="00FD12CA"/>
    <w:rsid w:val="00FD1733"/>
    <w:rsid w:val="00FD18F4"/>
    <w:rsid w:val="00FD1A1F"/>
    <w:rsid w:val="00FD2299"/>
    <w:rsid w:val="00FD262F"/>
    <w:rsid w:val="00FD358E"/>
    <w:rsid w:val="00FD44DD"/>
    <w:rsid w:val="00FD45C4"/>
    <w:rsid w:val="00FD54DB"/>
    <w:rsid w:val="00FD619F"/>
    <w:rsid w:val="00FD643A"/>
    <w:rsid w:val="00FD70FB"/>
    <w:rsid w:val="00FE1CE7"/>
    <w:rsid w:val="00FE1D91"/>
    <w:rsid w:val="00FE24E5"/>
    <w:rsid w:val="00FE28CC"/>
    <w:rsid w:val="00FE29C4"/>
    <w:rsid w:val="00FE3BD7"/>
    <w:rsid w:val="00FE3C29"/>
    <w:rsid w:val="00FE3DC0"/>
    <w:rsid w:val="00FE414A"/>
    <w:rsid w:val="00FE4A30"/>
    <w:rsid w:val="00FE4D8E"/>
    <w:rsid w:val="00FE5780"/>
    <w:rsid w:val="00FE78A3"/>
    <w:rsid w:val="00FF1275"/>
    <w:rsid w:val="00FF130A"/>
    <w:rsid w:val="00FF1452"/>
    <w:rsid w:val="00FF25AF"/>
    <w:rsid w:val="00FF28E2"/>
    <w:rsid w:val="00FF2B95"/>
    <w:rsid w:val="00FF2BCE"/>
    <w:rsid w:val="00FF2DFB"/>
    <w:rsid w:val="00FF2EFA"/>
    <w:rsid w:val="00FF359C"/>
    <w:rsid w:val="00FF3B12"/>
    <w:rsid w:val="00FF3D3B"/>
    <w:rsid w:val="00FF41AC"/>
    <w:rsid w:val="00FF42FC"/>
    <w:rsid w:val="01290F7E"/>
    <w:rsid w:val="015D1E09"/>
    <w:rsid w:val="017E7F23"/>
    <w:rsid w:val="026644E7"/>
    <w:rsid w:val="02697903"/>
    <w:rsid w:val="02F96569"/>
    <w:rsid w:val="032F0279"/>
    <w:rsid w:val="03EA7B21"/>
    <w:rsid w:val="045905A7"/>
    <w:rsid w:val="05C70862"/>
    <w:rsid w:val="05F83EAE"/>
    <w:rsid w:val="063E7D85"/>
    <w:rsid w:val="06F07DBB"/>
    <w:rsid w:val="07293586"/>
    <w:rsid w:val="07295285"/>
    <w:rsid w:val="075A6BE3"/>
    <w:rsid w:val="075E57C8"/>
    <w:rsid w:val="07636392"/>
    <w:rsid w:val="07770C56"/>
    <w:rsid w:val="079B7E09"/>
    <w:rsid w:val="08341750"/>
    <w:rsid w:val="092217DD"/>
    <w:rsid w:val="093A7294"/>
    <w:rsid w:val="0A263993"/>
    <w:rsid w:val="0A2D3AC2"/>
    <w:rsid w:val="0A805ABD"/>
    <w:rsid w:val="0AA755DF"/>
    <w:rsid w:val="0B120D44"/>
    <w:rsid w:val="0B453D31"/>
    <w:rsid w:val="0BD27BF6"/>
    <w:rsid w:val="0C2F6554"/>
    <w:rsid w:val="0C3B3C7D"/>
    <w:rsid w:val="0C59207F"/>
    <w:rsid w:val="0C732522"/>
    <w:rsid w:val="0CAB2EAE"/>
    <w:rsid w:val="0CB36E1E"/>
    <w:rsid w:val="0CBE6688"/>
    <w:rsid w:val="0D621C7D"/>
    <w:rsid w:val="0D8250DE"/>
    <w:rsid w:val="0E73034D"/>
    <w:rsid w:val="0E7916D0"/>
    <w:rsid w:val="0F13775A"/>
    <w:rsid w:val="0F5F45FE"/>
    <w:rsid w:val="0F9A112B"/>
    <w:rsid w:val="0FC4543B"/>
    <w:rsid w:val="106D2F64"/>
    <w:rsid w:val="10B63710"/>
    <w:rsid w:val="10DB6169"/>
    <w:rsid w:val="10F10820"/>
    <w:rsid w:val="111C2F7A"/>
    <w:rsid w:val="11665CA1"/>
    <w:rsid w:val="13951726"/>
    <w:rsid w:val="139B44EA"/>
    <w:rsid w:val="14396509"/>
    <w:rsid w:val="14741D90"/>
    <w:rsid w:val="14827D32"/>
    <w:rsid w:val="148D3F32"/>
    <w:rsid w:val="14DD2C3C"/>
    <w:rsid w:val="15CD777F"/>
    <w:rsid w:val="16087E1D"/>
    <w:rsid w:val="16281A67"/>
    <w:rsid w:val="16972795"/>
    <w:rsid w:val="175E3268"/>
    <w:rsid w:val="17701D14"/>
    <w:rsid w:val="17735226"/>
    <w:rsid w:val="17B7005D"/>
    <w:rsid w:val="188657A4"/>
    <w:rsid w:val="189F624C"/>
    <w:rsid w:val="18F27B86"/>
    <w:rsid w:val="191C4707"/>
    <w:rsid w:val="192E5C60"/>
    <w:rsid w:val="1943335F"/>
    <w:rsid w:val="1A1C66C0"/>
    <w:rsid w:val="1A42393B"/>
    <w:rsid w:val="1AAD45DE"/>
    <w:rsid w:val="1AB4199B"/>
    <w:rsid w:val="1AC471E2"/>
    <w:rsid w:val="1B046F80"/>
    <w:rsid w:val="1B3267B5"/>
    <w:rsid w:val="1B40161D"/>
    <w:rsid w:val="1B441859"/>
    <w:rsid w:val="1B6606B1"/>
    <w:rsid w:val="1B667843"/>
    <w:rsid w:val="1B782E10"/>
    <w:rsid w:val="1C07499A"/>
    <w:rsid w:val="1C5E7925"/>
    <w:rsid w:val="1C9F376E"/>
    <w:rsid w:val="1CD22F83"/>
    <w:rsid w:val="1CFD070F"/>
    <w:rsid w:val="1D5F6196"/>
    <w:rsid w:val="1D6132A5"/>
    <w:rsid w:val="1D6F5C49"/>
    <w:rsid w:val="1D8E56D5"/>
    <w:rsid w:val="1E185F95"/>
    <w:rsid w:val="1E7A43DA"/>
    <w:rsid w:val="1EB42EBB"/>
    <w:rsid w:val="1FD77AD6"/>
    <w:rsid w:val="1FE7539E"/>
    <w:rsid w:val="2059498F"/>
    <w:rsid w:val="20671BE0"/>
    <w:rsid w:val="20963CB8"/>
    <w:rsid w:val="20A81A1B"/>
    <w:rsid w:val="20B07FB6"/>
    <w:rsid w:val="20B646FB"/>
    <w:rsid w:val="21237E2D"/>
    <w:rsid w:val="213B74B1"/>
    <w:rsid w:val="215A2310"/>
    <w:rsid w:val="215F5FD5"/>
    <w:rsid w:val="217816DE"/>
    <w:rsid w:val="21DE318A"/>
    <w:rsid w:val="21EF5B80"/>
    <w:rsid w:val="22576990"/>
    <w:rsid w:val="22F47480"/>
    <w:rsid w:val="23DE1C48"/>
    <w:rsid w:val="240210CD"/>
    <w:rsid w:val="240A3AB2"/>
    <w:rsid w:val="24BF09F7"/>
    <w:rsid w:val="250B580D"/>
    <w:rsid w:val="252D53FE"/>
    <w:rsid w:val="253028DA"/>
    <w:rsid w:val="25EC2D81"/>
    <w:rsid w:val="26633E71"/>
    <w:rsid w:val="26C64E9A"/>
    <w:rsid w:val="272B62FE"/>
    <w:rsid w:val="274742E6"/>
    <w:rsid w:val="277057A2"/>
    <w:rsid w:val="28317922"/>
    <w:rsid w:val="29206EB8"/>
    <w:rsid w:val="29595666"/>
    <w:rsid w:val="295A6D8D"/>
    <w:rsid w:val="29874881"/>
    <w:rsid w:val="29DF18FC"/>
    <w:rsid w:val="29E325E0"/>
    <w:rsid w:val="2A213702"/>
    <w:rsid w:val="2A452503"/>
    <w:rsid w:val="2AFA28CA"/>
    <w:rsid w:val="2B3A1ABF"/>
    <w:rsid w:val="2B4F33D6"/>
    <w:rsid w:val="2B8F3E84"/>
    <w:rsid w:val="2BA936A8"/>
    <w:rsid w:val="2C315A5A"/>
    <w:rsid w:val="2C340069"/>
    <w:rsid w:val="2C4B1C25"/>
    <w:rsid w:val="2CBA2AFD"/>
    <w:rsid w:val="2D4F6F8E"/>
    <w:rsid w:val="2D9702C5"/>
    <w:rsid w:val="2D9E56F5"/>
    <w:rsid w:val="2DEC4CBF"/>
    <w:rsid w:val="2E667F96"/>
    <w:rsid w:val="2E8226AB"/>
    <w:rsid w:val="2F697F3B"/>
    <w:rsid w:val="2FA539B8"/>
    <w:rsid w:val="2FD065E6"/>
    <w:rsid w:val="2FD96870"/>
    <w:rsid w:val="2FED0276"/>
    <w:rsid w:val="300264A9"/>
    <w:rsid w:val="301824C2"/>
    <w:rsid w:val="302569F3"/>
    <w:rsid w:val="3031530D"/>
    <w:rsid w:val="30580BC9"/>
    <w:rsid w:val="308570DA"/>
    <w:rsid w:val="30DF6A7C"/>
    <w:rsid w:val="311E2ED7"/>
    <w:rsid w:val="312859BC"/>
    <w:rsid w:val="315619EE"/>
    <w:rsid w:val="315C449C"/>
    <w:rsid w:val="31722022"/>
    <w:rsid w:val="31B82709"/>
    <w:rsid w:val="31D05482"/>
    <w:rsid w:val="322F68DE"/>
    <w:rsid w:val="32400B34"/>
    <w:rsid w:val="329E6876"/>
    <w:rsid w:val="32A203C1"/>
    <w:rsid w:val="32AD03DF"/>
    <w:rsid w:val="333015F2"/>
    <w:rsid w:val="33395737"/>
    <w:rsid w:val="334B6320"/>
    <w:rsid w:val="33501C21"/>
    <w:rsid w:val="33D934D4"/>
    <w:rsid w:val="33FE2F6A"/>
    <w:rsid w:val="340E07E5"/>
    <w:rsid w:val="34235BF7"/>
    <w:rsid w:val="345B4D6B"/>
    <w:rsid w:val="34FD41BA"/>
    <w:rsid w:val="358C5FA8"/>
    <w:rsid w:val="359D4FD7"/>
    <w:rsid w:val="35C15DF1"/>
    <w:rsid w:val="36074A7F"/>
    <w:rsid w:val="368E6FEB"/>
    <w:rsid w:val="36923549"/>
    <w:rsid w:val="36B75FBF"/>
    <w:rsid w:val="36BD0C45"/>
    <w:rsid w:val="373A50B3"/>
    <w:rsid w:val="37880F58"/>
    <w:rsid w:val="37AF44F4"/>
    <w:rsid w:val="37E00298"/>
    <w:rsid w:val="38156E11"/>
    <w:rsid w:val="3885411B"/>
    <w:rsid w:val="38916731"/>
    <w:rsid w:val="38B302F9"/>
    <w:rsid w:val="38F12CD3"/>
    <w:rsid w:val="38F94775"/>
    <w:rsid w:val="39285164"/>
    <w:rsid w:val="392971ED"/>
    <w:rsid w:val="39325651"/>
    <w:rsid w:val="39924236"/>
    <w:rsid w:val="39BA3262"/>
    <w:rsid w:val="3A3E0A25"/>
    <w:rsid w:val="3A5A00DD"/>
    <w:rsid w:val="3A872856"/>
    <w:rsid w:val="3ADE4285"/>
    <w:rsid w:val="3AFA72AF"/>
    <w:rsid w:val="3B3763D1"/>
    <w:rsid w:val="3BFC3987"/>
    <w:rsid w:val="3C2B47EE"/>
    <w:rsid w:val="3C2F6E1E"/>
    <w:rsid w:val="3C4F64BA"/>
    <w:rsid w:val="3CDA245A"/>
    <w:rsid w:val="3D1E06B7"/>
    <w:rsid w:val="3D401701"/>
    <w:rsid w:val="3EDA0523"/>
    <w:rsid w:val="407A6407"/>
    <w:rsid w:val="41055DF9"/>
    <w:rsid w:val="410D4D5F"/>
    <w:rsid w:val="419B7A69"/>
    <w:rsid w:val="41C20A6F"/>
    <w:rsid w:val="4200449D"/>
    <w:rsid w:val="4224272B"/>
    <w:rsid w:val="422E1D3A"/>
    <w:rsid w:val="423A3BCC"/>
    <w:rsid w:val="424E57D2"/>
    <w:rsid w:val="42B26C49"/>
    <w:rsid w:val="42C502D9"/>
    <w:rsid w:val="42D27849"/>
    <w:rsid w:val="42DA01B1"/>
    <w:rsid w:val="42F7584E"/>
    <w:rsid w:val="433A6FE6"/>
    <w:rsid w:val="43480868"/>
    <w:rsid w:val="4350713C"/>
    <w:rsid w:val="436653E0"/>
    <w:rsid w:val="43C4431A"/>
    <w:rsid w:val="44A8386C"/>
    <w:rsid w:val="44B951CC"/>
    <w:rsid w:val="44CD14E0"/>
    <w:rsid w:val="44D750ED"/>
    <w:rsid w:val="44F20B0B"/>
    <w:rsid w:val="452E5F4C"/>
    <w:rsid w:val="45612018"/>
    <w:rsid w:val="458946E9"/>
    <w:rsid w:val="45A47C0E"/>
    <w:rsid w:val="46577FD6"/>
    <w:rsid w:val="466F2DE7"/>
    <w:rsid w:val="46A86BB3"/>
    <w:rsid w:val="46D955A7"/>
    <w:rsid w:val="47133957"/>
    <w:rsid w:val="47852113"/>
    <w:rsid w:val="47927B18"/>
    <w:rsid w:val="47A07E0C"/>
    <w:rsid w:val="47BF0133"/>
    <w:rsid w:val="47DE7581"/>
    <w:rsid w:val="48495124"/>
    <w:rsid w:val="4870272E"/>
    <w:rsid w:val="49DC7715"/>
    <w:rsid w:val="49DD10F6"/>
    <w:rsid w:val="4A023139"/>
    <w:rsid w:val="4A7B576F"/>
    <w:rsid w:val="4AF561A9"/>
    <w:rsid w:val="4B3337B7"/>
    <w:rsid w:val="4B4762DD"/>
    <w:rsid w:val="4C4A0649"/>
    <w:rsid w:val="4C7C7A73"/>
    <w:rsid w:val="4C7E5ECA"/>
    <w:rsid w:val="4C876AA5"/>
    <w:rsid w:val="4CBD6E29"/>
    <w:rsid w:val="4D0E00FB"/>
    <w:rsid w:val="4D176606"/>
    <w:rsid w:val="4D525F36"/>
    <w:rsid w:val="4DA06364"/>
    <w:rsid w:val="4DEC4FB0"/>
    <w:rsid w:val="4E075D8A"/>
    <w:rsid w:val="4EC00FAD"/>
    <w:rsid w:val="4F114D28"/>
    <w:rsid w:val="4F9843DC"/>
    <w:rsid w:val="4FC62A8C"/>
    <w:rsid w:val="4FE20F0D"/>
    <w:rsid w:val="4FE51552"/>
    <w:rsid w:val="50330BC6"/>
    <w:rsid w:val="50504C4B"/>
    <w:rsid w:val="509C6E7C"/>
    <w:rsid w:val="50E7376D"/>
    <w:rsid w:val="510B7CF5"/>
    <w:rsid w:val="51113B73"/>
    <w:rsid w:val="5162104E"/>
    <w:rsid w:val="51DC173E"/>
    <w:rsid w:val="526064E3"/>
    <w:rsid w:val="53321286"/>
    <w:rsid w:val="536838D1"/>
    <w:rsid w:val="53885161"/>
    <w:rsid w:val="538E4E40"/>
    <w:rsid w:val="53A039CC"/>
    <w:rsid w:val="53A1505A"/>
    <w:rsid w:val="53D3566E"/>
    <w:rsid w:val="54063E08"/>
    <w:rsid w:val="543437E8"/>
    <w:rsid w:val="544347B3"/>
    <w:rsid w:val="546255CC"/>
    <w:rsid w:val="54F73313"/>
    <w:rsid w:val="54F80955"/>
    <w:rsid w:val="555170A7"/>
    <w:rsid w:val="5587536D"/>
    <w:rsid w:val="559B174B"/>
    <w:rsid w:val="55CE0CF4"/>
    <w:rsid w:val="56875D5E"/>
    <w:rsid w:val="56A40125"/>
    <w:rsid w:val="56B22A9C"/>
    <w:rsid w:val="56D3714A"/>
    <w:rsid w:val="57B72A76"/>
    <w:rsid w:val="57C3426C"/>
    <w:rsid w:val="57CE1F93"/>
    <w:rsid w:val="582E1C82"/>
    <w:rsid w:val="58604F48"/>
    <w:rsid w:val="58730682"/>
    <w:rsid w:val="588743D1"/>
    <w:rsid w:val="5887701A"/>
    <w:rsid w:val="59AD781E"/>
    <w:rsid w:val="59B561AE"/>
    <w:rsid w:val="59B6058B"/>
    <w:rsid w:val="59C0439F"/>
    <w:rsid w:val="5ABE2233"/>
    <w:rsid w:val="5BB17B01"/>
    <w:rsid w:val="5BDF5D95"/>
    <w:rsid w:val="5BFE7528"/>
    <w:rsid w:val="5C1A7CAF"/>
    <w:rsid w:val="5CD05067"/>
    <w:rsid w:val="5D841A1F"/>
    <w:rsid w:val="5E2467F1"/>
    <w:rsid w:val="5EA00D1F"/>
    <w:rsid w:val="5EFC2D97"/>
    <w:rsid w:val="5F1A2B43"/>
    <w:rsid w:val="5F45307A"/>
    <w:rsid w:val="5F8B18E1"/>
    <w:rsid w:val="5FB837BB"/>
    <w:rsid w:val="5FD40E8D"/>
    <w:rsid w:val="5FDD7C1B"/>
    <w:rsid w:val="604B7CD1"/>
    <w:rsid w:val="60CC405A"/>
    <w:rsid w:val="61587D6F"/>
    <w:rsid w:val="618C4739"/>
    <w:rsid w:val="61E215D8"/>
    <w:rsid w:val="62013C43"/>
    <w:rsid w:val="621B3775"/>
    <w:rsid w:val="62364782"/>
    <w:rsid w:val="627F336B"/>
    <w:rsid w:val="6394356A"/>
    <w:rsid w:val="63C61B2C"/>
    <w:rsid w:val="63D40BE9"/>
    <w:rsid w:val="64102431"/>
    <w:rsid w:val="64A5243A"/>
    <w:rsid w:val="64D262F5"/>
    <w:rsid w:val="64DA0E8E"/>
    <w:rsid w:val="64F531DE"/>
    <w:rsid w:val="65373578"/>
    <w:rsid w:val="6593581A"/>
    <w:rsid w:val="65DD1053"/>
    <w:rsid w:val="65E316D8"/>
    <w:rsid w:val="671F124A"/>
    <w:rsid w:val="677A33C6"/>
    <w:rsid w:val="67C02637"/>
    <w:rsid w:val="681F6961"/>
    <w:rsid w:val="68610A2F"/>
    <w:rsid w:val="68805514"/>
    <w:rsid w:val="68BC0BE4"/>
    <w:rsid w:val="69056D5A"/>
    <w:rsid w:val="691E25B8"/>
    <w:rsid w:val="69316E2F"/>
    <w:rsid w:val="694E2071"/>
    <w:rsid w:val="69766163"/>
    <w:rsid w:val="697A3B33"/>
    <w:rsid w:val="69D44760"/>
    <w:rsid w:val="69FA2AEA"/>
    <w:rsid w:val="6A0B1ED7"/>
    <w:rsid w:val="6A193E4D"/>
    <w:rsid w:val="6A4E61B3"/>
    <w:rsid w:val="6A520EC7"/>
    <w:rsid w:val="6ABE7622"/>
    <w:rsid w:val="6AF87E20"/>
    <w:rsid w:val="6B322639"/>
    <w:rsid w:val="6BA1799E"/>
    <w:rsid w:val="6C2119D4"/>
    <w:rsid w:val="6C636C38"/>
    <w:rsid w:val="6CDB7073"/>
    <w:rsid w:val="6D000707"/>
    <w:rsid w:val="6D0F2567"/>
    <w:rsid w:val="6D932295"/>
    <w:rsid w:val="6DB34098"/>
    <w:rsid w:val="6DB545B6"/>
    <w:rsid w:val="6DE02FB4"/>
    <w:rsid w:val="6E514CED"/>
    <w:rsid w:val="6E9357AB"/>
    <w:rsid w:val="6EB563D5"/>
    <w:rsid w:val="6ED92677"/>
    <w:rsid w:val="6F225983"/>
    <w:rsid w:val="6FC957F4"/>
    <w:rsid w:val="6FFC5590"/>
    <w:rsid w:val="701A4F6B"/>
    <w:rsid w:val="706D1DD0"/>
    <w:rsid w:val="70856B87"/>
    <w:rsid w:val="70CE68B8"/>
    <w:rsid w:val="70D527EE"/>
    <w:rsid w:val="715B5300"/>
    <w:rsid w:val="715F22A6"/>
    <w:rsid w:val="71D27F8A"/>
    <w:rsid w:val="71F0502E"/>
    <w:rsid w:val="72553024"/>
    <w:rsid w:val="73122968"/>
    <w:rsid w:val="731F5D5E"/>
    <w:rsid w:val="73C51AD5"/>
    <w:rsid w:val="741E793C"/>
    <w:rsid w:val="745E3944"/>
    <w:rsid w:val="74BB6FE2"/>
    <w:rsid w:val="7556504A"/>
    <w:rsid w:val="75825BCB"/>
    <w:rsid w:val="761D47DC"/>
    <w:rsid w:val="7635099D"/>
    <w:rsid w:val="769E603F"/>
    <w:rsid w:val="77762421"/>
    <w:rsid w:val="778D11F7"/>
    <w:rsid w:val="77B56B1F"/>
    <w:rsid w:val="780F09F4"/>
    <w:rsid w:val="78A90480"/>
    <w:rsid w:val="790869AD"/>
    <w:rsid w:val="7A364017"/>
    <w:rsid w:val="7A7C1348"/>
    <w:rsid w:val="7A8265E1"/>
    <w:rsid w:val="7B0E6372"/>
    <w:rsid w:val="7B686D42"/>
    <w:rsid w:val="7B841746"/>
    <w:rsid w:val="7C4D085D"/>
    <w:rsid w:val="7C6C5AC7"/>
    <w:rsid w:val="7CC6544B"/>
    <w:rsid w:val="7CDB2731"/>
    <w:rsid w:val="7D0239FF"/>
    <w:rsid w:val="7D5E40CD"/>
    <w:rsid w:val="7DBC1AF6"/>
    <w:rsid w:val="7DCD56F2"/>
    <w:rsid w:val="7EA52843"/>
    <w:rsid w:val="7F001CE7"/>
    <w:rsid w:val="7FE47E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nhideWhenUsed="0" w:uiPriority="9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uiPriority="0" w:name="toc 1" w:locked="1"/>
    <w:lsdException w:qFormat="1" w:unhideWhenUsed="0" w:uiPriority="39" w:semiHidden="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99" w:semiHidden="0" w:name="Normal Indent" w:locked="1"/>
    <w:lsdException w:uiPriority="0" w:name="footnote text" w:locked="1"/>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ocked="1"/>
    <w:lsdException w:qFormat="1" w:unhideWhenUsed="0" w:uiPriority="0"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iPriority="0" w:name="table of authorities" w:locked="1"/>
    <w:lsdException w:uiPriority="0" w:name="macro" w:locked="1"/>
    <w:lsdException w:uiPriority="0" w:name="toa heading" w:locked="1"/>
    <w:lsdException w:uiPriority="0" w:name="List" w:locked="1"/>
    <w:lsdException w:uiPriority="0" w:name="List Bullet" w:locked="1"/>
    <w:lsdException w:uiPriority="0" w:name="List Number" w:locked="1"/>
    <w:lsdException w:uiPriority="0" w:name="List 2" w:locked="1"/>
    <w:lsdException w:uiPriority="0" w:name="List 3" w:locked="1"/>
    <w:lsdException w:uiPriority="0" w:name="List 4" w:locked="1"/>
    <w:lsdException w:uiPriority="0" w:name="List 5" w:locked="1"/>
    <w:lsdException w:uiPriority="0" w:name="List Bullet 2" w:locked="1"/>
    <w:lsdException w:uiPriority="0" w:name="List Bullet 3" w:locked="1"/>
    <w:lsdException w:uiPriority="0" w:name="List Bullet 4" w:locked="1"/>
    <w:lsdException w:qFormat="1"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0" w:semiHidden="0" w:name="Subtitle" w:locked="1"/>
    <w:lsdException w:uiPriority="0" w:name="Salutation" w:locked="1"/>
    <w:lsdException w:qFormat="1" w:unhideWhenUsed="0" w:uiPriority="0" w:semiHidden="0" w:name="Date"/>
    <w:lsdException w:uiPriority="0" w:name="Body Text First Indent" w:locked="1"/>
    <w:lsdException w:uiPriority="0" w:name="Body Text First Indent 2" w:locked="1"/>
    <w:lsdException w:uiPriority="0" w:name="Note Heading" w:locked="1"/>
    <w:lsdException w:qFormat="1" w:uiPriority="0" w:name="Body Text 2" w:locked="1"/>
    <w:lsdException w:uiPriority="0" w:name="Body Text 3" w:locked="1"/>
    <w:lsdException w:uiPriority="0" w:name="Body Text Indent 2" w:locked="1"/>
    <w:lsdException w:qFormat="1" w:unhideWhenUsed="0" w:uiPriority="0" w:semiHidden="0" w:name="Body Text Indent 3" w:locked="1"/>
    <w:lsdException w:qFormat="1" w:unhideWhenUsed="0" w:uiPriority="0" w:semiHidden="0" w:name="Block Text" w:locked="1"/>
    <w:lsdException w:qFormat="1" w:uiPriority="0" w:semiHidden="0" w:name="Hyperlink" w:locked="1"/>
    <w:lsdException w:uiPriority="0" w:name="FollowedHyperlink" w:locked="1"/>
    <w:lsdException w:qFormat="1" w:unhideWhenUsed="0" w:uiPriority="0" w:semiHidden="0" w:name="Strong" w:locked="1"/>
    <w:lsdException w:qFormat="1" w:unhideWhenUsed="0" w:uiPriority="20" w:semiHidden="0" w:name="Emphasis" w:locked="1"/>
    <w:lsdException w:qFormat="1" w:uiPriority="0" w:semiHidden="0" w:name="Document Map" w:locked="1"/>
    <w:lsdException w:uiPriority="0" w:name="Plain Text" w:locked="1"/>
    <w:lsdException w:uiPriority="0" w:name="E-mail Signature" w:locked="1"/>
    <w:lsdException w:qFormat="1" w:unhideWhenUsed="0" w:uiPriority="0"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99" w:semiHidden="0" w:name="Table Grid"/>
    <w:lsdException w:uiPriority="0" w:name="Table Theme" w:locked="1"/>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26"/>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127"/>
    <w:semiHidden/>
    <w:unhideWhenUsed/>
    <w:qFormat/>
    <w:locked/>
    <w:uiPriority w:val="0"/>
    <w:pPr>
      <w:spacing w:beforeAutospacing="1" w:afterAutospacing="1"/>
      <w:jc w:val="left"/>
      <w:outlineLvl w:val="1"/>
    </w:pPr>
    <w:rPr>
      <w:rFonts w:hint="eastAsia" w:ascii="宋体" w:hAnsi="宋体"/>
      <w:b/>
      <w:bCs/>
      <w:kern w:val="0"/>
      <w:sz w:val="36"/>
      <w:szCs w:val="36"/>
    </w:rPr>
  </w:style>
  <w:style w:type="paragraph" w:styleId="4">
    <w:name w:val="heading 3"/>
    <w:basedOn w:val="1"/>
    <w:next w:val="1"/>
    <w:link w:val="99"/>
    <w:semiHidden/>
    <w:unhideWhenUsed/>
    <w:qFormat/>
    <w:locked/>
    <w:uiPriority w:val="0"/>
    <w:pPr>
      <w:keepNext/>
      <w:keepLines/>
      <w:spacing w:before="260" w:after="260" w:line="416" w:lineRule="auto"/>
      <w:outlineLvl w:val="2"/>
    </w:pPr>
    <w:rPr>
      <w:b/>
      <w:bCs/>
      <w:sz w:val="32"/>
      <w:szCs w:val="32"/>
    </w:rPr>
  </w:style>
  <w:style w:type="paragraph" w:styleId="5">
    <w:name w:val="heading 4"/>
    <w:basedOn w:val="1"/>
    <w:next w:val="1"/>
    <w:link w:val="128"/>
    <w:qFormat/>
    <w:locked/>
    <w:uiPriority w:val="99"/>
    <w:pPr>
      <w:keepNext/>
      <w:keepLines/>
      <w:spacing w:before="280" w:after="290" w:line="376" w:lineRule="auto"/>
      <w:outlineLvl w:val="3"/>
    </w:pPr>
    <w:rPr>
      <w:rFonts w:ascii="等线 Light" w:hAnsi="等线 Light" w:eastAsia="等线 Light"/>
      <w:b/>
      <w:bCs/>
      <w:sz w:val="28"/>
      <w:szCs w:val="28"/>
    </w:rPr>
  </w:style>
  <w:style w:type="character" w:default="1" w:styleId="26">
    <w:name w:val="Default Paragraph Font"/>
    <w:semiHidden/>
    <w:unhideWhenUsed/>
    <w:uiPriority w:val="1"/>
  </w:style>
  <w:style w:type="table" w:default="1" w:styleId="24">
    <w:name w:val="Normal Table"/>
    <w:semiHidden/>
    <w:unhideWhenUsed/>
    <w:uiPriority w:val="99"/>
    <w:tblPr>
      <w:tblCellMar>
        <w:top w:w="0" w:type="dxa"/>
        <w:left w:w="108" w:type="dxa"/>
        <w:bottom w:w="0" w:type="dxa"/>
        <w:right w:w="108" w:type="dxa"/>
      </w:tblCellMar>
    </w:tblPr>
  </w:style>
  <w:style w:type="paragraph" w:styleId="6">
    <w:name w:val="Normal Indent"/>
    <w:basedOn w:val="1"/>
    <w:link w:val="32"/>
    <w:qFormat/>
    <w:locked/>
    <w:uiPriority w:val="99"/>
    <w:pPr>
      <w:ind w:firstLine="420"/>
    </w:pPr>
    <w:rPr>
      <w:szCs w:val="20"/>
    </w:rPr>
  </w:style>
  <w:style w:type="paragraph" w:styleId="7">
    <w:name w:val="caption"/>
    <w:basedOn w:val="1"/>
    <w:next w:val="1"/>
    <w:link w:val="33"/>
    <w:qFormat/>
    <w:locked/>
    <w:uiPriority w:val="0"/>
    <w:pPr>
      <w:keepNext/>
      <w:spacing w:line="480" w:lineRule="exact"/>
      <w:jc w:val="center"/>
    </w:pPr>
    <w:rPr>
      <w:rFonts w:eastAsia="仿宋"/>
      <w:b/>
      <w:bCs/>
      <w:szCs w:val="21"/>
    </w:rPr>
  </w:style>
  <w:style w:type="paragraph" w:styleId="8">
    <w:name w:val="Document Map"/>
    <w:basedOn w:val="1"/>
    <w:link w:val="34"/>
    <w:unhideWhenUsed/>
    <w:qFormat/>
    <w:locked/>
    <w:uiPriority w:val="0"/>
    <w:rPr>
      <w:rFonts w:ascii="宋体"/>
      <w:sz w:val="18"/>
      <w:szCs w:val="18"/>
    </w:rPr>
  </w:style>
  <w:style w:type="paragraph" w:styleId="9">
    <w:name w:val="annotation text"/>
    <w:basedOn w:val="1"/>
    <w:link w:val="35"/>
    <w:qFormat/>
    <w:uiPriority w:val="0"/>
    <w:pPr>
      <w:jc w:val="left"/>
    </w:pPr>
    <w:rPr>
      <w:kern w:val="0"/>
      <w:sz w:val="24"/>
      <w:szCs w:val="20"/>
    </w:rPr>
  </w:style>
  <w:style w:type="paragraph" w:styleId="10">
    <w:name w:val="Body Text"/>
    <w:basedOn w:val="1"/>
    <w:link w:val="36"/>
    <w:qFormat/>
    <w:uiPriority w:val="0"/>
    <w:pPr>
      <w:widowControl/>
      <w:snapToGrid w:val="0"/>
      <w:spacing w:line="500" w:lineRule="exact"/>
      <w:ind w:firstLine="422" w:firstLineChars="200"/>
      <w:jc w:val="center"/>
    </w:pPr>
    <w:rPr>
      <w:rFonts w:eastAsia="仿宋"/>
      <w:b/>
      <w:bCs/>
      <w:szCs w:val="21"/>
    </w:rPr>
  </w:style>
  <w:style w:type="paragraph" w:styleId="11">
    <w:name w:val="Body Text Indent"/>
    <w:basedOn w:val="1"/>
    <w:link w:val="37"/>
    <w:qFormat/>
    <w:uiPriority w:val="0"/>
    <w:pPr>
      <w:spacing w:after="120"/>
      <w:ind w:left="420" w:leftChars="200"/>
    </w:pPr>
    <w:rPr>
      <w:kern w:val="0"/>
      <w:sz w:val="24"/>
      <w:szCs w:val="20"/>
    </w:rPr>
  </w:style>
  <w:style w:type="paragraph" w:styleId="12">
    <w:name w:val="Block Text"/>
    <w:basedOn w:val="1"/>
    <w:qFormat/>
    <w:locked/>
    <w:uiPriority w:val="0"/>
    <w:pPr>
      <w:spacing w:before="120"/>
      <w:ind w:left="113" w:right="113"/>
    </w:pPr>
    <w:rPr>
      <w:rFonts w:ascii="Arial" w:hAnsi="Arial"/>
      <w:kern w:val="24"/>
      <w:sz w:val="24"/>
    </w:rPr>
  </w:style>
  <w:style w:type="paragraph" w:styleId="13">
    <w:name w:val="List Bullet 5"/>
    <w:basedOn w:val="1"/>
    <w:semiHidden/>
    <w:unhideWhenUsed/>
    <w:qFormat/>
    <w:locked/>
    <w:uiPriority w:val="0"/>
    <w:pPr>
      <w:numPr>
        <w:ilvl w:val="0"/>
        <w:numId w:val="1"/>
      </w:numPr>
    </w:pPr>
  </w:style>
  <w:style w:type="paragraph" w:styleId="14">
    <w:name w:val="Date"/>
    <w:basedOn w:val="1"/>
    <w:next w:val="1"/>
    <w:link w:val="38"/>
    <w:qFormat/>
    <w:uiPriority w:val="0"/>
    <w:pPr>
      <w:ind w:left="100" w:leftChars="2500"/>
    </w:pPr>
    <w:rPr>
      <w:kern w:val="0"/>
      <w:sz w:val="24"/>
      <w:szCs w:val="20"/>
    </w:rPr>
  </w:style>
  <w:style w:type="paragraph" w:styleId="15">
    <w:name w:val="Balloon Text"/>
    <w:basedOn w:val="1"/>
    <w:link w:val="39"/>
    <w:semiHidden/>
    <w:qFormat/>
    <w:uiPriority w:val="0"/>
    <w:rPr>
      <w:kern w:val="0"/>
      <w:sz w:val="18"/>
      <w:szCs w:val="20"/>
    </w:rPr>
  </w:style>
  <w:style w:type="paragraph" w:styleId="16">
    <w:name w:val="footer"/>
    <w:basedOn w:val="1"/>
    <w:link w:val="40"/>
    <w:qFormat/>
    <w:uiPriority w:val="99"/>
    <w:pPr>
      <w:tabs>
        <w:tab w:val="center" w:pos="4153"/>
        <w:tab w:val="right" w:pos="8306"/>
      </w:tabs>
      <w:snapToGrid w:val="0"/>
      <w:jc w:val="left"/>
    </w:pPr>
    <w:rPr>
      <w:kern w:val="0"/>
      <w:sz w:val="18"/>
      <w:szCs w:val="20"/>
    </w:rPr>
  </w:style>
  <w:style w:type="paragraph" w:styleId="17">
    <w:name w:val="header"/>
    <w:basedOn w:val="1"/>
    <w:next w:val="10"/>
    <w:link w:val="41"/>
    <w:qFormat/>
    <w:uiPriority w:val="99"/>
    <w:pPr>
      <w:pBdr>
        <w:bottom w:val="single" w:color="auto" w:sz="6" w:space="1"/>
      </w:pBdr>
      <w:tabs>
        <w:tab w:val="center" w:pos="4153"/>
        <w:tab w:val="right" w:pos="8306"/>
      </w:tabs>
      <w:snapToGrid w:val="0"/>
      <w:jc w:val="center"/>
    </w:pPr>
    <w:rPr>
      <w:kern w:val="0"/>
      <w:sz w:val="18"/>
      <w:szCs w:val="20"/>
    </w:rPr>
  </w:style>
  <w:style w:type="paragraph" w:styleId="18">
    <w:name w:val="Body Text Indent 3"/>
    <w:basedOn w:val="1"/>
    <w:link w:val="42"/>
    <w:qFormat/>
    <w:locked/>
    <w:uiPriority w:val="0"/>
    <w:pPr>
      <w:spacing w:after="120"/>
      <w:ind w:left="420" w:leftChars="200"/>
    </w:pPr>
    <w:rPr>
      <w:sz w:val="16"/>
      <w:szCs w:val="16"/>
    </w:rPr>
  </w:style>
  <w:style w:type="paragraph" w:styleId="19">
    <w:name w:val="toc 2"/>
    <w:basedOn w:val="1"/>
    <w:next w:val="1"/>
    <w:qFormat/>
    <w:locked/>
    <w:uiPriority w:val="39"/>
    <w:pPr>
      <w:tabs>
        <w:tab w:val="left" w:pos="567"/>
        <w:tab w:val="left" w:pos="630"/>
        <w:tab w:val="right" w:leader="dot" w:pos="8302"/>
      </w:tabs>
      <w:ind w:left="210"/>
      <w:jc w:val="left"/>
    </w:pPr>
    <w:rPr>
      <w:smallCaps/>
      <w:sz w:val="20"/>
      <w:szCs w:val="20"/>
    </w:rPr>
  </w:style>
  <w:style w:type="paragraph" w:styleId="20">
    <w:name w:val="Body Text 2"/>
    <w:basedOn w:val="1"/>
    <w:link w:val="85"/>
    <w:semiHidden/>
    <w:unhideWhenUsed/>
    <w:qFormat/>
    <w:locked/>
    <w:uiPriority w:val="0"/>
    <w:pPr>
      <w:spacing w:after="120" w:line="480" w:lineRule="auto"/>
    </w:pPr>
  </w:style>
  <w:style w:type="paragraph" w:styleId="21">
    <w:name w:val="Normal (Web)"/>
    <w:basedOn w:val="1"/>
    <w:link w:val="43"/>
    <w:qFormat/>
    <w:uiPriority w:val="0"/>
    <w:pPr>
      <w:widowControl/>
      <w:spacing w:before="100" w:beforeAutospacing="1" w:after="100" w:afterAutospacing="1"/>
      <w:jc w:val="center"/>
      <w:outlineLvl w:val="0"/>
    </w:pPr>
    <w:rPr>
      <w:rFonts w:eastAsia="仿宋"/>
      <w:snapToGrid w:val="0"/>
      <w:kern w:val="0"/>
      <w:sz w:val="24"/>
    </w:rPr>
  </w:style>
  <w:style w:type="paragraph" w:styleId="22">
    <w:name w:val="Title"/>
    <w:basedOn w:val="1"/>
    <w:next w:val="1"/>
    <w:link w:val="88"/>
    <w:qFormat/>
    <w:locked/>
    <w:uiPriority w:val="0"/>
    <w:pPr>
      <w:spacing w:line="440" w:lineRule="exact"/>
      <w:jc w:val="center"/>
      <w:outlineLvl w:val="0"/>
    </w:pPr>
    <w:rPr>
      <w:b/>
      <w:bCs/>
      <w:szCs w:val="32"/>
    </w:rPr>
  </w:style>
  <w:style w:type="paragraph" w:styleId="23">
    <w:name w:val="annotation subject"/>
    <w:basedOn w:val="9"/>
    <w:next w:val="9"/>
    <w:link w:val="44"/>
    <w:semiHidden/>
    <w:qFormat/>
    <w:uiPriority w:val="0"/>
    <w:rPr>
      <w:b/>
      <w:kern w:val="2"/>
    </w:rPr>
  </w:style>
  <w:style w:type="table" w:styleId="25">
    <w:name w:val="Table Grid"/>
    <w:basedOn w:val="24"/>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locked/>
    <w:uiPriority w:val="0"/>
    <w:rPr>
      <w:b/>
      <w:bCs/>
    </w:rPr>
  </w:style>
  <w:style w:type="character" w:styleId="28">
    <w:name w:val="page number"/>
    <w:basedOn w:val="26"/>
    <w:qFormat/>
    <w:locked/>
    <w:uiPriority w:val="0"/>
  </w:style>
  <w:style w:type="character" w:styleId="29">
    <w:name w:val="Emphasis"/>
    <w:basedOn w:val="26"/>
    <w:qFormat/>
    <w:locked/>
    <w:uiPriority w:val="20"/>
    <w:rPr>
      <w:i/>
      <w:iCs/>
    </w:rPr>
  </w:style>
  <w:style w:type="character" w:styleId="30">
    <w:name w:val="Hyperlink"/>
    <w:basedOn w:val="26"/>
    <w:unhideWhenUsed/>
    <w:qFormat/>
    <w:locked/>
    <w:uiPriority w:val="0"/>
    <w:rPr>
      <w:color w:val="0000FF"/>
      <w:u w:val="single"/>
    </w:rPr>
  </w:style>
  <w:style w:type="character" w:styleId="31">
    <w:name w:val="annotation reference"/>
    <w:basedOn w:val="26"/>
    <w:semiHidden/>
    <w:qFormat/>
    <w:uiPriority w:val="0"/>
    <w:rPr>
      <w:sz w:val="21"/>
    </w:rPr>
  </w:style>
  <w:style w:type="character" w:customStyle="1" w:styleId="32">
    <w:name w:val="正文缩进 字符"/>
    <w:link w:val="6"/>
    <w:qFormat/>
    <w:uiPriority w:val="0"/>
    <w:rPr>
      <w:kern w:val="2"/>
      <w:sz w:val="21"/>
    </w:rPr>
  </w:style>
  <w:style w:type="character" w:customStyle="1" w:styleId="33">
    <w:name w:val="题注 字符"/>
    <w:link w:val="7"/>
    <w:qFormat/>
    <w:uiPriority w:val="0"/>
    <w:rPr>
      <w:rFonts w:eastAsia="仿宋"/>
      <w:b/>
      <w:bCs/>
      <w:kern w:val="2"/>
      <w:sz w:val="21"/>
      <w:szCs w:val="21"/>
    </w:rPr>
  </w:style>
  <w:style w:type="character" w:customStyle="1" w:styleId="34">
    <w:name w:val="文档结构图 字符"/>
    <w:basedOn w:val="26"/>
    <w:link w:val="8"/>
    <w:qFormat/>
    <w:uiPriority w:val="0"/>
    <w:rPr>
      <w:rFonts w:ascii="宋体"/>
      <w:kern w:val="2"/>
      <w:sz w:val="18"/>
      <w:szCs w:val="18"/>
    </w:rPr>
  </w:style>
  <w:style w:type="character" w:customStyle="1" w:styleId="35">
    <w:name w:val="批注文字 字符"/>
    <w:link w:val="9"/>
    <w:qFormat/>
    <w:locked/>
    <w:uiPriority w:val="0"/>
    <w:rPr>
      <w:rFonts w:ascii="Times New Roman" w:hAnsi="Times New Roman" w:eastAsia="宋体"/>
      <w:sz w:val="24"/>
    </w:rPr>
  </w:style>
  <w:style w:type="character" w:customStyle="1" w:styleId="36">
    <w:name w:val="正文文本 字符"/>
    <w:link w:val="10"/>
    <w:qFormat/>
    <w:locked/>
    <w:uiPriority w:val="0"/>
    <w:rPr>
      <w:rFonts w:eastAsia="仿宋"/>
      <w:b/>
      <w:bCs/>
      <w:kern w:val="2"/>
      <w:sz w:val="21"/>
      <w:szCs w:val="21"/>
    </w:rPr>
  </w:style>
  <w:style w:type="character" w:customStyle="1" w:styleId="37">
    <w:name w:val="正文文本缩进 字符"/>
    <w:link w:val="11"/>
    <w:qFormat/>
    <w:locked/>
    <w:uiPriority w:val="0"/>
    <w:rPr>
      <w:rFonts w:ascii="Times New Roman" w:hAnsi="Times New Roman" w:eastAsia="宋体"/>
      <w:sz w:val="24"/>
    </w:rPr>
  </w:style>
  <w:style w:type="character" w:customStyle="1" w:styleId="38">
    <w:name w:val="日期 字符1"/>
    <w:link w:val="14"/>
    <w:qFormat/>
    <w:locked/>
    <w:uiPriority w:val="0"/>
    <w:rPr>
      <w:rFonts w:ascii="Times New Roman" w:hAnsi="Times New Roman" w:eastAsia="宋体"/>
      <w:sz w:val="24"/>
    </w:rPr>
  </w:style>
  <w:style w:type="character" w:customStyle="1" w:styleId="39">
    <w:name w:val="批注框文本 字符"/>
    <w:link w:val="15"/>
    <w:semiHidden/>
    <w:qFormat/>
    <w:locked/>
    <w:uiPriority w:val="0"/>
    <w:rPr>
      <w:rFonts w:ascii="Times New Roman" w:hAnsi="Times New Roman" w:eastAsia="宋体"/>
      <w:sz w:val="18"/>
    </w:rPr>
  </w:style>
  <w:style w:type="character" w:customStyle="1" w:styleId="40">
    <w:name w:val="页脚 字符1"/>
    <w:link w:val="16"/>
    <w:qFormat/>
    <w:locked/>
    <w:uiPriority w:val="99"/>
    <w:rPr>
      <w:sz w:val="18"/>
    </w:rPr>
  </w:style>
  <w:style w:type="character" w:customStyle="1" w:styleId="41">
    <w:name w:val="页眉 字符"/>
    <w:link w:val="17"/>
    <w:qFormat/>
    <w:locked/>
    <w:uiPriority w:val="99"/>
    <w:rPr>
      <w:sz w:val="18"/>
    </w:rPr>
  </w:style>
  <w:style w:type="character" w:customStyle="1" w:styleId="42">
    <w:name w:val="正文文本缩进 3 字符"/>
    <w:basedOn w:val="26"/>
    <w:link w:val="18"/>
    <w:qFormat/>
    <w:uiPriority w:val="0"/>
    <w:rPr>
      <w:kern w:val="2"/>
      <w:sz w:val="16"/>
      <w:szCs w:val="16"/>
    </w:rPr>
  </w:style>
  <w:style w:type="character" w:customStyle="1" w:styleId="43">
    <w:name w:val="普通(网站) 字符"/>
    <w:link w:val="21"/>
    <w:qFormat/>
    <w:locked/>
    <w:uiPriority w:val="0"/>
    <w:rPr>
      <w:rFonts w:eastAsia="仿宋"/>
      <w:snapToGrid w:val="0"/>
      <w:sz w:val="24"/>
      <w:szCs w:val="24"/>
    </w:rPr>
  </w:style>
  <w:style w:type="character" w:customStyle="1" w:styleId="44">
    <w:name w:val="批注主题 字符"/>
    <w:link w:val="23"/>
    <w:semiHidden/>
    <w:qFormat/>
    <w:locked/>
    <w:uiPriority w:val="0"/>
    <w:rPr>
      <w:rFonts w:ascii="Times New Roman" w:hAnsi="Times New Roman" w:eastAsia="宋体"/>
      <w:b/>
      <w:kern w:val="2"/>
      <w:sz w:val="24"/>
    </w:rPr>
  </w:style>
  <w:style w:type="character" w:customStyle="1" w:styleId="45">
    <w:name w:val="页脚 字符"/>
    <w:basedOn w:val="26"/>
    <w:qFormat/>
    <w:uiPriority w:val="99"/>
  </w:style>
  <w:style w:type="character" w:customStyle="1" w:styleId="46">
    <w:name w:val="正文文本 字符1"/>
    <w:semiHidden/>
    <w:qFormat/>
    <w:uiPriority w:val="0"/>
    <w:rPr>
      <w:rFonts w:ascii="Times New Roman" w:hAnsi="Times New Roman" w:eastAsia="宋体"/>
      <w:sz w:val="24"/>
    </w:rPr>
  </w:style>
  <w:style w:type="character" w:customStyle="1" w:styleId="47">
    <w:name w:val="表格 Char"/>
    <w:link w:val="48"/>
    <w:qFormat/>
    <w:locked/>
    <w:uiPriority w:val="0"/>
    <w:rPr>
      <w:rFonts w:ascii="宋体"/>
      <w:sz w:val="21"/>
    </w:rPr>
  </w:style>
  <w:style w:type="paragraph" w:customStyle="1" w:styleId="48">
    <w:name w:val="表格"/>
    <w:basedOn w:val="1"/>
    <w:next w:val="1"/>
    <w:link w:val="47"/>
    <w:qFormat/>
    <w:uiPriority w:val="0"/>
    <w:pPr>
      <w:adjustRightInd w:val="0"/>
      <w:snapToGrid w:val="0"/>
      <w:spacing w:beforeLines="10" w:afterLines="10" w:line="259" w:lineRule="auto"/>
      <w:jc w:val="center"/>
    </w:pPr>
    <w:rPr>
      <w:rFonts w:ascii="宋体"/>
      <w:kern w:val="0"/>
      <w:szCs w:val="20"/>
    </w:rPr>
  </w:style>
  <w:style w:type="character" w:customStyle="1" w:styleId="49">
    <w:name w:val="日期 字符"/>
    <w:semiHidden/>
    <w:qFormat/>
    <w:uiPriority w:val="0"/>
    <w:rPr>
      <w:rFonts w:ascii="Times New Roman" w:hAnsi="Times New Roman" w:eastAsia="宋体"/>
      <w:sz w:val="24"/>
    </w:rPr>
  </w:style>
  <w:style w:type="character" w:customStyle="1" w:styleId="50">
    <w:name w:val="批注文字 字符1"/>
    <w:semiHidden/>
    <w:qFormat/>
    <w:uiPriority w:val="0"/>
    <w:rPr>
      <w:rFonts w:ascii="Times New Roman" w:hAnsi="Times New Roman" w:eastAsia="宋体"/>
      <w:sz w:val="24"/>
    </w:rPr>
  </w:style>
  <w:style w:type="paragraph" w:customStyle="1" w:styleId="5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2">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53">
    <w:name w:val="纯文本1 Char Char"/>
    <w:qFormat/>
    <w:uiPriority w:val="0"/>
    <w:rPr>
      <w:rFonts w:ascii="宋体" w:hAnsi="Courier New" w:eastAsia="仿宋_GB2312"/>
      <w:kern w:val="2"/>
      <w:sz w:val="21"/>
      <w:lang w:val="en-US" w:eastAsia="zh-CN" w:bidi="ar-SA"/>
    </w:rPr>
  </w:style>
  <w:style w:type="paragraph" w:customStyle="1" w:styleId="54">
    <w:name w:val="图表文字"/>
    <w:basedOn w:val="1"/>
    <w:link w:val="55"/>
    <w:qFormat/>
    <w:uiPriority w:val="0"/>
    <w:pPr>
      <w:jc w:val="center"/>
    </w:pPr>
    <w:rPr>
      <w:rFonts w:ascii="仿宋_GB2312" w:eastAsia="仿宋_GB2312"/>
    </w:rPr>
  </w:style>
  <w:style w:type="character" w:customStyle="1" w:styleId="55">
    <w:name w:val="图表文字 Char"/>
    <w:link w:val="54"/>
    <w:qFormat/>
    <w:uiPriority w:val="0"/>
    <w:rPr>
      <w:rFonts w:ascii="仿宋_GB2312" w:eastAsia="仿宋_GB2312"/>
      <w:kern w:val="2"/>
      <w:sz w:val="21"/>
      <w:szCs w:val="24"/>
    </w:rPr>
  </w:style>
  <w:style w:type="paragraph" w:customStyle="1" w:styleId="56">
    <w:name w:val="样式1"/>
    <w:basedOn w:val="1"/>
    <w:link w:val="57"/>
    <w:qFormat/>
    <w:uiPriority w:val="0"/>
    <w:pPr>
      <w:spacing w:line="360" w:lineRule="auto"/>
      <w:ind w:firstLine="510"/>
    </w:pPr>
    <w:rPr>
      <w:sz w:val="24"/>
      <w:szCs w:val="20"/>
    </w:rPr>
  </w:style>
  <w:style w:type="character" w:customStyle="1" w:styleId="57">
    <w:name w:val="样式1 Char"/>
    <w:link w:val="56"/>
    <w:qFormat/>
    <w:uiPriority w:val="0"/>
    <w:rPr>
      <w:kern w:val="2"/>
      <w:sz w:val="24"/>
    </w:rPr>
  </w:style>
  <w:style w:type="paragraph" w:customStyle="1" w:styleId="58">
    <w:name w:val="表格文字"/>
    <w:basedOn w:val="1"/>
    <w:link w:val="59"/>
    <w:qFormat/>
    <w:uiPriority w:val="0"/>
    <w:pPr>
      <w:spacing w:line="240" w:lineRule="atLeast"/>
      <w:jc w:val="center"/>
    </w:pPr>
  </w:style>
  <w:style w:type="character" w:customStyle="1" w:styleId="59">
    <w:name w:val="表格文字 Char"/>
    <w:link w:val="58"/>
    <w:qFormat/>
    <w:uiPriority w:val="0"/>
    <w:rPr>
      <w:kern w:val="2"/>
      <w:sz w:val="21"/>
      <w:szCs w:val="24"/>
    </w:rPr>
  </w:style>
  <w:style w:type="paragraph" w:customStyle="1" w:styleId="60">
    <w:name w:val="表标题"/>
    <w:basedOn w:val="11"/>
    <w:link w:val="61"/>
    <w:qFormat/>
    <w:uiPriority w:val="0"/>
    <w:pPr>
      <w:spacing w:after="0" w:line="480" w:lineRule="exact"/>
      <w:ind w:left="0" w:leftChars="0"/>
      <w:jc w:val="center"/>
    </w:pPr>
    <w:rPr>
      <w:rFonts w:eastAsia="仿宋"/>
      <w:b/>
      <w:kern w:val="2"/>
      <w:sz w:val="21"/>
      <w:szCs w:val="21"/>
    </w:rPr>
  </w:style>
  <w:style w:type="character" w:customStyle="1" w:styleId="61">
    <w:name w:val="表标题 Char"/>
    <w:link w:val="60"/>
    <w:qFormat/>
    <w:uiPriority w:val="0"/>
    <w:rPr>
      <w:rFonts w:eastAsia="仿宋"/>
      <w:b/>
      <w:kern w:val="2"/>
      <w:sz w:val="21"/>
      <w:szCs w:val="21"/>
    </w:rPr>
  </w:style>
  <w:style w:type="character" w:customStyle="1" w:styleId="62">
    <w:name w:val="表内 字符"/>
    <w:link w:val="63"/>
    <w:qFormat/>
    <w:uiPriority w:val="0"/>
    <w:rPr>
      <w:rFonts w:eastAsia="仿宋"/>
      <w:b/>
      <w:bCs/>
      <w:kern w:val="2"/>
      <w:sz w:val="21"/>
      <w:szCs w:val="21"/>
    </w:rPr>
  </w:style>
  <w:style w:type="paragraph" w:customStyle="1" w:styleId="63">
    <w:name w:val="表内"/>
    <w:basedOn w:val="1"/>
    <w:link w:val="62"/>
    <w:qFormat/>
    <w:uiPriority w:val="0"/>
    <w:pPr>
      <w:widowControl/>
      <w:jc w:val="center"/>
    </w:pPr>
    <w:rPr>
      <w:rFonts w:eastAsia="仿宋"/>
      <w:b/>
      <w:bCs/>
      <w:szCs w:val="21"/>
    </w:rPr>
  </w:style>
  <w:style w:type="paragraph" w:customStyle="1" w:styleId="64">
    <w:name w:val="正文文本缩进12"/>
    <w:basedOn w:val="1"/>
    <w:qFormat/>
    <w:uiPriority w:val="0"/>
    <w:pPr>
      <w:adjustRightInd w:val="0"/>
      <w:spacing w:after="120" w:line="360" w:lineRule="auto"/>
      <w:ind w:left="420" w:leftChars="200" w:firstLine="200" w:firstLineChars="200"/>
      <w:textAlignment w:val="baseline"/>
    </w:pPr>
    <w:rPr>
      <w:sz w:val="24"/>
      <w:szCs w:val="20"/>
    </w:rPr>
  </w:style>
  <w:style w:type="paragraph" w:styleId="65">
    <w:name w:val="List Paragraph"/>
    <w:basedOn w:val="1"/>
    <w:qFormat/>
    <w:uiPriority w:val="1"/>
    <w:pPr>
      <w:ind w:firstLine="420" w:firstLineChars="200"/>
    </w:pPr>
    <w:rPr>
      <w:sz w:val="24"/>
      <w:szCs w:val="20"/>
    </w:rPr>
  </w:style>
  <w:style w:type="paragraph" w:customStyle="1" w:styleId="66">
    <w:name w:val="表格的文字"/>
    <w:basedOn w:val="1"/>
    <w:link w:val="67"/>
    <w:qFormat/>
    <w:uiPriority w:val="0"/>
    <w:pPr>
      <w:spacing w:line="300" w:lineRule="exact"/>
      <w:jc w:val="center"/>
    </w:pPr>
    <w:rPr>
      <w:rFonts w:ascii="仿宋_GB2312" w:eastAsia="仿宋_GB2312"/>
      <w:bCs/>
      <w:kern w:val="0"/>
      <w:sz w:val="20"/>
      <w:szCs w:val="20"/>
    </w:rPr>
  </w:style>
  <w:style w:type="character" w:customStyle="1" w:styleId="67">
    <w:name w:val="表格的文字 Char"/>
    <w:link w:val="66"/>
    <w:qFormat/>
    <w:uiPriority w:val="0"/>
    <w:rPr>
      <w:rFonts w:ascii="仿宋_GB2312" w:eastAsia="仿宋_GB2312"/>
      <w:bCs/>
    </w:rPr>
  </w:style>
  <w:style w:type="character" w:customStyle="1" w:styleId="68">
    <w:name w:val="图表文字 Char Char"/>
    <w:qFormat/>
    <w:locked/>
    <w:uiPriority w:val="0"/>
    <w:rPr>
      <w:rFonts w:ascii="仿宋_GB2312" w:eastAsia="仿宋_GB2312"/>
      <w:kern w:val="2"/>
      <w:sz w:val="21"/>
      <w:szCs w:val="24"/>
      <w:lang w:val="en-US"/>
    </w:rPr>
  </w:style>
  <w:style w:type="paragraph" w:customStyle="1" w:styleId="69">
    <w:name w:val="正文j"/>
    <w:qFormat/>
    <w:uiPriority w:val="0"/>
    <w:pPr>
      <w:adjustRightInd w:val="0"/>
      <w:snapToGrid w:val="0"/>
      <w:spacing w:beforeLines="25" w:afterLines="25" w:line="360" w:lineRule="auto"/>
      <w:ind w:firstLine="200" w:firstLineChars="200"/>
    </w:pPr>
    <w:rPr>
      <w:rFonts w:ascii="Times New Roman" w:hAnsi="Times New Roman" w:eastAsia="宋体" w:cs="Times New Roman"/>
      <w:kern w:val="2"/>
      <w:sz w:val="24"/>
      <w:szCs w:val="28"/>
      <w:lang w:val="en-US" w:eastAsia="zh-CN" w:bidi="ar-SA"/>
    </w:rPr>
  </w:style>
  <w:style w:type="table" w:customStyle="1" w:styleId="70">
    <w:name w:val="网格型模版1"/>
    <w:basedOn w:val="24"/>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1">
    <w:name w:val="1正文 字符"/>
    <w:link w:val="72"/>
    <w:qFormat/>
    <w:uiPriority w:val="99"/>
    <w:rPr>
      <w:rFonts w:eastAsia="仿宋"/>
      <w:bCs/>
      <w:spacing w:val="5"/>
      <w:sz w:val="24"/>
      <w:szCs w:val="21"/>
    </w:rPr>
  </w:style>
  <w:style w:type="paragraph" w:customStyle="1" w:styleId="72">
    <w:name w:val="1正文"/>
    <w:basedOn w:val="1"/>
    <w:link w:val="71"/>
    <w:qFormat/>
    <w:uiPriority w:val="99"/>
    <w:pPr>
      <w:autoSpaceDE w:val="0"/>
      <w:autoSpaceDN w:val="0"/>
      <w:adjustRightInd w:val="0"/>
      <w:snapToGrid w:val="0"/>
      <w:spacing w:beforeLines="25" w:afterLines="25" w:line="360" w:lineRule="auto"/>
      <w:ind w:firstLine="200" w:firstLineChars="200"/>
    </w:pPr>
    <w:rPr>
      <w:rFonts w:eastAsia="仿宋"/>
      <w:bCs/>
      <w:spacing w:val="5"/>
      <w:kern w:val="0"/>
      <w:sz w:val="24"/>
      <w:szCs w:val="21"/>
    </w:rPr>
  </w:style>
  <w:style w:type="paragraph" w:customStyle="1" w:styleId="73">
    <w:name w:val="报告书表格"/>
    <w:basedOn w:val="1"/>
    <w:link w:val="74"/>
    <w:qFormat/>
    <w:uiPriority w:val="0"/>
    <w:pPr>
      <w:adjustRightInd w:val="0"/>
      <w:jc w:val="center"/>
      <w:textAlignment w:val="baseline"/>
    </w:pPr>
    <w:rPr>
      <w:kern w:val="0"/>
      <w:szCs w:val="20"/>
    </w:rPr>
  </w:style>
  <w:style w:type="character" w:customStyle="1" w:styleId="74">
    <w:name w:val="报告书表格 Char"/>
    <w:link w:val="73"/>
    <w:qFormat/>
    <w:uiPriority w:val="0"/>
    <w:rPr>
      <w:rFonts w:cs="Cambria Math"/>
      <w:sz w:val="21"/>
    </w:rPr>
  </w:style>
  <w:style w:type="paragraph" w:customStyle="1" w:styleId="75">
    <w:name w:val="顺源 表头"/>
    <w:basedOn w:val="1"/>
    <w:qFormat/>
    <w:uiPriority w:val="0"/>
    <w:pPr>
      <w:jc w:val="center"/>
    </w:pPr>
    <w:rPr>
      <w:rFonts w:cs="微软雅黑"/>
      <w:b/>
      <w:color w:val="000000"/>
      <w:sz w:val="24"/>
      <w:szCs w:val="22"/>
    </w:rPr>
  </w:style>
  <w:style w:type="paragraph" w:customStyle="1" w:styleId="76">
    <w:name w:val="创业表格标准"/>
    <w:basedOn w:val="5"/>
    <w:qFormat/>
    <w:uiPriority w:val="0"/>
    <w:pPr>
      <w:keepNext w:val="0"/>
      <w:keepLines w:val="0"/>
      <w:widowControl/>
      <w:tabs>
        <w:tab w:val="left" w:pos="4179"/>
      </w:tabs>
      <w:overflowPunct w:val="0"/>
      <w:spacing w:before="0" w:after="0" w:line="312" w:lineRule="auto"/>
      <w:ind w:left="10" w:leftChars="10" w:right="10" w:rightChars="10"/>
      <w:jc w:val="center"/>
      <w:textAlignment w:val="center"/>
      <w:outlineLvl w:val="9"/>
    </w:pPr>
    <w:rPr>
      <w:rFonts w:ascii="Times New Roman" w:hAnsi="Times New Roman" w:eastAsia="仿宋"/>
      <w:b w:val="0"/>
      <w:bCs w:val="0"/>
      <w:kern w:val="0"/>
      <w:sz w:val="21"/>
      <w:szCs w:val="24"/>
    </w:rPr>
  </w:style>
  <w:style w:type="paragraph" w:customStyle="1" w:styleId="77">
    <w:name w:val="创业表格"/>
    <w:basedOn w:val="78"/>
    <w:link w:val="89"/>
    <w:qFormat/>
    <w:uiPriority w:val="0"/>
    <w:pPr>
      <w:spacing w:line="300" w:lineRule="auto"/>
    </w:pPr>
    <w:rPr>
      <w:rFonts w:eastAsia="仿宋"/>
      <w:b w:val="0"/>
      <w:sz w:val="21"/>
    </w:rPr>
  </w:style>
  <w:style w:type="paragraph" w:customStyle="1" w:styleId="78">
    <w:name w:val="创业表头"/>
    <w:basedOn w:val="1"/>
    <w:qFormat/>
    <w:uiPriority w:val="99"/>
    <w:pPr>
      <w:snapToGrid w:val="0"/>
      <w:spacing w:line="360" w:lineRule="auto"/>
      <w:jc w:val="center"/>
    </w:pPr>
    <w:rPr>
      <w:b/>
      <w:sz w:val="24"/>
      <w:szCs w:val="20"/>
    </w:rPr>
  </w:style>
  <w:style w:type="paragraph" w:customStyle="1" w:styleId="79">
    <w:name w:val="我的样式（正文）"/>
    <w:basedOn w:val="1"/>
    <w:qFormat/>
    <w:uiPriority w:val="0"/>
    <w:pPr>
      <w:spacing w:line="440" w:lineRule="exact"/>
    </w:pPr>
    <w:rPr>
      <w:rFonts w:ascii="宋体"/>
      <w:sz w:val="28"/>
    </w:rPr>
  </w:style>
  <w:style w:type="paragraph" w:customStyle="1" w:styleId="80">
    <w:name w:val="表图"/>
    <w:basedOn w:val="1"/>
    <w:next w:val="1"/>
    <w:qFormat/>
    <w:uiPriority w:val="0"/>
    <w:pPr>
      <w:jc w:val="center"/>
    </w:pPr>
    <w:rPr>
      <w:rFonts w:hAnsiTheme="minorHAnsi" w:eastAsiaTheme="minorEastAsia" w:cstheme="minorBidi"/>
      <w:sz w:val="24"/>
      <w:szCs w:val="22"/>
    </w:rPr>
  </w:style>
  <w:style w:type="character" w:customStyle="1" w:styleId="81">
    <w:name w:val="正文缩进 字符1"/>
    <w:qFormat/>
    <w:uiPriority w:val="0"/>
    <w:rPr>
      <w:kern w:val="2"/>
      <w:sz w:val="21"/>
    </w:rPr>
  </w:style>
  <w:style w:type="paragraph" w:customStyle="1" w:styleId="82">
    <w:name w:val="Table Paragraph"/>
    <w:basedOn w:val="1"/>
    <w:qFormat/>
    <w:uiPriority w:val="1"/>
    <w:pPr>
      <w:autoSpaceDE w:val="0"/>
      <w:autoSpaceDN w:val="0"/>
      <w:jc w:val="left"/>
    </w:pPr>
    <w:rPr>
      <w:rFonts w:ascii="宋体" w:hAnsi="宋体" w:cs="宋体"/>
      <w:kern w:val="0"/>
      <w:sz w:val="22"/>
      <w:szCs w:val="22"/>
      <w:lang w:val="zh-CN" w:bidi="zh-CN"/>
    </w:rPr>
  </w:style>
  <w:style w:type="paragraph" w:customStyle="1" w:styleId="8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table" w:customStyle="1" w:styleId="84">
    <w:name w:val="网格型1"/>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5">
    <w:name w:val="正文文本 2 字符"/>
    <w:basedOn w:val="26"/>
    <w:link w:val="20"/>
    <w:semiHidden/>
    <w:qFormat/>
    <w:uiPriority w:val="0"/>
    <w:rPr>
      <w:kern w:val="2"/>
      <w:sz w:val="21"/>
      <w:szCs w:val="24"/>
    </w:rPr>
  </w:style>
  <w:style w:type="paragraph" w:styleId="86">
    <w:name w:val="No Spacing"/>
    <w:qFormat/>
    <w:uiPriority w:val="1"/>
    <w:pPr>
      <w:widowControl w:val="0"/>
      <w:spacing w:line="360" w:lineRule="exact"/>
      <w:jc w:val="center"/>
    </w:pPr>
    <w:rPr>
      <w:rFonts w:ascii="Times New Roman" w:hAnsi="Times New Roman" w:eastAsia="宋体" w:cs="Times New Roman"/>
      <w:kern w:val="2"/>
      <w:sz w:val="21"/>
      <w:szCs w:val="24"/>
      <w:lang w:val="en-US" w:eastAsia="zh-CN" w:bidi="ar-SA"/>
    </w:rPr>
  </w:style>
  <w:style w:type="paragraph" w:customStyle="1" w:styleId="87">
    <w:name w:val="绿岛正文"/>
    <w:basedOn w:val="1"/>
    <w:qFormat/>
    <w:uiPriority w:val="0"/>
    <w:pPr>
      <w:adjustRightInd w:val="0"/>
      <w:snapToGrid w:val="0"/>
      <w:spacing w:line="500" w:lineRule="exact"/>
      <w:ind w:firstLine="200" w:firstLineChars="200"/>
    </w:pPr>
    <w:rPr>
      <w:rFonts w:eastAsia="仿宋_GB2312"/>
      <w:sz w:val="28"/>
      <w:szCs w:val="28"/>
    </w:rPr>
  </w:style>
  <w:style w:type="character" w:customStyle="1" w:styleId="88">
    <w:name w:val="标题 字符1"/>
    <w:basedOn w:val="26"/>
    <w:link w:val="22"/>
    <w:qFormat/>
    <w:uiPriority w:val="0"/>
    <w:rPr>
      <w:b/>
      <w:bCs/>
      <w:kern w:val="2"/>
      <w:sz w:val="21"/>
      <w:szCs w:val="32"/>
    </w:rPr>
  </w:style>
  <w:style w:type="character" w:customStyle="1" w:styleId="89">
    <w:name w:val="创业表格 字符"/>
    <w:link w:val="77"/>
    <w:qFormat/>
    <w:locked/>
    <w:uiPriority w:val="0"/>
    <w:rPr>
      <w:rFonts w:eastAsia="仿宋"/>
      <w:kern w:val="2"/>
      <w:sz w:val="21"/>
    </w:rPr>
  </w:style>
  <w:style w:type="character" w:customStyle="1" w:styleId="90">
    <w:name w:val="标题 字符"/>
    <w:basedOn w:val="26"/>
    <w:qFormat/>
    <w:uiPriority w:val="0"/>
    <w:rPr>
      <w:rFonts w:asciiTheme="majorHAnsi" w:hAnsiTheme="majorHAnsi" w:eastAsiaTheme="majorEastAsia" w:cstheme="majorBidi"/>
      <w:b/>
      <w:bCs/>
      <w:sz w:val="32"/>
      <w:szCs w:val="32"/>
    </w:rPr>
  </w:style>
  <w:style w:type="paragraph" w:customStyle="1" w:styleId="91">
    <w:name w:val="Plain Text2"/>
    <w:basedOn w:val="1"/>
    <w:qFormat/>
    <w:uiPriority w:val="0"/>
    <w:pPr>
      <w:autoSpaceDE w:val="0"/>
      <w:autoSpaceDN w:val="0"/>
      <w:adjustRightInd w:val="0"/>
      <w:textAlignment w:val="baseline"/>
    </w:pPr>
    <w:rPr>
      <w:rFonts w:ascii="宋体" w:hAnsi="Tms Rmn"/>
      <w:kern w:val="0"/>
      <w:szCs w:val="20"/>
    </w:rPr>
  </w:style>
  <w:style w:type="character" w:customStyle="1" w:styleId="92">
    <w:name w:val="正文缩进 Char1"/>
    <w:qFormat/>
    <w:uiPriority w:val="0"/>
    <w:rPr>
      <w:rFonts w:eastAsia="宋体"/>
      <w:kern w:val="2"/>
      <w:sz w:val="21"/>
      <w:szCs w:val="24"/>
      <w:lang w:val="en-US" w:eastAsia="zh-CN" w:bidi="ar-SA"/>
    </w:rPr>
  </w:style>
  <w:style w:type="table" w:customStyle="1" w:styleId="93">
    <w:name w:val="Table Normal9"/>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94">
    <w:name w:val="低行距图表文字"/>
    <w:basedOn w:val="54"/>
    <w:qFormat/>
    <w:uiPriority w:val="0"/>
    <w:pPr>
      <w:spacing w:line="240" w:lineRule="exact"/>
    </w:pPr>
    <w:rPr>
      <w:rFonts w:ascii="Times New Roman"/>
      <w:bCs/>
    </w:rPr>
  </w:style>
  <w:style w:type="paragraph" w:customStyle="1" w:styleId="95">
    <w:name w:val="列出段落2"/>
    <w:basedOn w:val="1"/>
    <w:qFormat/>
    <w:uiPriority w:val="34"/>
    <w:pPr>
      <w:spacing w:line="240" w:lineRule="atLeast"/>
      <w:ind w:firstLine="420" w:firstLineChars="200"/>
    </w:pPr>
    <w:rPr>
      <w:rFonts w:ascii="Calibri" w:hAnsi="Calibri" w:eastAsia="仿宋"/>
      <w:szCs w:val="22"/>
    </w:rPr>
  </w:style>
  <w:style w:type="paragraph" w:customStyle="1" w:styleId="96">
    <w:name w:val="正文缩进2"/>
    <w:basedOn w:val="1"/>
    <w:qFormat/>
    <w:uiPriority w:val="0"/>
    <w:pPr>
      <w:spacing w:line="500" w:lineRule="exact"/>
      <w:ind w:firstLine="200" w:firstLineChars="200"/>
    </w:pPr>
    <w:rPr>
      <w:sz w:val="24"/>
    </w:rPr>
  </w:style>
  <w:style w:type="character" w:customStyle="1" w:styleId="97">
    <w:name w:val="创业正文 Char"/>
    <w:link w:val="98"/>
    <w:qFormat/>
    <w:locked/>
    <w:uiPriority w:val="99"/>
    <w:rPr>
      <w:bCs/>
      <w:spacing w:val="5"/>
      <w:sz w:val="24"/>
      <w:szCs w:val="21"/>
    </w:rPr>
  </w:style>
  <w:style w:type="paragraph" w:customStyle="1" w:styleId="98">
    <w:name w:val="创业正文"/>
    <w:basedOn w:val="1"/>
    <w:link w:val="97"/>
    <w:qFormat/>
    <w:uiPriority w:val="99"/>
    <w:pPr>
      <w:autoSpaceDE w:val="0"/>
      <w:autoSpaceDN w:val="0"/>
      <w:adjustRightInd w:val="0"/>
      <w:snapToGrid w:val="0"/>
      <w:spacing w:beforeLines="25" w:afterLines="25" w:line="360" w:lineRule="auto"/>
      <w:ind w:firstLine="200" w:firstLineChars="200"/>
    </w:pPr>
    <w:rPr>
      <w:bCs/>
      <w:spacing w:val="5"/>
      <w:kern w:val="0"/>
      <w:sz w:val="24"/>
      <w:szCs w:val="21"/>
    </w:rPr>
  </w:style>
  <w:style w:type="character" w:customStyle="1" w:styleId="99">
    <w:name w:val="标题 3 字符"/>
    <w:basedOn w:val="26"/>
    <w:link w:val="4"/>
    <w:semiHidden/>
    <w:qFormat/>
    <w:uiPriority w:val="0"/>
    <w:rPr>
      <w:b/>
      <w:bCs/>
      <w:kern w:val="2"/>
      <w:sz w:val="32"/>
      <w:szCs w:val="32"/>
    </w:rPr>
  </w:style>
  <w:style w:type="character" w:customStyle="1" w:styleId="100">
    <w:name w:val="fontstyle01"/>
    <w:basedOn w:val="26"/>
    <w:qFormat/>
    <w:uiPriority w:val="0"/>
    <w:rPr>
      <w:rFonts w:ascii="仿宋" w:hAnsi="仿宋" w:eastAsia="仿宋" w:cs="仿宋"/>
      <w:color w:val="000000"/>
      <w:sz w:val="28"/>
      <w:szCs w:val="28"/>
    </w:rPr>
  </w:style>
  <w:style w:type="character" w:customStyle="1" w:styleId="101">
    <w:name w:val="fontstyle21"/>
    <w:basedOn w:val="26"/>
    <w:qFormat/>
    <w:uiPriority w:val="0"/>
    <w:rPr>
      <w:rFonts w:hint="default" w:ascii="Times New Roman" w:hAnsi="Times New Roman" w:cs="Times New Roman"/>
      <w:color w:val="000000"/>
      <w:sz w:val="28"/>
      <w:szCs w:val="28"/>
    </w:rPr>
  </w:style>
  <w:style w:type="character" w:customStyle="1" w:styleId="102">
    <w:name w:val="fontstyle11"/>
    <w:basedOn w:val="26"/>
    <w:qFormat/>
    <w:uiPriority w:val="0"/>
    <w:rPr>
      <w:rFonts w:hint="default" w:ascii="Times New Roman" w:hAnsi="Times New Roman" w:cs="Times New Roman"/>
      <w:color w:val="000000"/>
      <w:sz w:val="22"/>
      <w:szCs w:val="22"/>
    </w:rPr>
  </w:style>
  <w:style w:type="character" w:customStyle="1" w:styleId="103">
    <w:name w:val="font11"/>
    <w:basedOn w:val="26"/>
    <w:qFormat/>
    <w:uiPriority w:val="0"/>
    <w:rPr>
      <w:rFonts w:hint="eastAsia" w:ascii="仿宋" w:hAnsi="仿宋" w:eastAsia="仿宋" w:cs="仿宋"/>
      <w:color w:val="000000"/>
      <w:sz w:val="21"/>
      <w:szCs w:val="21"/>
      <w:u w:val="none"/>
    </w:rPr>
  </w:style>
  <w:style w:type="character" w:customStyle="1" w:styleId="104">
    <w:name w:val="font21"/>
    <w:basedOn w:val="26"/>
    <w:qFormat/>
    <w:uiPriority w:val="0"/>
    <w:rPr>
      <w:rFonts w:hint="eastAsia" w:ascii="仿宋" w:hAnsi="仿宋" w:eastAsia="仿宋" w:cs="仿宋"/>
      <w:color w:val="000000"/>
      <w:sz w:val="21"/>
      <w:szCs w:val="21"/>
      <w:u w:val="none"/>
    </w:rPr>
  </w:style>
  <w:style w:type="character" w:customStyle="1" w:styleId="105">
    <w:name w:val="font71"/>
    <w:basedOn w:val="26"/>
    <w:qFormat/>
    <w:uiPriority w:val="0"/>
    <w:rPr>
      <w:rFonts w:hint="default" w:ascii="Times New Roman" w:hAnsi="Times New Roman" w:cs="Times New Roman"/>
      <w:color w:val="000000"/>
      <w:sz w:val="21"/>
      <w:szCs w:val="21"/>
      <w:u w:val="none"/>
    </w:rPr>
  </w:style>
  <w:style w:type="character" w:customStyle="1" w:styleId="106">
    <w:name w:val="font31"/>
    <w:basedOn w:val="26"/>
    <w:qFormat/>
    <w:uiPriority w:val="0"/>
    <w:rPr>
      <w:rFonts w:hint="default" w:ascii="Times New Roman" w:hAnsi="Times New Roman" w:cs="Times New Roman"/>
      <w:color w:val="000000"/>
      <w:sz w:val="21"/>
      <w:szCs w:val="21"/>
      <w:u w:val="none"/>
    </w:rPr>
  </w:style>
  <w:style w:type="character" w:customStyle="1" w:styleId="107">
    <w:name w:val="font41"/>
    <w:basedOn w:val="26"/>
    <w:qFormat/>
    <w:uiPriority w:val="0"/>
    <w:rPr>
      <w:rFonts w:hint="default" w:ascii="Times New Roman" w:hAnsi="Times New Roman" w:cs="Times New Roman"/>
      <w:color w:val="000000"/>
      <w:sz w:val="24"/>
      <w:szCs w:val="24"/>
      <w:u w:val="none"/>
    </w:rPr>
  </w:style>
  <w:style w:type="character" w:customStyle="1" w:styleId="108">
    <w:name w:val="font51"/>
    <w:basedOn w:val="26"/>
    <w:qFormat/>
    <w:uiPriority w:val="0"/>
    <w:rPr>
      <w:rFonts w:hint="default" w:ascii="Times New Roman" w:hAnsi="Times New Roman" w:cs="Times New Roman"/>
      <w:color w:val="000000"/>
      <w:sz w:val="23"/>
      <w:szCs w:val="23"/>
      <w:u w:val="none"/>
    </w:rPr>
  </w:style>
  <w:style w:type="character" w:customStyle="1" w:styleId="109">
    <w:name w:val="font61"/>
    <w:basedOn w:val="26"/>
    <w:qFormat/>
    <w:uiPriority w:val="0"/>
    <w:rPr>
      <w:rFonts w:hint="eastAsia" w:ascii="宋体" w:hAnsi="宋体" w:eastAsia="宋体" w:cs="宋体"/>
      <w:color w:val="000000"/>
      <w:sz w:val="20"/>
      <w:szCs w:val="20"/>
      <w:u w:val="none"/>
    </w:rPr>
  </w:style>
  <w:style w:type="character" w:customStyle="1" w:styleId="110">
    <w:name w:val="font81"/>
    <w:basedOn w:val="26"/>
    <w:qFormat/>
    <w:uiPriority w:val="0"/>
    <w:rPr>
      <w:rFonts w:hint="default" w:ascii="Times New Roman" w:hAnsi="Times New Roman" w:cs="Times New Roman"/>
      <w:color w:val="000000"/>
      <w:sz w:val="21"/>
      <w:szCs w:val="21"/>
      <w:u w:val="none"/>
      <w:vertAlign w:val="superscript"/>
    </w:rPr>
  </w:style>
  <w:style w:type="paragraph" w:customStyle="1" w:styleId="111">
    <w:name w:val="表内字体"/>
    <w:basedOn w:val="1"/>
    <w:qFormat/>
    <w:uiPriority w:val="0"/>
    <w:pPr>
      <w:jc w:val="center"/>
    </w:pPr>
    <w:rPr>
      <w:rFonts w:hAnsi="宋体"/>
      <w:szCs w:val="20"/>
    </w:rPr>
  </w:style>
  <w:style w:type="paragraph" w:customStyle="1" w:styleId="112">
    <w:name w:val="Normal1"/>
    <w:qFormat/>
    <w:uiPriority w:val="0"/>
    <w:pPr>
      <w:jc w:val="both"/>
    </w:pPr>
    <w:rPr>
      <w:rFonts w:ascii="Calibri" w:hAnsi="Calibri" w:eastAsia="宋体" w:cs="Calibri"/>
      <w:kern w:val="2"/>
      <w:sz w:val="21"/>
      <w:szCs w:val="21"/>
      <w:lang w:val="en-US" w:eastAsia="zh-CN" w:bidi="ar-SA"/>
    </w:rPr>
  </w:style>
  <w:style w:type="paragraph" w:customStyle="1" w:styleId="113">
    <w:name w:val="正文仿宋"/>
    <w:basedOn w:val="1"/>
    <w:qFormat/>
    <w:uiPriority w:val="0"/>
    <w:rPr>
      <w:kern w:val="0"/>
      <w:szCs w:val="28"/>
    </w:rPr>
  </w:style>
  <w:style w:type="table" w:customStyle="1" w:styleId="114">
    <w:name w:val="maoli"/>
    <w:basedOn w:val="24"/>
    <w:qFormat/>
    <w:uiPriority w:val="0"/>
    <w:rPr>
      <w:rFonts w:eastAsia="仿宋_GB2312"/>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paragraph" w:customStyle="1" w:styleId="115">
    <w:name w:val="报告表格"/>
    <w:basedOn w:val="1"/>
    <w:qFormat/>
    <w:uiPriority w:val="0"/>
    <w:pPr>
      <w:autoSpaceDE w:val="0"/>
      <w:autoSpaceDN w:val="0"/>
      <w:adjustRightInd w:val="0"/>
      <w:jc w:val="center"/>
      <w:textAlignment w:val="bottom"/>
    </w:pPr>
    <w:rPr>
      <w:rFonts w:eastAsia="仿宋_GB2312"/>
      <w:color w:val="000000"/>
      <w:kern w:val="0"/>
      <w:szCs w:val="21"/>
    </w:rPr>
  </w:style>
  <w:style w:type="paragraph" w:customStyle="1" w:styleId="116">
    <w:name w:val="_D图表内容-五号"/>
    <w:basedOn w:val="1"/>
    <w:next w:val="1"/>
    <w:qFormat/>
    <w:uiPriority w:val="0"/>
    <w:pPr>
      <w:widowControl/>
      <w:spacing w:line="240" w:lineRule="atLeast"/>
      <w:jc w:val="center"/>
    </w:pPr>
    <w:rPr>
      <w:rFonts w:cs="宋体"/>
      <w:szCs w:val="18"/>
    </w:rPr>
  </w:style>
  <w:style w:type="table" w:customStyle="1" w:styleId="117">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character" w:customStyle="1" w:styleId="118">
    <w:name w:val="font91"/>
    <w:basedOn w:val="26"/>
    <w:qFormat/>
    <w:uiPriority w:val="0"/>
    <w:rPr>
      <w:rFonts w:hint="default" w:ascii="Segoe UI Symbol" w:hAnsi="Segoe UI Symbol" w:eastAsia="Segoe UI Symbol" w:cs="Segoe UI Symbol"/>
      <w:color w:val="000000"/>
      <w:sz w:val="24"/>
      <w:szCs w:val="24"/>
      <w:u w:val="none"/>
    </w:rPr>
  </w:style>
  <w:style w:type="character" w:customStyle="1" w:styleId="119">
    <w:name w:val="fontstyle31"/>
    <w:basedOn w:val="26"/>
    <w:qFormat/>
    <w:uiPriority w:val="0"/>
    <w:rPr>
      <w:rFonts w:ascii="TimesNewRomanPSMT" w:hAnsi="TimesNewRomanPSMT" w:eastAsia="TimesNewRomanPSMT" w:cs="TimesNewRomanPSMT"/>
      <w:color w:val="FF0000"/>
      <w:sz w:val="24"/>
      <w:szCs w:val="24"/>
    </w:rPr>
  </w:style>
  <w:style w:type="paragraph" w:customStyle="1" w:styleId="120">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21">
    <w:name w:val="正文2"/>
    <w:qFormat/>
    <w:uiPriority w:val="0"/>
    <w:pPr>
      <w:jc w:val="both"/>
    </w:pPr>
    <w:rPr>
      <w:rFonts w:ascii="仿宋_GB2312" w:hAnsi="宋体" w:eastAsia="宋体" w:cs="宋体"/>
      <w:kern w:val="2"/>
      <w:sz w:val="21"/>
      <w:szCs w:val="21"/>
      <w:lang w:val="en-US" w:eastAsia="zh-CN" w:bidi="ar-SA"/>
    </w:rPr>
  </w:style>
  <w:style w:type="character" w:customStyle="1" w:styleId="122">
    <w:name w:val="text_ki2nn"/>
    <w:basedOn w:val="26"/>
    <w:qFormat/>
    <w:uiPriority w:val="0"/>
  </w:style>
  <w:style w:type="character" w:styleId="123">
    <w:name w:val="Placeholder Text"/>
    <w:basedOn w:val="26"/>
    <w:semiHidden/>
    <w:qFormat/>
    <w:uiPriority w:val="99"/>
    <w:rPr>
      <w:color w:val="808080"/>
    </w:rPr>
  </w:style>
  <w:style w:type="paragraph" w:customStyle="1" w:styleId="124">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125">
    <w:name w:val="首行缩进"/>
    <w:basedOn w:val="1"/>
    <w:qFormat/>
    <w:uiPriority w:val="0"/>
    <w:pPr>
      <w:spacing w:line="360" w:lineRule="auto"/>
      <w:ind w:firstLine="480" w:firstLineChars="200"/>
    </w:pPr>
    <w:rPr>
      <w:sz w:val="24"/>
    </w:rPr>
  </w:style>
  <w:style w:type="character" w:customStyle="1" w:styleId="126">
    <w:name w:val="标题 1 字符"/>
    <w:basedOn w:val="26"/>
    <w:link w:val="2"/>
    <w:qFormat/>
    <w:uiPriority w:val="99"/>
    <w:rPr>
      <w:rFonts w:eastAsia="黑体"/>
      <w:b/>
      <w:bCs/>
      <w:color w:val="000000"/>
      <w:kern w:val="44"/>
      <w:sz w:val="30"/>
      <w:szCs w:val="30"/>
    </w:rPr>
  </w:style>
  <w:style w:type="character" w:customStyle="1" w:styleId="127">
    <w:name w:val="标题 2 字符"/>
    <w:basedOn w:val="26"/>
    <w:link w:val="3"/>
    <w:semiHidden/>
    <w:qFormat/>
    <w:uiPriority w:val="0"/>
    <w:rPr>
      <w:rFonts w:ascii="宋体" w:hAnsi="宋体"/>
      <w:b/>
      <w:bCs/>
      <w:sz w:val="36"/>
      <w:szCs w:val="36"/>
    </w:rPr>
  </w:style>
  <w:style w:type="character" w:customStyle="1" w:styleId="128">
    <w:name w:val="标题 4 字符"/>
    <w:basedOn w:val="26"/>
    <w:link w:val="5"/>
    <w:qFormat/>
    <w:uiPriority w:val="99"/>
    <w:rPr>
      <w:rFonts w:ascii="等线 Light" w:hAnsi="等线 Light" w:eastAsia="等线 Light"/>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png"/><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8.emf"/><Relationship Id="rId17" Type="http://schemas.openxmlformats.org/officeDocument/2006/relationships/package" Target="embeddings/Microsoft_Visio___3.vsdx"/><Relationship Id="rId16" Type="http://schemas.openxmlformats.org/officeDocument/2006/relationships/image" Target="media/image7.emf"/><Relationship Id="rId15" Type="http://schemas.openxmlformats.org/officeDocument/2006/relationships/package" Target="embeddings/Microsoft_Visio___2.vsdx"/><Relationship Id="rId14" Type="http://schemas.openxmlformats.org/officeDocument/2006/relationships/image" Target="media/image6.emf"/><Relationship Id="rId13" Type="http://schemas.openxmlformats.org/officeDocument/2006/relationships/package" Target="embeddings/Microsoft_Visio___1.vsdx"/><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038DF5-A99C-4AD3-949D-E64D45A1200B}">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118</Pages>
  <Words>43</Words>
  <Characters>74</Characters>
  <Lines>640</Lines>
  <Paragraphs>180</Paragraphs>
  <TotalTime>916</TotalTime>
  <ScaleCrop>false</ScaleCrop>
  <LinksUpToDate>false</LinksUpToDate>
  <CharactersWithSpaces>74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2023-12-06T01:39:00Z</dcterms:created>
  <dc:creator>lhj</dc:creator>
  <cp:lastModifiedBy>球球</cp:lastModifiedBy>
  <cp:lastPrinted>2025-04-02T01:54:00Z</cp:lastPrinted>
  <dcterms:modified xsi:type="dcterms:W3CDTF">2025-05-06T02:43:46Z</dcterms:modified>
  <dc:title>附件2</dc:title>
  <cp:revision>185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CAC03C029CC14FD3867B49893B649280_13</vt:lpwstr>
  </property>
  <property fmtid="{D5CDD505-2E9C-101B-9397-08002B2CF9AE}" pid="4" name="KSOTemplateDocerSaveRecord">
    <vt:lpwstr>eyJoZGlkIjoiYWZhMzA0MTE2MGQ3ODcwOTgyMWY3NzY0ZDhkYzQxODciLCJ1c2VySWQiOiIzODk2NzQyOTcifQ==</vt:lpwstr>
  </property>
</Properties>
</file>