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61850">
      <w:pPr>
        <w:rPr>
          <w:rFonts w:hint="eastAsia" w:ascii="Times New Roman" w:hAnsi="Times New Roman" w:eastAsia="宋体" w:cs="Times New Roman"/>
          <w:color w:val="auto"/>
          <w:sz w:val="36"/>
          <w:szCs w:val="36"/>
          <w:lang w:eastAsia="zh-CN"/>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22" name="图片 22" descr="SKM_C3682504081019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KM_C36825040810190_00"/>
                    <pic:cNvPicPr>
                      <a:picLocks noChangeAspect="1"/>
                    </pic:cNvPicPr>
                  </pic:nvPicPr>
                  <pic:blipFill>
                    <a:blip r:embed="rId8"/>
                    <a:stretch>
                      <a:fillRect/>
                    </a:stretch>
                  </pic:blipFill>
                  <pic:spPr>
                    <a:xfrm>
                      <a:off x="0" y="0"/>
                      <a:ext cx="5752465" cy="8134350"/>
                    </a:xfrm>
                    <a:prstGeom prst="rect">
                      <a:avLst/>
                    </a:prstGeom>
                  </pic:spPr>
                </pic:pic>
              </a:graphicData>
            </a:graphic>
          </wp:inline>
        </w:drawing>
      </w:r>
    </w:p>
    <w:p w14:paraId="6EB97079">
      <w:pPr>
        <w:rPr>
          <w:rFonts w:hint="eastAsia" w:ascii="Times New Roman" w:hAnsi="Times New Roman" w:eastAsia="宋体" w:cs="Times New Roman"/>
          <w:color w:val="auto"/>
          <w:sz w:val="36"/>
          <w:szCs w:val="36"/>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AE365DC">
      <w:pPr>
        <w:rPr>
          <w:rFonts w:hint="eastAsia" w:ascii="Times New Roman" w:hAnsi="Times New Roman" w:eastAsia="宋体" w:cs="Times New Roman"/>
          <w:color w:val="auto"/>
          <w:sz w:val="36"/>
          <w:szCs w:val="36"/>
          <w:lang w:eastAsia="zh-CN"/>
        </w:rPr>
      </w:pPr>
      <w:r>
        <w:rPr>
          <w:rFonts w:hint="eastAsia" w:ascii="Times New Roman" w:hAnsi="Times New Roman" w:eastAsia="宋体" w:cs="Times New Roman"/>
          <w:color w:val="auto"/>
          <w:sz w:val="36"/>
          <w:szCs w:val="36"/>
          <w:lang w:val="en-US" w:eastAsia="zh-CN"/>
        </w:rPr>
        <w:t xml:space="preserve"> </w:t>
      </w: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21" name="图片 21" descr="SKM_C368250408101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KM_C36825040810190_01"/>
                    <pic:cNvPicPr>
                      <a:picLocks noChangeAspect="1"/>
                    </pic:cNvPicPr>
                  </pic:nvPicPr>
                  <pic:blipFill>
                    <a:blip r:embed="rId9"/>
                    <a:stretch>
                      <a:fillRect/>
                    </a:stretch>
                  </pic:blipFill>
                  <pic:spPr>
                    <a:xfrm>
                      <a:off x="0" y="0"/>
                      <a:ext cx="5752465" cy="8134350"/>
                    </a:xfrm>
                    <a:prstGeom prst="rect">
                      <a:avLst/>
                    </a:prstGeom>
                  </pic:spPr>
                </pic:pic>
              </a:graphicData>
            </a:graphic>
          </wp:inline>
        </w:drawing>
      </w: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20" name="图片 20" descr="SKM_C3682504081019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C36825040810190_02"/>
                    <pic:cNvPicPr>
                      <a:picLocks noChangeAspect="1"/>
                    </pic:cNvPicPr>
                  </pic:nvPicPr>
                  <pic:blipFill>
                    <a:blip r:embed="rId10"/>
                    <a:stretch>
                      <a:fillRect/>
                    </a:stretch>
                  </pic:blipFill>
                  <pic:spPr>
                    <a:xfrm>
                      <a:off x="0" y="0"/>
                      <a:ext cx="5752465" cy="8134350"/>
                    </a:xfrm>
                    <a:prstGeom prst="rect">
                      <a:avLst/>
                    </a:prstGeom>
                  </pic:spPr>
                </pic:pic>
              </a:graphicData>
            </a:graphic>
          </wp:inline>
        </w:drawing>
      </w: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18" name="图片 18" descr="SKM_C3682504081019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KM_C36825040810190_03"/>
                    <pic:cNvPicPr>
                      <a:picLocks noChangeAspect="1"/>
                    </pic:cNvPicPr>
                  </pic:nvPicPr>
                  <pic:blipFill>
                    <a:blip r:embed="rId11"/>
                    <a:stretch>
                      <a:fillRect/>
                    </a:stretch>
                  </pic:blipFill>
                  <pic:spPr>
                    <a:xfrm>
                      <a:off x="0" y="0"/>
                      <a:ext cx="5752465" cy="8134350"/>
                    </a:xfrm>
                    <a:prstGeom prst="rect">
                      <a:avLst/>
                    </a:prstGeom>
                  </pic:spPr>
                </pic:pic>
              </a:graphicData>
            </a:graphic>
          </wp:inline>
        </w:drawing>
      </w: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24" name="图片 24" descr="SKM_C368250408101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KM_C36825040810190_04"/>
                    <pic:cNvPicPr>
                      <a:picLocks noChangeAspect="1"/>
                    </pic:cNvPicPr>
                  </pic:nvPicPr>
                  <pic:blipFill>
                    <a:blip r:embed="rId12"/>
                    <a:stretch>
                      <a:fillRect/>
                    </a:stretch>
                  </pic:blipFill>
                  <pic:spPr>
                    <a:xfrm>
                      <a:off x="0" y="0"/>
                      <a:ext cx="5752465" cy="8134350"/>
                    </a:xfrm>
                    <a:prstGeom prst="rect">
                      <a:avLst/>
                    </a:prstGeom>
                  </pic:spPr>
                </pic:pic>
              </a:graphicData>
            </a:graphic>
          </wp:inline>
        </w:drawing>
      </w:r>
      <w:r>
        <w:rPr>
          <w:rFonts w:hint="eastAsia" w:ascii="Times New Roman" w:hAnsi="Times New Roman" w:eastAsia="宋体" w:cs="Times New Roman"/>
          <w:color w:val="auto"/>
          <w:sz w:val="36"/>
          <w:szCs w:val="36"/>
          <w:lang w:eastAsia="zh-CN"/>
        </w:rPr>
        <w:drawing>
          <wp:inline distT="0" distB="0" distL="114300" distR="114300">
            <wp:extent cx="5752465" cy="8134350"/>
            <wp:effectExtent l="0" t="0" r="8255" b="3810"/>
            <wp:docPr id="23" name="图片 23" descr="SKM_C368250408101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KM_C36825040810190_05"/>
                    <pic:cNvPicPr>
                      <a:picLocks noChangeAspect="1"/>
                    </pic:cNvPicPr>
                  </pic:nvPicPr>
                  <pic:blipFill>
                    <a:blip r:embed="rId13"/>
                    <a:stretch>
                      <a:fillRect/>
                    </a:stretch>
                  </pic:blipFill>
                  <pic:spPr>
                    <a:xfrm>
                      <a:off x="0" y="0"/>
                      <a:ext cx="5752465" cy="8134350"/>
                    </a:xfrm>
                    <a:prstGeom prst="rect">
                      <a:avLst/>
                    </a:prstGeom>
                  </pic:spPr>
                </pic:pic>
              </a:graphicData>
            </a:graphic>
          </wp:inline>
        </w:drawing>
      </w:r>
    </w:p>
    <w:p w14:paraId="76AEC59A">
      <w:pPr>
        <w:rPr>
          <w:rFonts w:hint="default" w:ascii="Times New Roman" w:hAnsi="Times New Roman" w:eastAsia="宋体" w:cs="Times New Roman"/>
          <w:color w:val="auto"/>
          <w:sz w:val="36"/>
          <w:szCs w:val="36"/>
        </w:rPr>
      </w:pPr>
    </w:p>
    <w:p w14:paraId="034929F1">
      <w:pPr>
        <w:pStyle w:val="4"/>
        <w:rPr>
          <w:rFonts w:hint="default" w:ascii="Times New Roman" w:hAnsi="Times New Roman" w:cs="Times New Roman"/>
          <w:color w:val="auto"/>
        </w:rPr>
      </w:pPr>
      <w:r>
        <w:rPr>
          <w:rFonts w:hint="default" w:ascii="Times New Roman" w:hAnsi="Times New Roman" w:cs="Times New Roman"/>
          <w:color w:val="auto"/>
        </w:rPr>
        <w:t>一、建设项目基础情况</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8"/>
        <w:gridCol w:w="3185"/>
      </w:tblGrid>
      <w:tr w14:paraId="22A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7FF5EB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248" w:type="pct"/>
            <w:gridSpan w:val="3"/>
            <w:vAlign w:val="center"/>
          </w:tcPr>
          <w:p w14:paraId="5C60C374">
            <w:pPr>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新建生产电磁阀及配件产品项目</w:t>
            </w:r>
          </w:p>
        </w:tc>
      </w:tr>
      <w:tr w14:paraId="10A8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D9A51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248" w:type="pct"/>
            <w:gridSpan w:val="3"/>
            <w:vAlign w:val="center"/>
          </w:tcPr>
          <w:p w14:paraId="6BB6637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2502-320458-89-01-818530</w:t>
            </w:r>
          </w:p>
        </w:tc>
      </w:tr>
      <w:tr w14:paraId="7891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8B1DD0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360" w:type="pct"/>
            <w:vAlign w:val="center"/>
          </w:tcPr>
          <w:p w14:paraId="7F61B164">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陈</w:t>
            </w:r>
            <w:r>
              <w:rPr>
                <w:rFonts w:hint="eastAsia" w:ascii="Times New Roman" w:hAnsi="Times New Roman" w:eastAsia="宋体" w:cs="Times New Roman"/>
                <w:color w:val="auto"/>
                <w:sz w:val="24"/>
                <w:lang w:val="en-US" w:eastAsia="zh-CN"/>
              </w:rPr>
              <w:t>**</w:t>
            </w:r>
          </w:p>
        </w:tc>
        <w:tc>
          <w:tcPr>
            <w:tcW w:w="1173" w:type="pct"/>
            <w:vAlign w:val="center"/>
          </w:tcPr>
          <w:p w14:paraId="32D79F9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715" w:type="pct"/>
            <w:vAlign w:val="center"/>
          </w:tcPr>
          <w:p w14:paraId="49B706BD">
            <w:pPr>
              <w:jc w:val="center"/>
              <w:rPr>
                <w:rFonts w:hint="default" w:ascii="Times New Roman" w:hAnsi="Times New Roman" w:eastAsia="宋体" w:cs="Times New Roman"/>
                <w:color w:val="auto"/>
                <w:sz w:val="24"/>
              </w:rPr>
            </w:pPr>
            <w:r>
              <w:rPr>
                <w:rFonts w:hint="eastAsia" w:ascii="Times New Roman" w:hAnsi="Times New Roman"/>
                <w:color w:val="auto"/>
                <w:sz w:val="24"/>
              </w:rPr>
              <w:t>1505</w:t>
            </w:r>
            <w:r>
              <w:rPr>
                <w:rFonts w:hint="eastAsia" w:ascii="Times New Roman" w:hAnsi="Times New Roman"/>
                <w:color w:val="auto"/>
                <w:sz w:val="24"/>
                <w:lang w:val="en-US" w:eastAsia="zh-CN"/>
              </w:rPr>
              <w:t>****</w:t>
            </w:r>
            <w:r>
              <w:rPr>
                <w:rFonts w:hint="eastAsia" w:ascii="Times New Roman" w:hAnsi="Times New Roman"/>
                <w:color w:val="auto"/>
                <w:sz w:val="24"/>
              </w:rPr>
              <w:t>811</w:t>
            </w:r>
          </w:p>
        </w:tc>
      </w:tr>
      <w:tr w14:paraId="63C1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EE34F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248" w:type="pct"/>
            <w:gridSpan w:val="3"/>
            <w:vAlign w:val="center"/>
          </w:tcPr>
          <w:p w14:paraId="46D41C26">
            <w:pPr>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常州市金坛区华丰路6号</w:t>
            </w:r>
          </w:p>
        </w:tc>
      </w:tr>
      <w:tr w14:paraId="7B7A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06C2DB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4248" w:type="pct"/>
            <w:gridSpan w:val="3"/>
            <w:vAlign w:val="center"/>
          </w:tcPr>
          <w:p w14:paraId="23B1445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（东经119°37'38.721"，北纬31°45'19.340"）</w:t>
            </w:r>
          </w:p>
        </w:tc>
      </w:tr>
      <w:tr w14:paraId="3D5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AFF344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国民经济行业类别</w:t>
            </w:r>
          </w:p>
        </w:tc>
        <w:tc>
          <w:tcPr>
            <w:tcW w:w="1360" w:type="pct"/>
            <w:vAlign w:val="center"/>
          </w:tcPr>
          <w:p w14:paraId="6885E368">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val="en-US" w:eastAsia="zh-CN"/>
              </w:rPr>
              <w:t>4011工业自动控制系统装置制造</w:t>
            </w:r>
          </w:p>
        </w:tc>
        <w:tc>
          <w:tcPr>
            <w:tcW w:w="1173" w:type="pct"/>
            <w:vAlign w:val="center"/>
          </w:tcPr>
          <w:p w14:paraId="7BFF9022">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2BEA479C">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715" w:type="pct"/>
            <w:vAlign w:val="center"/>
          </w:tcPr>
          <w:p w14:paraId="08285D7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三十七、仪器仪表制造业40</w:t>
            </w:r>
          </w:p>
          <w:p w14:paraId="659CF1F8">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83</w:t>
            </w:r>
            <w:r>
              <w:rPr>
                <w:rFonts w:hint="default" w:ascii="Times New Roman" w:hAnsi="Times New Roman" w:eastAsia="宋体" w:cs="Times New Roman"/>
                <w:color w:val="auto"/>
                <w:sz w:val="24"/>
                <w:lang w:val="en-US" w:eastAsia="zh-CN"/>
              </w:rPr>
              <w:t>通用仪器仪表制造401</w:t>
            </w:r>
          </w:p>
        </w:tc>
      </w:tr>
      <w:tr w14:paraId="102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499C22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360" w:type="pct"/>
            <w:vAlign w:val="center"/>
          </w:tcPr>
          <w:p w14:paraId="33721FA5">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w:char="00FE"/>
            </w:r>
            <w:r>
              <w:rPr>
                <w:rFonts w:hint="default" w:ascii="Times New Roman" w:hAnsi="Times New Roman" w:eastAsia="宋体" w:cs="Times New Roman"/>
                <w:color w:val="auto"/>
                <w:sz w:val="24"/>
              </w:rPr>
              <w:t>新建（迁建）</w:t>
            </w:r>
          </w:p>
          <w:p w14:paraId="4252025B">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改建</w:t>
            </w:r>
          </w:p>
          <w:p w14:paraId="3C62D9BD">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76760AA5">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□技术改造</w:t>
            </w:r>
          </w:p>
        </w:tc>
        <w:tc>
          <w:tcPr>
            <w:tcW w:w="2178" w:type="dxa"/>
            <w:vAlign w:val="center"/>
          </w:tcPr>
          <w:p w14:paraId="7B147FB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2329756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185" w:type="dxa"/>
            <w:vAlign w:val="center"/>
          </w:tcPr>
          <w:p w14:paraId="36226F0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3B4155C1">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07DDC52E">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25891F6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□重大变动重新报批项目</w:t>
            </w:r>
          </w:p>
        </w:tc>
      </w:tr>
      <w:tr w14:paraId="2ED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54FD2B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项目审批（核准/备案）部门（选填）</w:t>
            </w:r>
          </w:p>
        </w:tc>
        <w:tc>
          <w:tcPr>
            <w:tcW w:w="1360" w:type="pct"/>
            <w:vAlign w:val="center"/>
          </w:tcPr>
          <w:p w14:paraId="4B4B724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江苏金坛经济开发区经济发展局</w:t>
            </w:r>
          </w:p>
        </w:tc>
        <w:tc>
          <w:tcPr>
            <w:tcW w:w="1173" w:type="pct"/>
            <w:vAlign w:val="center"/>
          </w:tcPr>
          <w:p w14:paraId="060F97E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项目审批（核准/备案）文号</w:t>
            </w:r>
          </w:p>
          <w:p w14:paraId="4C608D7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715" w:type="pct"/>
            <w:vAlign w:val="center"/>
          </w:tcPr>
          <w:p w14:paraId="4DEC9C0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坛开经发备字〔202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号</w:t>
            </w:r>
          </w:p>
        </w:tc>
      </w:tr>
      <w:tr w14:paraId="2B50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254EFF5">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360" w:type="pct"/>
            <w:vAlign w:val="center"/>
          </w:tcPr>
          <w:p w14:paraId="62E62E8D">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2600</w:t>
            </w:r>
          </w:p>
        </w:tc>
        <w:tc>
          <w:tcPr>
            <w:tcW w:w="1173" w:type="pct"/>
            <w:vAlign w:val="center"/>
          </w:tcPr>
          <w:p w14:paraId="65594FC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w:t>
            </w:r>
          </w:p>
          <w:p w14:paraId="0DC208E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715" w:type="pct"/>
            <w:vAlign w:val="center"/>
          </w:tcPr>
          <w:p w14:paraId="47F45BF9">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10</w:t>
            </w:r>
            <w:r>
              <w:rPr>
                <w:rFonts w:hint="default" w:ascii="Times New Roman" w:hAnsi="Times New Roman" w:eastAsia="宋体" w:cs="Times New Roman"/>
                <w:color w:val="auto"/>
                <w:sz w:val="24"/>
                <w:lang w:val="en-US" w:eastAsia="zh-CN"/>
              </w:rPr>
              <w:t>0</w:t>
            </w:r>
          </w:p>
        </w:tc>
      </w:tr>
      <w:tr w14:paraId="113B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12D90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360" w:type="pct"/>
            <w:vAlign w:val="center"/>
          </w:tcPr>
          <w:p w14:paraId="0F93CE25">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3.85</w:t>
            </w:r>
          </w:p>
        </w:tc>
        <w:tc>
          <w:tcPr>
            <w:tcW w:w="1173" w:type="pct"/>
            <w:vAlign w:val="center"/>
          </w:tcPr>
          <w:p w14:paraId="1E8EC51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1715" w:type="pct"/>
            <w:vAlign w:val="center"/>
          </w:tcPr>
          <w:p w14:paraId="66B6839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2个月</w:t>
            </w:r>
          </w:p>
        </w:tc>
      </w:tr>
      <w:tr w14:paraId="3343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348119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360" w:type="pct"/>
            <w:vAlign w:val="center"/>
          </w:tcPr>
          <w:p w14:paraId="20B6FC77">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sym w:font="Wingdings" w:char="00FE"/>
            </w:r>
            <w:r>
              <w:rPr>
                <w:rFonts w:hint="default" w:ascii="Times New Roman" w:hAnsi="Times New Roman" w:eastAsia="宋体" w:cs="Times New Roman"/>
                <w:color w:val="auto"/>
                <w:sz w:val="24"/>
              </w:rPr>
              <w:t>否</w:t>
            </w:r>
          </w:p>
          <w:p w14:paraId="4946288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sym w:font="Wingdings" w:char="00A8"/>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rPr>
              <w:t xml:space="preserve">            </w:t>
            </w:r>
          </w:p>
        </w:tc>
        <w:tc>
          <w:tcPr>
            <w:tcW w:w="1173" w:type="pct"/>
            <w:vAlign w:val="center"/>
          </w:tcPr>
          <w:p w14:paraId="41BC455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w:t>
            </w:r>
          </w:p>
          <w:p w14:paraId="3A5F12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tc>
        <w:tc>
          <w:tcPr>
            <w:tcW w:w="1715" w:type="pct"/>
            <w:vAlign w:val="center"/>
          </w:tcPr>
          <w:p w14:paraId="5680DAE8">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2569.19</w:t>
            </w:r>
          </w:p>
        </w:tc>
      </w:tr>
      <w:tr w14:paraId="42A6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5C0C95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专项评价设置情况</w:t>
            </w:r>
          </w:p>
        </w:tc>
        <w:tc>
          <w:tcPr>
            <w:tcW w:w="4248" w:type="pct"/>
            <w:gridSpan w:val="3"/>
            <w:vAlign w:val="center"/>
          </w:tcPr>
          <w:p w14:paraId="7A6B2998">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14:paraId="1A4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76D9ED1">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规划情况</w:t>
            </w:r>
          </w:p>
        </w:tc>
        <w:tc>
          <w:tcPr>
            <w:tcW w:w="4248" w:type="pct"/>
            <w:gridSpan w:val="3"/>
            <w:vAlign w:val="center"/>
          </w:tcPr>
          <w:p w14:paraId="48A7CE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名称：《金坛经济开发区发展规划》</w:t>
            </w:r>
          </w:p>
          <w:p w14:paraId="12937D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审批机关：江苏省人民政府</w:t>
            </w:r>
          </w:p>
          <w:p w14:paraId="407D06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审批文件名称及文号：《省政府关于同意设立海门经济开发区等13家省级开发区的批复》（苏政复〔1993〕60号）</w:t>
            </w:r>
          </w:p>
          <w:p w14:paraId="5F9B1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名称：《江苏金坛经济开发区控制性详细规划》</w:t>
            </w:r>
          </w:p>
          <w:p w14:paraId="594E14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审批机关：常州市金坛区人民政府</w:t>
            </w:r>
          </w:p>
          <w:p w14:paraId="752AEF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审批文件名称及文号：《常州市金坛区人民政府关于同意江苏金坛经济开发区控制性详细规划（修改）的批复》（坛政复[2023]56号）</w:t>
            </w:r>
          </w:p>
        </w:tc>
      </w:tr>
      <w:tr w14:paraId="2245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C7B7EBA">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规划环境影响评价情况</w:t>
            </w:r>
          </w:p>
        </w:tc>
        <w:tc>
          <w:tcPr>
            <w:tcW w:w="4248" w:type="pct"/>
            <w:gridSpan w:val="3"/>
            <w:vAlign w:val="center"/>
          </w:tcPr>
          <w:p w14:paraId="5DCB0F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名称：《金坛经济开发区发展规划环境影响报告书》</w:t>
            </w:r>
          </w:p>
          <w:p w14:paraId="482A9B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审批机关：江苏省环境保护厅</w:t>
            </w:r>
          </w:p>
          <w:p w14:paraId="56BB0C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审批文件名称及文号：《关于金坛经济开发区发展规划环境影响评价审查意见》（苏环审〔2015〕52号）</w:t>
            </w:r>
          </w:p>
          <w:p w14:paraId="085C53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2022年，开发区启动编制新一轮规划（即《江苏金坛经济开发区开发建设规划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2022-2035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》），本次规划总面积为48.98平方公里。该规划的编制单位为</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www.baidu.com/s?rsv_dl=re_dqa_generate&amp;sa=re_dqa_generate&amp;wd=%E6%B1%9F%E8%8B%8F%E9%BE%99%E7%8E%AF%E7%8E%AF%E5%A2%83%E7%A7%91%E6%8A%80%E6%9C%89%E9%99%90%E5%85%AC%E5%8F%B8&amp;rsv_pq=bddbe59a01463564&amp;oq=%E6%B1%9F%E8%8B%8F%E9%87%91%E5%9D%9B%E7%BB%8F%E6%B5%8E%E5%BC%80%E5%8F%91%E5%8C%BA%E5%8F%91%E5%B1%95%E8%A7%84%E5%88%92%E7%8E%AF%E5%A2%83%E5%BD%B1%E5%93%8D%E8%AF%84%E4%BB%B7&amp;rsv_t=0c93XgWjV3G/M9ICoDvS7BEvoM/kghFPWDU2QSZrEiMl9GDILYEM/BDqysdDM/lX2oAq6ygmrLMf&amp;tn=54093922_45_hao_pg&amp;ie=utf-8" \t "https://www.baidu.com/_blank"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江苏龙环环境科技有限公司</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，目前仍处于编制阶段，尚未完成</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tc>
      </w:tr>
    </w:tbl>
    <w:p w14:paraId="7054D3F3">
      <w:pPr>
        <w:rPr>
          <w:rFonts w:hint="default" w:ascii="Times New Roman" w:hAnsi="Times New Roman" w:cs="Times New Roman"/>
          <w:color w:val="auto"/>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473"/>
      </w:tblGrid>
      <w:tr w14:paraId="63E9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14:paraId="216ABE59">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规划及规划环境影响评价符合性分析</w:t>
            </w:r>
          </w:p>
        </w:tc>
        <w:tc>
          <w:tcPr>
            <w:tcW w:w="4561" w:type="pct"/>
            <w:vAlign w:val="center"/>
          </w:tcPr>
          <w:p w14:paraId="46D906A9">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val="en-US" w:eastAsia="zh-CN"/>
              </w:rPr>
              <w:t>一</w:t>
            </w:r>
            <w:r>
              <w:rPr>
                <w:rFonts w:hint="default" w:ascii="Times New Roman" w:hAnsi="Times New Roman" w:eastAsia="宋体" w:cs="Times New Roman"/>
                <w:b/>
                <w:color w:val="auto"/>
                <w:sz w:val="24"/>
              </w:rPr>
              <w:t>）规划相符性分析</w:t>
            </w:r>
          </w:p>
          <w:p w14:paraId="218478D5">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本项目与《金坛经济开发区发展规划》相符性分析见表1-1。</w:t>
            </w:r>
          </w:p>
          <w:p w14:paraId="44E9048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表1-1  项目与《金坛经济开发区发展规划》相符性分析表</w:t>
            </w:r>
          </w:p>
          <w:tbl>
            <w:tblPr>
              <w:tblStyle w:val="26"/>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4112"/>
              <w:gridCol w:w="2547"/>
              <w:gridCol w:w="882"/>
            </w:tblGrid>
            <w:tr w14:paraId="1E40E9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432" w:type="pct"/>
                  <w:vAlign w:val="center"/>
                </w:tcPr>
                <w:p w14:paraId="192AB950">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2489" w:type="pct"/>
                  <w:vAlign w:val="center"/>
                </w:tcPr>
                <w:p w14:paraId="5C3F0748">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规划情况</w:t>
                  </w:r>
                </w:p>
              </w:tc>
              <w:tc>
                <w:tcPr>
                  <w:tcW w:w="1542" w:type="pct"/>
                  <w:vAlign w:val="center"/>
                </w:tcPr>
                <w:p w14:paraId="13272CA8">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对照简析</w:t>
                  </w:r>
                </w:p>
              </w:tc>
              <w:tc>
                <w:tcPr>
                  <w:tcW w:w="534" w:type="pct"/>
                  <w:vAlign w:val="center"/>
                </w:tcPr>
                <w:p w14:paraId="34F816D5">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相符性</w:t>
                  </w:r>
                </w:p>
              </w:tc>
            </w:tr>
            <w:tr w14:paraId="299CA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Align w:val="center"/>
                </w:tcPr>
                <w:p w14:paraId="0EB576B7">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489" w:type="pct"/>
                  <w:vAlign w:val="center"/>
                </w:tcPr>
                <w:p w14:paraId="3F99EB05">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规划范围：东至在建省道203（东环路），南至规划沿江城际铁路，西至金湖路（金宜路）-S340-丹金溧漕河，北近开发区行政界线，距金坛和丹阳市界500m处，总面积71.3km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金坛经济开发区按照产业划分形成传统产业园区（产业北区）和创新型产业园区（产业南区）。传统产业园区：位于金武公路以北，主要发展以服装、电子、机械、新材料和新能源等为主导的产业，规划整合为盐化工产业园、综合制造产业园、高端制造产业园、中小企业园、新能源新材料产业园。创新产业园：位于延政西路以南，从事高新技术产品的研制、开发或提供技术外包服务和业务流程外包服务的企业用地，主要发展以新医药、环保、新传感网等新兴产业的研发、设计与营销为主。</w:t>
                  </w:r>
                </w:p>
              </w:tc>
              <w:tc>
                <w:tcPr>
                  <w:tcW w:w="1542" w:type="pct"/>
                  <w:vAlign w:val="center"/>
                </w:tcPr>
                <w:p w14:paraId="48EACB6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项目建设地位于</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，位于传统产业园区内；本项目为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，行业类别为</w:t>
                  </w:r>
                  <w:r>
                    <w:rPr>
                      <w:rFonts w:hint="eastAsia" w:ascii="Times New Roman" w:hAnsi="Times New Roman" w:eastAsia="宋体" w:cs="Times New Roman"/>
                      <w:color w:val="auto"/>
                      <w:kern w:val="0"/>
                      <w:szCs w:val="21"/>
                      <w:lang w:eastAsia="zh-CN"/>
                    </w:rPr>
                    <w:t>C4011工业自动控制系统装置制造</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Cs w:val="21"/>
                      <w:lang w:val="en-US" w:eastAsia="zh-CN"/>
                    </w:rPr>
                    <w:t>属于机械行业，因此</w:t>
                  </w:r>
                  <w:r>
                    <w:rPr>
                      <w:rFonts w:hint="default" w:ascii="Times New Roman" w:hAnsi="Times New Roman" w:eastAsia="宋体" w:cs="Times New Roman"/>
                      <w:color w:val="auto"/>
                      <w:kern w:val="0"/>
                      <w:szCs w:val="21"/>
                    </w:rPr>
                    <w:t>符合传统产业园区产业定位要求</w:t>
                  </w:r>
                </w:p>
              </w:tc>
              <w:tc>
                <w:tcPr>
                  <w:tcW w:w="534" w:type="pct"/>
                  <w:vAlign w:val="center"/>
                </w:tcPr>
                <w:p w14:paraId="619C9A7A">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14:paraId="6EB13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Align w:val="center"/>
                </w:tcPr>
                <w:p w14:paraId="4871E6A8">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489" w:type="pct"/>
                  <w:vAlign w:val="center"/>
                </w:tcPr>
                <w:p w14:paraId="5756F954">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用地布局：总用地为7130hm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。其中城市建设用地为6411.2hm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（工业用地2278.55m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），非建设用地为334.4hm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（水域面积258.3hm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），发展备用地384.4hm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1542" w:type="pct"/>
                  <w:vAlign w:val="center"/>
                </w:tcPr>
                <w:p w14:paraId="393FA1B8">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项目建设地属于工业用地</w:t>
                  </w:r>
                </w:p>
              </w:tc>
              <w:tc>
                <w:tcPr>
                  <w:tcW w:w="534" w:type="pct"/>
                  <w:vAlign w:val="center"/>
                </w:tcPr>
                <w:p w14:paraId="7E626CAF">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14:paraId="0BD60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Align w:val="center"/>
                </w:tcPr>
                <w:p w14:paraId="357C0CCF">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489" w:type="pct"/>
                  <w:vAlign w:val="center"/>
                </w:tcPr>
                <w:p w14:paraId="2B64CC5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环保基础设施规划：采用雨污分流排水体制，污水经收集后排入金坛第二污水处理厂集中处理。</w:t>
                  </w:r>
                </w:p>
              </w:tc>
              <w:tc>
                <w:tcPr>
                  <w:tcW w:w="1542" w:type="pct"/>
                  <w:vAlign w:val="center"/>
                </w:tcPr>
                <w:p w14:paraId="5ECF888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rPr>
                    <w:t>项目</w:t>
                  </w:r>
                  <w:r>
                    <w:rPr>
                      <w:rStyle w:val="32"/>
                      <w:rFonts w:hint="default" w:ascii="Times New Roman" w:hAnsi="Times New Roman" w:eastAsia="宋体" w:cs="Times New Roman"/>
                      <w:color w:val="auto"/>
                    </w:rPr>
                    <w:t>所在地已</w:t>
                  </w:r>
                  <w:r>
                    <w:rPr>
                      <w:rFonts w:hint="default" w:ascii="Times New Roman" w:hAnsi="Times New Roman" w:eastAsia="宋体" w:cs="Times New Roman"/>
                      <w:color w:val="auto"/>
                      <w:kern w:val="0"/>
                    </w:rPr>
                    <w:t>采用雨污分流制；项目不排放生产废水，生活污水接管至常州金坛区第二污水处理有限公司集中处理。</w:t>
                  </w:r>
                </w:p>
              </w:tc>
              <w:tc>
                <w:tcPr>
                  <w:tcW w:w="534" w:type="pct"/>
                  <w:vAlign w:val="center"/>
                </w:tcPr>
                <w:p w14:paraId="16E2A7DE">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14:paraId="6CACA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Align w:val="center"/>
                </w:tcPr>
                <w:p w14:paraId="2E650D6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2489" w:type="pct"/>
                  <w:vAlign w:val="center"/>
                </w:tcPr>
                <w:p w14:paraId="2531A5C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环卫：采用垃圾分类处理方式，分类后的无机物、废品垃圾尽量回收利用，有机垃圾以焚烧为主。</w:t>
                  </w:r>
                </w:p>
              </w:tc>
              <w:tc>
                <w:tcPr>
                  <w:tcW w:w="1542" w:type="pct"/>
                  <w:vAlign w:val="center"/>
                </w:tcPr>
                <w:p w14:paraId="5B55532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rPr>
                    <w:t>项目生活垃圾由环卫部门统一清运处置。</w:t>
                  </w:r>
                </w:p>
              </w:tc>
              <w:tc>
                <w:tcPr>
                  <w:tcW w:w="534" w:type="pct"/>
                  <w:vAlign w:val="center"/>
                </w:tcPr>
                <w:p w14:paraId="6364CF89">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14:paraId="266AAE11">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项目建设地为</w:t>
            </w:r>
            <w:r>
              <w:rPr>
                <w:rFonts w:hint="eastAsia" w:ascii="Times New Roman" w:hAnsi="Times New Roman" w:eastAsia="宋体" w:cs="Times New Roman"/>
                <w:b w:val="0"/>
                <w:bCs/>
                <w:color w:val="auto"/>
                <w:sz w:val="24"/>
                <w:lang w:eastAsia="zh-CN"/>
              </w:rPr>
              <w:t>常州市金坛区华丰路6号</w:t>
            </w:r>
            <w:r>
              <w:rPr>
                <w:rFonts w:hint="default" w:ascii="Times New Roman" w:hAnsi="Times New Roman" w:eastAsia="宋体" w:cs="Times New Roman"/>
                <w:b w:val="0"/>
                <w:bCs/>
                <w:color w:val="auto"/>
                <w:sz w:val="24"/>
              </w:rPr>
              <w:t>，位于传统产业园区内；行业类别为</w:t>
            </w:r>
            <w:r>
              <w:rPr>
                <w:rFonts w:hint="eastAsia" w:ascii="Times New Roman" w:hAnsi="Times New Roman" w:eastAsia="宋体" w:cs="Times New Roman"/>
                <w:b w:val="0"/>
                <w:bCs/>
                <w:color w:val="auto"/>
                <w:sz w:val="24"/>
                <w:lang w:eastAsia="zh-CN"/>
              </w:rPr>
              <w:t>C4011工业自动控制系统装置制造</w:t>
            </w:r>
            <w:r>
              <w:rPr>
                <w:rFonts w:hint="default" w:ascii="Times New Roman" w:hAnsi="Times New Roman" w:eastAsia="宋体" w:cs="Times New Roman"/>
                <w:b w:val="0"/>
                <w:bCs/>
                <w:color w:val="auto"/>
                <w:sz w:val="24"/>
              </w:rPr>
              <w:t>，属于机械</w:t>
            </w:r>
            <w:r>
              <w:rPr>
                <w:rFonts w:hint="default" w:ascii="Times New Roman" w:hAnsi="Times New Roman" w:eastAsia="宋体" w:cs="Times New Roman"/>
                <w:b w:val="0"/>
                <w:bCs/>
                <w:color w:val="auto"/>
                <w:sz w:val="24"/>
                <w:lang w:val="en-US" w:eastAsia="zh-CN"/>
              </w:rPr>
              <w:t>行业</w:t>
            </w:r>
            <w:r>
              <w:rPr>
                <w:rFonts w:hint="default" w:ascii="Times New Roman" w:hAnsi="Times New Roman" w:eastAsia="宋体" w:cs="Times New Roman"/>
                <w:b w:val="0"/>
                <w:bCs/>
                <w:color w:val="auto"/>
                <w:sz w:val="24"/>
              </w:rPr>
              <w:t>，符合传统产业园区产业定位。项目选址用地性质为金坛经济开发区规划的工业用地范围内，符合用地规划要求。项目所在地区已采用雨污分流制，项目无生产废水排放，生活污水经已建规范化排放口接管至常州金坛区第二污水处理有限公司处理；生活垃圾由环卫部门统一清运处置。因此项目建设符合《金坛经济开发区发展规划》中相关要求。</w:t>
            </w:r>
          </w:p>
          <w:p w14:paraId="02694A4C">
            <w:pPr>
              <w:autoSpaceDE w:val="0"/>
              <w:autoSpaceDN w:val="0"/>
              <w:adjustRightInd w:val="0"/>
              <w:snapToGrid w:val="0"/>
              <w:spacing w:line="360" w:lineRule="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bCs/>
                <w:color w:val="auto"/>
                <w:sz w:val="24"/>
                <w:szCs w:val="24"/>
              </w:rPr>
              <w:t>（二）</w:t>
            </w:r>
            <w:r>
              <w:rPr>
                <w:rFonts w:hint="default" w:ascii="Times New Roman" w:hAnsi="Times New Roman" w:eastAsia="宋体" w:cs="Times New Roman"/>
                <w:b/>
                <w:color w:val="auto"/>
                <w:kern w:val="0"/>
                <w:sz w:val="24"/>
                <w:szCs w:val="24"/>
                <w:highlight w:val="none"/>
              </w:rPr>
              <w:t>规划环境影响评价相符性分析</w:t>
            </w:r>
          </w:p>
          <w:p w14:paraId="23D1D3DE">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项目与《金坛经济开发区发展规划环境影响报告书》及《关于金坛经济开发区发展规划环境影响评价审查意见》相符性分析见表1-2。</w:t>
            </w:r>
          </w:p>
          <w:p w14:paraId="60C6D83F">
            <w:pPr>
              <w:autoSpaceDE w:val="0"/>
              <w:autoSpaceDN w:val="0"/>
              <w:adjustRightInd w:val="0"/>
              <w:snapToGrid w:val="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表1-2 项目与金坛经济开发区发展规划环境影响报告书及审查意见</w:t>
            </w:r>
          </w:p>
          <w:p w14:paraId="04F7A552">
            <w:pPr>
              <w:autoSpaceDE w:val="0"/>
              <w:autoSpaceDN w:val="0"/>
              <w:adjustRightInd w:val="0"/>
              <w:snapToGrid w:val="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相符性分析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2"/>
              <w:gridCol w:w="3499"/>
              <w:gridCol w:w="3079"/>
              <w:gridCol w:w="977"/>
            </w:tblGrid>
            <w:tr w14:paraId="6099B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12" w:space="0"/>
                    <w:left w:val="nil"/>
                    <w:bottom w:val="single" w:color="auto" w:sz="4" w:space="0"/>
                    <w:right w:val="single" w:color="auto" w:sz="4" w:space="0"/>
                  </w:tcBorders>
                  <w:noWrap w:val="0"/>
                  <w:vAlign w:val="center"/>
                </w:tcPr>
                <w:p w14:paraId="0D4179B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2118" w:type="pct"/>
                  <w:tcBorders>
                    <w:top w:val="single" w:color="auto" w:sz="12" w:space="0"/>
                    <w:left w:val="single" w:color="auto" w:sz="4" w:space="0"/>
                    <w:bottom w:val="single" w:color="auto" w:sz="4" w:space="0"/>
                    <w:right w:val="single" w:color="auto" w:sz="4" w:space="0"/>
                  </w:tcBorders>
                  <w:noWrap w:val="0"/>
                  <w:vAlign w:val="center"/>
                </w:tcPr>
                <w:p w14:paraId="1E6726B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相关要求</w:t>
                  </w:r>
                </w:p>
              </w:tc>
              <w:tc>
                <w:tcPr>
                  <w:tcW w:w="1864" w:type="pct"/>
                  <w:tcBorders>
                    <w:top w:val="single" w:color="auto" w:sz="12" w:space="0"/>
                    <w:left w:val="single" w:color="auto" w:sz="4" w:space="0"/>
                    <w:bottom w:val="single" w:color="auto" w:sz="4" w:space="0"/>
                    <w:right w:val="single" w:color="auto" w:sz="4" w:space="0"/>
                  </w:tcBorders>
                  <w:noWrap w:val="0"/>
                  <w:vAlign w:val="center"/>
                </w:tcPr>
                <w:p w14:paraId="68555CE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本项目情况</w:t>
                  </w:r>
                </w:p>
              </w:tc>
              <w:tc>
                <w:tcPr>
                  <w:tcW w:w="591" w:type="pct"/>
                  <w:tcBorders>
                    <w:top w:val="single" w:color="auto" w:sz="12" w:space="0"/>
                    <w:left w:val="single" w:color="auto" w:sz="4" w:space="0"/>
                    <w:bottom w:val="single" w:color="auto" w:sz="4" w:space="0"/>
                    <w:right w:val="nil"/>
                  </w:tcBorders>
                  <w:noWrap w:val="0"/>
                  <w:vAlign w:val="center"/>
                </w:tcPr>
                <w:p w14:paraId="31D2FC1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相符性</w:t>
                  </w:r>
                </w:p>
              </w:tc>
            </w:tr>
            <w:tr w14:paraId="440A8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3C4A322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42FBB21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开发区应引进科技含量高、产品附加值高、无污染或污染程度低的项目。</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3D37C7F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项目</w:t>
                  </w:r>
                  <w:r>
                    <w:rPr>
                      <w:rFonts w:hint="default" w:ascii="Times New Roman" w:hAnsi="Times New Roman" w:eastAsia="宋体" w:cs="Times New Roman"/>
                      <w:color w:val="auto"/>
                      <w:sz w:val="21"/>
                      <w:szCs w:val="21"/>
                      <w:highlight w:val="none"/>
                    </w:rPr>
                    <w:t>主要从事</w:t>
                  </w:r>
                  <w:r>
                    <w:rPr>
                      <w:rFonts w:hint="default" w:ascii="Times New Roman" w:hAnsi="Times New Roman" w:eastAsia="宋体" w:cs="Times New Roman"/>
                      <w:color w:val="auto"/>
                      <w:sz w:val="21"/>
                      <w:szCs w:val="21"/>
                      <w:highlight w:val="none"/>
                      <w:lang w:val="en-US" w:eastAsia="zh-CN"/>
                    </w:rPr>
                    <w:t>塑料包装盒生产</w:t>
                  </w:r>
                  <w:r>
                    <w:rPr>
                      <w:rFonts w:hint="default" w:ascii="Times New Roman" w:hAnsi="Times New Roman" w:eastAsia="宋体" w:cs="Times New Roman"/>
                      <w:color w:val="auto"/>
                      <w:kern w:val="0"/>
                      <w:szCs w:val="21"/>
                      <w:highlight w:val="none"/>
                    </w:rPr>
                    <w:t>，无</w:t>
                  </w:r>
                  <w:r>
                    <w:rPr>
                      <w:rFonts w:hint="default" w:ascii="Times New Roman" w:hAnsi="Times New Roman" w:eastAsia="宋体" w:cs="Times New Roman"/>
                      <w:color w:val="auto"/>
                      <w:kern w:val="0"/>
                      <w:szCs w:val="21"/>
                      <w:highlight w:val="none"/>
                      <w:lang w:val="en-US" w:eastAsia="zh-CN"/>
                    </w:rPr>
                    <w:t>生产</w:t>
                  </w:r>
                  <w:r>
                    <w:rPr>
                      <w:rFonts w:hint="default" w:ascii="Times New Roman" w:hAnsi="Times New Roman" w:eastAsia="宋体" w:cs="Times New Roman"/>
                      <w:color w:val="auto"/>
                      <w:kern w:val="0"/>
                      <w:szCs w:val="21"/>
                      <w:highlight w:val="none"/>
                    </w:rPr>
                    <w:t>废水排放，生产工序中产生的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kern w:val="0"/>
                      <w:szCs w:val="21"/>
                      <w:highlight w:val="none"/>
                    </w:rPr>
                    <w:t>经处理后排放量较低，污染程度较低</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4" w:space="0"/>
                    <w:right w:val="nil"/>
                  </w:tcBorders>
                  <w:noWrap w:val="0"/>
                  <w:vAlign w:val="center"/>
                </w:tcPr>
                <w:p w14:paraId="5E50759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2382F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5D87647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6B6B9E8A">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在园区大气中HCl稳定达标前禁止引进排放大气污染物HCl的企业和项目。</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4F4BA9B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项目不排放HCl废气</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4" w:space="0"/>
                    <w:right w:val="nil"/>
                  </w:tcBorders>
                  <w:noWrap w:val="0"/>
                  <w:vAlign w:val="center"/>
                </w:tcPr>
                <w:p w14:paraId="2FF6E08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0A9B1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08E23E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757146E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与钱资荡生态红线区边界相邻2000米内用地布置为污染程度低的工业项目。</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3E338979">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项目距钱资荡生态红线区最近直线距离</w:t>
                  </w:r>
                  <w:r>
                    <w:rPr>
                      <w:rFonts w:hint="default" w:ascii="Times New Roman" w:hAnsi="Times New Roman" w:eastAsia="宋体" w:cs="Times New Roman"/>
                      <w:color w:val="auto"/>
                      <w:kern w:val="0"/>
                      <w:szCs w:val="21"/>
                      <w:highlight w:val="none"/>
                      <w:lang w:val="en-US" w:eastAsia="zh-CN"/>
                    </w:rPr>
                    <w:t>约4.</w:t>
                  </w:r>
                  <w:r>
                    <w:rPr>
                      <w:rFonts w:hint="eastAsia" w:ascii="Times New Roman" w:hAnsi="Times New Roman" w:eastAsia="宋体" w:cs="Times New Roman"/>
                      <w:color w:val="auto"/>
                      <w:kern w:val="0"/>
                      <w:szCs w:val="21"/>
                      <w:highlight w:val="none"/>
                      <w:lang w:val="en-US" w:eastAsia="zh-CN"/>
                    </w:rPr>
                    <w:t>6</w:t>
                  </w:r>
                  <w:r>
                    <w:rPr>
                      <w:rFonts w:hint="default" w:ascii="Times New Roman" w:hAnsi="Times New Roman" w:eastAsia="宋体" w:cs="Times New Roman"/>
                      <w:color w:val="auto"/>
                      <w:kern w:val="0"/>
                      <w:szCs w:val="21"/>
                      <w:highlight w:val="none"/>
                      <w:lang w:val="en-US" w:eastAsia="zh-CN"/>
                    </w:rPr>
                    <w:t>3k</w:t>
                  </w:r>
                  <w:r>
                    <w:rPr>
                      <w:rFonts w:hint="default" w:ascii="Times New Roman" w:hAnsi="Times New Roman" w:eastAsia="宋体" w:cs="Times New Roman"/>
                      <w:color w:val="auto"/>
                      <w:kern w:val="0"/>
                      <w:szCs w:val="21"/>
                      <w:highlight w:val="none"/>
                    </w:rPr>
                    <w:t>m；且项目无</w:t>
                  </w:r>
                  <w:r>
                    <w:rPr>
                      <w:rFonts w:hint="default" w:ascii="Times New Roman" w:hAnsi="Times New Roman" w:eastAsia="宋体" w:cs="Times New Roman"/>
                      <w:color w:val="auto"/>
                      <w:kern w:val="0"/>
                      <w:szCs w:val="21"/>
                      <w:highlight w:val="none"/>
                      <w:lang w:val="en-US" w:eastAsia="zh-CN"/>
                    </w:rPr>
                    <w:t>生产</w:t>
                  </w:r>
                  <w:r>
                    <w:rPr>
                      <w:rFonts w:hint="default" w:ascii="Times New Roman" w:hAnsi="Times New Roman" w:eastAsia="宋体" w:cs="Times New Roman"/>
                      <w:color w:val="auto"/>
                      <w:kern w:val="0"/>
                      <w:szCs w:val="21"/>
                      <w:highlight w:val="none"/>
                    </w:rPr>
                    <w:t>废水排放，产生的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kern w:val="0"/>
                      <w:szCs w:val="21"/>
                      <w:highlight w:val="none"/>
                    </w:rPr>
                    <w:t>经处理后达标排放，污染程度较低</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4" w:space="0"/>
                    <w:right w:val="nil"/>
                  </w:tcBorders>
                  <w:noWrap w:val="0"/>
                  <w:vAlign w:val="center"/>
                </w:tcPr>
                <w:p w14:paraId="0C46CE3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333AE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7CDAE48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2A997AF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加快环保基础设施建设。园区实施雨污分流、清污分流和污水集中处理，建设完善区内污水管网。</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4A6E6BD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项目所在地区已实施雨污分流，</w:t>
                  </w:r>
                  <w:r>
                    <w:rPr>
                      <w:rFonts w:hint="default" w:ascii="Times New Roman" w:hAnsi="Times New Roman" w:eastAsia="宋体" w:cs="Times New Roman"/>
                      <w:color w:val="auto"/>
                      <w:kern w:val="0"/>
                      <w:szCs w:val="21"/>
                      <w:highlight w:val="none"/>
                      <w:lang w:val="en-US" w:eastAsia="zh-CN"/>
                    </w:rPr>
                    <w:t>生活污水经污水管网接管至常州金坛区第二污水处理有限公司集中处理。</w:t>
                  </w:r>
                </w:p>
              </w:tc>
              <w:tc>
                <w:tcPr>
                  <w:tcW w:w="591" w:type="pct"/>
                  <w:tcBorders>
                    <w:top w:val="single" w:color="auto" w:sz="4" w:space="0"/>
                    <w:left w:val="single" w:color="auto" w:sz="4" w:space="0"/>
                    <w:bottom w:val="single" w:color="auto" w:sz="4" w:space="0"/>
                    <w:right w:val="nil"/>
                  </w:tcBorders>
                  <w:noWrap w:val="0"/>
                  <w:vAlign w:val="center"/>
                </w:tcPr>
                <w:p w14:paraId="6E849F9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4F4D0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3E3A61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5769206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加强固体废物的集中处理处置，危险废物交由有资质的单位处置。</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1B02674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项目</w:t>
                  </w:r>
                  <w:r>
                    <w:rPr>
                      <w:rFonts w:hint="default" w:ascii="Times New Roman" w:hAnsi="Times New Roman" w:eastAsia="宋体" w:cs="Times New Roman"/>
                      <w:color w:val="auto"/>
                      <w:kern w:val="0"/>
                      <w:szCs w:val="21"/>
                      <w:highlight w:val="none"/>
                      <w:lang w:val="en-US" w:eastAsia="zh-CN"/>
                    </w:rPr>
                    <w:t>拟</w:t>
                  </w:r>
                  <w:r>
                    <w:rPr>
                      <w:rFonts w:hint="default" w:ascii="Times New Roman" w:hAnsi="Times New Roman" w:eastAsia="宋体" w:cs="Times New Roman"/>
                      <w:color w:val="auto"/>
                      <w:kern w:val="0"/>
                      <w:szCs w:val="21"/>
                      <w:highlight w:val="none"/>
                    </w:rPr>
                    <w:t>建设一般固废仓库及危险废物仓库</w:t>
                  </w:r>
                  <w:r>
                    <w:rPr>
                      <w:rFonts w:hint="default" w:ascii="Times New Roman" w:hAnsi="Times New Roman" w:eastAsia="宋体" w:cs="Times New Roman"/>
                      <w:color w:val="auto"/>
                      <w:kern w:val="0"/>
                      <w:szCs w:val="21"/>
                      <w:highlight w:val="none"/>
                      <w:lang w:val="en-US" w:eastAsia="zh-CN"/>
                    </w:rPr>
                    <w:t>用于</w:t>
                  </w:r>
                  <w:r>
                    <w:rPr>
                      <w:rFonts w:hint="default" w:ascii="Times New Roman" w:hAnsi="Times New Roman" w:eastAsia="宋体" w:cs="Times New Roman"/>
                      <w:color w:val="auto"/>
                      <w:kern w:val="0"/>
                      <w:szCs w:val="21"/>
                      <w:highlight w:val="none"/>
                    </w:rPr>
                    <w:t>收集、贮存固体废物，危险废物均交由有资质单位处置</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4" w:space="0"/>
                    <w:right w:val="nil"/>
                  </w:tcBorders>
                  <w:noWrap w:val="0"/>
                  <w:vAlign w:val="center"/>
                </w:tcPr>
                <w:p w14:paraId="2BDD07B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30F4D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0CB969D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4B2F7549">
                  <w:pPr>
                    <w:adjustRightInd w:val="0"/>
                    <w:snapToGrid w:val="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加强区域大气环境保护，严格落实HCl等大气特征污染物防治措施，强化恶臭、VOCs等特征污染物的控制与治理，严格控制SO</w:t>
                  </w:r>
                  <w:r>
                    <w:rPr>
                      <w:rFonts w:hint="default" w:ascii="Times New Roman" w:hAnsi="Times New Roman" w:eastAsia="宋体" w:cs="Times New Roman"/>
                      <w:color w:val="auto"/>
                      <w:kern w:val="0"/>
                      <w:szCs w:val="21"/>
                      <w:highlight w:val="none"/>
                      <w:vertAlign w:val="subscript"/>
                    </w:rPr>
                    <w:t>2</w:t>
                  </w:r>
                  <w:r>
                    <w:rPr>
                      <w:rFonts w:hint="default" w:ascii="Times New Roman" w:hAnsi="Times New Roman" w:eastAsia="宋体" w:cs="Times New Roman"/>
                      <w:color w:val="auto"/>
                      <w:kern w:val="0"/>
                      <w:szCs w:val="21"/>
                      <w:highlight w:val="none"/>
                    </w:rPr>
                    <w:t>、NOx、VOCs等大气污染物排放总量。</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496CD516">
                  <w:pPr>
                    <w:autoSpaceDE w:val="0"/>
                    <w:autoSpaceDN w:val="0"/>
                    <w:adjustRightInd w:val="0"/>
                    <w:snapToGrid w:val="0"/>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本项目不排放HCl，</w:t>
                  </w:r>
                  <w:r>
                    <w:rPr>
                      <w:rFonts w:hint="default" w:ascii="Times New Roman" w:hAnsi="Times New Roman" w:eastAsia="宋体" w:cs="Times New Roman"/>
                      <w:b w:val="0"/>
                      <w:bCs w:val="0"/>
                      <w:color w:val="auto"/>
                      <w:highlight w:val="none"/>
                      <w:lang w:val="en-US" w:eastAsia="zh-CN"/>
                    </w:rPr>
                    <w:t>项目有机废气收集处理后排放</w:t>
                  </w:r>
                  <w:r>
                    <w:rPr>
                      <w:rFonts w:hint="default" w:ascii="Times New Roman" w:hAnsi="Times New Roman" w:eastAsia="宋体" w:cs="Times New Roman"/>
                      <w:color w:val="auto"/>
                      <w:szCs w:val="21"/>
                      <w:highlight w:val="none"/>
                    </w:rPr>
                    <w:t>。项目采用有效措施严格控制大气污染物排放总量。</w:t>
                  </w:r>
                </w:p>
              </w:tc>
              <w:tc>
                <w:tcPr>
                  <w:tcW w:w="591" w:type="pct"/>
                  <w:tcBorders>
                    <w:top w:val="single" w:color="auto" w:sz="4" w:space="0"/>
                    <w:left w:val="single" w:color="auto" w:sz="4" w:space="0"/>
                    <w:bottom w:val="single" w:color="auto" w:sz="4" w:space="0"/>
                    <w:right w:val="nil"/>
                  </w:tcBorders>
                  <w:noWrap w:val="0"/>
                  <w:vAlign w:val="center"/>
                </w:tcPr>
                <w:p w14:paraId="05AF6D8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2FEB1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4" w:space="0"/>
                    <w:right w:val="single" w:color="auto" w:sz="4" w:space="0"/>
                  </w:tcBorders>
                  <w:noWrap w:val="0"/>
                  <w:vAlign w:val="center"/>
                </w:tcPr>
                <w:p w14:paraId="26D0B47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2118" w:type="pct"/>
                  <w:tcBorders>
                    <w:top w:val="single" w:color="auto" w:sz="4" w:space="0"/>
                    <w:left w:val="single" w:color="auto" w:sz="4" w:space="0"/>
                    <w:bottom w:val="single" w:color="auto" w:sz="4" w:space="0"/>
                    <w:right w:val="single" w:color="auto" w:sz="4" w:space="0"/>
                  </w:tcBorders>
                  <w:noWrap w:val="0"/>
                  <w:vAlign w:val="center"/>
                </w:tcPr>
                <w:p w14:paraId="4C2A220D">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落实《江苏省太湖污染防治条例》要求，加强太湖流域水环境保护。</w:t>
                  </w:r>
                </w:p>
              </w:tc>
              <w:tc>
                <w:tcPr>
                  <w:tcW w:w="1864" w:type="pct"/>
                  <w:tcBorders>
                    <w:top w:val="single" w:color="auto" w:sz="4" w:space="0"/>
                    <w:left w:val="single" w:color="auto" w:sz="4" w:space="0"/>
                    <w:bottom w:val="single" w:color="auto" w:sz="4" w:space="0"/>
                    <w:right w:val="single" w:color="auto" w:sz="4" w:space="0"/>
                  </w:tcBorders>
                  <w:noWrap w:val="0"/>
                  <w:vAlign w:val="center"/>
                </w:tcPr>
                <w:p w14:paraId="19582CE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val="en-US" w:eastAsia="zh-CN"/>
                    </w:rPr>
                    <w:t>项目无生产废水排放</w:t>
                  </w:r>
                  <w:r>
                    <w:rPr>
                      <w:rFonts w:hint="default" w:ascii="Times New Roman" w:hAnsi="Times New Roman" w:eastAsia="宋体" w:cs="Times New Roman"/>
                      <w:color w:val="auto"/>
                      <w:kern w:val="0"/>
                      <w:szCs w:val="21"/>
                      <w:highlight w:val="none"/>
                    </w:rPr>
                    <w:t>，生活污水接管至常州金坛区第二污水处理有限公司，满足《江苏省太湖污染防治条例》要求</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4" w:space="0"/>
                    <w:right w:val="nil"/>
                  </w:tcBorders>
                  <w:noWrap w:val="0"/>
                  <w:vAlign w:val="center"/>
                </w:tcPr>
                <w:p w14:paraId="70A9039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1DE58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top w:val="single" w:color="auto" w:sz="4" w:space="0"/>
                    <w:left w:val="nil"/>
                    <w:bottom w:val="single" w:color="auto" w:sz="12" w:space="0"/>
                    <w:right w:val="single" w:color="auto" w:sz="4" w:space="0"/>
                  </w:tcBorders>
                  <w:noWrap w:val="0"/>
                  <w:vAlign w:val="center"/>
                </w:tcPr>
                <w:p w14:paraId="090B37D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2118" w:type="pct"/>
                  <w:tcBorders>
                    <w:top w:val="single" w:color="auto" w:sz="4" w:space="0"/>
                    <w:left w:val="single" w:color="auto" w:sz="4" w:space="0"/>
                    <w:bottom w:val="single" w:color="auto" w:sz="12" w:space="0"/>
                    <w:right w:val="single" w:color="auto" w:sz="4" w:space="0"/>
                  </w:tcBorders>
                  <w:noWrap w:val="0"/>
                  <w:vAlign w:val="center"/>
                </w:tcPr>
                <w:p w14:paraId="1DCCCB2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严格控制园区人口规模和用水定额，减少工业企业用水量和污水排放量，严格控制COD、氨氮、总磷等污染物排放总量。</w:t>
                  </w:r>
                </w:p>
              </w:tc>
              <w:tc>
                <w:tcPr>
                  <w:tcW w:w="1864" w:type="pct"/>
                  <w:tcBorders>
                    <w:top w:val="single" w:color="auto" w:sz="4" w:space="0"/>
                    <w:left w:val="single" w:color="auto" w:sz="4" w:space="0"/>
                    <w:bottom w:val="single" w:color="auto" w:sz="12" w:space="0"/>
                    <w:right w:val="single" w:color="auto" w:sz="4" w:space="0"/>
                  </w:tcBorders>
                  <w:noWrap w:val="0"/>
                  <w:vAlign w:val="center"/>
                </w:tcPr>
                <w:p w14:paraId="0E886B64">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项目无生产废水排放，仅有生活污水排放，废水污染物排放总量较低</w:t>
                  </w:r>
                  <w:r>
                    <w:rPr>
                      <w:rFonts w:hint="default" w:ascii="Times New Roman" w:hAnsi="Times New Roman" w:eastAsia="宋体" w:cs="Times New Roman"/>
                      <w:color w:val="auto"/>
                      <w:kern w:val="0"/>
                      <w:szCs w:val="21"/>
                      <w:highlight w:val="none"/>
                      <w:lang w:eastAsia="zh-CN"/>
                    </w:rPr>
                    <w:t>。</w:t>
                  </w:r>
                </w:p>
              </w:tc>
              <w:tc>
                <w:tcPr>
                  <w:tcW w:w="591" w:type="pct"/>
                  <w:tcBorders>
                    <w:top w:val="single" w:color="auto" w:sz="4" w:space="0"/>
                    <w:left w:val="single" w:color="auto" w:sz="4" w:space="0"/>
                    <w:bottom w:val="single" w:color="auto" w:sz="12" w:space="0"/>
                    <w:right w:val="nil"/>
                  </w:tcBorders>
                  <w:noWrap w:val="0"/>
                  <w:vAlign w:val="center"/>
                </w:tcPr>
                <w:p w14:paraId="039371B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14:paraId="0981CD5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项目从事</w:t>
            </w:r>
            <w:r>
              <w:rPr>
                <w:rFonts w:hint="default" w:ascii="Times New Roman" w:hAnsi="Times New Roman" w:eastAsia="宋体" w:cs="Times New Roman"/>
                <w:color w:val="auto"/>
                <w:sz w:val="24"/>
                <w:szCs w:val="24"/>
                <w:highlight w:val="none"/>
                <w:lang w:eastAsia="zh-CN"/>
              </w:rPr>
              <w:t>电磁阀配件</w:t>
            </w:r>
            <w:r>
              <w:rPr>
                <w:rFonts w:hint="default" w:ascii="Times New Roman" w:hAnsi="Times New Roman" w:eastAsia="宋体" w:cs="Times New Roman"/>
                <w:color w:val="auto"/>
                <w:sz w:val="24"/>
                <w:szCs w:val="24"/>
                <w:highlight w:val="none"/>
                <w:lang w:val="en-US" w:eastAsia="zh-CN"/>
              </w:rPr>
              <w:t>的生产</w:t>
            </w:r>
            <w:r>
              <w:rPr>
                <w:rFonts w:hint="default" w:ascii="Times New Roman" w:hAnsi="Times New Roman" w:eastAsia="宋体" w:cs="Times New Roman"/>
                <w:color w:val="auto"/>
                <w:sz w:val="24"/>
                <w:szCs w:val="24"/>
                <w:highlight w:val="none"/>
              </w:rPr>
              <w:t>，项目无HCl废气产生及排放，</w:t>
            </w:r>
            <w:r>
              <w:rPr>
                <w:rFonts w:hint="default" w:ascii="Times New Roman" w:hAnsi="Times New Roman" w:eastAsia="宋体" w:cs="Times New Roman"/>
                <w:b w:val="0"/>
                <w:bCs w:val="0"/>
                <w:color w:val="auto"/>
                <w:sz w:val="24"/>
                <w:szCs w:val="24"/>
                <w:highlight w:val="none"/>
                <w:lang w:val="en-US" w:eastAsia="zh-CN"/>
              </w:rPr>
              <w:t>项目封装废气经集气罩收集，收集后的废气进入1套“二级活性炭吸附装置”处理后通过1根15m高的排气筒（DA001）排放，焊接废气经集气罩收集，收集后的废气进入1套“布袋除尘器”处理后通过1根15m高的排气筒（DA002）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排放总量较低；</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生活污水接管至</w:t>
            </w:r>
            <w:r>
              <w:rPr>
                <w:rFonts w:hint="default" w:ascii="Times New Roman" w:hAnsi="Times New Roman" w:eastAsia="宋体" w:cs="Times New Roman"/>
                <w:color w:val="auto"/>
                <w:kern w:val="0"/>
                <w:sz w:val="24"/>
                <w:szCs w:val="24"/>
                <w:highlight w:val="none"/>
              </w:rPr>
              <w:t>常州金坛区第二污水处理有限公司</w:t>
            </w:r>
            <w:r>
              <w:rPr>
                <w:rFonts w:hint="default" w:ascii="Times New Roman" w:hAnsi="Times New Roman" w:eastAsia="宋体" w:cs="Times New Roman"/>
                <w:color w:val="auto"/>
                <w:sz w:val="24"/>
                <w:szCs w:val="24"/>
                <w:highlight w:val="none"/>
              </w:rPr>
              <w:t>集中处理；建立一般固废</w:t>
            </w:r>
            <w:r>
              <w:rPr>
                <w:rFonts w:hint="default" w:ascii="Times New Roman" w:hAnsi="Times New Roman" w:eastAsia="宋体" w:cs="Times New Roman"/>
                <w:color w:val="auto"/>
                <w:sz w:val="24"/>
                <w:szCs w:val="24"/>
                <w:highlight w:val="none"/>
                <w:lang w:val="en-US" w:eastAsia="zh-CN"/>
              </w:rPr>
              <w:t>仓库</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仓库</w:t>
            </w:r>
            <w:r>
              <w:rPr>
                <w:rFonts w:hint="default" w:ascii="Times New Roman" w:hAnsi="Times New Roman" w:eastAsia="宋体" w:cs="Times New Roman"/>
                <w:color w:val="auto"/>
                <w:sz w:val="24"/>
                <w:szCs w:val="24"/>
                <w:highlight w:val="none"/>
              </w:rPr>
              <w:t>，满足固体废物分类收集、贮存的要求，危险废物委托有资质单位安全处置，项目污染程度较低，满足《江苏省太湖水污染防治条例》要求；距钱资荡生态红线区最近距离为</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km，不会导致其生态红线区域服务功能下降。</w:t>
            </w:r>
          </w:p>
          <w:p w14:paraId="2A2EE5D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因此项目建设符合《金坛经济开发区发展规划环境影响报告书》及《关于金坛经济开发区发展规划环境影响评价审查意见》中相关要求。</w:t>
            </w:r>
          </w:p>
          <w:p w14:paraId="2B243D36">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（三）选址合理性分析</w:t>
            </w:r>
          </w:p>
          <w:p w14:paraId="3A841E3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本项目</w:t>
            </w:r>
            <w:r>
              <w:rPr>
                <w:rFonts w:hint="default" w:ascii="Times New Roman" w:hAnsi="Times New Roman" w:eastAsia="宋体" w:cs="Times New Roman"/>
                <w:bCs/>
                <w:color w:val="auto"/>
                <w:sz w:val="24"/>
                <w:szCs w:val="24"/>
                <w:lang w:val="en-US" w:eastAsia="zh-CN"/>
              </w:rPr>
              <w:t>租用园</w:t>
            </w:r>
            <w:r>
              <w:rPr>
                <w:rFonts w:hint="default" w:ascii="Times New Roman" w:hAnsi="Times New Roman" w:eastAsia="宋体" w:cs="Times New Roman"/>
                <w:bCs/>
                <w:color w:val="auto"/>
                <w:sz w:val="24"/>
                <w:szCs w:val="24"/>
              </w:rPr>
              <w:t>区内</w:t>
            </w:r>
            <w:r>
              <w:rPr>
                <w:rFonts w:hint="default" w:ascii="Times New Roman" w:hAnsi="Times New Roman" w:eastAsia="宋体" w:cs="Times New Roman"/>
                <w:bCs/>
                <w:color w:val="auto"/>
                <w:sz w:val="24"/>
                <w:szCs w:val="24"/>
                <w:lang w:val="en-US" w:eastAsia="zh-CN"/>
              </w:rPr>
              <w:t>现有厂房</w:t>
            </w:r>
            <w:r>
              <w:rPr>
                <w:rFonts w:hint="default" w:ascii="Times New Roman" w:hAnsi="Times New Roman" w:eastAsia="宋体" w:cs="Times New Roman"/>
                <w:bCs/>
                <w:color w:val="auto"/>
                <w:sz w:val="24"/>
                <w:szCs w:val="24"/>
              </w:rPr>
              <w:t>进行生产，已取得《不动产权证书》（</w:t>
            </w:r>
            <w:r>
              <w:rPr>
                <w:rFonts w:hint="eastAsia" w:ascii="Times New Roman" w:hAnsi="Times New Roman" w:eastAsia="宋体" w:cs="Times New Roman"/>
                <w:bCs/>
                <w:color w:val="auto"/>
                <w:sz w:val="24"/>
                <w:szCs w:val="24"/>
                <w:lang w:eastAsia="zh-CN"/>
              </w:rPr>
              <w:t>苏（2024）金坛区不动产权第0147408号</w:t>
            </w:r>
            <w:r>
              <w:rPr>
                <w:rFonts w:hint="default" w:ascii="Times New Roman" w:hAnsi="Times New Roman" w:eastAsia="宋体" w:cs="Times New Roman"/>
                <w:bCs/>
                <w:color w:val="auto"/>
                <w:sz w:val="24"/>
                <w:szCs w:val="24"/>
              </w:rPr>
              <w:t>，见附件</w:t>
            </w:r>
            <w:r>
              <w:rPr>
                <w:rFonts w:hint="default"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rPr>
              <w:t>），用地性质为工业用地。根据《</w:t>
            </w:r>
            <w:r>
              <w:rPr>
                <w:rFonts w:hint="default" w:ascii="Times New Roman" w:hAnsi="Times New Roman" w:eastAsia="宋体" w:cs="Times New Roman"/>
                <w:color w:val="auto"/>
                <w:sz w:val="24"/>
                <w:szCs w:val="24"/>
              </w:rPr>
              <w:t>金坛经济开发区土地利用规划图》，本项目所在地已规划为工业用地，本项目国民经济行业类别属于“</w:t>
            </w:r>
            <w:r>
              <w:rPr>
                <w:rFonts w:hint="eastAsia" w:ascii="Times New Roman" w:hAnsi="Times New Roman" w:eastAsia="宋体" w:cs="Times New Roman"/>
                <w:color w:val="auto"/>
                <w:sz w:val="24"/>
                <w:lang w:eastAsia="zh-CN"/>
              </w:rPr>
              <w:t>C4011工业自动控制系统装置制造</w:t>
            </w:r>
            <w:r>
              <w:rPr>
                <w:rFonts w:hint="default" w:ascii="Times New Roman" w:hAnsi="Times New Roman" w:eastAsia="宋体" w:cs="Times New Roman"/>
                <w:color w:val="auto"/>
                <w:sz w:val="24"/>
                <w:szCs w:val="24"/>
              </w:rPr>
              <w:t>”，从事工业生产，用地性质符合要求。</w:t>
            </w:r>
          </w:p>
          <w:p w14:paraId="0C11397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综上，本项目选址合理。</w:t>
            </w:r>
          </w:p>
          <w:p w14:paraId="6DD1BE77">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（四）</w:t>
            </w:r>
            <w:r>
              <w:rPr>
                <w:rFonts w:hint="default" w:ascii="Times New Roman" w:hAnsi="Times New Roman" w:eastAsia="宋体" w:cs="Times New Roman"/>
                <w:b/>
                <w:bCs/>
                <w:color w:val="auto"/>
                <w:sz w:val="24"/>
                <w:szCs w:val="24"/>
              </w:rPr>
              <w:t>与国土空间规划“三区三线”相符性</w:t>
            </w:r>
          </w:p>
          <w:p w14:paraId="7DEED65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（1）与永久基本农田相符性分析</w:t>
            </w:r>
          </w:p>
          <w:p w14:paraId="5B70DE3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本项目不新增建设用地，原有用地与经部质检通过的“三区三线”划定成果中永久基本农田进行核对，本次拟建项目建设用地不涉及“三区三线”划定成果中永久基本农田。</w:t>
            </w:r>
          </w:p>
          <w:p w14:paraId="17FF6DF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（2）与生态保护红线相符性分析</w:t>
            </w:r>
          </w:p>
          <w:p w14:paraId="4096804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本项目严格贯彻习近平生态文明思想</w:t>
            </w:r>
            <w:bookmarkStart w:id="12" w:name="_GoBack"/>
            <w:bookmarkEnd w:id="12"/>
            <w:r>
              <w:rPr>
                <w:rFonts w:hint="default" w:ascii="Times New Roman" w:hAnsi="Times New Roman" w:eastAsia="宋体" w:cs="Times New Roman"/>
                <w:color w:val="auto"/>
                <w:sz w:val="24"/>
                <w:szCs w:val="24"/>
              </w:rPr>
              <w:t>和新发展理念，按照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生态优先、绿色发展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的要求，以保障国家生态安全为目标，严守生态保护底线，本次拟建项目建设用地位于经部质检通过的“三区三线”划定成果中的生态保护红线外。</w:t>
            </w:r>
            <w:r>
              <w:rPr>
                <w:rFonts w:hint="default" w:ascii="Times New Roman" w:hAnsi="Times New Roman" w:eastAsia="宋体" w:cs="Times New Roman"/>
                <w:color w:val="auto"/>
                <w:sz w:val="24"/>
                <w:szCs w:val="24"/>
                <w:lang w:val="en-US" w:eastAsia="zh-CN"/>
              </w:rPr>
              <w:t>本项目所在地与《生态环境分区管控方案图件》位置关系图详见附图4。</w:t>
            </w:r>
          </w:p>
          <w:p w14:paraId="254ADAF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（3）与城镇开发边界的相符性分析</w:t>
            </w:r>
          </w:p>
          <w:p w14:paraId="26CE44FF">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金坛经济开发区控制性详细规划</w:t>
            </w:r>
            <w:r>
              <w:rPr>
                <w:rFonts w:hint="default" w:ascii="Times New Roman" w:hAnsi="Times New Roman" w:eastAsia="宋体" w:cs="Times New Roman"/>
                <w:color w:val="auto"/>
                <w:sz w:val="24"/>
                <w:szCs w:val="24"/>
              </w:rPr>
              <w:t>》土地利用规划图，本次拟建项目建设用地</w:t>
            </w:r>
            <w:r>
              <w:rPr>
                <w:rFonts w:hint="default" w:ascii="Times New Roman" w:hAnsi="Times New Roman" w:eastAsia="宋体" w:cs="Times New Roman"/>
                <w:color w:val="auto"/>
                <w:sz w:val="24"/>
                <w:szCs w:val="24"/>
                <w:lang w:val="en-US" w:eastAsia="zh-CN"/>
              </w:rPr>
              <w:t>属于二类工业用地</w:t>
            </w:r>
            <w:r>
              <w:rPr>
                <w:rFonts w:hint="default" w:ascii="Times New Roman" w:hAnsi="Times New Roman" w:eastAsia="宋体" w:cs="Times New Roman"/>
                <w:color w:val="auto"/>
                <w:sz w:val="24"/>
                <w:szCs w:val="24"/>
              </w:rPr>
              <w:t>。详见附图</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同时根据《常州市国土空间总体规划（2021-2035年）》中“市域国土空间控制线规划图”和“市辖区国土空间规划分区图”可知，本项目位于工业发展区，在城镇开发边界内，且不占用耕地和永久基本农田，不涉及生态保护红线。</w:t>
            </w:r>
          </w:p>
        </w:tc>
      </w:tr>
    </w:tbl>
    <w:p w14:paraId="7367B2BA">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714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vAlign w:val="center"/>
          </w:tcPr>
          <w:p w14:paraId="7C9E5F61">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其他相符性分析</w:t>
            </w:r>
          </w:p>
        </w:tc>
        <w:tc>
          <w:tcPr>
            <w:tcW w:w="4642" w:type="pct"/>
            <w:vAlign w:val="center"/>
          </w:tcPr>
          <w:p w14:paraId="2909E242">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1、产业政策相符性分析</w:t>
            </w:r>
          </w:p>
          <w:p w14:paraId="512FD422">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（1）本项目为</w:t>
            </w:r>
            <w:r>
              <w:rPr>
                <w:rFonts w:hint="eastAsia" w:ascii="Times New Roman" w:hAnsi="Times New Roman" w:eastAsia="宋体" w:cs="Times New Roman"/>
                <w:color w:val="auto"/>
                <w:sz w:val="24"/>
                <w:lang w:eastAsia="zh-CN"/>
              </w:rPr>
              <w:t>新建生产电磁阀及配件产品项目</w:t>
            </w:r>
            <w:r>
              <w:rPr>
                <w:rFonts w:hint="default" w:ascii="Times New Roman" w:hAnsi="Times New Roman" w:eastAsia="宋体" w:cs="Times New Roman"/>
                <w:color w:val="auto"/>
                <w:sz w:val="24"/>
              </w:rPr>
              <w:t>，工艺、设备不属于《产业结构调整指导目录（2024年本）》中鼓励类、限制类或淘汰类项目；不属于《市场准入负面清单（2022年版）》禁止准入类和限制准入类中。</w:t>
            </w:r>
          </w:p>
          <w:p w14:paraId="6C947AD9">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本项目不属于《江苏省限制用地项目目录（2013年本）》、《江苏省禁止用地项目目录（2013年本）》中所列项目；不属于《长江经济带发展负面清单指南》中禁止类项目；本公司位于太湖三级保护区，本公司无氮、磷工业废水外排，不属于《江苏省太湖水污染防治条例》</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中禁止类项目。</w:t>
            </w:r>
          </w:p>
          <w:p w14:paraId="31F2906A">
            <w:pPr>
              <w:spacing w:line="360" w:lineRule="auto"/>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项目为</w:t>
            </w:r>
            <w:r>
              <w:rPr>
                <w:rFonts w:hint="eastAsia" w:ascii="Times New Roman" w:hAnsi="Times New Roman" w:eastAsia="宋体" w:cs="Times New Roman"/>
                <w:color w:val="auto"/>
                <w:sz w:val="24"/>
                <w:lang w:eastAsia="zh-CN"/>
              </w:rPr>
              <w:t>新建生产电磁阀及配件产品项目</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行业类别属于C4011工业自动控制系统装置制造，对照《江苏省太湖流域禁止和限制的产业产品目录（2024年本）》（苏发改规发〔2024〕3号），项目不属于其中限制类、淘汰类和禁止类项目。</w:t>
            </w:r>
          </w:p>
          <w:p w14:paraId="384406F9">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因此，本项目符合国家及地方产业政策。</w:t>
            </w:r>
          </w:p>
          <w:p w14:paraId="340237D8">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2、与江苏省“三线一单”相符性分析</w:t>
            </w:r>
          </w:p>
          <w:p w14:paraId="4F2D0CB6">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根据《江苏省“三线一单”生态环境分区管控方案》（苏政发[2020]49号），本项目位于太湖流域，属于江苏省重点管控单元。</w:t>
            </w:r>
          </w:p>
          <w:p w14:paraId="0AD12604">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xml:space="preserve">  江苏省生态环境准入清单</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4296"/>
              <w:gridCol w:w="2853"/>
            </w:tblGrid>
            <w:tr w14:paraId="65323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14:paraId="6B05FAAA">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环境管控单元名称</w:t>
                  </w:r>
                </w:p>
              </w:tc>
              <w:tc>
                <w:tcPr>
                  <w:tcW w:w="2554" w:type="pct"/>
                  <w:vAlign w:val="center"/>
                </w:tcPr>
                <w:p w14:paraId="4A6CAE39">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生态环境准入清单</w:t>
                  </w:r>
                </w:p>
              </w:tc>
              <w:tc>
                <w:tcPr>
                  <w:tcW w:w="1696" w:type="pct"/>
                  <w:vAlign w:val="center"/>
                </w:tcPr>
                <w:p w14:paraId="47FE0379">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对照分析</w:t>
                  </w:r>
                </w:p>
              </w:tc>
            </w:tr>
            <w:tr w14:paraId="5E6C2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restart"/>
                  <w:vAlign w:val="center"/>
                </w:tcPr>
                <w:p w14:paraId="4C39207E">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太湖流域</w:t>
                  </w:r>
                </w:p>
              </w:tc>
              <w:tc>
                <w:tcPr>
                  <w:tcW w:w="2554" w:type="pct"/>
                  <w:vAlign w:val="center"/>
                </w:tcPr>
                <w:p w14:paraId="7FC18C0C">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96" w:type="pct"/>
                  <w:vAlign w:val="center"/>
                </w:tcPr>
                <w:p w14:paraId="05D35086">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本项目位于太湖流域三级保护区，本项目为</w:t>
                  </w:r>
                  <w:r>
                    <w:rPr>
                      <w:rFonts w:hint="eastAsia" w:ascii="Times New Roman" w:hAnsi="Times New Roman" w:eastAsia="宋体" w:cs="Times New Roman"/>
                      <w:color w:val="auto"/>
                      <w:szCs w:val="21"/>
                      <w:lang w:eastAsia="zh-CN"/>
                    </w:rPr>
                    <w:t>新建生产电磁阀及配件产品项目</w:t>
                  </w:r>
                  <w:r>
                    <w:rPr>
                      <w:rFonts w:hint="default" w:ascii="Times New Roman" w:hAnsi="Times New Roman" w:eastAsia="宋体" w:cs="Times New Roman"/>
                      <w:color w:val="auto"/>
                      <w:szCs w:val="21"/>
                    </w:rPr>
                    <w:t>，无氮、磷工业废水外排，生活污水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Cs w:val="21"/>
                    </w:rPr>
                    <w:t>常州市金坛区第二污水处理厂进行集中处理</w:t>
                  </w:r>
                </w:p>
              </w:tc>
            </w:tr>
            <w:tr w14:paraId="46957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691977B5">
                  <w:pPr>
                    <w:tabs>
                      <w:tab w:val="left" w:pos="1935"/>
                    </w:tabs>
                    <w:jc w:val="center"/>
                    <w:rPr>
                      <w:rFonts w:hint="default" w:ascii="Times New Roman" w:hAnsi="Times New Roman" w:eastAsia="宋体" w:cs="Times New Roman"/>
                      <w:color w:val="auto"/>
                      <w:szCs w:val="21"/>
                    </w:rPr>
                  </w:pPr>
                </w:p>
              </w:tc>
              <w:tc>
                <w:tcPr>
                  <w:tcW w:w="2554" w:type="pct"/>
                  <w:vAlign w:val="center"/>
                </w:tcPr>
                <w:p w14:paraId="75B9F51F">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污染物排放管控：城镇污水处理厂、纺织工业、化学工业、造纸工业、钢铁工业、电镀工业和食品工业的污水处理设施执行《太湖地区城镇污水处理厂及重点工业行业主要水污染物排放限值》。</w:t>
                  </w:r>
                </w:p>
              </w:tc>
              <w:tc>
                <w:tcPr>
                  <w:tcW w:w="1696" w:type="pct"/>
                  <w:vAlign w:val="center"/>
                </w:tcPr>
                <w:p w14:paraId="24F00971">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Cs w:val="21"/>
                    </w:rPr>
                    <w:t>常州市金坛区第二污水处理厂集中处理，金坛区第二污水处理厂尾水排放标准执《太湖地区城镇污水处理厂及重点工业行业主要水污染物排放限值》</w:t>
                  </w:r>
                </w:p>
              </w:tc>
            </w:tr>
            <w:tr w14:paraId="55B4E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4588A7F8">
                  <w:pPr>
                    <w:tabs>
                      <w:tab w:val="left" w:pos="1935"/>
                    </w:tabs>
                    <w:jc w:val="center"/>
                    <w:rPr>
                      <w:rFonts w:hint="default" w:ascii="Times New Roman" w:hAnsi="Times New Roman" w:eastAsia="宋体" w:cs="Times New Roman"/>
                      <w:color w:val="auto"/>
                      <w:szCs w:val="21"/>
                    </w:rPr>
                  </w:pPr>
                </w:p>
              </w:tc>
              <w:tc>
                <w:tcPr>
                  <w:tcW w:w="2554" w:type="pct"/>
                  <w:vAlign w:val="center"/>
                </w:tcPr>
                <w:p w14:paraId="0DD0E0A5">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防控：1、运输剧毒物质、危险化学品的船舶不得进入太湖。2、禁止向太湖流域水体排放或者倾倒油类、酸液、碱液、剧毒废渣废液、含放射性废渣废液、含病原体污水、工业废渣以及其他废弃物。3、加强太湖流域生态环境风险应急管控，着力提高防控太湖蓝藻水华风险预警和应急处置能力。</w:t>
                  </w:r>
                </w:p>
              </w:tc>
              <w:tc>
                <w:tcPr>
                  <w:tcW w:w="1696" w:type="pct"/>
                  <w:vAlign w:val="center"/>
                </w:tcPr>
                <w:p w14:paraId="654D0464">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本项目不涉及上述内容</w:t>
                  </w:r>
                </w:p>
              </w:tc>
            </w:tr>
            <w:tr w14:paraId="4E51E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716ABABB">
                  <w:pPr>
                    <w:tabs>
                      <w:tab w:val="left" w:pos="1935"/>
                    </w:tabs>
                    <w:jc w:val="center"/>
                    <w:rPr>
                      <w:rFonts w:hint="default" w:ascii="Times New Roman" w:hAnsi="Times New Roman" w:eastAsia="宋体" w:cs="Times New Roman"/>
                      <w:color w:val="auto"/>
                      <w:szCs w:val="21"/>
                    </w:rPr>
                  </w:pPr>
                </w:p>
              </w:tc>
              <w:tc>
                <w:tcPr>
                  <w:tcW w:w="2554" w:type="pct"/>
                  <w:vAlign w:val="center"/>
                </w:tcPr>
                <w:p w14:paraId="2FE70AB9">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资源开发效率要求：1、太湖流域加强水资源配置与调度，优先满足居民生活用水，兼顾生产、生态用水以及航运等需要。2、2020年底前，太湖流域所有省级以上开发区开展园区循环化改造。</w:t>
                  </w:r>
                </w:p>
              </w:tc>
              <w:tc>
                <w:tcPr>
                  <w:tcW w:w="1696" w:type="pct"/>
                  <w:vAlign w:val="center"/>
                </w:tcPr>
                <w:p w14:paraId="169BF1AA">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2FAF7970">
            <w:pPr>
              <w:spacing w:line="360" w:lineRule="auto"/>
              <w:ind w:firstLine="482" w:firstLineChars="200"/>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、“三线一单”符合性分析</w:t>
            </w:r>
          </w:p>
          <w:p w14:paraId="4591F2CE">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（1）生态保护红线</w:t>
            </w:r>
          </w:p>
          <w:p w14:paraId="1AEE68C6">
            <w:pPr>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17C3D5E1">
            <w:pPr>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（2）环境质量底线</w:t>
            </w:r>
          </w:p>
          <w:p w14:paraId="61376B83">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环境空气：根据《2023年常州市生态环境状况公报》，2023</w:t>
            </w:r>
            <w:r>
              <w:rPr>
                <w:rFonts w:hint="default" w:ascii="Times New Roman" w:hAnsi="Times New Roman" w:eastAsia="宋体" w:cs="Times New Roman"/>
                <w:color w:val="auto"/>
                <w:sz w:val="24"/>
                <w:lang w:val="zh-TW"/>
              </w:rPr>
              <w:t>年，全市空气质量优良天数285天，优良率78.1%；其中市区空气质量优良天数283天，同比增加3天，优良率为77.5%，同比上升2.1个百分点。全市环境空气中细颗粒物（PM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lang w:val="zh-TW"/>
              </w:rPr>
              <w:t>）、可吸入颗粒物（PM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lang w:val="zh-TW"/>
              </w:rPr>
              <w:t>）、二氧化硫（SO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lang w:val="zh-TW"/>
              </w:rPr>
              <w:t>）、二氧化氮（NO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lang w:val="zh-TW"/>
              </w:rPr>
              <w:t>）年均浓度分别为34微克/立方米、57微克/立方米、8微克/立方米、30微克/立方米；一氧化碳（CO）和臭氧（</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lang w:val="zh-TW"/>
              </w:rPr>
              <w:t>）浓度分别为1.1毫克/立方米和175微克/立方米。与2022年相比，PM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zh-TW"/>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zh-TW"/>
              </w:rPr>
              <w:t>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lang w:val="zh-TW"/>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lang w:val="zh-TW"/>
              </w:rPr>
              <w:t>和CO浓度分别上升3.0%、3.6%、14.3%、7.1%和10%，</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lang w:val="zh-TW"/>
              </w:rPr>
              <w:t>浓度降低0.06%。</w:t>
            </w:r>
            <w:r>
              <w:rPr>
                <w:rFonts w:hint="default" w:ascii="Times New Roman" w:hAnsi="Times New Roman" w:eastAsia="宋体" w:cs="Times New Roman"/>
                <w:color w:val="auto"/>
                <w:sz w:val="24"/>
              </w:rPr>
              <w:t>项目所在区域2023年环境空气质量不达标。</w:t>
            </w:r>
          </w:p>
          <w:p w14:paraId="6511B0B9">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常州市目前尚未制定大气环境质量限期达标规划，为深入打好蓝天保卫战，持续改善全市环境空气质量，常州市制定了《2023年常州市生态文明建设工作方案》。明确工作目标为全市PM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浓度不超过31微克/立方米，优良天数比率不低于80.0%，臭氧污染得到初步遏制</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地表水国考、省考、市考断面优Ⅲ比例分别达80%、92.2%和92.4%，国考、省考断面优Ⅱ比例分别达35%和47.1%，市考以上断面消除劣V类，集中式饮用水水源地水质均达到或优于Ⅲ类，高质量实现太湖治理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两保两提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目标；受污染耕地安全利用率达93%，重点建设用地安全利用得到有效保障。重点工程氮氧化物、挥发性有机物（VOCs）、化学需氧量、氨氮累计减排量5207吨、4856吨、3993吨、225吨。生态质量指数持续提升，林木覆盖率达26.8%，湿地保护率达31.8%。</w:t>
            </w:r>
          </w:p>
          <w:p w14:paraId="295336C8">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水环境：本项目建成后污水受纳水体尧塘河2个断面各监测因子均能满足《地表水环境质量标准》（GB3838-2002）III类水标准要求。</w:t>
            </w:r>
          </w:p>
          <w:p w14:paraId="1DAF4211">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该项目运营过程中会产生一定的污染物，如废气、污水、固废，采取相应的污染防治措施后，在达标的基础上选用处理效率和可靠性高的处理工艺。设备生产噪声在采取隔声、减振措施后厂界可达标；本项目</w:t>
            </w:r>
            <w:r>
              <w:rPr>
                <w:rFonts w:hint="default" w:ascii="Times New Roman" w:hAnsi="Times New Roman" w:eastAsia="宋体" w:cs="Times New Roman"/>
                <w:bCs/>
                <w:color w:val="auto"/>
                <w:sz w:val="24"/>
                <w:szCs w:val="24"/>
                <w:lang w:val="en-US" w:eastAsia="zh-CN"/>
              </w:rPr>
              <w:t>封装废气</w:t>
            </w:r>
            <w:r>
              <w:rPr>
                <w:rFonts w:hint="default" w:ascii="Times New Roman" w:hAnsi="Times New Roman" w:eastAsia="宋体" w:cs="Times New Roman"/>
                <w:bCs/>
                <w:color w:val="auto"/>
                <w:sz w:val="24"/>
                <w:szCs w:val="24"/>
              </w:rPr>
              <w:t>经集气罩收集，收集后的废气进入</w:t>
            </w:r>
            <w:r>
              <w:rPr>
                <w:rFonts w:hint="default" w:ascii="Times New Roman" w:hAnsi="Times New Roman" w:eastAsia="宋体" w:cs="Times New Roman"/>
                <w:bCs/>
                <w:color w:val="auto"/>
                <w:sz w:val="24"/>
                <w:szCs w:val="24"/>
                <w:lang w:val="en-US" w:eastAsia="zh-CN"/>
              </w:rPr>
              <w:t>1套</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二级活性炭吸附装置</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处理后通过</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根</w:t>
            </w:r>
            <w:r>
              <w:rPr>
                <w:rFonts w:hint="default"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rPr>
              <w:t>m高的排气筒（DA001）排放</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焊接废气</w:t>
            </w:r>
            <w:r>
              <w:rPr>
                <w:rFonts w:hint="default" w:ascii="Times New Roman" w:hAnsi="Times New Roman" w:eastAsia="宋体" w:cs="Times New Roman"/>
                <w:bCs/>
                <w:color w:val="auto"/>
                <w:sz w:val="24"/>
                <w:szCs w:val="24"/>
              </w:rPr>
              <w:t>经集气罩收集，收集后的废气进入</w:t>
            </w:r>
            <w:r>
              <w:rPr>
                <w:rFonts w:hint="default" w:ascii="Times New Roman" w:hAnsi="Times New Roman" w:eastAsia="宋体" w:cs="Times New Roman"/>
                <w:bCs/>
                <w:color w:val="auto"/>
                <w:sz w:val="24"/>
                <w:szCs w:val="24"/>
                <w:lang w:val="en-US" w:eastAsia="zh-CN"/>
              </w:rPr>
              <w:t>1套</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布袋除尘器</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处理后通过</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根</w:t>
            </w:r>
            <w:r>
              <w:rPr>
                <w:rFonts w:hint="default"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rPr>
              <w:t>m高的排气筒（DA00</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）排放</w:t>
            </w:r>
            <w:r>
              <w:rPr>
                <w:rFonts w:hint="default" w:ascii="Times New Roman" w:hAnsi="Times New Roman" w:eastAsia="宋体" w:cs="Times New Roman"/>
                <w:color w:val="auto"/>
                <w:sz w:val="24"/>
              </w:rPr>
              <w:t>。污染物排放量较低，对大气环境影响较小；生活污水接管至常州金坛区第二污水处理有限公司集中处理；固体废物均按照要求委托相关单位进行妥善处置。上述措施确保拟建项目污染物排放对环境的影响降到最低，不会突破环境质量底线，改变区域环境功能区。</w:t>
            </w:r>
          </w:p>
          <w:p w14:paraId="6FFC6E84">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（3）资源利用上线</w:t>
            </w:r>
          </w:p>
          <w:p w14:paraId="1EF7B955">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租赁现有空置</w:t>
            </w:r>
            <w:r>
              <w:rPr>
                <w:rFonts w:hint="default" w:ascii="Times New Roman" w:hAnsi="Times New Roman" w:eastAsia="宋体" w:cs="Times New Roman"/>
                <w:color w:val="auto"/>
                <w:sz w:val="24"/>
              </w:rPr>
              <w:t>厂房进行生产，所用的资源主要为水资源和电能，项目所在地水资源丰富，耗电量不大，不会达到资源利用上线；项目占地符合当地规划要求，亦不会达到资源利用上线。</w:t>
            </w:r>
          </w:p>
          <w:p w14:paraId="5DE4DB2D">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（4）环境准入负面清单</w:t>
            </w:r>
          </w:p>
          <w:p w14:paraId="34FC122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①本项目不属于《市场准入负面清单（2022年版）》中禁止准入类和限制准入项目；</w:t>
            </w:r>
          </w:p>
          <w:p w14:paraId="02E13F80">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②与《江苏省2023年度生态环境分区管控动态更新成果公告》相符性</w:t>
            </w:r>
          </w:p>
          <w:p w14:paraId="3BDA671B">
            <w:pPr>
              <w:pStyle w:val="9"/>
              <w:adjustRightInd w:val="0"/>
              <w:ind w:firstLine="0" w:firstLineChars="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表1-</w:t>
            </w:r>
            <w:r>
              <w:rPr>
                <w:rFonts w:hint="eastAsia" w:ascii="Times New Roman" w:hAnsi="Times New Roman" w:eastAsia="宋体" w:cs="Times New Roman"/>
                <w:b/>
                <w:bCs/>
                <w:color w:val="auto"/>
                <w:kern w:val="2"/>
                <w:sz w:val="24"/>
                <w:szCs w:val="24"/>
                <w:lang w:val="en-US" w:eastAsia="zh-CN"/>
              </w:rPr>
              <w:t>4</w:t>
            </w:r>
            <w:r>
              <w:rPr>
                <w:rFonts w:hint="default" w:ascii="Times New Roman" w:hAnsi="Times New Roman" w:eastAsia="宋体" w:cs="Times New Roman"/>
                <w:b/>
                <w:bCs/>
                <w:color w:val="auto"/>
                <w:kern w:val="2"/>
                <w:sz w:val="24"/>
                <w:szCs w:val="24"/>
              </w:rPr>
              <w:t xml:space="preserve">  与《江苏省2023年度生态环境分区管控动态更新成果公告》相符性</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1"/>
              <w:gridCol w:w="575"/>
              <w:gridCol w:w="4452"/>
              <w:gridCol w:w="2154"/>
              <w:gridCol w:w="715"/>
            </w:tblGrid>
            <w:tr w14:paraId="3A59A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tcBorders>
                    <w:tl2br w:val="nil"/>
                    <w:tr2bl w:val="nil"/>
                  </w:tcBorders>
                  <w:tcMar>
                    <w:top w:w="0" w:type="dxa"/>
                    <w:left w:w="0" w:type="dxa"/>
                    <w:bottom w:w="0" w:type="dxa"/>
                    <w:right w:w="0" w:type="dxa"/>
                  </w:tcMar>
                  <w:vAlign w:val="center"/>
                </w:tcPr>
                <w:p w14:paraId="093700D3">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2989" w:type="pct"/>
                  <w:gridSpan w:val="2"/>
                  <w:tcBorders>
                    <w:tl2br w:val="nil"/>
                    <w:tr2bl w:val="nil"/>
                  </w:tcBorders>
                  <w:tcMar>
                    <w:top w:w="0" w:type="dxa"/>
                    <w:left w:w="0" w:type="dxa"/>
                    <w:bottom w:w="0" w:type="dxa"/>
                    <w:right w:w="0" w:type="dxa"/>
                  </w:tcMar>
                  <w:vAlign w:val="center"/>
                </w:tcPr>
                <w:p w14:paraId="3E68AA6A">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管控要求</w:t>
                  </w:r>
                </w:p>
              </w:tc>
              <w:tc>
                <w:tcPr>
                  <w:tcW w:w="1281" w:type="pct"/>
                  <w:tcBorders>
                    <w:tl2br w:val="nil"/>
                    <w:tr2bl w:val="nil"/>
                  </w:tcBorders>
                  <w:tcMar>
                    <w:top w:w="0" w:type="dxa"/>
                    <w:left w:w="0" w:type="dxa"/>
                    <w:bottom w:w="0" w:type="dxa"/>
                    <w:right w:w="0" w:type="dxa"/>
                  </w:tcMar>
                  <w:vAlign w:val="center"/>
                </w:tcPr>
                <w:p w14:paraId="19F6884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本项目相关内容</w:t>
                  </w:r>
                </w:p>
              </w:tc>
              <w:tc>
                <w:tcPr>
                  <w:tcW w:w="425" w:type="pct"/>
                  <w:tcBorders>
                    <w:tl2br w:val="nil"/>
                    <w:tr2bl w:val="nil"/>
                  </w:tcBorders>
                  <w:tcMar>
                    <w:top w:w="0" w:type="dxa"/>
                    <w:left w:w="0" w:type="dxa"/>
                    <w:bottom w:w="0" w:type="dxa"/>
                    <w:right w:w="0" w:type="dxa"/>
                  </w:tcMar>
                  <w:vAlign w:val="center"/>
                </w:tcPr>
                <w:p w14:paraId="40F0EBA3">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相符性</w:t>
                  </w:r>
                </w:p>
              </w:tc>
            </w:tr>
            <w:tr w14:paraId="39C52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Borders>
                    <w:tl2br w:val="nil"/>
                    <w:tr2bl w:val="nil"/>
                  </w:tcBorders>
                  <w:tcMar>
                    <w:top w:w="0" w:type="dxa"/>
                    <w:left w:w="0" w:type="dxa"/>
                    <w:bottom w:w="0" w:type="dxa"/>
                    <w:right w:w="0" w:type="dxa"/>
                  </w:tcMar>
                  <w:vAlign w:val="center"/>
                </w:tcPr>
                <w:p w14:paraId="1BCAE4E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342" w:type="pct"/>
                  <w:vMerge w:val="restart"/>
                  <w:tcBorders>
                    <w:tl2br w:val="nil"/>
                    <w:tr2bl w:val="nil"/>
                  </w:tcBorders>
                  <w:tcMar>
                    <w:top w:w="0" w:type="dxa"/>
                    <w:left w:w="0" w:type="dxa"/>
                    <w:bottom w:w="0" w:type="dxa"/>
                    <w:right w:w="0" w:type="dxa"/>
                  </w:tcMar>
                  <w:vAlign w:val="center"/>
                </w:tcPr>
                <w:p w14:paraId="7C67371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2646" w:type="pct"/>
                  <w:tcBorders>
                    <w:tl2br w:val="nil"/>
                    <w:tr2bl w:val="nil"/>
                  </w:tcBorders>
                  <w:tcMar>
                    <w:top w:w="0" w:type="dxa"/>
                    <w:left w:w="0" w:type="dxa"/>
                    <w:bottom w:w="0" w:type="dxa"/>
                    <w:right w:w="0" w:type="dxa"/>
                  </w:tcMar>
                  <w:vAlign w:val="center"/>
                </w:tcPr>
                <w:p w14:paraId="4A64122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281" w:type="pct"/>
                  <w:tcBorders>
                    <w:tl2br w:val="nil"/>
                    <w:tr2bl w:val="nil"/>
                  </w:tcBorders>
                  <w:tcMar>
                    <w:top w:w="0" w:type="dxa"/>
                    <w:left w:w="0" w:type="dxa"/>
                    <w:bottom w:w="0" w:type="dxa"/>
                    <w:right w:w="0" w:type="dxa"/>
                  </w:tcMar>
                  <w:vAlign w:val="center"/>
                </w:tcPr>
                <w:p w14:paraId="7F7E6BA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对照江苏省生态空间保护区域分布图，项目建设区域与国家级生态保护红线范围及江苏省生态空间管控区域范围均无交集，项目实施后，有机废气经收集处理后排放，生活污水不直接排放水体，不会使生态功能降低、不会影响生态空间面积、不会改变生态空间性质。</w:t>
                  </w:r>
                </w:p>
              </w:tc>
              <w:tc>
                <w:tcPr>
                  <w:tcW w:w="425" w:type="pct"/>
                  <w:tcBorders>
                    <w:tl2br w:val="nil"/>
                    <w:tr2bl w:val="nil"/>
                  </w:tcBorders>
                  <w:tcMar>
                    <w:top w:w="0" w:type="dxa"/>
                    <w:left w:w="0" w:type="dxa"/>
                    <w:bottom w:w="0" w:type="dxa"/>
                    <w:right w:w="0" w:type="dxa"/>
                  </w:tcMar>
                  <w:vAlign w:val="center"/>
                </w:tcPr>
                <w:p w14:paraId="1C31970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48483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0FF747D1">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63D375FF">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779536F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281" w:type="pct"/>
                  <w:tcBorders>
                    <w:tl2br w:val="nil"/>
                    <w:tr2bl w:val="nil"/>
                  </w:tcBorders>
                  <w:tcMar>
                    <w:top w:w="0" w:type="dxa"/>
                    <w:left w:w="0" w:type="dxa"/>
                    <w:bottom w:w="0" w:type="dxa"/>
                    <w:right w:w="0" w:type="dxa"/>
                  </w:tcMar>
                  <w:vAlign w:val="center"/>
                </w:tcPr>
                <w:p w14:paraId="0235BB3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本项目不在重点保护的岸线、河段、区域范围内，不属于排放量大、耗能高产能过剩的产业。</w:t>
                  </w:r>
                </w:p>
              </w:tc>
              <w:tc>
                <w:tcPr>
                  <w:tcW w:w="425" w:type="pct"/>
                  <w:tcBorders>
                    <w:tl2br w:val="nil"/>
                    <w:tr2bl w:val="nil"/>
                  </w:tcBorders>
                  <w:tcMar>
                    <w:top w:w="0" w:type="dxa"/>
                    <w:left w:w="0" w:type="dxa"/>
                    <w:bottom w:w="0" w:type="dxa"/>
                    <w:right w:w="0" w:type="dxa"/>
                  </w:tcMar>
                  <w:vAlign w:val="center"/>
                </w:tcPr>
                <w:p w14:paraId="117D2F3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4F9B4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2E380FD5">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343F7394">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7E9788D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281" w:type="pct"/>
                  <w:tcBorders>
                    <w:tl2br w:val="nil"/>
                    <w:tr2bl w:val="nil"/>
                  </w:tcBorders>
                  <w:tcMar>
                    <w:top w:w="0" w:type="dxa"/>
                    <w:left w:w="0" w:type="dxa"/>
                    <w:bottom w:w="0" w:type="dxa"/>
                    <w:right w:w="0" w:type="dxa"/>
                  </w:tcMar>
                  <w:vAlign w:val="center"/>
                </w:tcPr>
                <w:p w14:paraId="6B75546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eastAsia="zh-CN"/>
                    </w:rPr>
                    <w:t>常州市金坛区华丰路6号</w:t>
                  </w:r>
                  <w:r>
                    <w:rPr>
                      <w:rFonts w:hint="default" w:ascii="Times New Roman" w:hAnsi="Times New Roman" w:eastAsia="宋体" w:cs="Times New Roman"/>
                      <w:color w:val="auto"/>
                    </w:rPr>
                    <w:t>，不在长江干支流两侧1公里范围内。</w:t>
                  </w:r>
                </w:p>
              </w:tc>
              <w:tc>
                <w:tcPr>
                  <w:tcW w:w="425" w:type="pct"/>
                  <w:tcBorders>
                    <w:tl2br w:val="nil"/>
                    <w:tr2bl w:val="nil"/>
                  </w:tcBorders>
                  <w:tcMar>
                    <w:top w:w="0" w:type="dxa"/>
                    <w:left w:w="0" w:type="dxa"/>
                    <w:bottom w:w="0" w:type="dxa"/>
                    <w:right w:w="0" w:type="dxa"/>
                  </w:tcMar>
                  <w:vAlign w:val="center"/>
                </w:tcPr>
                <w:p w14:paraId="7D283B6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06457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7E7284F7">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55DB799D">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494A179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281" w:type="pct"/>
                  <w:tcBorders>
                    <w:tl2br w:val="nil"/>
                    <w:tr2bl w:val="nil"/>
                  </w:tcBorders>
                  <w:tcMar>
                    <w:top w:w="0" w:type="dxa"/>
                    <w:left w:w="0" w:type="dxa"/>
                    <w:bottom w:w="0" w:type="dxa"/>
                    <w:right w:w="0" w:type="dxa"/>
                  </w:tcMar>
                  <w:vAlign w:val="center"/>
                </w:tcPr>
                <w:p w14:paraId="220E032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本项目从事</w:t>
                  </w:r>
                  <w:r>
                    <w:rPr>
                      <w:rFonts w:hint="default" w:ascii="Times New Roman" w:hAnsi="Times New Roman" w:eastAsia="宋体" w:cs="Times New Roman"/>
                      <w:color w:val="auto"/>
                      <w:lang w:eastAsia="zh-CN"/>
                    </w:rPr>
                    <w:t>电磁阀及配件产品</w:t>
                  </w:r>
                  <w:r>
                    <w:rPr>
                      <w:rFonts w:hint="default" w:ascii="Times New Roman" w:hAnsi="Times New Roman" w:eastAsia="宋体" w:cs="Times New Roman"/>
                      <w:color w:val="auto"/>
                    </w:rPr>
                    <w:t>生产，不属于钢铁行业。</w:t>
                  </w:r>
                </w:p>
              </w:tc>
              <w:tc>
                <w:tcPr>
                  <w:tcW w:w="425" w:type="pct"/>
                  <w:tcBorders>
                    <w:tl2br w:val="nil"/>
                    <w:tr2bl w:val="nil"/>
                  </w:tcBorders>
                  <w:tcMar>
                    <w:top w:w="0" w:type="dxa"/>
                    <w:left w:w="0" w:type="dxa"/>
                    <w:bottom w:w="0" w:type="dxa"/>
                    <w:right w:w="0" w:type="dxa"/>
                  </w:tcMar>
                  <w:vAlign w:val="center"/>
                </w:tcPr>
                <w:p w14:paraId="01B6129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09BD7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60FAA494">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18B51C30">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0210439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281" w:type="pct"/>
                  <w:tcBorders>
                    <w:tl2br w:val="nil"/>
                    <w:tr2bl w:val="nil"/>
                  </w:tcBorders>
                  <w:tcMar>
                    <w:top w:w="0" w:type="dxa"/>
                    <w:left w:w="0" w:type="dxa"/>
                    <w:bottom w:w="0" w:type="dxa"/>
                    <w:right w:w="0" w:type="dxa"/>
                  </w:tcMar>
                  <w:vAlign w:val="center"/>
                </w:tcPr>
                <w:p w14:paraId="311A6FB3">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本项目不涉及生态保护红线、相关法定保护区的重大民生项目、重大基础设施项目。</w:t>
                  </w:r>
                </w:p>
              </w:tc>
              <w:tc>
                <w:tcPr>
                  <w:tcW w:w="425" w:type="pct"/>
                  <w:tcBorders>
                    <w:tl2br w:val="nil"/>
                    <w:tr2bl w:val="nil"/>
                  </w:tcBorders>
                  <w:tcMar>
                    <w:top w:w="0" w:type="dxa"/>
                    <w:left w:w="0" w:type="dxa"/>
                    <w:bottom w:w="0" w:type="dxa"/>
                    <w:right w:w="0" w:type="dxa"/>
                  </w:tcMar>
                  <w:vAlign w:val="center"/>
                </w:tcPr>
                <w:p w14:paraId="48DC0CB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336A4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Borders>
                    <w:tl2br w:val="nil"/>
                    <w:tr2bl w:val="nil"/>
                  </w:tcBorders>
                  <w:tcMar>
                    <w:top w:w="0" w:type="dxa"/>
                    <w:left w:w="0" w:type="dxa"/>
                    <w:bottom w:w="0" w:type="dxa"/>
                    <w:right w:w="0" w:type="dxa"/>
                  </w:tcMar>
                  <w:vAlign w:val="center"/>
                </w:tcPr>
                <w:p w14:paraId="7DB1526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342" w:type="pct"/>
                  <w:vMerge w:val="restart"/>
                  <w:tcBorders>
                    <w:tl2br w:val="nil"/>
                    <w:tr2bl w:val="nil"/>
                  </w:tcBorders>
                  <w:tcMar>
                    <w:top w:w="0" w:type="dxa"/>
                    <w:left w:w="0" w:type="dxa"/>
                    <w:bottom w:w="0" w:type="dxa"/>
                    <w:right w:w="0" w:type="dxa"/>
                  </w:tcMar>
                  <w:vAlign w:val="center"/>
                </w:tcPr>
                <w:p w14:paraId="3E5146C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2646" w:type="pct"/>
                  <w:tcBorders>
                    <w:tl2br w:val="nil"/>
                    <w:tr2bl w:val="nil"/>
                  </w:tcBorders>
                  <w:tcMar>
                    <w:top w:w="0" w:type="dxa"/>
                    <w:left w:w="0" w:type="dxa"/>
                    <w:bottom w:w="0" w:type="dxa"/>
                    <w:right w:w="0" w:type="dxa"/>
                  </w:tcMar>
                  <w:vAlign w:val="center"/>
                </w:tcPr>
                <w:p w14:paraId="69A1E61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1．坚持生态环境质量只能更好、不能变坏，实施污染物总量控制，以环境容量定产业、定项目、定规模，确保开发建设行为不突破生态环境承载力。</w:t>
                  </w:r>
                </w:p>
              </w:tc>
              <w:tc>
                <w:tcPr>
                  <w:tcW w:w="1281" w:type="pct"/>
                  <w:tcBorders>
                    <w:tl2br w:val="nil"/>
                    <w:tr2bl w:val="nil"/>
                  </w:tcBorders>
                  <w:tcMar>
                    <w:top w:w="0" w:type="dxa"/>
                    <w:left w:w="0" w:type="dxa"/>
                    <w:bottom w:w="0" w:type="dxa"/>
                    <w:right w:w="0" w:type="dxa"/>
                  </w:tcMar>
                  <w:vAlign w:val="center"/>
                </w:tcPr>
                <w:p w14:paraId="7947439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本项目应按要求向常州市金坛生态环境局申请总量。</w:t>
                  </w:r>
                </w:p>
              </w:tc>
              <w:tc>
                <w:tcPr>
                  <w:tcW w:w="425" w:type="pct"/>
                  <w:tcBorders>
                    <w:tl2br w:val="nil"/>
                    <w:tr2bl w:val="nil"/>
                  </w:tcBorders>
                  <w:tcMar>
                    <w:top w:w="0" w:type="dxa"/>
                    <w:left w:w="0" w:type="dxa"/>
                    <w:bottom w:w="0" w:type="dxa"/>
                    <w:right w:w="0" w:type="dxa"/>
                  </w:tcMar>
                  <w:vAlign w:val="center"/>
                </w:tcPr>
                <w:p w14:paraId="72294CC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0D3C2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5B5BA4D8">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4F601318">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08A95D8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281" w:type="pct"/>
                  <w:tcBorders>
                    <w:tl2br w:val="nil"/>
                    <w:tr2bl w:val="nil"/>
                  </w:tcBorders>
                  <w:tcMar>
                    <w:top w:w="0" w:type="dxa"/>
                    <w:left w:w="0" w:type="dxa"/>
                    <w:bottom w:w="0" w:type="dxa"/>
                    <w:right w:w="0" w:type="dxa"/>
                  </w:tcMar>
                  <w:vAlign w:val="center"/>
                </w:tcPr>
                <w:p w14:paraId="5A03BA9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本项目从事</w:t>
                  </w:r>
                  <w:r>
                    <w:rPr>
                      <w:rFonts w:hint="default" w:ascii="Times New Roman" w:hAnsi="Times New Roman" w:eastAsia="宋体" w:cs="Times New Roman"/>
                      <w:color w:val="auto"/>
                      <w:lang w:eastAsia="zh-CN"/>
                    </w:rPr>
                    <w:t>电磁阀及配件产品</w:t>
                  </w:r>
                  <w:r>
                    <w:rPr>
                      <w:rFonts w:hint="default" w:ascii="Times New Roman" w:hAnsi="Times New Roman" w:eastAsia="宋体" w:cs="Times New Roman"/>
                      <w:color w:val="auto"/>
                    </w:rPr>
                    <w:t>生产，不属于高能耗工业，本项目有机废气收集处理后排放，减少有机废气的排放。</w:t>
                  </w:r>
                </w:p>
              </w:tc>
              <w:tc>
                <w:tcPr>
                  <w:tcW w:w="425" w:type="pct"/>
                  <w:tcBorders>
                    <w:tl2br w:val="nil"/>
                    <w:tr2bl w:val="nil"/>
                  </w:tcBorders>
                  <w:tcMar>
                    <w:top w:w="0" w:type="dxa"/>
                    <w:left w:w="0" w:type="dxa"/>
                    <w:bottom w:w="0" w:type="dxa"/>
                    <w:right w:w="0" w:type="dxa"/>
                  </w:tcMar>
                  <w:vAlign w:val="center"/>
                </w:tcPr>
                <w:p w14:paraId="436B1FF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454A2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Borders>
                    <w:tl2br w:val="nil"/>
                    <w:tr2bl w:val="nil"/>
                  </w:tcBorders>
                  <w:tcMar>
                    <w:top w:w="0" w:type="dxa"/>
                    <w:left w:w="0" w:type="dxa"/>
                    <w:bottom w:w="0" w:type="dxa"/>
                    <w:right w:w="0" w:type="dxa"/>
                  </w:tcMar>
                  <w:vAlign w:val="center"/>
                </w:tcPr>
                <w:p w14:paraId="313E362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342" w:type="pct"/>
                  <w:vMerge w:val="restart"/>
                  <w:tcBorders>
                    <w:tl2br w:val="nil"/>
                    <w:tr2bl w:val="nil"/>
                  </w:tcBorders>
                  <w:tcMar>
                    <w:top w:w="0" w:type="dxa"/>
                    <w:left w:w="0" w:type="dxa"/>
                    <w:bottom w:w="0" w:type="dxa"/>
                    <w:right w:w="0" w:type="dxa"/>
                  </w:tcMar>
                  <w:vAlign w:val="center"/>
                </w:tcPr>
                <w:p w14:paraId="01AE0AE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2646" w:type="pct"/>
                  <w:tcBorders>
                    <w:tl2br w:val="nil"/>
                    <w:tr2bl w:val="nil"/>
                  </w:tcBorders>
                  <w:tcMar>
                    <w:top w:w="0" w:type="dxa"/>
                    <w:left w:w="0" w:type="dxa"/>
                    <w:bottom w:w="0" w:type="dxa"/>
                    <w:right w:w="0" w:type="dxa"/>
                  </w:tcMar>
                  <w:vAlign w:val="center"/>
                </w:tcPr>
                <w:p w14:paraId="4F80615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281" w:type="pct"/>
                  <w:tcBorders>
                    <w:tl2br w:val="nil"/>
                    <w:tr2bl w:val="nil"/>
                  </w:tcBorders>
                  <w:tcMar>
                    <w:top w:w="0" w:type="dxa"/>
                    <w:left w:w="0" w:type="dxa"/>
                    <w:bottom w:w="0" w:type="dxa"/>
                    <w:right w:w="0" w:type="dxa"/>
                  </w:tcMar>
                  <w:vAlign w:val="center"/>
                </w:tcPr>
                <w:p w14:paraId="3D307B8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本项目不运输剧毒物质和危险化学品；本项目产生的危险废物交由有资质单位处置，零排放。</w:t>
                  </w:r>
                </w:p>
              </w:tc>
              <w:tc>
                <w:tcPr>
                  <w:tcW w:w="425" w:type="pct"/>
                  <w:tcBorders>
                    <w:tl2br w:val="nil"/>
                    <w:tr2bl w:val="nil"/>
                  </w:tcBorders>
                  <w:tcMar>
                    <w:top w:w="0" w:type="dxa"/>
                    <w:left w:w="0" w:type="dxa"/>
                    <w:bottom w:w="0" w:type="dxa"/>
                    <w:right w:w="0" w:type="dxa"/>
                  </w:tcMar>
                  <w:vAlign w:val="center"/>
                </w:tcPr>
                <w:p w14:paraId="543739A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30D29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548C1496">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2C5F9DD6">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5866888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3．强化环境事故应急管理。深化跨部门、跨区域环境应急协调联动，分区域建立环境应急物资储备库。各级工业园区（集聚区）和企业的环境应急装备和储备物资应纳入储备体系。</w:t>
                  </w:r>
                </w:p>
              </w:tc>
              <w:tc>
                <w:tcPr>
                  <w:tcW w:w="1281" w:type="pct"/>
                  <w:tcBorders>
                    <w:tl2br w:val="nil"/>
                    <w:tr2bl w:val="nil"/>
                  </w:tcBorders>
                  <w:tcMar>
                    <w:top w:w="0" w:type="dxa"/>
                    <w:left w:w="0" w:type="dxa"/>
                    <w:bottom w:w="0" w:type="dxa"/>
                    <w:right w:w="0" w:type="dxa"/>
                  </w:tcMar>
                  <w:vAlign w:val="center"/>
                </w:tcPr>
                <w:p w14:paraId="2A6452B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项目实施后，按要求配备环境应急装备、储备应急物资。</w:t>
                  </w:r>
                </w:p>
              </w:tc>
              <w:tc>
                <w:tcPr>
                  <w:tcW w:w="425" w:type="pct"/>
                  <w:tcBorders>
                    <w:tl2br w:val="nil"/>
                    <w:tr2bl w:val="nil"/>
                  </w:tcBorders>
                  <w:tcMar>
                    <w:top w:w="0" w:type="dxa"/>
                    <w:left w:w="0" w:type="dxa"/>
                    <w:bottom w:w="0" w:type="dxa"/>
                    <w:right w:w="0" w:type="dxa"/>
                  </w:tcMar>
                  <w:vAlign w:val="center"/>
                </w:tcPr>
                <w:p w14:paraId="789CCCD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61DD8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61D50070">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176B5D55">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593866C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281" w:type="pct"/>
                  <w:tcBorders>
                    <w:tl2br w:val="nil"/>
                    <w:tr2bl w:val="nil"/>
                  </w:tcBorders>
                  <w:tcMar>
                    <w:top w:w="0" w:type="dxa"/>
                    <w:left w:w="0" w:type="dxa"/>
                    <w:bottom w:w="0" w:type="dxa"/>
                    <w:right w:w="0" w:type="dxa"/>
                  </w:tcMar>
                  <w:vAlign w:val="center"/>
                </w:tcPr>
                <w:p w14:paraId="42FC050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项目实施后，按要求编制突发环境事件应急预案、落实预案中的相关风险防范措施并报相关部门备案。</w:t>
                  </w:r>
                </w:p>
              </w:tc>
              <w:tc>
                <w:tcPr>
                  <w:tcW w:w="425" w:type="pct"/>
                  <w:tcBorders>
                    <w:tl2br w:val="nil"/>
                    <w:tr2bl w:val="nil"/>
                  </w:tcBorders>
                  <w:tcMar>
                    <w:top w:w="0" w:type="dxa"/>
                    <w:left w:w="0" w:type="dxa"/>
                    <w:bottom w:w="0" w:type="dxa"/>
                    <w:right w:w="0" w:type="dxa"/>
                  </w:tcMar>
                  <w:vAlign w:val="center"/>
                </w:tcPr>
                <w:p w14:paraId="376FC36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7FA91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Borders>
                    <w:tl2br w:val="nil"/>
                    <w:tr2bl w:val="nil"/>
                  </w:tcBorders>
                  <w:tcMar>
                    <w:top w:w="0" w:type="dxa"/>
                    <w:left w:w="0" w:type="dxa"/>
                    <w:bottom w:w="0" w:type="dxa"/>
                    <w:right w:w="0" w:type="dxa"/>
                  </w:tcMar>
                  <w:vAlign w:val="center"/>
                </w:tcPr>
                <w:p w14:paraId="71753D3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342" w:type="pct"/>
                  <w:vMerge w:val="restart"/>
                  <w:tcBorders>
                    <w:tl2br w:val="nil"/>
                    <w:tr2bl w:val="nil"/>
                  </w:tcBorders>
                  <w:tcMar>
                    <w:top w:w="0" w:type="dxa"/>
                    <w:left w:w="0" w:type="dxa"/>
                    <w:bottom w:w="0" w:type="dxa"/>
                    <w:right w:w="0" w:type="dxa"/>
                  </w:tcMar>
                  <w:vAlign w:val="center"/>
                </w:tcPr>
                <w:p w14:paraId="4C55D163">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资源利用效率要求</w:t>
                  </w:r>
                </w:p>
              </w:tc>
              <w:tc>
                <w:tcPr>
                  <w:tcW w:w="2646" w:type="pct"/>
                  <w:tcBorders>
                    <w:tl2br w:val="nil"/>
                    <w:tr2bl w:val="nil"/>
                  </w:tcBorders>
                  <w:tcMar>
                    <w:top w:w="0" w:type="dxa"/>
                    <w:left w:w="0" w:type="dxa"/>
                    <w:bottom w:w="0" w:type="dxa"/>
                    <w:right w:w="0" w:type="dxa"/>
                  </w:tcMar>
                  <w:vAlign w:val="center"/>
                </w:tcPr>
                <w:p w14:paraId="37906C1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1．水资源利用总量及效率要求：到2025年，全省用水总量控制在525.9亿立方米以内，万元地区生产总值用水量、万元工业增加值用水量下降完成国家下达目标，农田灌溉水有效利用系数提高到0.625。</w:t>
                  </w:r>
                </w:p>
              </w:tc>
              <w:tc>
                <w:tcPr>
                  <w:tcW w:w="1281" w:type="pct"/>
                  <w:tcBorders>
                    <w:tl2br w:val="nil"/>
                    <w:tr2bl w:val="nil"/>
                  </w:tcBorders>
                  <w:tcMar>
                    <w:top w:w="0" w:type="dxa"/>
                    <w:left w:w="0" w:type="dxa"/>
                    <w:bottom w:w="0" w:type="dxa"/>
                    <w:right w:w="0" w:type="dxa"/>
                  </w:tcMar>
                  <w:vAlign w:val="center"/>
                </w:tcPr>
                <w:p w14:paraId="7D0D3B11">
                  <w:pPr>
                    <w:autoSpaceDE w:val="0"/>
                    <w:autoSpaceDN w:val="0"/>
                    <w:adjustRightIn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本项目用水量较少，满足要求</w:t>
                  </w:r>
                </w:p>
              </w:tc>
              <w:tc>
                <w:tcPr>
                  <w:tcW w:w="425" w:type="pct"/>
                  <w:tcBorders>
                    <w:tl2br w:val="nil"/>
                    <w:tr2bl w:val="nil"/>
                  </w:tcBorders>
                  <w:tcMar>
                    <w:top w:w="0" w:type="dxa"/>
                    <w:left w:w="0" w:type="dxa"/>
                    <w:bottom w:w="0" w:type="dxa"/>
                    <w:right w:w="0" w:type="dxa"/>
                  </w:tcMar>
                  <w:vAlign w:val="center"/>
                </w:tcPr>
                <w:p w14:paraId="0B14813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7C4C8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50E65095">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5BA5E1DD">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62EB3EC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2．土地资源总量要求：到2025年，江苏省耕地保有量不低于5977万亩，其中永久基本农田保护面积不低于5344万亩。</w:t>
                  </w:r>
                </w:p>
              </w:tc>
              <w:tc>
                <w:tcPr>
                  <w:tcW w:w="1281" w:type="pct"/>
                  <w:tcBorders>
                    <w:tl2br w:val="nil"/>
                    <w:tr2bl w:val="nil"/>
                  </w:tcBorders>
                  <w:tcMar>
                    <w:top w:w="0" w:type="dxa"/>
                    <w:left w:w="0" w:type="dxa"/>
                    <w:bottom w:w="0" w:type="dxa"/>
                    <w:right w:w="0" w:type="dxa"/>
                  </w:tcMar>
                  <w:vAlign w:val="center"/>
                </w:tcPr>
                <w:p w14:paraId="527A821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项目不新增建设用地，利用现有闲置地块新建厂房。</w:t>
                  </w:r>
                </w:p>
              </w:tc>
              <w:tc>
                <w:tcPr>
                  <w:tcW w:w="425" w:type="pct"/>
                  <w:tcBorders>
                    <w:tl2br w:val="nil"/>
                    <w:tr2bl w:val="nil"/>
                  </w:tcBorders>
                  <w:tcMar>
                    <w:top w:w="0" w:type="dxa"/>
                    <w:left w:w="0" w:type="dxa"/>
                    <w:bottom w:w="0" w:type="dxa"/>
                    <w:right w:w="0" w:type="dxa"/>
                  </w:tcMar>
                  <w:vAlign w:val="center"/>
                </w:tcPr>
                <w:p w14:paraId="2CCD2A6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349FB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tcMar>
                    <w:top w:w="0" w:type="dxa"/>
                    <w:left w:w="0" w:type="dxa"/>
                    <w:bottom w:w="0" w:type="dxa"/>
                    <w:right w:w="0" w:type="dxa"/>
                  </w:tcMar>
                  <w:vAlign w:val="center"/>
                </w:tcPr>
                <w:p w14:paraId="0C977EF2">
                  <w:pPr>
                    <w:jc w:val="center"/>
                    <w:rPr>
                      <w:rFonts w:hint="default" w:ascii="Times New Roman" w:hAnsi="Times New Roman" w:eastAsia="宋体" w:cs="Times New Roman"/>
                      <w:color w:val="auto"/>
                    </w:rPr>
                  </w:pPr>
                </w:p>
              </w:tc>
              <w:tc>
                <w:tcPr>
                  <w:tcW w:w="342" w:type="pct"/>
                  <w:vMerge w:val="continue"/>
                  <w:tcBorders>
                    <w:tl2br w:val="nil"/>
                    <w:tr2bl w:val="nil"/>
                  </w:tcBorders>
                  <w:tcMar>
                    <w:top w:w="0" w:type="dxa"/>
                    <w:left w:w="0" w:type="dxa"/>
                    <w:bottom w:w="0" w:type="dxa"/>
                    <w:right w:w="0" w:type="dxa"/>
                  </w:tcMar>
                  <w:vAlign w:val="center"/>
                </w:tcPr>
                <w:p w14:paraId="691B801C">
                  <w:pPr>
                    <w:jc w:val="center"/>
                    <w:rPr>
                      <w:rFonts w:hint="default" w:ascii="Times New Roman" w:hAnsi="Times New Roman" w:eastAsia="宋体" w:cs="Times New Roman"/>
                      <w:color w:val="auto"/>
                    </w:rPr>
                  </w:pPr>
                </w:p>
              </w:tc>
              <w:tc>
                <w:tcPr>
                  <w:tcW w:w="2646" w:type="pct"/>
                  <w:tcBorders>
                    <w:tl2br w:val="nil"/>
                    <w:tr2bl w:val="nil"/>
                  </w:tcBorders>
                  <w:tcMar>
                    <w:top w:w="0" w:type="dxa"/>
                    <w:left w:w="0" w:type="dxa"/>
                    <w:bottom w:w="0" w:type="dxa"/>
                    <w:right w:w="0" w:type="dxa"/>
                  </w:tcMar>
                  <w:vAlign w:val="center"/>
                </w:tcPr>
                <w:p w14:paraId="02704A6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3．禁燃区要求：在禁燃区内，禁止销售、燃用高污染燃料；禁止新建、扩建燃用高污染燃料的设施，已建成的，应当在城市人民政府规定的期限内改用天然气、页岩气、液化石油气、电或者其他清洁能源。</w:t>
                  </w:r>
                </w:p>
              </w:tc>
              <w:tc>
                <w:tcPr>
                  <w:tcW w:w="1281" w:type="pct"/>
                  <w:tcBorders>
                    <w:tl2br w:val="nil"/>
                    <w:tr2bl w:val="nil"/>
                  </w:tcBorders>
                  <w:tcMar>
                    <w:top w:w="0" w:type="dxa"/>
                    <w:left w:w="0" w:type="dxa"/>
                    <w:bottom w:w="0" w:type="dxa"/>
                    <w:right w:w="0" w:type="dxa"/>
                  </w:tcMar>
                  <w:vAlign w:val="center"/>
                </w:tcPr>
                <w:p w14:paraId="17E9BCB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项目位于</w:t>
                  </w:r>
                  <w:r>
                    <w:rPr>
                      <w:rFonts w:hint="default" w:ascii="Times New Roman" w:hAnsi="Times New Roman" w:eastAsia="宋体" w:cs="Times New Roman"/>
                      <w:color w:val="auto"/>
                      <w:lang w:eastAsia="zh-CN"/>
                    </w:rPr>
                    <w:t>常州市金坛区华丰路6号</w:t>
                  </w:r>
                  <w:r>
                    <w:rPr>
                      <w:rFonts w:hint="default" w:ascii="Times New Roman" w:hAnsi="Times New Roman" w:eastAsia="宋体" w:cs="Times New Roman"/>
                      <w:color w:val="auto"/>
                    </w:rPr>
                    <w:t>，使用电能作为清洁能源。</w:t>
                  </w:r>
                </w:p>
              </w:tc>
              <w:tc>
                <w:tcPr>
                  <w:tcW w:w="425" w:type="pct"/>
                  <w:tcBorders>
                    <w:tl2br w:val="nil"/>
                    <w:tr2bl w:val="nil"/>
                  </w:tcBorders>
                  <w:tcMar>
                    <w:top w:w="0" w:type="dxa"/>
                    <w:left w:w="0" w:type="dxa"/>
                    <w:bottom w:w="0" w:type="dxa"/>
                    <w:right w:w="0" w:type="dxa"/>
                  </w:tcMar>
                  <w:vAlign w:val="center"/>
                </w:tcPr>
                <w:p w14:paraId="7014816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bl>
          <w:p w14:paraId="48603F0B">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综上，本项目建设与《江苏省2023年度生态环境分区管控动态更新成果公告》相符。</w:t>
            </w:r>
          </w:p>
          <w:p w14:paraId="557AA38F">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③与《常州市2023年生态环境分区管控动态更新成果》相符性分析</w:t>
            </w:r>
          </w:p>
          <w:p w14:paraId="2DCF34A7">
            <w:pPr>
              <w:pStyle w:val="9"/>
              <w:adjustRightInd w:val="0"/>
              <w:spacing w:before="156" w:beforeLines="50"/>
              <w:ind w:firstLine="0" w:firstLineChars="0"/>
              <w:jc w:val="center"/>
              <w:rPr>
                <w:rFonts w:hint="default" w:ascii="Times New Roman" w:hAnsi="Times New Roman" w:eastAsia="宋体" w:cs="Times New Roman"/>
                <w:b/>
                <w:bCs/>
                <w:color w:val="auto"/>
                <w:kern w:val="2"/>
                <w:sz w:val="24"/>
              </w:rPr>
            </w:pPr>
            <w:r>
              <w:rPr>
                <w:rFonts w:hint="default" w:ascii="Times New Roman" w:hAnsi="Times New Roman" w:eastAsia="宋体" w:cs="Times New Roman"/>
                <w:b/>
                <w:bCs/>
                <w:color w:val="auto"/>
                <w:kern w:val="2"/>
                <w:sz w:val="24"/>
              </w:rPr>
              <w:t>表1-</w:t>
            </w:r>
            <w:r>
              <w:rPr>
                <w:rFonts w:hint="eastAsia" w:ascii="Times New Roman" w:hAnsi="Times New Roman" w:eastAsia="宋体" w:cs="Times New Roman"/>
                <w:b/>
                <w:bCs/>
                <w:color w:val="auto"/>
                <w:kern w:val="2"/>
                <w:sz w:val="24"/>
                <w:lang w:val="en-US" w:eastAsia="zh-CN"/>
              </w:rPr>
              <w:t>5</w:t>
            </w:r>
            <w:r>
              <w:rPr>
                <w:rFonts w:hint="default" w:ascii="Times New Roman" w:hAnsi="Times New Roman" w:eastAsia="宋体" w:cs="Times New Roman"/>
                <w:b/>
                <w:bCs/>
                <w:color w:val="auto"/>
                <w:kern w:val="2"/>
                <w:sz w:val="24"/>
              </w:rPr>
              <w:t xml:space="preserve">  与《常州市2023年生态环境分区管控动态更新成果》相符性</w:t>
            </w:r>
          </w:p>
          <w:tbl>
            <w:tblPr>
              <w:tblStyle w:val="26"/>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9"/>
              <w:gridCol w:w="597"/>
              <w:gridCol w:w="4780"/>
              <w:gridCol w:w="1731"/>
              <w:gridCol w:w="693"/>
            </w:tblGrid>
            <w:tr w14:paraId="1E3AC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Borders>
                    <w:tl2br w:val="nil"/>
                    <w:tr2bl w:val="nil"/>
                  </w:tcBorders>
                  <w:tcMar>
                    <w:top w:w="0" w:type="dxa"/>
                    <w:left w:w="0" w:type="dxa"/>
                    <w:bottom w:w="0" w:type="dxa"/>
                    <w:right w:w="0" w:type="dxa"/>
                  </w:tcMar>
                  <w:vAlign w:val="center"/>
                </w:tcPr>
                <w:p w14:paraId="4C3E92F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225" w:type="pct"/>
                  <w:gridSpan w:val="2"/>
                  <w:tcBorders>
                    <w:tl2br w:val="nil"/>
                    <w:tr2bl w:val="nil"/>
                  </w:tcBorders>
                  <w:tcMar>
                    <w:top w:w="0" w:type="dxa"/>
                    <w:left w:w="0" w:type="dxa"/>
                    <w:bottom w:w="0" w:type="dxa"/>
                    <w:right w:w="0" w:type="dxa"/>
                  </w:tcMar>
                  <w:vAlign w:val="center"/>
                </w:tcPr>
                <w:p w14:paraId="488E490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980" w:type="pct"/>
                  <w:tcBorders>
                    <w:tl2br w:val="nil"/>
                    <w:tr2bl w:val="nil"/>
                  </w:tcBorders>
                  <w:tcMar>
                    <w:top w:w="0" w:type="dxa"/>
                    <w:left w:w="0" w:type="dxa"/>
                    <w:bottom w:w="0" w:type="dxa"/>
                    <w:right w:w="0" w:type="dxa"/>
                  </w:tcMar>
                  <w:vAlign w:val="center"/>
                </w:tcPr>
                <w:p w14:paraId="7324F28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本项目相关内容</w:t>
                  </w:r>
                </w:p>
              </w:tc>
              <w:tc>
                <w:tcPr>
                  <w:tcW w:w="424" w:type="pct"/>
                  <w:tcBorders>
                    <w:tl2br w:val="nil"/>
                    <w:tr2bl w:val="nil"/>
                  </w:tcBorders>
                  <w:tcMar>
                    <w:top w:w="0" w:type="dxa"/>
                    <w:left w:w="0" w:type="dxa"/>
                    <w:bottom w:w="0" w:type="dxa"/>
                    <w:right w:w="0" w:type="dxa"/>
                  </w:tcMar>
                  <w:vAlign w:val="center"/>
                </w:tcPr>
                <w:p w14:paraId="0744638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3C16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Borders>
                    <w:tl2br w:val="nil"/>
                    <w:tr2bl w:val="nil"/>
                  </w:tcBorders>
                  <w:tcMar>
                    <w:top w:w="0" w:type="dxa"/>
                    <w:left w:w="0" w:type="dxa"/>
                    <w:bottom w:w="0" w:type="dxa"/>
                    <w:right w:w="0" w:type="dxa"/>
                  </w:tcMar>
                  <w:vAlign w:val="center"/>
                </w:tcPr>
                <w:p w14:paraId="55C39D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68" w:type="pct"/>
                  <w:tcBorders>
                    <w:tl2br w:val="nil"/>
                    <w:tr2bl w:val="nil"/>
                  </w:tcBorders>
                  <w:tcMar>
                    <w:top w:w="0" w:type="dxa"/>
                    <w:left w:w="0" w:type="dxa"/>
                    <w:bottom w:w="0" w:type="dxa"/>
                    <w:right w:w="0" w:type="dxa"/>
                  </w:tcMar>
                  <w:vAlign w:val="center"/>
                </w:tcPr>
                <w:p w14:paraId="4510E9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856" w:type="pct"/>
                  <w:tcBorders>
                    <w:tl2br w:val="nil"/>
                    <w:tr2bl w:val="nil"/>
                  </w:tcBorders>
                  <w:tcMar>
                    <w:top w:w="0" w:type="dxa"/>
                    <w:left w:w="0" w:type="dxa"/>
                    <w:bottom w:w="0" w:type="dxa"/>
                    <w:right w:w="0" w:type="dxa"/>
                  </w:tcMar>
                  <w:vAlign w:val="center"/>
                </w:tcPr>
                <w:p w14:paraId="439E3A03">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（1）严格执行《江苏省“三线一单”生态环境分区管控方案》（苏政发〔2020〕49号）附件3江苏省省域生态环境管控要求中“空间布局约束”的相关要求。</w:t>
                  </w:r>
                </w:p>
                <w:p w14:paraId="0F9B226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（2）严格执行《关于印发各设区市2023年深入打好污染防治攻坚战目标任务书的通知》（苏污防攻坚指办〔2023〕53号）《2023年常州市生态文明建设工作方案》（常政发〔2023〕23号）等文件要求。</w:t>
                  </w:r>
                </w:p>
                <w:p w14:paraId="62B5E92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51E1BCE7">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980" w:type="pct"/>
                  <w:tcBorders>
                    <w:tl2br w:val="nil"/>
                    <w:tr2bl w:val="nil"/>
                  </w:tcBorders>
                  <w:tcMar>
                    <w:top w:w="0" w:type="dxa"/>
                    <w:left w:w="0" w:type="dxa"/>
                    <w:bottom w:w="0" w:type="dxa"/>
                    <w:right w:w="0" w:type="dxa"/>
                  </w:tcMar>
                  <w:vAlign w:val="center"/>
                </w:tcPr>
                <w:p w14:paraId="70BC54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（1）已严格执行苏政发〔2020〕49号空间布局约束要求；</w:t>
                  </w:r>
                </w:p>
                <w:p w14:paraId="5ADFD4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（2）已严格执行苏污防攻坚指办〔2023〕53号及常政发〔2023〕23号等文件要求</w:t>
                  </w:r>
                </w:p>
                <w:p w14:paraId="0D11FF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（3）本项目从事</w:t>
                  </w:r>
                  <w:r>
                    <w:rPr>
                      <w:rFonts w:hint="default" w:ascii="Times New Roman" w:hAnsi="Times New Roman" w:eastAsia="宋体" w:cs="Times New Roman"/>
                      <w:color w:val="auto"/>
                      <w:sz w:val="21"/>
                      <w:szCs w:val="21"/>
                      <w:lang w:eastAsia="zh-CN"/>
                    </w:rPr>
                    <w:t>电磁阀及配件产品</w:t>
                  </w:r>
                  <w:r>
                    <w:rPr>
                      <w:rFonts w:hint="default" w:ascii="Times New Roman" w:hAnsi="Times New Roman" w:eastAsia="宋体" w:cs="Times New Roman"/>
                      <w:color w:val="auto"/>
                      <w:sz w:val="21"/>
                      <w:szCs w:val="21"/>
                    </w:rPr>
                    <w:t>生产，属于C</w:t>
                  </w:r>
                  <w:r>
                    <w:rPr>
                      <w:rFonts w:hint="default" w:ascii="Times New Roman" w:hAnsi="Times New Roman" w:eastAsia="宋体" w:cs="Times New Roman"/>
                      <w:color w:val="auto"/>
                      <w:sz w:val="21"/>
                      <w:szCs w:val="21"/>
                      <w:lang w:val="en-US" w:eastAsia="zh-CN"/>
                    </w:rPr>
                    <w:t>4011工业自动控制系统装置制造</w:t>
                  </w:r>
                  <w:r>
                    <w:rPr>
                      <w:rFonts w:hint="default" w:ascii="Times New Roman" w:hAnsi="Times New Roman" w:eastAsia="宋体" w:cs="Times New Roman"/>
                      <w:color w:val="auto"/>
                      <w:sz w:val="21"/>
                      <w:szCs w:val="21"/>
                    </w:rPr>
                    <w:t>，不属于禁止引入项目</w:t>
                  </w:r>
                </w:p>
                <w:p w14:paraId="4DC7CF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（4）本项目位于</w:t>
                  </w:r>
                  <w:r>
                    <w:rPr>
                      <w:rFonts w:hint="default" w:ascii="Times New Roman" w:hAnsi="Times New Roman" w:eastAsia="宋体" w:cs="Times New Roman"/>
                      <w:color w:val="auto"/>
                      <w:sz w:val="21"/>
                      <w:szCs w:val="21"/>
                      <w:lang w:eastAsia="zh-CN"/>
                    </w:rPr>
                    <w:t>常州市金坛区华丰路6号</w:t>
                  </w:r>
                  <w:r>
                    <w:rPr>
                      <w:rFonts w:hint="default" w:ascii="Times New Roman" w:hAnsi="Times New Roman" w:eastAsia="宋体" w:cs="Times New Roman"/>
                      <w:color w:val="auto"/>
                      <w:sz w:val="21"/>
                      <w:szCs w:val="21"/>
                    </w:rPr>
                    <w:t>，不在长江干支流岸线一公里范围内，从事</w:t>
                  </w:r>
                  <w:r>
                    <w:rPr>
                      <w:rFonts w:hint="default" w:ascii="Times New Roman" w:hAnsi="Times New Roman" w:eastAsia="宋体" w:cs="Times New Roman"/>
                      <w:color w:val="auto"/>
                      <w:sz w:val="21"/>
                      <w:szCs w:val="21"/>
                      <w:lang w:eastAsia="zh-CN"/>
                    </w:rPr>
                    <w:t>电磁阀及配件产品</w:t>
                  </w:r>
                  <w:r>
                    <w:rPr>
                      <w:rFonts w:hint="default" w:ascii="Times New Roman" w:hAnsi="Times New Roman" w:eastAsia="宋体" w:cs="Times New Roman"/>
                      <w:color w:val="auto"/>
                      <w:sz w:val="21"/>
                      <w:szCs w:val="21"/>
                    </w:rPr>
                    <w:t>生产，不属于化工项目，不属于禁止的投资建设活动，不属于高污染项目</w:t>
                  </w:r>
                </w:p>
              </w:tc>
              <w:tc>
                <w:tcPr>
                  <w:tcW w:w="424" w:type="pct"/>
                  <w:tcBorders>
                    <w:tl2br w:val="nil"/>
                    <w:tr2bl w:val="nil"/>
                  </w:tcBorders>
                  <w:tcMar>
                    <w:top w:w="0" w:type="dxa"/>
                    <w:left w:w="0" w:type="dxa"/>
                    <w:bottom w:w="0" w:type="dxa"/>
                    <w:right w:w="0" w:type="dxa"/>
                  </w:tcMar>
                  <w:vAlign w:val="center"/>
                </w:tcPr>
                <w:p w14:paraId="2055D9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FEBC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Borders>
                    <w:tl2br w:val="nil"/>
                    <w:tr2bl w:val="nil"/>
                  </w:tcBorders>
                  <w:tcMar>
                    <w:top w:w="0" w:type="dxa"/>
                    <w:left w:w="0" w:type="dxa"/>
                    <w:bottom w:w="0" w:type="dxa"/>
                    <w:right w:w="0" w:type="dxa"/>
                  </w:tcMar>
                  <w:vAlign w:val="center"/>
                </w:tcPr>
                <w:p w14:paraId="137475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68" w:type="pct"/>
                  <w:tcBorders>
                    <w:tl2br w:val="nil"/>
                    <w:tr2bl w:val="nil"/>
                  </w:tcBorders>
                  <w:tcMar>
                    <w:top w:w="0" w:type="dxa"/>
                    <w:left w:w="0" w:type="dxa"/>
                    <w:bottom w:w="0" w:type="dxa"/>
                    <w:right w:w="0" w:type="dxa"/>
                  </w:tcMar>
                  <w:vAlign w:val="center"/>
                </w:tcPr>
                <w:p w14:paraId="3E5257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856" w:type="pct"/>
                  <w:tcBorders>
                    <w:tl2br w:val="nil"/>
                    <w:tr2bl w:val="nil"/>
                  </w:tcBorders>
                  <w:tcMar>
                    <w:top w:w="0" w:type="dxa"/>
                    <w:left w:w="0" w:type="dxa"/>
                    <w:bottom w:w="0" w:type="dxa"/>
                    <w:right w:w="0" w:type="dxa"/>
                  </w:tcMar>
                  <w:vAlign w:val="center"/>
                </w:tcPr>
                <w:p w14:paraId="1C59F21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（1）坚持生态环境质量只能更好、不能变坏，实施污染物总量控制，以环境容量定产业、定项目、定规模，确保开发建设行为不突破生态环境承载力。</w:t>
                  </w:r>
                </w:p>
                <w:p w14:paraId="5BE20B3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980" w:type="pct"/>
                  <w:tcBorders>
                    <w:tl2br w:val="nil"/>
                    <w:tr2bl w:val="nil"/>
                  </w:tcBorders>
                  <w:tcMar>
                    <w:top w:w="0" w:type="dxa"/>
                    <w:left w:w="0" w:type="dxa"/>
                    <w:bottom w:w="0" w:type="dxa"/>
                    <w:right w:w="0" w:type="dxa"/>
                  </w:tcMar>
                  <w:vAlign w:val="center"/>
                </w:tcPr>
                <w:p w14:paraId="41C602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（1）建设项目需向金坛区生态环境局申请总量。（2）</w:t>
                  </w:r>
                  <w:r>
                    <w:rPr>
                      <w:rFonts w:hint="default" w:ascii="Times New Roman" w:hAnsi="Times New Roman" w:eastAsia="宋体" w:cs="Times New Roman"/>
                      <w:color w:val="auto"/>
                      <w:kern w:val="0"/>
                      <w:sz w:val="21"/>
                      <w:szCs w:val="21"/>
                      <w:lang w:bidi="ar"/>
                    </w:rPr>
                    <w:t>本项目生活污水接管常州市金坛区第二污水厂处理</w:t>
                  </w:r>
                  <w:r>
                    <w:rPr>
                      <w:rFonts w:hint="default" w:ascii="Times New Roman" w:hAnsi="Times New Roman" w:eastAsia="宋体" w:cs="Times New Roman"/>
                      <w:color w:val="auto"/>
                      <w:sz w:val="21"/>
                      <w:szCs w:val="21"/>
                    </w:rPr>
                    <w:t>，固废外售综合利用。</w:t>
                  </w:r>
                </w:p>
              </w:tc>
              <w:tc>
                <w:tcPr>
                  <w:tcW w:w="424" w:type="pct"/>
                  <w:tcBorders>
                    <w:tl2br w:val="nil"/>
                    <w:tr2bl w:val="nil"/>
                  </w:tcBorders>
                  <w:tcMar>
                    <w:top w:w="0" w:type="dxa"/>
                    <w:left w:w="0" w:type="dxa"/>
                    <w:bottom w:w="0" w:type="dxa"/>
                    <w:right w:w="0" w:type="dxa"/>
                  </w:tcMar>
                  <w:vAlign w:val="center"/>
                </w:tcPr>
                <w:p w14:paraId="3390A6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84E7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Borders>
                    <w:tl2br w:val="nil"/>
                    <w:tr2bl w:val="nil"/>
                  </w:tcBorders>
                  <w:tcMar>
                    <w:top w:w="0" w:type="dxa"/>
                    <w:left w:w="0" w:type="dxa"/>
                    <w:bottom w:w="0" w:type="dxa"/>
                    <w:right w:w="0" w:type="dxa"/>
                  </w:tcMar>
                  <w:vAlign w:val="center"/>
                </w:tcPr>
                <w:p w14:paraId="10AB13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68" w:type="pct"/>
                  <w:tcBorders>
                    <w:tl2br w:val="nil"/>
                    <w:tr2bl w:val="nil"/>
                  </w:tcBorders>
                  <w:tcMar>
                    <w:top w:w="0" w:type="dxa"/>
                    <w:left w:w="0" w:type="dxa"/>
                    <w:bottom w:w="0" w:type="dxa"/>
                    <w:right w:w="0" w:type="dxa"/>
                  </w:tcMar>
                  <w:vAlign w:val="center"/>
                </w:tcPr>
                <w:p w14:paraId="0B9BC0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856" w:type="pct"/>
                  <w:tcBorders>
                    <w:tl2br w:val="nil"/>
                    <w:tr2bl w:val="nil"/>
                  </w:tcBorders>
                  <w:tcMar>
                    <w:top w:w="0" w:type="dxa"/>
                    <w:left w:w="0" w:type="dxa"/>
                    <w:bottom w:w="0" w:type="dxa"/>
                    <w:right w:w="0" w:type="dxa"/>
                  </w:tcMar>
                  <w:vAlign w:val="center"/>
                </w:tcPr>
                <w:p w14:paraId="6A3C0CC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（1）严格执行《江苏省“三线一单”生态环境分区管控方案》（苏政发〔2020〕49号）附件3江苏省省域生态环境管控要求中“环境风险防控”的相关要求。</w:t>
                  </w:r>
                </w:p>
                <w:p w14:paraId="0C63B819">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01B9CFA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（3）强化饮用水水源环境风险管控，建成应急水源工程。</w:t>
                  </w:r>
                </w:p>
                <w:p w14:paraId="6D2353D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980" w:type="pct"/>
                  <w:tcBorders>
                    <w:tl2br w:val="nil"/>
                    <w:tr2bl w:val="nil"/>
                  </w:tcBorders>
                  <w:tcMar>
                    <w:top w:w="0" w:type="dxa"/>
                    <w:left w:w="0" w:type="dxa"/>
                    <w:bottom w:w="0" w:type="dxa"/>
                    <w:right w:w="0" w:type="dxa"/>
                  </w:tcMar>
                  <w:vAlign w:val="center"/>
                </w:tcPr>
                <w:p w14:paraId="7BCC56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（1）本项目位于</w:t>
                  </w:r>
                  <w:r>
                    <w:rPr>
                      <w:rFonts w:hint="eastAsia" w:ascii="Times New Roman" w:hAnsi="Times New Roman" w:eastAsia="宋体" w:cs="Times New Roman"/>
                      <w:color w:val="auto"/>
                      <w:sz w:val="21"/>
                      <w:szCs w:val="21"/>
                      <w:lang w:eastAsia="zh-CN"/>
                    </w:rPr>
                    <w:t>常州市金坛区华丰路6号</w:t>
                  </w:r>
                  <w:r>
                    <w:rPr>
                      <w:rFonts w:hint="default" w:ascii="Times New Roman" w:hAnsi="Times New Roman" w:eastAsia="宋体" w:cs="Times New Roman"/>
                      <w:color w:val="auto"/>
                      <w:sz w:val="21"/>
                      <w:szCs w:val="21"/>
                    </w:rPr>
                    <w:t>，不在长江1公里范围内，从事</w:t>
                  </w:r>
                  <w:r>
                    <w:rPr>
                      <w:rFonts w:hint="default" w:ascii="Times New Roman" w:hAnsi="Times New Roman" w:eastAsia="宋体" w:cs="Times New Roman"/>
                      <w:color w:val="auto"/>
                      <w:sz w:val="21"/>
                      <w:szCs w:val="21"/>
                      <w:lang w:eastAsia="zh-CN"/>
                    </w:rPr>
                    <w:t>电磁阀及配件产品</w:t>
                  </w:r>
                  <w:r>
                    <w:rPr>
                      <w:rFonts w:hint="default" w:ascii="Times New Roman" w:hAnsi="Times New Roman" w:eastAsia="宋体" w:cs="Times New Roman"/>
                      <w:color w:val="auto"/>
                      <w:sz w:val="21"/>
                      <w:szCs w:val="21"/>
                    </w:rPr>
                    <w:t>生产，属于</w:t>
                  </w:r>
                  <w:r>
                    <w:rPr>
                      <w:rFonts w:hint="eastAsia" w:ascii="Times New Roman" w:hAnsi="Times New Roman" w:eastAsia="宋体" w:cs="Times New Roman"/>
                      <w:color w:val="auto"/>
                      <w:sz w:val="21"/>
                      <w:szCs w:val="21"/>
                      <w:lang w:eastAsia="zh-CN"/>
                    </w:rPr>
                    <w:t>C4011工业自动控制系统装置制造</w:t>
                  </w:r>
                  <w:r>
                    <w:rPr>
                      <w:rFonts w:hint="default" w:ascii="Times New Roman" w:hAnsi="Times New Roman" w:eastAsia="宋体" w:cs="Times New Roman"/>
                      <w:color w:val="auto"/>
                      <w:sz w:val="21"/>
                      <w:szCs w:val="21"/>
                    </w:rPr>
                    <w:t>。（2）项目实施后，按要求建立环境应急体系、编制突发环境事件应急预案，落实预案中的相关要求，并报环保部门备案。本项目产生的危险废物交由有资质单位处置，零排放。</w:t>
                  </w:r>
                </w:p>
              </w:tc>
              <w:tc>
                <w:tcPr>
                  <w:tcW w:w="424" w:type="pct"/>
                  <w:tcBorders>
                    <w:tl2br w:val="nil"/>
                    <w:tr2bl w:val="nil"/>
                  </w:tcBorders>
                  <w:tcMar>
                    <w:top w:w="0" w:type="dxa"/>
                    <w:left w:w="0" w:type="dxa"/>
                    <w:bottom w:w="0" w:type="dxa"/>
                    <w:right w:w="0" w:type="dxa"/>
                  </w:tcMar>
                  <w:vAlign w:val="center"/>
                </w:tcPr>
                <w:p w14:paraId="185B32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4E79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Borders>
                    <w:tl2br w:val="nil"/>
                    <w:tr2bl w:val="nil"/>
                  </w:tcBorders>
                  <w:tcMar>
                    <w:top w:w="0" w:type="dxa"/>
                    <w:left w:w="0" w:type="dxa"/>
                    <w:bottom w:w="0" w:type="dxa"/>
                    <w:right w:w="0" w:type="dxa"/>
                  </w:tcMar>
                  <w:vAlign w:val="center"/>
                </w:tcPr>
                <w:p w14:paraId="10068D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68" w:type="pct"/>
                  <w:tcBorders>
                    <w:tl2br w:val="nil"/>
                    <w:tr2bl w:val="nil"/>
                  </w:tcBorders>
                  <w:tcMar>
                    <w:top w:w="0" w:type="dxa"/>
                    <w:left w:w="0" w:type="dxa"/>
                    <w:bottom w:w="0" w:type="dxa"/>
                    <w:right w:w="0" w:type="dxa"/>
                  </w:tcMar>
                  <w:vAlign w:val="center"/>
                </w:tcPr>
                <w:p w14:paraId="043650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856" w:type="pct"/>
                  <w:tcBorders>
                    <w:tl2br w:val="nil"/>
                    <w:tr2bl w:val="nil"/>
                  </w:tcBorders>
                  <w:tcMar>
                    <w:top w:w="0" w:type="dxa"/>
                    <w:left w:w="0" w:type="dxa"/>
                    <w:bottom w:w="0" w:type="dxa"/>
                    <w:right w:w="0" w:type="dxa"/>
                  </w:tcMar>
                  <w:vAlign w:val="center"/>
                </w:tcPr>
                <w:p w14:paraId="02016AF4">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6D2706E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（2）根据《常州市国土空间总体规划（2021-2035年）（上报稿）》，永久基本农田实际划定是7.53万公顷，2035年任务量为7.66万公顷。</w:t>
                  </w:r>
                </w:p>
                <w:p w14:paraId="301999E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3B01486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980" w:type="pct"/>
                  <w:tcBorders>
                    <w:tl2br w:val="nil"/>
                    <w:tr2bl w:val="nil"/>
                  </w:tcBorders>
                  <w:tcMar>
                    <w:top w:w="0" w:type="dxa"/>
                    <w:left w:w="0" w:type="dxa"/>
                    <w:bottom w:w="0" w:type="dxa"/>
                    <w:right w:w="0" w:type="dxa"/>
                  </w:tcMar>
                  <w:vAlign w:val="center"/>
                </w:tcPr>
                <w:p w14:paraId="147F75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（1）本项目员工生活用水量较小；</w:t>
                  </w:r>
                </w:p>
                <w:p w14:paraId="6E7F79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（2）本项目不在永久基本农田范围内；</w:t>
                  </w:r>
                </w:p>
                <w:p w14:paraId="33E068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（3）项目位于</w:t>
                  </w:r>
                  <w:r>
                    <w:rPr>
                      <w:rFonts w:hint="eastAsia" w:ascii="Times New Roman" w:hAnsi="Times New Roman" w:eastAsia="宋体" w:cs="Times New Roman"/>
                      <w:color w:val="auto"/>
                      <w:sz w:val="21"/>
                      <w:szCs w:val="21"/>
                      <w:lang w:eastAsia="zh-CN"/>
                    </w:rPr>
                    <w:t>常州市金坛区华丰路6号</w:t>
                  </w:r>
                  <w:r>
                    <w:rPr>
                      <w:rFonts w:hint="default" w:ascii="Times New Roman" w:hAnsi="Times New Roman" w:eastAsia="宋体" w:cs="Times New Roman"/>
                      <w:color w:val="auto"/>
                      <w:sz w:val="21"/>
                      <w:szCs w:val="21"/>
                    </w:rPr>
                    <w:t>，不在禁燃区范围内，不使用以上禁止燃用的燃料；使用清洁能源电；不建设燃煤设施</w:t>
                  </w:r>
                </w:p>
                <w:p w14:paraId="1B8031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（4）本项目用电10万kwh，折算标煤为</w:t>
                  </w:r>
                  <w:r>
                    <w:rPr>
                      <w:rFonts w:hint="default" w:ascii="Times New Roman" w:hAnsi="Times New Roman" w:eastAsia="宋体" w:cs="Times New Roman"/>
                      <w:color w:val="auto"/>
                      <w:spacing w:val="-3"/>
                      <w:sz w:val="21"/>
                      <w:szCs w:val="21"/>
                    </w:rPr>
                    <w:t>233510kgce</w:t>
                  </w:r>
                  <w:r>
                    <w:rPr>
                      <w:rFonts w:hint="default" w:ascii="Times New Roman" w:hAnsi="Times New Roman" w:eastAsia="宋体" w:cs="Times New Roman"/>
                      <w:color w:val="auto"/>
                      <w:sz w:val="21"/>
                      <w:szCs w:val="21"/>
                    </w:rPr>
                    <w:t>（折标系0.</w:t>
                  </w:r>
                  <w:r>
                    <w:rPr>
                      <w:rFonts w:hint="eastAsia" w:ascii="Times New Roman" w:hAnsi="Times New Roman" w:eastAsia="宋体" w:cs="Times New Roman"/>
                      <w:color w:val="auto"/>
                      <w:sz w:val="21"/>
                      <w:szCs w:val="21"/>
                      <w:lang w:val="en-US" w:eastAsia="zh-CN"/>
                    </w:rPr>
                    <w:t>0064</w:t>
                  </w:r>
                  <w:r>
                    <w:rPr>
                      <w:rFonts w:hint="default" w:ascii="Times New Roman" w:hAnsi="Times New Roman" w:eastAsia="宋体" w:cs="Times New Roman"/>
                      <w:color w:val="auto"/>
                      <w:sz w:val="21"/>
                      <w:szCs w:val="21"/>
                    </w:rPr>
                    <w:t>kgce/kW·h）能耗较小。</w:t>
                  </w:r>
                </w:p>
              </w:tc>
              <w:tc>
                <w:tcPr>
                  <w:tcW w:w="424" w:type="pct"/>
                  <w:tcBorders>
                    <w:tl2br w:val="nil"/>
                    <w:tr2bl w:val="nil"/>
                  </w:tcBorders>
                  <w:tcMar>
                    <w:top w:w="0" w:type="dxa"/>
                    <w:left w:w="0" w:type="dxa"/>
                    <w:bottom w:w="0" w:type="dxa"/>
                    <w:right w:w="0" w:type="dxa"/>
                  </w:tcMar>
                  <w:vAlign w:val="center"/>
                </w:tcPr>
                <w:p w14:paraId="2D2A49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79B29352">
            <w:pPr>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综上，本项目建设与《常州市2023年生态环境分区管控动态更新成果》相符。</w:t>
            </w:r>
          </w:p>
          <w:p w14:paraId="6A6716F9">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综上所述，本项目符合“三线一单”的相关要求。</w:t>
            </w:r>
          </w:p>
          <w:p w14:paraId="1D497EB8">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、常州市“三线一单”相符性分析</w:t>
            </w:r>
          </w:p>
          <w:p w14:paraId="3B788E29">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对照《关于印发常州市“三线一单”生态环境分区管控实施方案的通知》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常环[2020]95号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，本项目位于</w:t>
            </w:r>
            <w:r>
              <w:rPr>
                <w:rFonts w:hint="eastAsia"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rPr>
              <w:t>，属于常州市重点管控单元：金坛区-江苏金坛经济开发区。与常州市“三线一单”生态环境分区管控实施方案相符性分析如下：</w:t>
            </w:r>
          </w:p>
          <w:p w14:paraId="5797A1C4">
            <w:pPr>
              <w:jc w:val="center"/>
              <w:rPr>
                <w:rFonts w:hint="default" w:ascii="Times New Roman" w:hAnsi="Times New Roman" w:eastAsia="宋体" w:cs="Times New Roman"/>
                <w:b/>
                <w:color w:val="auto"/>
                <w:sz w:val="24"/>
              </w:rPr>
            </w:pPr>
          </w:p>
          <w:p w14:paraId="5F9E51C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与“常州市市域生态环境管控要求”相符性分析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465"/>
              <w:gridCol w:w="2481"/>
              <w:gridCol w:w="711"/>
            </w:tblGrid>
            <w:tr w14:paraId="20E48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4FF8230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管控类别</w:t>
                  </w:r>
                </w:p>
              </w:tc>
              <w:tc>
                <w:tcPr>
                  <w:tcW w:w="2655" w:type="pct"/>
                  <w:vAlign w:val="center"/>
                </w:tcPr>
                <w:p w14:paraId="39EB486B">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重点管控要求</w:t>
                  </w:r>
                </w:p>
              </w:tc>
              <w:tc>
                <w:tcPr>
                  <w:tcW w:w="1475" w:type="pct"/>
                  <w:vAlign w:val="center"/>
                </w:tcPr>
                <w:p w14:paraId="20D0637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对照分析</w:t>
                  </w:r>
                </w:p>
              </w:tc>
              <w:tc>
                <w:tcPr>
                  <w:tcW w:w="423" w:type="pct"/>
                  <w:vAlign w:val="center"/>
                </w:tcPr>
                <w:p w14:paraId="5CA5607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w:t>
                  </w:r>
                </w:p>
              </w:tc>
            </w:tr>
            <w:tr w14:paraId="4426D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19D5FA0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空间布局约束</w:t>
                  </w:r>
                </w:p>
              </w:tc>
              <w:tc>
                <w:tcPr>
                  <w:tcW w:w="2655" w:type="pct"/>
                  <w:vAlign w:val="center"/>
                </w:tcPr>
                <w:p w14:paraId="43113BF7">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严格执行《江苏省“三线一单”生态环境分区管控方案》（苏政发〔2020〕49号）附件3江苏省省域生态环境管控要求中“空间布局约束”的相关要求。</w:t>
                  </w:r>
                </w:p>
                <w:p w14:paraId="065FCF94">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关于全面加强生态环境保护坚决打好污染防治攻坚战的实施意见》（常发〔2018〕30号）、《2020年常州市打好污染防治攻坚战工作方案》（常政发〔2020〕29号）、《常州市“两减六治三提升”专项行动实施方案》（常发〔2017〕9号）、《常州市打赢蓝天保卫战行动计划实施方案》（常政发〔2019〕27号）、《常州市水污染防治工作方案》（常政发〔2015〕205号）、《常州市土壤污染防治工作方案》（常政发〔2017〕56号）等文件要求。</w:t>
                  </w:r>
                </w:p>
                <w:p w14:paraId="6BD5738D">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3CB8975B">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根据《常州市长江保护修复攻坚战行动计划工作方案》（常污防攻坚指办〔2019〕30号），严禁在长江干支流1公里范围内新建、扩建化工园区和化工项目。</w:t>
                  </w:r>
                </w:p>
                <w:p w14:paraId="3B709EE7">
                  <w:p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（5）根据《常州市城区混凝土、化工、印染企业关闭与搬迁改造计划》（常政办发〔2018〕133号），2020年底前，完成城区范围内的混凝土、化工、印染企业关闭与搬迁改造。</w:t>
                  </w:r>
                </w:p>
              </w:tc>
              <w:tc>
                <w:tcPr>
                  <w:tcW w:w="1475" w:type="pct"/>
                  <w:vAlign w:val="center"/>
                </w:tcPr>
                <w:p w14:paraId="158E044E">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1、由表1-4可知，本项目满足《江苏省“三线一单”生态环境分区管控方案》（苏政发〔2020〕49号）附件3江苏省省域生态环境管控要求中“空间布局约束”的相关要求；</w:t>
                  </w:r>
                </w:p>
                <w:p w14:paraId="41982CF3">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2、本项目满足《关于印发常州市“三线一单”生态环境分区管控实施方案的通知》（常环﹝2020﹞95号）空间布局约束中第2条所列的相关法律法规；</w:t>
                  </w:r>
                </w:p>
                <w:p w14:paraId="28EFFBDC">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3、本项目不属于管控要求中所列相关禁止类或淘汰类产业；</w:t>
                  </w:r>
                </w:p>
                <w:p w14:paraId="03DEA8CC">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4、本项目位于</w:t>
                  </w:r>
                  <w:r>
                    <w:rPr>
                      <w:rFonts w:hint="eastAsia" w:ascii="Times New Roman" w:hAnsi="Times New Roman" w:eastAsia="宋体" w:cs="Times New Roman"/>
                      <w:color w:val="auto"/>
                      <w:szCs w:val="21"/>
                      <w:lang w:eastAsia="zh-CN"/>
                    </w:rPr>
                    <w:t>常州市金坛区华丰路6号</w:t>
                  </w:r>
                  <w:r>
                    <w:rPr>
                      <w:rFonts w:hint="default" w:ascii="Times New Roman" w:hAnsi="Times New Roman" w:eastAsia="宋体" w:cs="Times New Roman"/>
                      <w:color w:val="auto"/>
                      <w:szCs w:val="21"/>
                    </w:rPr>
                    <w:t>，不在长江干支流1公里范围内；</w:t>
                  </w:r>
                </w:p>
                <w:p w14:paraId="254C4901">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5、本项目为</w:t>
                  </w:r>
                  <w:r>
                    <w:rPr>
                      <w:rFonts w:hint="eastAsia" w:ascii="Times New Roman" w:hAnsi="Times New Roman" w:eastAsia="宋体" w:cs="Times New Roman"/>
                      <w:color w:val="auto"/>
                      <w:szCs w:val="21"/>
                      <w:lang w:eastAsia="zh-CN"/>
                    </w:rPr>
                    <w:t>新建生产电磁阀及配件产品项目</w:t>
                  </w:r>
                  <w:r>
                    <w:rPr>
                      <w:rFonts w:hint="default" w:ascii="Times New Roman" w:hAnsi="Times New Roman" w:eastAsia="宋体" w:cs="Times New Roman"/>
                      <w:color w:val="auto"/>
                      <w:szCs w:val="21"/>
                    </w:rPr>
                    <w:t>，不属于混凝土、化工、印染等需关闭与搬迁改造的企业</w:t>
                  </w:r>
                </w:p>
              </w:tc>
              <w:tc>
                <w:tcPr>
                  <w:tcW w:w="423" w:type="pct"/>
                  <w:vAlign w:val="center"/>
                </w:tcPr>
                <w:p w14:paraId="74BA0213">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439B3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6188F20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污染物排放管控</w:t>
                  </w:r>
                </w:p>
              </w:tc>
              <w:tc>
                <w:tcPr>
                  <w:tcW w:w="2655" w:type="pct"/>
                  <w:vAlign w:val="center"/>
                </w:tcPr>
                <w:p w14:paraId="36017255">
                  <w:pPr>
                    <w:numPr>
                      <w:ilvl w:val="0"/>
                      <w:numId w:val="3"/>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坚持生态环境质量只能更好、不能变坏，实施污染物总量控制，以环境容量定产业、定项目、定规模，确保开发建设行为不突破生态环境承载力。</w:t>
                  </w:r>
                </w:p>
                <w:p w14:paraId="0F6E6583">
                  <w:pPr>
                    <w:numPr>
                      <w:ilvl w:val="0"/>
                      <w:numId w:val="3"/>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江苏省“十三五”节能减排综合实施方案》（苏政发〔2017〕69号），2020年常州市化学需氧量、氨氮、总氮、总磷、二氧化硫、氮氧化物、挥发性有机物排放量不得超过2.84万吨/年、0.42万吨/年、1万吨/年、0.08万吨/年、2.76万吨/年、6.14万吨/年、8.98万吨/年</w:t>
                  </w:r>
                </w:p>
              </w:tc>
              <w:tc>
                <w:tcPr>
                  <w:tcW w:w="1475" w:type="pct"/>
                  <w:vAlign w:val="center"/>
                </w:tcPr>
                <w:p w14:paraId="341B5AC2">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auto"/>
                      <w:szCs w:val="21"/>
                      <w:lang w:val="en-US" w:eastAsia="zh-CN"/>
                    </w:rPr>
                    <w:t>无</w:t>
                  </w:r>
                  <w:r>
                    <w:rPr>
                      <w:rFonts w:hint="default" w:ascii="Times New Roman" w:hAnsi="Times New Roman" w:eastAsia="宋体" w:cs="Times New Roman"/>
                      <w:bCs/>
                      <w:color w:val="auto"/>
                      <w:szCs w:val="21"/>
                    </w:rPr>
                    <w:t>生产废水</w:t>
                  </w:r>
                  <w:r>
                    <w:rPr>
                      <w:rFonts w:hint="default" w:ascii="Times New Roman" w:hAnsi="Times New Roman" w:eastAsia="宋体" w:cs="Times New Roman"/>
                      <w:bCs/>
                      <w:color w:val="auto"/>
                      <w:szCs w:val="21"/>
                      <w:lang w:val="en-US" w:eastAsia="zh-CN"/>
                    </w:rPr>
                    <w:t>排放</w:t>
                  </w:r>
                  <w:r>
                    <w:rPr>
                      <w:rFonts w:hint="default" w:ascii="Times New Roman" w:hAnsi="Times New Roman" w:eastAsia="宋体" w:cs="Times New Roman"/>
                      <w:bCs/>
                      <w:color w:val="auto"/>
                      <w:szCs w:val="21"/>
                    </w:rPr>
                    <w:t>，生活污水</w:t>
                  </w:r>
                  <w:r>
                    <w:rPr>
                      <w:rFonts w:hint="default" w:ascii="Times New Roman" w:hAnsi="Times New Roman" w:eastAsia="宋体" w:cs="Times New Roman"/>
                      <w:bCs/>
                      <w:color w:val="auto"/>
                      <w:szCs w:val="21"/>
                      <w:lang w:val="en-US" w:eastAsia="zh-CN"/>
                    </w:rPr>
                    <w:t>经市政污水管网接至</w:t>
                  </w:r>
                  <w:r>
                    <w:rPr>
                      <w:rFonts w:hint="default" w:ascii="Times New Roman" w:hAnsi="Times New Roman" w:eastAsia="宋体" w:cs="Times New Roman"/>
                      <w:bCs/>
                      <w:color w:val="auto"/>
                      <w:szCs w:val="21"/>
                    </w:rPr>
                    <w:t>常州市金坛区第二污水处理厂集中处理，总量在污水处理厂内平衡</w:t>
                  </w:r>
                </w:p>
              </w:tc>
              <w:tc>
                <w:tcPr>
                  <w:tcW w:w="423" w:type="pct"/>
                  <w:vAlign w:val="center"/>
                </w:tcPr>
                <w:p w14:paraId="4C924033">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31A3D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DBF340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环境风险防控</w:t>
                  </w:r>
                </w:p>
              </w:tc>
              <w:tc>
                <w:tcPr>
                  <w:tcW w:w="2655" w:type="pct"/>
                  <w:vAlign w:val="center"/>
                </w:tcPr>
                <w:p w14:paraId="428875CF">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严格执行《江苏省“三线一单”生态环境分区管控方案》（苏政发〔2020〕49号）附件3江苏省省域生态环境管控要求中“环境风险防控”的相关要求。</w:t>
                  </w:r>
                </w:p>
                <w:p w14:paraId="4AF2E7DE">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6861FEF3">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强化饮用水水源环境风险管控，建成应急水源工程。</w:t>
                  </w:r>
                </w:p>
                <w:p w14:paraId="5F3A6E96">
                  <w:p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16A0EC00">
                  <w:pPr>
                    <w:adjustRightInd w:val="0"/>
                    <w:snapToGrid w:val="0"/>
                    <w:spacing w:before="156" w:beforeLines="5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1、本项目将严格执行《江苏省“三线一单”生态环境分区管控方案》（苏政发〔2020〕49号）附件3江苏省省域生态环境管控要求中“环境风险防控”的相关要求。</w:t>
                  </w:r>
                </w:p>
                <w:p w14:paraId="506030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2、</w:t>
                  </w:r>
                  <w:r>
                    <w:rPr>
                      <w:rFonts w:hint="default" w:ascii="Times New Roman" w:hAnsi="Times New Roman" w:eastAsia="宋体" w:cs="Times New Roman"/>
                      <w:color w:val="auto"/>
                      <w:szCs w:val="21"/>
                    </w:rPr>
                    <w:t>本项目位于</w:t>
                  </w:r>
                  <w:r>
                    <w:rPr>
                      <w:rFonts w:hint="eastAsia" w:ascii="Times New Roman" w:hAnsi="Times New Roman" w:eastAsia="宋体" w:cs="Times New Roman"/>
                      <w:color w:val="auto"/>
                      <w:szCs w:val="21"/>
                      <w:lang w:eastAsia="zh-CN"/>
                    </w:rPr>
                    <w:t>常州市金坛区华丰路6号</w:t>
                  </w:r>
                  <w:r>
                    <w:rPr>
                      <w:rFonts w:hint="default" w:ascii="Times New Roman" w:hAnsi="Times New Roman" w:eastAsia="宋体" w:cs="Times New Roman"/>
                      <w:color w:val="auto"/>
                      <w:szCs w:val="21"/>
                    </w:rPr>
                    <w:t>，不在长江沿江1公里范围内。</w:t>
                  </w:r>
                </w:p>
                <w:p w14:paraId="26A255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5B3D70F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36182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4CC965C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资源利用效率要求</w:t>
                  </w:r>
                </w:p>
              </w:tc>
              <w:tc>
                <w:tcPr>
                  <w:tcW w:w="2655" w:type="pct"/>
                  <w:vAlign w:val="center"/>
                </w:tcPr>
                <w:p w14:paraId="37A3D633">
                  <w:pPr>
                    <w:numPr>
                      <w:ilvl w:val="0"/>
                      <w:numId w:val="5"/>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节水型社会建设规划（修编）》（常政办发〔2017〕136号），2020年常州市用水总量不得超过29.01亿立方米，万元单位地区生产总值用水量降至33.8立方米以下，万元单位工业增加值用水量降至8立方米以下，农田灌溉水利用系数达到0.68。</w:t>
                  </w:r>
                </w:p>
                <w:p w14:paraId="4FA2B4DB">
                  <w:pPr>
                    <w:numPr>
                      <w:ilvl w:val="0"/>
                      <w:numId w:val="5"/>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根据《常州市土地利用总体规划（2006～2020年）调整方案》（苏国土资函〔2017〕610号），2020年常州市耕地保有量不得低于15.41万公顷，基本农田保护面积不低于12.71万公顷，开发强度不得高于28.05%。</w:t>
                  </w:r>
                </w:p>
                <w:p w14:paraId="15636368">
                  <w:p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Ⅱ类”（较严），具体包括：除单台出力大于等于20蒸吨/小时锅炉以外燃用的煤炭及其制品；石油焦、油页岩、原油、重油、渣油、煤焦油。②“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1475" w:type="pct"/>
                  <w:vAlign w:val="center"/>
                </w:tcPr>
                <w:p w14:paraId="3FDA7BA3">
                  <w:pPr>
                    <w:pStyle w:val="2"/>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本项目使用的主要能源为电能</w:t>
                  </w:r>
                </w:p>
              </w:tc>
              <w:tc>
                <w:tcPr>
                  <w:tcW w:w="423" w:type="pct"/>
                  <w:vAlign w:val="center"/>
                </w:tcPr>
                <w:p w14:paraId="76EADD67">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bl>
          <w:p w14:paraId="5CF26036">
            <w:pPr>
              <w:spacing w:before="156"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4"/>
                <w:szCs w:val="24"/>
              </w:rPr>
              <w:t>表1-</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与金坛区环境管控单元-金坛经济开发区生态环境准入清单的相符性分析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1051"/>
              <w:gridCol w:w="4077"/>
              <w:gridCol w:w="2385"/>
              <w:gridCol w:w="462"/>
            </w:tblGrid>
            <w:tr w14:paraId="55ABC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14:paraId="6FCDD44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所在</w:t>
                  </w:r>
                </w:p>
                <w:p w14:paraId="799C581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区域</w:t>
                  </w:r>
                </w:p>
              </w:tc>
              <w:tc>
                <w:tcPr>
                  <w:tcW w:w="625" w:type="pct"/>
                  <w:vAlign w:val="center"/>
                </w:tcPr>
                <w:p w14:paraId="4E145A0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环境管控单元名称</w:t>
                  </w:r>
                </w:p>
              </w:tc>
              <w:tc>
                <w:tcPr>
                  <w:tcW w:w="2424" w:type="pct"/>
                  <w:vAlign w:val="center"/>
                </w:tcPr>
                <w:p w14:paraId="2C6B11F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生态环境准入清单</w:t>
                  </w:r>
                </w:p>
              </w:tc>
              <w:tc>
                <w:tcPr>
                  <w:tcW w:w="1418" w:type="pct"/>
                  <w:vAlign w:val="center"/>
                </w:tcPr>
                <w:p w14:paraId="2468B3A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相符性分析</w:t>
                  </w:r>
                </w:p>
              </w:tc>
              <w:tc>
                <w:tcPr>
                  <w:tcW w:w="274" w:type="pct"/>
                  <w:vAlign w:val="center"/>
                </w:tcPr>
                <w:p w14:paraId="4BC5BFC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w:t>
                  </w:r>
                </w:p>
              </w:tc>
            </w:tr>
            <w:tr w14:paraId="4FF40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restart"/>
                  <w:vAlign w:val="center"/>
                </w:tcPr>
                <w:p w14:paraId="6950B44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金坛区</w:t>
                  </w:r>
                </w:p>
              </w:tc>
              <w:tc>
                <w:tcPr>
                  <w:tcW w:w="625" w:type="pct"/>
                  <w:vMerge w:val="restart"/>
                  <w:vAlign w:val="center"/>
                </w:tcPr>
                <w:p w14:paraId="78CA7E5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金坛经济开发区</w:t>
                  </w:r>
                </w:p>
              </w:tc>
              <w:tc>
                <w:tcPr>
                  <w:tcW w:w="2424" w:type="pct"/>
                  <w:vAlign w:val="center"/>
                </w:tcPr>
                <w:p w14:paraId="518DE975">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空间布局约束：</w:t>
                  </w:r>
                </w:p>
                <w:p w14:paraId="26C58A97">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（1）禁止引入纺织服装中废水排放量较大的纯印染和纯染整类企业（除金坛时尚织染集聚区）。</w:t>
                  </w:r>
                </w:p>
                <w:p w14:paraId="62C02C3C">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3C65C992">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（3）禁止引入化工中与盐化工及下游产品生产不相关的化工项目。</w:t>
                  </w:r>
                </w:p>
                <w:p w14:paraId="6B428CC5">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（4）禁止引入新材料产业中太阳能电池切片生产项目。</w:t>
                  </w:r>
                </w:p>
                <w:p w14:paraId="751AF141">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（5）禁止引入化工新材料中钢铁等传统型金属材料；水泥等传统型非金属材料。</w:t>
                  </w:r>
                </w:p>
                <w:p w14:paraId="1B9DF576">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（6）禁止引入新医药产业中不符合GMP要求的安部拉丝灌封机、劳动保护、安部灌装注射用无菌粉末、非易折安部等。</w:t>
                  </w:r>
                </w:p>
              </w:tc>
              <w:tc>
                <w:tcPr>
                  <w:tcW w:w="1418" w:type="pct"/>
                  <w:vAlign w:val="center"/>
                </w:tcPr>
                <w:p w14:paraId="7A9FE5C2">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本项目为</w:t>
                  </w:r>
                  <w:r>
                    <w:rPr>
                      <w:rFonts w:hint="eastAsia" w:ascii="Times New Roman" w:hAnsi="Times New Roman" w:eastAsia="宋体" w:cs="Times New Roman"/>
                      <w:color w:val="auto"/>
                      <w:szCs w:val="21"/>
                      <w:lang w:eastAsia="zh-CN"/>
                    </w:rPr>
                    <w:t>新建生产电磁阀及配件产品项目</w:t>
                  </w:r>
                  <w:r>
                    <w:rPr>
                      <w:rFonts w:hint="default" w:ascii="Times New Roman" w:hAnsi="Times New Roman" w:eastAsia="宋体" w:cs="Times New Roman"/>
                      <w:color w:val="auto"/>
                      <w:szCs w:val="21"/>
                    </w:rPr>
                    <w:t>，属于</w:t>
                  </w:r>
                  <w:r>
                    <w:rPr>
                      <w:rFonts w:hint="eastAsia" w:ascii="Times New Roman" w:hAnsi="Times New Roman" w:eastAsia="宋体" w:cs="Times New Roman"/>
                      <w:color w:val="auto"/>
                      <w:szCs w:val="21"/>
                      <w:lang w:eastAsia="zh-CN"/>
                    </w:rPr>
                    <w:t>C4011工业自动控制系统装置制造</w:t>
                  </w:r>
                  <w:r>
                    <w:rPr>
                      <w:rFonts w:hint="default" w:ascii="Times New Roman" w:hAnsi="Times New Roman" w:eastAsia="宋体" w:cs="Times New Roman"/>
                      <w:color w:val="auto"/>
                      <w:szCs w:val="21"/>
                    </w:rPr>
                    <w:t>行业，不属于清单中所列禁止类项目</w:t>
                  </w:r>
                </w:p>
              </w:tc>
              <w:tc>
                <w:tcPr>
                  <w:tcW w:w="274" w:type="pct"/>
                  <w:vAlign w:val="center"/>
                </w:tcPr>
                <w:p w14:paraId="084AC7A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1FAB4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555D83BD">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6710ABC1">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4C98ACA1">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污染物排放管控：</w:t>
                  </w:r>
                </w:p>
                <w:p w14:paraId="75C7E9EF">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（1）严格实施污染物总量控制制度，根据区域环境质量改善目标，采取有效措施减少主要污染物排放总量，确保区域环境质量持续改善。</w:t>
                  </w:r>
                </w:p>
                <w:p w14:paraId="3165746D">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（2）园区污染物排放总量不得突破环评报告及批复的总量。</w:t>
                  </w:r>
                </w:p>
              </w:tc>
              <w:tc>
                <w:tcPr>
                  <w:tcW w:w="1418" w:type="pct"/>
                  <w:vAlign w:val="center"/>
                </w:tcPr>
                <w:p w14:paraId="49EAD93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auto"/>
                      <w:szCs w:val="21"/>
                      <w:lang w:val="en-US" w:eastAsia="zh-CN"/>
                    </w:rPr>
                    <w:t>无</w:t>
                  </w:r>
                  <w:r>
                    <w:rPr>
                      <w:rFonts w:hint="default" w:ascii="Times New Roman" w:hAnsi="Times New Roman" w:eastAsia="宋体" w:cs="Times New Roman"/>
                      <w:bCs/>
                      <w:color w:val="auto"/>
                      <w:szCs w:val="21"/>
                    </w:rPr>
                    <w:t>生产废水</w:t>
                  </w:r>
                  <w:r>
                    <w:rPr>
                      <w:rFonts w:hint="default" w:ascii="Times New Roman" w:hAnsi="Times New Roman" w:eastAsia="宋体" w:cs="Times New Roman"/>
                      <w:bCs/>
                      <w:color w:val="auto"/>
                      <w:szCs w:val="21"/>
                      <w:lang w:val="en-US" w:eastAsia="zh-CN"/>
                    </w:rPr>
                    <w:t>排放</w:t>
                  </w:r>
                  <w:r>
                    <w:rPr>
                      <w:rFonts w:hint="default" w:ascii="Times New Roman" w:hAnsi="Times New Roman" w:eastAsia="宋体" w:cs="Times New Roman"/>
                      <w:bCs/>
                      <w:color w:val="auto"/>
                      <w:szCs w:val="21"/>
                    </w:rPr>
                    <w:t>，生活污水</w:t>
                  </w:r>
                  <w:r>
                    <w:rPr>
                      <w:rFonts w:hint="default" w:ascii="Times New Roman" w:hAnsi="Times New Roman" w:eastAsia="宋体" w:cs="Times New Roman"/>
                      <w:bCs/>
                      <w:color w:val="auto"/>
                      <w:szCs w:val="21"/>
                      <w:lang w:val="en-US" w:eastAsia="zh-CN"/>
                    </w:rPr>
                    <w:t>经市政污水管网接至</w:t>
                  </w:r>
                  <w:r>
                    <w:rPr>
                      <w:rFonts w:hint="default" w:ascii="Times New Roman" w:hAnsi="Times New Roman" w:eastAsia="宋体" w:cs="Times New Roman"/>
                      <w:bCs/>
                      <w:color w:val="auto"/>
                      <w:szCs w:val="21"/>
                    </w:rPr>
                    <w:t>常州市金坛区第二污水处理厂集中处理，总量在污水处理厂内平衡</w:t>
                  </w:r>
                </w:p>
              </w:tc>
              <w:tc>
                <w:tcPr>
                  <w:tcW w:w="274" w:type="pct"/>
                  <w:vAlign w:val="center"/>
                </w:tcPr>
                <w:p w14:paraId="48CE1FA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00B86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495758CE">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2C7D211A">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51B6874D">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环境风险防控：</w:t>
                  </w:r>
                </w:p>
                <w:p w14:paraId="5C083791">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（1）园区建立环境应急体系，完善事故应急救援体系，加强应急物资装备储备，编制突发环境事件应急预案，定期开展演练。</w:t>
                  </w:r>
                </w:p>
                <w:p w14:paraId="3F07C89B">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（2）生产、使用、储存危险化学品或其他存在环境风险的企事业单位，应当制定风险防范措施，编制完善突发环境事件应急预案，防止发生环境污染事故。</w:t>
                  </w:r>
                </w:p>
                <w:p w14:paraId="1AF75217">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（3）加强环境影响跟踪监测，建立健全各环境要素监控体系，完善并落实园区日常环境监测与污染源监控计划。</w:t>
                  </w:r>
                </w:p>
              </w:tc>
              <w:tc>
                <w:tcPr>
                  <w:tcW w:w="1418" w:type="pct"/>
                  <w:vAlign w:val="center"/>
                </w:tcPr>
                <w:p w14:paraId="44A7705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本项目建成后将根据相关要求编制《突发环境事件应急预案》、《环境风险评估报告》等，并按要求配备相关应急物资，定期开展应急演练，定期开展环境自行监测</w:t>
                  </w:r>
                </w:p>
              </w:tc>
              <w:tc>
                <w:tcPr>
                  <w:tcW w:w="274" w:type="pct"/>
                  <w:vAlign w:val="center"/>
                </w:tcPr>
                <w:p w14:paraId="0D53AE5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7AF92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44CC542B">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54A9B48D">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2FCCC40A">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资源开发效率要求：</w:t>
                  </w:r>
                </w:p>
                <w:p w14:paraId="2859C6B2">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（1）大力导使用清洁能源。</w:t>
                  </w:r>
                </w:p>
                <w:p w14:paraId="021D2C51">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（2）提升废水资源化技术，提高水资源回用率。</w:t>
                  </w:r>
                </w:p>
                <w:p w14:paraId="20C8BC5E">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（3）严禁自建燃煤设施。</w:t>
                  </w:r>
                </w:p>
              </w:tc>
              <w:tc>
                <w:tcPr>
                  <w:tcW w:w="1418" w:type="pct"/>
                  <w:vAlign w:val="center"/>
                </w:tcPr>
                <w:p w14:paraId="5D46306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本项目使用的主要能源为电能；本项目生产过程中不</w:t>
                  </w:r>
                  <w:r>
                    <w:rPr>
                      <w:rFonts w:hint="default" w:ascii="Times New Roman" w:hAnsi="Times New Roman" w:eastAsia="宋体" w:cs="Times New Roman"/>
                      <w:color w:val="auto"/>
                      <w:szCs w:val="21"/>
                      <w:lang w:val="en-US" w:eastAsia="zh-CN"/>
                    </w:rPr>
                    <w:t>建设燃煤设施</w:t>
                  </w:r>
                </w:p>
              </w:tc>
              <w:tc>
                <w:tcPr>
                  <w:tcW w:w="274" w:type="pct"/>
                  <w:vAlign w:val="center"/>
                </w:tcPr>
                <w:p w14:paraId="74DBC0E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267894A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综上，本项目与常州市“三线一单”生态环境分区管控实施方案相关要求相符。</w:t>
            </w:r>
          </w:p>
          <w:p w14:paraId="142B66A4">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4、与太湖流域环境政策相符性分析</w:t>
            </w:r>
          </w:p>
          <w:p w14:paraId="51066FB1">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与《太湖流域管理条例》、《江苏省太湖水污染防治条例》、《江苏省太湖流域水环境综合治理规划（2021-2035年）》相符性分析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49"/>
              <w:gridCol w:w="2166"/>
              <w:gridCol w:w="595"/>
            </w:tblGrid>
            <w:tr w14:paraId="269E6EE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30C99259">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《太湖流域管理条例》相关要求</w:t>
                  </w:r>
                </w:p>
              </w:tc>
              <w:tc>
                <w:tcPr>
                  <w:tcW w:w="1288" w:type="pct"/>
                  <w:vAlign w:val="center"/>
                </w:tcPr>
                <w:p w14:paraId="1AD44008">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720761CD">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0B09DB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1B861AC4">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第二十八条</w:t>
                  </w:r>
                </w:p>
              </w:tc>
              <w:tc>
                <w:tcPr>
                  <w:tcW w:w="3047" w:type="pct"/>
                  <w:gridSpan w:val="2"/>
                  <w:vAlign w:val="center"/>
                </w:tcPr>
                <w:p w14:paraId="0B2563B1">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2A94547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786EEA8B">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225F4349">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常州市金坛区第二污水处理厂处理，环评中已根据本项目情况核算水污染物排放总量，实际运营过程中不会超过该核定量；本项目为</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，不属于上述禁止项目；项目建成后，将设置便于检查、采样的规范化排污口，悬挂标志牌，定期进行自行监测，监控废水排放达标情况；项目符合清洁生产要求。</w:t>
                  </w:r>
                </w:p>
              </w:tc>
              <w:tc>
                <w:tcPr>
                  <w:tcW w:w="354" w:type="pct"/>
                  <w:vAlign w:val="center"/>
                </w:tcPr>
                <w:p w14:paraId="36A81238">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9EA76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5D57FBF5">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第二十九条</w:t>
                  </w:r>
                </w:p>
              </w:tc>
              <w:tc>
                <w:tcPr>
                  <w:tcW w:w="3047" w:type="pct"/>
                  <w:gridSpan w:val="2"/>
                  <w:vAlign w:val="center"/>
                </w:tcPr>
                <w:p w14:paraId="1E3758A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新孟河、望虞河以外的其他主要入太湖河道，自河口1万米上溯至5万米河道岸线内及其岸线两侧各1000米范围内，禁止下列行为：</w:t>
                  </w:r>
                </w:p>
                <w:p w14:paraId="528CFF40">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（一）新建、扩建化工、医药生产项目；</w:t>
                  </w:r>
                </w:p>
                <w:p w14:paraId="63FAFBD0">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（二）新建、扩建污水集中处理设施排污口以外的排污口；</w:t>
                  </w:r>
                </w:p>
                <w:p w14:paraId="358093FE">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（三）扩大水产养殖规模。</w:t>
                  </w:r>
                </w:p>
              </w:tc>
              <w:tc>
                <w:tcPr>
                  <w:tcW w:w="1288" w:type="pct"/>
                  <w:vAlign w:val="center"/>
                </w:tcPr>
                <w:p w14:paraId="2E56C00F">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常州市金坛区华丰路6号</w:t>
                  </w:r>
                  <w:r>
                    <w:rPr>
                      <w:rFonts w:hint="default" w:ascii="Times New Roman" w:hAnsi="Times New Roman" w:eastAsia="宋体" w:cs="Times New Roman"/>
                      <w:color w:val="auto"/>
                      <w:sz w:val="21"/>
                      <w:szCs w:val="21"/>
                    </w:rPr>
                    <w:t>，不在此范围内，不属于太湖流域禁止的行业项目，本项目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常州市金坛区第二污水处理厂集中处理</w:t>
                  </w:r>
                </w:p>
              </w:tc>
              <w:tc>
                <w:tcPr>
                  <w:tcW w:w="354" w:type="pct"/>
                  <w:vAlign w:val="center"/>
                </w:tcPr>
                <w:p w14:paraId="4BD55E3D">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A3127D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6C4152F">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第三十条</w:t>
                  </w:r>
                </w:p>
              </w:tc>
              <w:tc>
                <w:tcPr>
                  <w:tcW w:w="3047" w:type="pct"/>
                  <w:gridSpan w:val="2"/>
                  <w:vAlign w:val="center"/>
                </w:tcPr>
                <w:p w14:paraId="6333CBC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48FB1AF3">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（一）设置剧毒物质、危险化学品的贮存、输送设施和废物回收场、垃圾场；</w:t>
                  </w:r>
                </w:p>
                <w:p w14:paraId="62C610B2">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（二）设置水上餐饮经营设施；</w:t>
                  </w:r>
                </w:p>
                <w:p w14:paraId="7384F59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（三）新建、扩建高尔夫球场；</w:t>
                  </w:r>
                </w:p>
                <w:p w14:paraId="481132DB">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（四）新建、扩建畜禽养殖场；</w:t>
                  </w:r>
                </w:p>
                <w:p w14:paraId="67B9BC4E">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（五）新建、扩建向水体排放污染物的建设项目；</w:t>
                  </w:r>
                </w:p>
                <w:p w14:paraId="579C5D2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（六）本条例第二十九条规定的行为。</w:t>
                  </w:r>
                </w:p>
                <w:p w14:paraId="046AD62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已经设置前款第一项、第二项规定设施的，当地县级人民政府应当责令拆除或者关闭。</w:t>
                  </w:r>
                </w:p>
              </w:tc>
              <w:tc>
                <w:tcPr>
                  <w:tcW w:w="1288" w:type="pct"/>
                  <w:vAlign w:val="center"/>
                </w:tcPr>
                <w:p w14:paraId="6BDA9307">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常州市金坛区华丰路6号</w:t>
                  </w:r>
                  <w:r>
                    <w:rPr>
                      <w:rFonts w:hint="default" w:ascii="Times New Roman" w:hAnsi="Times New Roman" w:eastAsia="宋体" w:cs="Times New Roman"/>
                      <w:color w:val="auto"/>
                      <w:sz w:val="21"/>
                      <w:szCs w:val="21"/>
                    </w:rPr>
                    <w:t>，不在此范围内，不涉及所列禁止项目，本项目废水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常州市金坛区第二污水处理厂集中处理</w:t>
                  </w:r>
                </w:p>
              </w:tc>
              <w:tc>
                <w:tcPr>
                  <w:tcW w:w="354" w:type="pct"/>
                  <w:vAlign w:val="center"/>
                </w:tcPr>
                <w:p w14:paraId="26B530CD">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8929E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4CBF0512">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《江苏省太湖水污染防治条例》相关要求</w:t>
                  </w:r>
                </w:p>
              </w:tc>
              <w:tc>
                <w:tcPr>
                  <w:tcW w:w="1288" w:type="pct"/>
                  <w:vAlign w:val="center"/>
                </w:tcPr>
                <w:p w14:paraId="5B63A63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730DC48D">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2C27C43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052C033C">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第四十三条</w:t>
                  </w:r>
                </w:p>
              </w:tc>
              <w:tc>
                <w:tcPr>
                  <w:tcW w:w="3047" w:type="pct"/>
                  <w:gridSpan w:val="2"/>
                  <w:vAlign w:val="center"/>
                </w:tcPr>
                <w:p w14:paraId="17A0117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041C0D2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（一）新建、改建、扩建化学制浆造纸、制革、酿造、染料、印染、电镀以及其他排放含磷、氮等污染物的企业和项目；</w:t>
                  </w:r>
                </w:p>
                <w:p w14:paraId="34D0F772">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（二）销售、使用含磷洗涤用品；</w:t>
                  </w:r>
                </w:p>
                <w:p w14:paraId="3F8AF75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（三）向水体排放或者倾倒油类、酸液、碱液、剧毒废渣废液、含放射性废渣废液、含病原体污水、工业废渣以及其他废弃物；</w:t>
                  </w:r>
                </w:p>
                <w:p w14:paraId="7546D187">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（四）在水体清洗装贮过油类或者有毒有害污染物的车辆、船舶和容器等；</w:t>
                  </w:r>
                </w:p>
                <w:p w14:paraId="55EEDD32">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583689B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6A392D2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52D6866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0309D8C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（九）法律、法规禁止的其他行为。</w:t>
                  </w:r>
                </w:p>
              </w:tc>
              <w:tc>
                <w:tcPr>
                  <w:tcW w:w="1288" w:type="pct"/>
                  <w:vAlign w:val="center"/>
                </w:tcPr>
                <w:p w14:paraId="1E51F491">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本项目位于太湖流域三级保护区范围内，本项目为</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含氮、磷生产废水，生活污水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常州市金坛区第二污水处理厂集中处理，不直接向水体排放污染物；不属于所列禁止行为</w:t>
                  </w:r>
                </w:p>
              </w:tc>
              <w:tc>
                <w:tcPr>
                  <w:tcW w:w="354" w:type="pct"/>
                  <w:vAlign w:val="center"/>
                </w:tcPr>
                <w:p w14:paraId="50C6F40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A11A43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3D7D4CBD">
                  <w:pPr>
                    <w:autoSpaceDE w:val="0"/>
                    <w:autoSpaceDN w:val="0"/>
                    <w:adjustRightInd w:val="0"/>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第四十六条</w:t>
                  </w:r>
                </w:p>
              </w:tc>
              <w:tc>
                <w:tcPr>
                  <w:tcW w:w="3047" w:type="pct"/>
                  <w:gridSpan w:val="2"/>
                  <w:vAlign w:val="center"/>
                </w:tcPr>
                <w:p w14:paraId="58E7090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68C13902">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6D7787AB">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本条所指排放含磷、氮等污染物的战略性新兴产业具体类别，由省发展改革部门会同省经济和信息化、环境保护主管部门拟定并报省人民政府批准后公布。</w:t>
                  </w:r>
                </w:p>
                <w:p w14:paraId="05AC5DB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109BC90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本项目位于太湖流域三级保护区范围内，本项目为</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常州市金坛区第二污水处理厂集中处理</w:t>
                  </w:r>
                </w:p>
              </w:tc>
              <w:tc>
                <w:tcPr>
                  <w:tcW w:w="354" w:type="pct"/>
                  <w:vAlign w:val="center"/>
                </w:tcPr>
                <w:p w14:paraId="4522B6E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728B7A9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1569D66F">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《江苏省太湖流域水环境综合治理规划（2021-2035年）》</w:t>
                  </w:r>
                </w:p>
                <w:p w14:paraId="0CE67D7C">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（苏政办发【2022】74号）相关要求</w:t>
                  </w:r>
                </w:p>
              </w:tc>
              <w:tc>
                <w:tcPr>
                  <w:tcW w:w="1288" w:type="pct"/>
                  <w:vAlign w:val="center"/>
                </w:tcPr>
                <w:p w14:paraId="55D0356E">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3B8FD501">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6CE925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5B1087CB">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强化工业污染综合治理</w:t>
                  </w:r>
                </w:p>
              </w:tc>
              <w:tc>
                <w:tcPr>
                  <w:tcW w:w="3001" w:type="pct"/>
                  <w:vAlign w:val="center"/>
                </w:tcPr>
                <w:p w14:paraId="039F42E4">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5B4A6BF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无生产废水排放</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常州市金坛区第二污水处理厂集中处理；本项目实际生产前将依法进行排污许可证申请，做到持证排污、按证排污</w:t>
                  </w:r>
                </w:p>
              </w:tc>
              <w:tc>
                <w:tcPr>
                  <w:tcW w:w="354" w:type="pct"/>
                  <w:vAlign w:val="center"/>
                </w:tcPr>
                <w:p w14:paraId="2FC10EA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7747E066">
            <w:pPr>
              <w:keepNext w:val="0"/>
              <w:keepLines w:val="0"/>
              <w:pageBreakBefore w:val="0"/>
              <w:widowControl w:val="0"/>
              <w:kinsoku/>
              <w:wordWrap/>
              <w:overflowPunct/>
              <w:topLinePunct w:val="0"/>
              <w:autoSpaceDE w:val="0"/>
              <w:autoSpaceDN w:val="0"/>
              <w:bidi w:val="0"/>
              <w:adjustRightInd w:val="0"/>
              <w:snapToGrid w:val="0"/>
              <w:spacing w:before="120" w:line="360" w:lineRule="auto"/>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5、与《长江经济带发展负面清单指南（试行，2022年版）》相符性分析</w:t>
            </w:r>
          </w:p>
          <w:p w14:paraId="149141C6">
            <w:pPr>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表1-</w:t>
            </w:r>
            <w:r>
              <w:rPr>
                <w:rFonts w:hint="eastAsia" w:ascii="Times New Roman" w:hAnsi="Times New Roman" w:eastAsia="宋体" w:cs="Times New Roman"/>
                <w:b/>
                <w:color w:val="auto"/>
                <w:kern w:val="0"/>
                <w:sz w:val="24"/>
                <w:szCs w:val="24"/>
                <w:lang w:val="en-US" w:eastAsia="zh-CN"/>
              </w:rPr>
              <w:t>9</w:t>
            </w:r>
            <w:r>
              <w:rPr>
                <w:rFonts w:hint="default" w:ascii="Times New Roman" w:hAnsi="Times New Roman" w:eastAsia="宋体" w:cs="Times New Roman"/>
                <w:b/>
                <w:color w:val="auto"/>
                <w:kern w:val="0"/>
                <w:sz w:val="24"/>
                <w:szCs w:val="24"/>
              </w:rPr>
              <w:t xml:space="preserve">  与《长江经济带发展负面清单指南》相符性分析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6"/>
              <w:gridCol w:w="5187"/>
              <w:gridCol w:w="2714"/>
            </w:tblGrid>
            <w:tr w14:paraId="12B4B4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4430802">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3084" w:type="pct"/>
                  <w:vAlign w:val="center"/>
                </w:tcPr>
                <w:p w14:paraId="16F03497">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政策内容</w:t>
                  </w:r>
                </w:p>
              </w:tc>
              <w:tc>
                <w:tcPr>
                  <w:tcW w:w="1613" w:type="pct"/>
                  <w:vAlign w:val="center"/>
                </w:tcPr>
                <w:p w14:paraId="3D0C64FF">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相符性分析</w:t>
                  </w:r>
                </w:p>
              </w:tc>
            </w:tr>
            <w:tr w14:paraId="368422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030986B">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3084" w:type="pct"/>
                  <w:vAlign w:val="center"/>
                </w:tcPr>
                <w:p w14:paraId="63BD043E">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禁止建设不符合全国和省级港口布局规划以及港口总体规划的码头项目，禁止建设不符合《长江千线过江通道布局规划》的过长江通道项目。</w:t>
                  </w:r>
                </w:p>
              </w:tc>
              <w:tc>
                <w:tcPr>
                  <w:tcW w:w="1613" w:type="pct"/>
                  <w:vAlign w:val="center"/>
                </w:tcPr>
                <w:p w14:paraId="6AC4D7AD">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，不属于码头项目、长江通道项目</w:t>
                  </w:r>
                </w:p>
              </w:tc>
            </w:tr>
            <w:tr w14:paraId="2F781B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0296CFB">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3084" w:type="pct"/>
                  <w:vAlign w:val="center"/>
                </w:tcPr>
                <w:p w14:paraId="58881980">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1613" w:type="pct"/>
                  <w:vAlign w:val="center"/>
                </w:tcPr>
                <w:p w14:paraId="01A5910F">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，不位于政策所述区域</w:t>
                  </w:r>
                </w:p>
              </w:tc>
            </w:tr>
            <w:tr w14:paraId="5AEBE7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5F119CD">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3084" w:type="pct"/>
                  <w:vAlign w:val="center"/>
                </w:tcPr>
                <w:p w14:paraId="1C190D8B">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vAlign w:val="center"/>
                </w:tcPr>
                <w:p w14:paraId="505FCC3E">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，不位于饮用水水源一级与二级保护区的岸线和河段范围内</w:t>
                  </w:r>
                </w:p>
              </w:tc>
            </w:tr>
            <w:tr w14:paraId="0D5CF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4DAFB36">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3084" w:type="pct"/>
                  <w:vAlign w:val="center"/>
                </w:tcPr>
                <w:p w14:paraId="41139FED">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vAlign w:val="center"/>
                </w:tcPr>
                <w:p w14:paraId="042FD2E7">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，不位于政策所述区域</w:t>
                  </w:r>
                </w:p>
              </w:tc>
            </w:tr>
            <w:tr w14:paraId="3B609A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786B378">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3084" w:type="pct"/>
                  <w:vAlign w:val="center"/>
                </w:tcPr>
                <w:p w14:paraId="502676B4">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vAlign w:val="center"/>
                </w:tcPr>
                <w:p w14:paraId="71DA19BE">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，不位于政策所述区域</w:t>
                  </w:r>
                </w:p>
              </w:tc>
            </w:tr>
            <w:tr w14:paraId="264F03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392740E">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3084" w:type="pct"/>
                  <w:vAlign w:val="center"/>
                </w:tcPr>
                <w:p w14:paraId="197A386F">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禁止未经许可在长江干支流及湖泊新设、改设或扩大排污口。</w:t>
                  </w:r>
                </w:p>
              </w:tc>
              <w:tc>
                <w:tcPr>
                  <w:tcW w:w="1613" w:type="pct"/>
                  <w:vAlign w:val="center"/>
                </w:tcPr>
                <w:p w14:paraId="73DF98FF">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本项目不涉及</w:t>
                  </w:r>
                </w:p>
              </w:tc>
            </w:tr>
            <w:tr w14:paraId="56D92C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7A0C46D">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3084" w:type="pct"/>
                  <w:vAlign w:val="center"/>
                </w:tcPr>
                <w:p w14:paraId="7DDCFF1D">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禁止在“一江一口两湖七河”和332个水生生物保护区开展生产性捕捞。</w:t>
                  </w:r>
                </w:p>
              </w:tc>
              <w:tc>
                <w:tcPr>
                  <w:tcW w:w="1613" w:type="pct"/>
                  <w:vAlign w:val="center"/>
                </w:tcPr>
                <w:p w14:paraId="4FBABB77">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本项目不涉及</w:t>
                  </w:r>
                </w:p>
              </w:tc>
            </w:tr>
            <w:tr w14:paraId="59CBD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B63246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3084" w:type="pct"/>
                  <w:vAlign w:val="center"/>
                </w:tcPr>
                <w:p w14:paraId="19ADF4B9">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vAlign w:val="center"/>
                </w:tcPr>
                <w:p w14:paraId="6464712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，不属于政策中所述禁止项目</w:t>
                  </w:r>
                </w:p>
              </w:tc>
            </w:tr>
            <w:tr w14:paraId="1758F2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7C45BA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3084" w:type="pct"/>
                  <w:vAlign w:val="center"/>
                </w:tcPr>
                <w:p w14:paraId="4684F03E">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禁止在合规园区外新建、扩建钢铁、石化、化工、焦化、建材、有色、制浆造纸等高污染项目。</w:t>
                  </w:r>
                </w:p>
              </w:tc>
              <w:tc>
                <w:tcPr>
                  <w:tcW w:w="1613" w:type="pct"/>
                  <w:vAlign w:val="center"/>
                </w:tcPr>
                <w:p w14:paraId="6E67E5F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，不属于政策中所述禁止项目</w:t>
                  </w:r>
                </w:p>
              </w:tc>
            </w:tr>
            <w:tr w14:paraId="4E95B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0473559">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3084" w:type="pct"/>
                  <w:vAlign w:val="center"/>
                </w:tcPr>
                <w:p w14:paraId="0393E080">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禁止新建、扩建不符合国家石化、现代煤化工等产业布局规划的项目。</w:t>
                  </w:r>
                </w:p>
              </w:tc>
              <w:tc>
                <w:tcPr>
                  <w:tcW w:w="1613" w:type="pct"/>
                  <w:vAlign w:val="center"/>
                </w:tcPr>
                <w:p w14:paraId="255E2BE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，不属于政策中所述禁止项目</w:t>
                  </w:r>
                </w:p>
              </w:tc>
            </w:tr>
            <w:tr w14:paraId="785BAC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35F84CF">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3084" w:type="pct"/>
                  <w:vAlign w:val="center"/>
                </w:tcPr>
                <w:p w14:paraId="1E24CB0D">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1613" w:type="pct"/>
                  <w:vAlign w:val="center"/>
                </w:tcPr>
                <w:p w14:paraId="0BBE550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新建生产电磁阀及配件产品项目</w:t>
                  </w:r>
                  <w:r>
                    <w:rPr>
                      <w:rFonts w:hint="default" w:ascii="Times New Roman" w:hAnsi="Times New Roman" w:eastAsia="宋体" w:cs="Times New Roman"/>
                      <w:color w:val="auto"/>
                      <w:kern w:val="0"/>
                      <w:szCs w:val="21"/>
                    </w:rPr>
                    <w:t>，不属于政策中所述禁止项目</w:t>
                  </w:r>
                </w:p>
              </w:tc>
            </w:tr>
            <w:tr w14:paraId="4860E1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0D84399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3084" w:type="pct"/>
                  <w:vAlign w:val="center"/>
                </w:tcPr>
                <w:p w14:paraId="1A418E5C">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法律法规及相关政策文件有更加严格规定的从其规定。</w:t>
                  </w:r>
                </w:p>
              </w:tc>
              <w:tc>
                <w:tcPr>
                  <w:tcW w:w="1613" w:type="pct"/>
                  <w:vAlign w:val="center"/>
                </w:tcPr>
                <w:p w14:paraId="37DF992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bl>
          <w:p w14:paraId="02114C77">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6、与《江苏省水污染防治条例》相符性分析</w:t>
            </w:r>
          </w:p>
          <w:p w14:paraId="13F380CD">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10</w:t>
            </w:r>
            <w:r>
              <w:rPr>
                <w:rFonts w:hint="default" w:ascii="Times New Roman" w:hAnsi="Times New Roman" w:eastAsia="宋体" w:cs="Times New Roman"/>
                <w:b/>
                <w:bCs/>
                <w:color w:val="auto"/>
                <w:sz w:val="24"/>
              </w:rPr>
              <w:t xml:space="preserve">  与《江苏省水污染防治条例》的相符性分析</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858"/>
              <w:gridCol w:w="5404"/>
              <w:gridCol w:w="2145"/>
            </w:tblGrid>
            <w:tr w14:paraId="44F0AF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1E3ADB33">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213" w:type="pct"/>
                  <w:vAlign w:val="center"/>
                </w:tcPr>
                <w:p w14:paraId="274BE699">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1275" w:type="pct"/>
                  <w:vAlign w:val="center"/>
                </w:tcPr>
                <w:p w14:paraId="664D979D">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对照分析</w:t>
                  </w:r>
                </w:p>
              </w:tc>
            </w:tr>
            <w:tr w14:paraId="6266B6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361DE14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第二十三条</w:t>
                  </w:r>
                </w:p>
              </w:tc>
              <w:tc>
                <w:tcPr>
                  <w:tcW w:w="3213" w:type="pct"/>
                  <w:vAlign w:val="center"/>
                </w:tcPr>
                <w:p w14:paraId="694B3576">
                  <w:pPr>
                    <w:widowControl/>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禁止工业企业、宾馆、餐饮、洗涤等企业事业单位以及个人使用各类含磷洗涤用品。</w:t>
                  </w:r>
                </w:p>
              </w:tc>
              <w:tc>
                <w:tcPr>
                  <w:tcW w:w="1275" w:type="pct"/>
                  <w:vAlign w:val="center"/>
                </w:tcPr>
                <w:p w14:paraId="03F834D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本项目不使用含磷洗涤用品，无含氮、磷工业废水排放</w:t>
                  </w:r>
                </w:p>
              </w:tc>
            </w:tr>
            <w:tr w14:paraId="180220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7A6FA3E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第二十六条</w:t>
                  </w:r>
                </w:p>
              </w:tc>
              <w:tc>
                <w:tcPr>
                  <w:tcW w:w="3213" w:type="pct"/>
                  <w:vAlign w:val="center"/>
                </w:tcPr>
                <w:p w14:paraId="3C26EA62">
                  <w:pPr>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向污水集中处理设施排放工业废水的，应当按照国家和省有关规定进行预处理，符合国家、省有关标准和污水集中处理设施的接纳要求。污水集中处理设施尾水，可以采取生态净化等方式处理后排放。</w:t>
                  </w:r>
                </w:p>
                <w:p w14:paraId="326075AB">
                  <w:pPr>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实行工业废水与生活污水分质处理，对不符合城镇污水集中处理设施接纳要求的工业废水，限期退出城镇污水管网。</w:t>
                  </w:r>
                </w:p>
              </w:tc>
              <w:tc>
                <w:tcPr>
                  <w:tcW w:w="1275" w:type="pct"/>
                  <w:vAlign w:val="center"/>
                </w:tcPr>
                <w:p w14:paraId="5C3A7E8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val="en-US" w:eastAsia="zh-CN"/>
                    </w:rPr>
                    <w:t>无</w:t>
                  </w:r>
                  <w:r>
                    <w:rPr>
                      <w:rFonts w:hint="default" w:ascii="Times New Roman" w:hAnsi="Times New Roman" w:eastAsia="宋体" w:cs="Times New Roman"/>
                      <w:color w:val="auto"/>
                      <w:szCs w:val="21"/>
                    </w:rPr>
                    <w:t>生产废水</w:t>
                  </w:r>
                  <w:r>
                    <w:rPr>
                      <w:rFonts w:hint="default" w:ascii="Times New Roman" w:hAnsi="Times New Roman" w:eastAsia="宋体" w:cs="Times New Roman"/>
                      <w:color w:val="auto"/>
                      <w:szCs w:val="21"/>
                      <w:lang w:val="en-US" w:eastAsia="zh-CN"/>
                    </w:rPr>
                    <w:t>排放</w:t>
                  </w:r>
                  <w:r>
                    <w:rPr>
                      <w:rFonts w:hint="default" w:ascii="Times New Roman" w:hAnsi="Times New Roman" w:eastAsia="宋体" w:cs="Times New Roman"/>
                      <w:color w:val="auto"/>
                      <w:szCs w:val="21"/>
                    </w:rPr>
                    <w:t>，生活污水</w:t>
                  </w:r>
                  <w:r>
                    <w:rPr>
                      <w:rFonts w:hint="default" w:ascii="Times New Roman" w:hAnsi="Times New Roman" w:eastAsia="宋体" w:cs="Times New Roman"/>
                      <w:color w:val="auto"/>
                      <w:szCs w:val="21"/>
                      <w:lang w:val="en-US" w:eastAsia="zh-CN"/>
                    </w:rPr>
                    <w:t>经市政污水管网接至污水处理厂处理</w:t>
                  </w:r>
                  <w:r>
                    <w:rPr>
                      <w:rFonts w:hint="default" w:ascii="Times New Roman" w:hAnsi="Times New Roman" w:eastAsia="宋体" w:cs="Times New Roman"/>
                      <w:color w:val="auto"/>
                      <w:szCs w:val="21"/>
                    </w:rPr>
                    <w:t>，符合本条例要求</w:t>
                  </w:r>
                </w:p>
              </w:tc>
            </w:tr>
          </w:tbl>
          <w:p w14:paraId="77395435">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b/>
                <w:bCs/>
                <w:color w:val="auto"/>
                <w:sz w:val="24"/>
                <w:szCs w:val="24"/>
                <w:lang w:val="zh-CN"/>
              </w:rPr>
              <w:t>、与《关于做好生态环境和应急管理部门联动工作的意见》（苏环办[2020]101号）相符性分析</w:t>
            </w:r>
          </w:p>
          <w:p w14:paraId="4A376C06">
            <w:pPr>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表1-1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zh-CN"/>
              </w:rPr>
              <w:t xml:space="preserve">  与苏环办[2020]101号文的相符性分析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83"/>
              <w:gridCol w:w="2841"/>
              <w:gridCol w:w="883"/>
            </w:tblGrid>
            <w:tr w14:paraId="6731DF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4386A092">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文件指导要求</w:t>
                  </w:r>
                </w:p>
              </w:tc>
              <w:tc>
                <w:tcPr>
                  <w:tcW w:w="1689" w:type="pct"/>
                  <w:vAlign w:val="center"/>
                </w:tcPr>
                <w:p w14:paraId="62A9ED9E">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本项目相符性分析</w:t>
                  </w:r>
                </w:p>
              </w:tc>
              <w:tc>
                <w:tcPr>
                  <w:tcW w:w="525" w:type="pct"/>
                  <w:vAlign w:val="center"/>
                </w:tcPr>
                <w:p w14:paraId="2872323A">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相符性</w:t>
                  </w:r>
                </w:p>
              </w:tc>
            </w:tr>
            <w:tr w14:paraId="3599A3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72D52DF5">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vAlign w:val="center"/>
                </w:tcPr>
                <w:p w14:paraId="54831D36">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本项目产生的危险废物包括</w:t>
                  </w:r>
                  <w:r>
                    <w:rPr>
                      <w:rFonts w:hint="eastAsia" w:ascii="Times New Roman" w:hAnsi="Times New Roman" w:eastAsia="宋体" w:cs="Times New Roman"/>
                      <w:bCs/>
                      <w:color w:val="auto"/>
                      <w:szCs w:val="21"/>
                      <w:lang w:val="en-US" w:eastAsia="zh-CN"/>
                    </w:rPr>
                    <w:t>含油</w:t>
                  </w:r>
                  <w:r>
                    <w:rPr>
                      <w:rFonts w:hint="default" w:ascii="Times New Roman" w:hAnsi="Times New Roman" w:eastAsia="宋体" w:cs="Times New Roman"/>
                      <w:color w:val="auto"/>
                      <w:szCs w:val="21"/>
                      <w:lang w:val="en-US" w:eastAsia="zh-CN"/>
                    </w:rPr>
                    <w:t>抹布、</w:t>
                  </w:r>
                  <w:r>
                    <w:rPr>
                      <w:rFonts w:hint="eastAsia" w:ascii="Times New Roman" w:hAnsi="Times New Roman" w:eastAsia="宋体" w:cs="Times New Roman"/>
                      <w:color w:val="auto"/>
                      <w:szCs w:val="21"/>
                      <w:lang w:val="en-US" w:eastAsia="zh-CN"/>
                    </w:rPr>
                    <w:t>废润滑油、废乳化液等</w:t>
                  </w:r>
                  <w:r>
                    <w:rPr>
                      <w:rFonts w:hint="default" w:ascii="Times New Roman" w:hAnsi="Times New Roman" w:eastAsia="宋体" w:cs="Times New Roman"/>
                      <w:bCs/>
                      <w:color w:val="auto"/>
                      <w:szCs w:val="21"/>
                      <w:lang w:val="zh-CN"/>
                    </w:rPr>
                    <w:t>，本项目建成后将按照相关法律法规及标准技术文件对危废进行收集、贮存、运输、处置，危废的管理过程将在“江苏省危险废物全生命周期监控系统”中体现</w:t>
                  </w:r>
                </w:p>
              </w:tc>
              <w:tc>
                <w:tcPr>
                  <w:tcW w:w="525" w:type="pct"/>
                  <w:vAlign w:val="center"/>
                </w:tcPr>
                <w:p w14:paraId="3C890867">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相符</w:t>
                  </w:r>
                </w:p>
              </w:tc>
            </w:tr>
            <w:tr w14:paraId="16B5F3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6443538B">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vAlign w:val="center"/>
                </w:tcPr>
                <w:p w14:paraId="47DB2E2C">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本项目实施后，按要求编制环保设施安全风险辨识评估报告。</w:t>
                  </w:r>
                </w:p>
              </w:tc>
              <w:tc>
                <w:tcPr>
                  <w:tcW w:w="525" w:type="pct"/>
                  <w:vAlign w:val="center"/>
                </w:tcPr>
                <w:p w14:paraId="1616D46A">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相符</w:t>
                  </w:r>
                </w:p>
              </w:tc>
            </w:tr>
          </w:tbl>
          <w:p w14:paraId="75782322">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rPr>
              <w:t>8</w:t>
            </w:r>
            <w:r>
              <w:rPr>
                <w:rFonts w:hint="default" w:ascii="Times New Roman" w:hAnsi="Times New Roman" w:eastAsia="宋体" w:cs="Times New Roman"/>
                <w:b/>
                <w:bCs/>
                <w:color w:val="auto"/>
                <w:sz w:val="24"/>
                <w:szCs w:val="24"/>
                <w:lang w:val="zh-CN"/>
              </w:rPr>
              <w:t>、与《省生态环境厅关于进一步加强建设项目环评审批和服务工作的指导意见》（苏环办[2020]225号）相符性分析</w:t>
            </w:r>
          </w:p>
          <w:p w14:paraId="5271644A">
            <w:pPr>
              <w:autoSpaceDE w:val="0"/>
              <w:autoSpaceDN w:val="0"/>
              <w:adjustRightInd w:val="0"/>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rPr>
              <w:t>1-1</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zh-CN"/>
              </w:rPr>
              <w:t>本项目与苏环办[2020]225号文相符性分析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3096"/>
              <w:gridCol w:w="3649"/>
              <w:gridCol w:w="781"/>
            </w:tblGrid>
            <w:tr w14:paraId="1826C2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1C726508">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类别</w:t>
                  </w:r>
                </w:p>
              </w:tc>
              <w:tc>
                <w:tcPr>
                  <w:tcW w:w="1840" w:type="pct"/>
                  <w:vAlign w:val="center"/>
                </w:tcPr>
                <w:p w14:paraId="2CCD0A3D">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文件要求</w:t>
                  </w:r>
                </w:p>
              </w:tc>
              <w:tc>
                <w:tcPr>
                  <w:tcW w:w="2169" w:type="pct"/>
                  <w:vAlign w:val="center"/>
                </w:tcPr>
                <w:p w14:paraId="1C83B604">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本项目对照分析</w:t>
                  </w:r>
                </w:p>
              </w:tc>
              <w:tc>
                <w:tcPr>
                  <w:tcW w:w="464" w:type="pct"/>
                  <w:vAlign w:val="center"/>
                </w:tcPr>
                <w:p w14:paraId="52BF94C3">
                  <w:pPr>
                    <w:autoSpaceDE w:val="0"/>
                    <w:autoSpaceDN w:val="0"/>
                    <w:adjustRightInd w:val="0"/>
                    <w:ind w:left="-73" w:leftChars="-35" w:right="-73" w:rightChars="-35"/>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相符性</w:t>
                  </w:r>
                </w:p>
              </w:tc>
            </w:tr>
            <w:tr w14:paraId="136DE1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restart"/>
                  <w:vAlign w:val="center"/>
                </w:tcPr>
                <w:p w14:paraId="4709D50A">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严守生态环境质量底线</w:t>
                  </w:r>
                </w:p>
              </w:tc>
              <w:tc>
                <w:tcPr>
                  <w:tcW w:w="1840" w:type="pct"/>
                  <w:vAlign w:val="center"/>
                </w:tcPr>
                <w:p w14:paraId="117F5D77">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建设项目所在区域环境质量末达到国家或地方环境质量标准，且项目拟采取的污染防治措施不能满足区域环境质量改善目标管理要求的，一律不得审批。</w:t>
                  </w:r>
                </w:p>
              </w:tc>
              <w:tc>
                <w:tcPr>
                  <w:tcW w:w="2169" w:type="pct"/>
                  <w:vAlign w:val="center"/>
                </w:tcPr>
                <w:p w14:paraId="7EE4E18B">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根据《202</w:t>
                  </w:r>
                  <w:r>
                    <w:rPr>
                      <w:rFonts w:hint="default" w:ascii="Times New Roman" w:hAnsi="Times New Roman" w:eastAsia="宋体" w:cs="Times New Roman"/>
                      <w:color w:val="auto"/>
                      <w:kern w:val="0"/>
                      <w:szCs w:val="21"/>
                      <w:lang w:val="en-US" w:eastAsia="zh-CN"/>
                    </w:rPr>
                    <w:t>3</w:t>
                  </w:r>
                  <w:r>
                    <w:rPr>
                      <w:rFonts w:hint="default" w:ascii="Times New Roman" w:hAnsi="Times New Roman" w:eastAsia="宋体" w:cs="Times New Roman"/>
                      <w:color w:val="auto"/>
                      <w:kern w:val="0"/>
                      <w:szCs w:val="21"/>
                    </w:rPr>
                    <w:t>年常州市生态环境质量状况公报》，项目所在区域大气环境质量属于不达标区。根据环境质量现状监测数据，地表水、声环境质量均能够满足相应功能区划要求。</w:t>
                  </w:r>
                </w:p>
                <w:p w14:paraId="04D1312C">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项目建成后采取严格的污染防治措施，废水、厂界噪声均可达标排放，固废合理处置，不会使区域环境质量恶化。</w:t>
                  </w:r>
                </w:p>
              </w:tc>
              <w:tc>
                <w:tcPr>
                  <w:tcW w:w="464" w:type="pct"/>
                  <w:vAlign w:val="center"/>
                </w:tcPr>
                <w:p w14:paraId="7CF1171C">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6BF2E7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5411CF56">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682004A8">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加强规划环评与建设项目环评联动，对不符合规划环评结论及审查意见的项目环评，依法不予审批。规划所包含项目的环评内容，可根据规划环评结论和审查意见予以简化。</w:t>
                  </w:r>
                </w:p>
              </w:tc>
              <w:tc>
                <w:tcPr>
                  <w:tcW w:w="2169" w:type="pct"/>
                  <w:vAlign w:val="center"/>
                </w:tcPr>
                <w:p w14:paraId="47F6400E">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本项目建设于</w:t>
                  </w:r>
                  <w:r>
                    <w:rPr>
                      <w:rFonts w:hint="eastAsia" w:ascii="Times New Roman" w:hAnsi="Times New Roman" w:eastAsia="宋体" w:cs="Times New Roman"/>
                      <w:color w:val="auto"/>
                      <w:kern w:val="0"/>
                      <w:szCs w:val="21"/>
                      <w:lang w:eastAsia="zh-CN"/>
                    </w:rPr>
                    <w:t>常州市金坛区华丰路6号</w:t>
                  </w:r>
                  <w:r>
                    <w:rPr>
                      <w:rFonts w:hint="default" w:ascii="Times New Roman" w:hAnsi="Times New Roman" w:eastAsia="宋体" w:cs="Times New Roman"/>
                      <w:color w:val="auto"/>
                      <w:kern w:val="0"/>
                      <w:szCs w:val="21"/>
                    </w:rPr>
                    <w:t>，位于江苏金坛经济开发区，用地性质为工业用地，符合《金坛经济开发区发展规划环境影响报告书》及《关于金坛经济开发区发展规划环境影响评价审查意见》中要求</w:t>
                  </w:r>
                </w:p>
              </w:tc>
              <w:tc>
                <w:tcPr>
                  <w:tcW w:w="464" w:type="pct"/>
                  <w:vAlign w:val="center"/>
                </w:tcPr>
                <w:p w14:paraId="2D02A27B">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4BC065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3B48C3F7">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6A449D12">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切实加强区域环境容量、环境承载力研究，不得审批突破环境容量和环境承载力的建设项目。</w:t>
                  </w:r>
                </w:p>
              </w:tc>
              <w:tc>
                <w:tcPr>
                  <w:tcW w:w="2169" w:type="pct"/>
                  <w:vAlign w:val="center"/>
                </w:tcPr>
                <w:p w14:paraId="52C52DD7">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w:t>
                  </w:r>
                  <w:r>
                    <w:rPr>
                      <w:rFonts w:hint="default" w:ascii="Times New Roman" w:hAnsi="Times New Roman" w:eastAsia="宋体" w:cs="Times New Roman"/>
                      <w:color w:val="auto"/>
                      <w:kern w:val="0"/>
                      <w:szCs w:val="21"/>
                      <w:lang w:val="en-US" w:eastAsia="zh-CN"/>
                    </w:rPr>
                    <w:t>无</w:t>
                  </w:r>
                  <w:r>
                    <w:rPr>
                      <w:rFonts w:hint="default" w:ascii="Times New Roman" w:hAnsi="Times New Roman" w:eastAsia="宋体" w:cs="Times New Roman"/>
                      <w:color w:val="auto"/>
                      <w:kern w:val="0"/>
                      <w:szCs w:val="21"/>
                    </w:rPr>
                    <w:t>生产废水</w:t>
                  </w:r>
                  <w:r>
                    <w:rPr>
                      <w:rFonts w:hint="default" w:ascii="Times New Roman" w:hAnsi="Times New Roman" w:eastAsia="宋体" w:cs="Times New Roman"/>
                      <w:color w:val="auto"/>
                      <w:kern w:val="0"/>
                      <w:szCs w:val="21"/>
                      <w:lang w:val="en-US" w:eastAsia="zh-CN"/>
                    </w:rPr>
                    <w:t>排放</w:t>
                  </w:r>
                  <w:r>
                    <w:rPr>
                      <w:rFonts w:hint="default" w:ascii="Times New Roman" w:hAnsi="Times New Roman" w:eastAsia="宋体" w:cs="Times New Roman"/>
                      <w:color w:val="auto"/>
                      <w:kern w:val="0"/>
                      <w:szCs w:val="21"/>
                    </w:rPr>
                    <w:t>，生活污水</w:t>
                  </w:r>
                  <w:r>
                    <w:rPr>
                      <w:rFonts w:hint="default" w:ascii="Times New Roman" w:hAnsi="Times New Roman" w:eastAsia="宋体" w:cs="Times New Roman"/>
                      <w:color w:val="auto"/>
                      <w:kern w:val="0"/>
                      <w:szCs w:val="21"/>
                      <w:lang w:val="en-US" w:eastAsia="zh-CN"/>
                    </w:rPr>
                    <w:t>经市政污水管网接至</w:t>
                  </w:r>
                  <w:r>
                    <w:rPr>
                      <w:rFonts w:hint="default" w:ascii="Times New Roman" w:hAnsi="Times New Roman" w:eastAsia="宋体" w:cs="Times New Roman"/>
                      <w:color w:val="auto"/>
                      <w:kern w:val="0"/>
                      <w:szCs w:val="21"/>
                    </w:rPr>
                    <w:t>常州市金坛区第二污水处理厂集中处理，水污染物排放总量在常州市金坛区第二污水处理厂内平衡</w:t>
                  </w:r>
                </w:p>
              </w:tc>
              <w:tc>
                <w:tcPr>
                  <w:tcW w:w="464" w:type="pct"/>
                  <w:vAlign w:val="center"/>
                </w:tcPr>
                <w:p w14:paraId="3AE24419">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02908D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5A573D46">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0E84F8FF">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应将“三线一单”作为建设项目环评审批的重要依据，严格落实生态环境分区管控要求，从严把好环境准入关。</w:t>
                  </w:r>
                </w:p>
              </w:tc>
              <w:tc>
                <w:tcPr>
                  <w:tcW w:w="2169" w:type="pct"/>
                  <w:vAlign w:val="center"/>
                </w:tcPr>
                <w:p w14:paraId="77130FCD">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本项目符合“三线一单”（即生态</w:t>
                  </w:r>
                </w:p>
                <w:p w14:paraId="3B362227">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保护红线、环境质量底线、资源利用上线、环境准入负面清单）管理机制的要求</w:t>
                  </w:r>
                </w:p>
              </w:tc>
              <w:tc>
                <w:tcPr>
                  <w:tcW w:w="464" w:type="pct"/>
                  <w:vAlign w:val="center"/>
                </w:tcPr>
                <w:p w14:paraId="321E8002">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2A0747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3F80D329">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严格重点行业环评审批</w:t>
                  </w:r>
                </w:p>
              </w:tc>
              <w:tc>
                <w:tcPr>
                  <w:tcW w:w="1840" w:type="pct"/>
                  <w:vAlign w:val="center"/>
                </w:tcPr>
                <w:p w14:paraId="4BAD432F">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严格执行《江苏省长江经济带发展负面清单实施细则</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试行</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》，禁止在合规园区外新建、扩建钢铁、石化、化工、焦化少一。建材、有色等行业中的高污染项目。禁止新建燃媒电厂。</w:t>
                  </w:r>
                </w:p>
              </w:tc>
              <w:tc>
                <w:tcPr>
                  <w:tcW w:w="2169" w:type="pct"/>
                  <w:vAlign w:val="center"/>
                </w:tcPr>
                <w:p w14:paraId="739B00F6">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本项目不属于禁止类项目</w:t>
                  </w:r>
                </w:p>
              </w:tc>
              <w:tc>
                <w:tcPr>
                  <w:tcW w:w="464" w:type="pct"/>
                  <w:vAlign w:val="center"/>
                </w:tcPr>
                <w:p w14:paraId="6B05EC7F">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bl>
          <w:p w14:paraId="600C2405">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与《关于加强高耗能、高排放建设项目生态环境源头防控的指导意见》（环环评[2021]45号）相符性分析</w:t>
            </w:r>
          </w:p>
          <w:p w14:paraId="58E7CB1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lang w:val="zh-CN"/>
              </w:rPr>
            </w:pPr>
          </w:p>
          <w:p w14:paraId="55B9492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lang w:val="zh-CN"/>
              </w:rPr>
            </w:pPr>
          </w:p>
          <w:p w14:paraId="2D87ECA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rPr>
              <w:t>1-1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zh-CN"/>
              </w:rPr>
              <w:t>本项目与</w:t>
            </w:r>
            <w:r>
              <w:rPr>
                <w:rFonts w:hint="default" w:ascii="Times New Roman" w:hAnsi="Times New Roman" w:eastAsia="宋体" w:cs="Times New Roman"/>
                <w:b/>
                <w:bCs/>
                <w:color w:val="auto"/>
                <w:sz w:val="24"/>
                <w:szCs w:val="24"/>
              </w:rPr>
              <w:t>环环评[2021]45号</w:t>
            </w:r>
            <w:r>
              <w:rPr>
                <w:rFonts w:hint="default" w:ascii="Times New Roman" w:hAnsi="Times New Roman" w:eastAsia="宋体" w:cs="Times New Roman"/>
                <w:b/>
                <w:bCs/>
                <w:color w:val="auto"/>
                <w:sz w:val="24"/>
                <w:szCs w:val="24"/>
                <w:lang w:val="zh-CN"/>
              </w:rPr>
              <w:t>文相符性分析</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3"/>
              <w:gridCol w:w="2322"/>
            </w:tblGrid>
            <w:tr w14:paraId="4E16F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2157DE9E">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文件要求</w:t>
                  </w:r>
                </w:p>
              </w:tc>
              <w:tc>
                <w:tcPr>
                  <w:tcW w:w="1381" w:type="pct"/>
                  <w:vAlign w:val="center"/>
                </w:tcPr>
                <w:p w14:paraId="6CEDF85E">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相符性分析</w:t>
                  </w:r>
                </w:p>
              </w:tc>
            </w:tr>
            <w:tr w14:paraId="5E1A0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449B552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381" w:type="pct"/>
                  <w:vMerge w:val="restart"/>
                  <w:vAlign w:val="center"/>
                </w:tcPr>
                <w:p w14:paraId="5B67818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本项目不属于上述“两高”项目。同时，本项目采用的工艺技术和装备先进且适用，使用清洁能源电，本项目废气经过有效处理后经排气筒达标排放，在</w:t>
                  </w:r>
                  <w:r>
                    <w:rPr>
                      <w:rFonts w:hint="default" w:ascii="Times New Roman" w:hAnsi="Times New Roman" w:eastAsia="宋体" w:cs="Times New Roman"/>
                      <w:color w:val="auto"/>
                      <w:kern w:val="0"/>
                      <w:sz w:val="21"/>
                      <w:szCs w:val="21"/>
                      <w:lang w:val="en-US" w:eastAsia="zh-CN"/>
                    </w:rPr>
                    <w:t>金坛经济开发区</w:t>
                  </w:r>
                  <w:r>
                    <w:rPr>
                      <w:rFonts w:hint="default" w:ascii="Times New Roman" w:hAnsi="Times New Roman" w:eastAsia="宋体" w:cs="Times New Roman"/>
                      <w:color w:val="auto"/>
                      <w:kern w:val="0"/>
                      <w:sz w:val="21"/>
                      <w:szCs w:val="21"/>
                    </w:rPr>
                    <w:t>区域内平衡；本项目无生产废水产生，</w:t>
                  </w:r>
                  <w:r>
                    <w:rPr>
                      <w:rFonts w:hint="default" w:ascii="Times New Roman" w:hAnsi="Times New Roman" w:eastAsia="宋体" w:cs="Times New Roman"/>
                      <w:bCs/>
                      <w:color w:val="auto"/>
                      <w:kern w:val="0"/>
                      <w:sz w:val="21"/>
                      <w:szCs w:val="21"/>
                    </w:rPr>
                    <w:t>生活污水</w:t>
                  </w:r>
                  <w:r>
                    <w:rPr>
                      <w:rFonts w:hint="default" w:ascii="Times New Roman" w:hAnsi="Times New Roman" w:eastAsia="宋体" w:cs="Times New Roman"/>
                      <w:bCs/>
                      <w:color w:val="auto"/>
                      <w:kern w:val="0"/>
                      <w:sz w:val="21"/>
                      <w:szCs w:val="21"/>
                      <w:lang w:val="en-US" w:eastAsia="zh-CN"/>
                    </w:rPr>
                    <w:t>经市政污水管网接至</w:t>
                  </w:r>
                  <w:r>
                    <w:rPr>
                      <w:rFonts w:hint="default" w:ascii="Times New Roman" w:hAnsi="Times New Roman" w:eastAsia="宋体" w:cs="Times New Roman"/>
                      <w:color w:val="auto"/>
                      <w:sz w:val="21"/>
                      <w:szCs w:val="21"/>
                    </w:rPr>
                    <w:t>常州市金坛区第二污水厂</w:t>
                  </w:r>
                  <w:r>
                    <w:rPr>
                      <w:rFonts w:hint="default" w:ascii="Times New Roman" w:hAnsi="Times New Roman" w:eastAsia="宋体" w:cs="Times New Roman"/>
                      <w:bCs/>
                      <w:color w:val="auto"/>
                      <w:kern w:val="0"/>
                      <w:sz w:val="21"/>
                      <w:szCs w:val="21"/>
                    </w:rPr>
                    <w:t>处理，与文件要求相符。</w:t>
                  </w:r>
                </w:p>
              </w:tc>
            </w:tr>
            <w:tr w14:paraId="37339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35547AE3">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381" w:type="pct"/>
                  <w:vMerge w:val="continue"/>
                  <w:vAlign w:val="center"/>
                </w:tcPr>
                <w:p w14:paraId="1DEBA09D">
                  <w:pPr>
                    <w:jc w:val="center"/>
                    <w:rPr>
                      <w:rFonts w:hint="default" w:ascii="Times New Roman" w:hAnsi="Times New Roman" w:eastAsia="宋体" w:cs="Times New Roman"/>
                      <w:color w:val="auto"/>
                      <w:kern w:val="0"/>
                      <w:sz w:val="21"/>
                      <w:szCs w:val="21"/>
                    </w:rPr>
                  </w:pPr>
                </w:p>
              </w:tc>
            </w:tr>
          </w:tbl>
          <w:p w14:paraId="37F284E1">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综上，本项目与</w:t>
            </w:r>
            <w:r>
              <w:rPr>
                <w:rFonts w:hint="default" w:ascii="Times New Roman" w:hAnsi="Times New Roman" w:eastAsia="宋体" w:cs="Times New Roman"/>
                <w:bCs/>
                <w:color w:val="auto"/>
                <w:kern w:val="0"/>
                <w:sz w:val="24"/>
                <w:szCs w:val="24"/>
              </w:rPr>
              <w:t>《关于加强高耗能、高排放建设项目生态环境源头防控的指导意见》（环环评[2021]45号）</w:t>
            </w:r>
            <w:r>
              <w:rPr>
                <w:rFonts w:hint="default" w:ascii="Times New Roman" w:hAnsi="Times New Roman" w:eastAsia="宋体" w:cs="Times New Roman"/>
                <w:color w:val="auto"/>
                <w:kern w:val="0"/>
                <w:sz w:val="24"/>
                <w:szCs w:val="24"/>
              </w:rPr>
              <w:t>的要求相符。</w:t>
            </w:r>
          </w:p>
          <w:p w14:paraId="5D937201">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zh-CN"/>
              </w:rPr>
              <w:t>与</w:t>
            </w:r>
            <w:r>
              <w:rPr>
                <w:rFonts w:hint="default" w:ascii="Times New Roman" w:hAnsi="Times New Roman" w:eastAsia="宋体" w:cs="Times New Roman"/>
                <w:b/>
                <w:bCs/>
                <w:color w:val="auto"/>
                <w:sz w:val="24"/>
                <w:szCs w:val="24"/>
              </w:rPr>
              <w:t>《关于发布&lt;有毒有害大气污染物名录</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2018 年</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&gt;的公告》</w:t>
            </w:r>
            <w:r>
              <w:rPr>
                <w:rFonts w:hint="default" w:ascii="Times New Roman" w:hAnsi="Times New Roman" w:eastAsia="宋体" w:cs="Times New Roman"/>
                <w:b/>
                <w:bCs/>
                <w:color w:val="auto"/>
                <w:sz w:val="24"/>
                <w:szCs w:val="24"/>
                <w:lang w:val="zh-CN"/>
              </w:rPr>
              <w:t>相符性分析</w:t>
            </w:r>
          </w:p>
          <w:p w14:paraId="3C0D532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根据生态环境部、国家卫生健康委员会关于发布《有毒有害大气污染物名录（2018 年）》的公告，有毒有害大气污染物名录（2018年）包含二氯甲烷、甲醛、三氯甲烷、三氯乙烯、四氯乙烯、乙醛、镉及其化合物、铬及其化合物、汞及其化合物、铅及其化合物、砷及其化合物。</w:t>
            </w:r>
          </w:p>
          <w:p w14:paraId="3634895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本项目主要使用</w:t>
            </w:r>
            <w:r>
              <w:rPr>
                <w:rFonts w:hint="eastAsia" w:ascii="Times New Roman" w:hAnsi="Times New Roman" w:eastAsia="宋体" w:cs="Times New Roman"/>
                <w:bCs/>
                <w:color w:val="auto"/>
                <w:sz w:val="24"/>
                <w:szCs w:val="24"/>
                <w:lang w:val="en-US" w:eastAsia="zh-CN"/>
              </w:rPr>
              <w:t>清洗剂、BMC</w:t>
            </w:r>
            <w:r>
              <w:rPr>
                <w:rFonts w:hint="default" w:ascii="Times New Roman" w:hAnsi="Times New Roman" w:eastAsia="宋体" w:cs="Times New Roman"/>
                <w:bCs/>
                <w:color w:val="auto"/>
                <w:sz w:val="24"/>
                <w:szCs w:val="24"/>
                <w:lang w:val="en-US" w:eastAsia="zh-CN"/>
              </w:rPr>
              <w:t>等</w:t>
            </w:r>
            <w:r>
              <w:rPr>
                <w:rFonts w:hint="default" w:ascii="Times New Roman" w:hAnsi="Times New Roman" w:eastAsia="宋体" w:cs="Times New Roman"/>
                <w:bCs/>
                <w:color w:val="auto"/>
                <w:sz w:val="24"/>
                <w:szCs w:val="24"/>
              </w:rPr>
              <w:t>，同时生产过程中有</w:t>
            </w:r>
            <w:r>
              <w:rPr>
                <w:rFonts w:hint="default" w:ascii="Times New Roman" w:hAnsi="Times New Roman" w:eastAsia="宋体" w:cs="Times New Roman"/>
                <w:bCs/>
                <w:color w:val="auto"/>
                <w:sz w:val="24"/>
                <w:szCs w:val="24"/>
                <w:lang w:val="en-US" w:eastAsia="zh-CN"/>
              </w:rPr>
              <w:t>VOCs</w:t>
            </w:r>
            <w:r>
              <w:rPr>
                <w:rFonts w:hint="default" w:ascii="Times New Roman" w:hAnsi="Times New Roman" w:eastAsia="宋体" w:cs="Times New Roman"/>
                <w:bCs/>
                <w:color w:val="auto"/>
                <w:sz w:val="24"/>
                <w:szCs w:val="24"/>
              </w:rPr>
              <w:t>产生，不属于有毒有害大气污染物名录（2018年）中包含的大气污染物，与上述内容相符。</w:t>
            </w:r>
          </w:p>
          <w:p w14:paraId="7AFC41A8">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color w:val="auto"/>
                <w:sz w:val="24"/>
                <w:szCs w:val="24"/>
              </w:rPr>
              <w:t>《市生态环境局关于建设项目的审批指导意见》（试行）</w:t>
            </w:r>
            <w:r>
              <w:rPr>
                <w:rFonts w:hint="default" w:ascii="Times New Roman" w:hAnsi="Times New Roman" w:eastAsia="宋体" w:cs="Times New Roman"/>
                <w:b/>
                <w:color w:val="auto"/>
                <w:sz w:val="24"/>
                <w:szCs w:val="24"/>
              </w:rPr>
              <w:t>的相符性分析</w:t>
            </w:r>
          </w:p>
          <w:p w14:paraId="3EC4FF3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1、严格项目总量。实施建设项目大气污染物总量负增长原则，即重点区域内建设项目使用大气污染物总量，原则上在重点区域范围内实施总量平衡，且必须实行总量2倍减量替代。</w:t>
            </w:r>
          </w:p>
          <w:p w14:paraId="02AD118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2、强化环评审批。对重点区域内新上的大气污染物排放的建设项目及全市范围内新上高能耗项目，审批部门对其环评文本应实施质量评估。</w:t>
            </w:r>
          </w:p>
          <w:p w14:paraId="38B10AF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3、推进减污降碳。对重点区域内新上的涉及大气污染物排放的建设项目及全市范围内新上高能耗建设项目的严格审批，区级审批部门审批前需向市生态环境局报备，审批部门方可出具审批文件。</w:t>
            </w:r>
          </w:p>
          <w:p w14:paraId="269722B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70D5BB8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本项目距离最近的国控点（金坛城区大气国控站点）约</w:t>
            </w:r>
            <w:r>
              <w:rPr>
                <w:rFonts w:hint="eastAsia"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rPr>
              <w:t>km，不在重点区域内。</w:t>
            </w:r>
          </w:p>
          <w:p w14:paraId="63F7EB3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lang w:eastAsia="zh-CN"/>
              </w:rPr>
              <w:t>新建生产电磁阀及配件产品项目</w:t>
            </w:r>
            <w:r>
              <w:rPr>
                <w:rFonts w:hint="default" w:ascii="Times New Roman" w:hAnsi="Times New Roman" w:eastAsia="宋体" w:cs="Times New Roman"/>
                <w:color w:val="auto"/>
                <w:sz w:val="24"/>
                <w:szCs w:val="24"/>
              </w:rPr>
              <w:t>，行业类别为</w:t>
            </w:r>
            <w:r>
              <w:rPr>
                <w:rFonts w:hint="eastAsia" w:ascii="Times New Roman" w:hAnsi="Times New Roman" w:eastAsia="宋体" w:cs="Times New Roman"/>
                <w:color w:val="auto"/>
                <w:sz w:val="24"/>
                <w:lang w:eastAsia="zh-CN"/>
              </w:rPr>
              <w:t>C4011工业自动控制系统装置制造</w:t>
            </w:r>
            <w:r>
              <w:rPr>
                <w:rFonts w:hint="default" w:ascii="Times New Roman" w:hAnsi="Times New Roman" w:eastAsia="宋体" w:cs="Times New Roman"/>
                <w:color w:val="auto"/>
                <w:sz w:val="24"/>
                <w:szCs w:val="24"/>
              </w:rPr>
              <w:t>，对照《省生态环境厅关于报送高耗能、高排放项目清单的通知》项目报送范围，本项目不属于两高项目。</w:t>
            </w:r>
          </w:p>
          <w:p w14:paraId="180D4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val="en-US" w:eastAsia="zh-CN"/>
              </w:rPr>
              <w:t>、关于印发《江苏省“两高”项目管理目录（2024年版）》的通知（苏发改规发〔2024〕4号）相符性分析</w:t>
            </w:r>
          </w:p>
          <w:p w14:paraId="1BECA4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本项目行业类别为</w:t>
            </w: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val="en-US" w:eastAsia="zh-CN"/>
              </w:rPr>
              <w:t>4011工业自动控制系统装置制造</w:t>
            </w:r>
            <w:r>
              <w:rPr>
                <w:rFonts w:hint="default" w:ascii="Times New Roman" w:hAnsi="Times New Roman" w:eastAsia="宋体" w:cs="Times New Roman"/>
                <w:b w:val="0"/>
                <w:bCs/>
                <w:color w:val="auto"/>
                <w:sz w:val="24"/>
                <w:szCs w:val="24"/>
                <w:lang w:val="en-US" w:eastAsia="zh-CN"/>
              </w:rPr>
              <w:t>，主要</w:t>
            </w:r>
            <w:r>
              <w:rPr>
                <w:rFonts w:hint="eastAsia" w:ascii="Times New Roman" w:hAnsi="Times New Roman" w:eastAsia="宋体" w:cs="Times New Roman"/>
                <w:b w:val="0"/>
                <w:bCs/>
                <w:color w:val="auto"/>
                <w:sz w:val="24"/>
                <w:szCs w:val="24"/>
                <w:lang w:val="en-US" w:eastAsia="zh-CN"/>
              </w:rPr>
              <w:t>生产电磁阀配件</w:t>
            </w:r>
            <w:r>
              <w:rPr>
                <w:rFonts w:hint="default" w:ascii="Times New Roman" w:hAnsi="Times New Roman" w:eastAsia="宋体" w:cs="Times New Roman"/>
                <w:b w:val="0"/>
                <w:bCs/>
                <w:color w:val="auto"/>
                <w:sz w:val="24"/>
                <w:szCs w:val="24"/>
                <w:lang w:val="en-US" w:eastAsia="zh-CN"/>
              </w:rPr>
              <w:t>，经查《江苏省“两高”项目管理目录（2024年版）》，本项目不属于“两高”项目。</w:t>
            </w:r>
          </w:p>
          <w:p w14:paraId="6A1665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lang w:val="en-US" w:eastAsia="zh-CN"/>
              </w:rPr>
              <w:t>与《清洗剂挥发性有机化合物含量限值》（GB38508-2020）相符性分析</w:t>
            </w:r>
          </w:p>
          <w:p w14:paraId="0ECC42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val="0"/>
                <w:bCs/>
                <w:color w:val="auto"/>
                <w:sz w:val="24"/>
                <w:lang w:val="en-US" w:eastAsia="zh-CN"/>
              </w:rPr>
              <w:t>根据清洗剂MSDS，挥发分主要为二乙二醇丁醚，占比为2-6%（本次占比按6%计），清洗剂密度为1.05kg/m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，则</w:t>
            </w:r>
            <w:r>
              <w:rPr>
                <w:rFonts w:hint="default" w:ascii="Times New Roman" w:hAnsi="Times New Roman" w:eastAsia="宋体" w:cs="Times New Roman"/>
                <w:b w:val="0"/>
                <w:bCs/>
                <w:color w:val="auto"/>
                <w:sz w:val="24"/>
                <w:szCs w:val="24"/>
                <w:lang w:val="en-US" w:eastAsia="zh-CN"/>
              </w:rPr>
              <w:t>清</w:t>
            </w:r>
            <w:r>
              <w:rPr>
                <w:rFonts w:hint="default" w:ascii="Times New Roman" w:hAnsi="Times New Roman" w:eastAsia="宋体" w:cs="Times New Roman"/>
                <w:color w:val="auto"/>
                <w:sz w:val="24"/>
                <w:szCs w:val="24"/>
                <w:lang w:val="en-US" w:eastAsia="zh-CN"/>
              </w:rPr>
              <w:t>洗剂VOC含量限值为</w:t>
            </w:r>
            <w:r>
              <w:rPr>
                <w:rFonts w:hint="eastAsia" w:ascii="Times New Roman" w:hAnsi="Times New Roman" w:eastAsia="宋体" w:cs="Times New Roman"/>
                <w:color w:val="auto"/>
                <w:sz w:val="24"/>
                <w:szCs w:val="24"/>
                <w:lang w:val="en-US" w:eastAsia="zh-CN"/>
              </w:rPr>
              <w:t>63.16</w:t>
            </w:r>
            <w:r>
              <w:rPr>
                <w:rFonts w:hint="default" w:ascii="Times New Roman" w:hAnsi="Times New Roman" w:eastAsia="宋体" w:cs="Times New Roman"/>
                <w:color w:val="auto"/>
                <w:sz w:val="24"/>
                <w:szCs w:val="24"/>
                <w:lang w:val="en-US" w:eastAsia="zh-CN"/>
              </w:rPr>
              <w:t>g/L，符合《清洗剂挥发性有机化合物含量限值》（GB38508-2020）中表1</w:t>
            </w:r>
            <w:r>
              <w:rPr>
                <w:rFonts w:hint="eastAsia" w:ascii="Times New Roman" w:hAnsi="Times New Roman" w:eastAsia="宋体" w:cs="Times New Roman"/>
                <w:color w:val="auto"/>
                <w:sz w:val="24"/>
                <w:szCs w:val="24"/>
                <w:lang w:val="en-US" w:eastAsia="zh-CN"/>
              </w:rPr>
              <w:t>半水基</w:t>
            </w:r>
            <w:r>
              <w:rPr>
                <w:rFonts w:hint="default" w:ascii="Times New Roman" w:hAnsi="Times New Roman" w:eastAsia="宋体" w:cs="Times New Roman"/>
                <w:color w:val="auto"/>
                <w:sz w:val="24"/>
                <w:szCs w:val="24"/>
                <w:lang w:val="en-US" w:eastAsia="zh-CN"/>
              </w:rPr>
              <w:t>清洗剂</w:t>
            </w:r>
            <w:r>
              <w:rPr>
                <w:rFonts w:hint="default" w:ascii="Times New Roman" w:hAnsi="Times New Roman" w:eastAsia="宋体" w:cs="Times New Roman"/>
                <w:color w:val="auto"/>
                <w:kern w:val="0"/>
                <w:sz w:val="24"/>
                <w:szCs w:val="24"/>
              </w:rPr>
              <w:t>VOCs含量限量</w:t>
            </w:r>
            <w:r>
              <w:rPr>
                <w:rFonts w:hint="default" w:ascii="Times New Roman" w:hAnsi="Times New Roman" w:eastAsia="宋体" w:cs="Times New Roman"/>
                <w:color w:val="auto"/>
                <w:sz w:val="24"/>
                <w:szCs w:val="24"/>
                <w:lang w:val="en-US" w:eastAsia="zh-CN"/>
              </w:rPr>
              <w:t>标准（</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00g/L）</w:t>
            </w:r>
            <w:r>
              <w:rPr>
                <w:rFonts w:hint="default" w:ascii="Times New Roman" w:hAnsi="Times New Roman" w:eastAsia="宋体" w:cs="Times New Roman"/>
                <w:color w:val="auto"/>
                <w:kern w:val="0"/>
                <w:sz w:val="24"/>
                <w:szCs w:val="24"/>
              </w:rPr>
              <w:t>。</w:t>
            </w:r>
          </w:p>
          <w:p w14:paraId="113021E2">
            <w:pPr>
              <w:autoSpaceDE w:val="0"/>
              <w:autoSpaceDN w:val="0"/>
              <w:adjustRightInd w:val="0"/>
              <w:jc w:val="center"/>
              <w:rPr>
                <w:rFonts w:hint="default" w:ascii="Times New Roman" w:hAnsi="Times New Roman" w:eastAsia="宋体" w:cs="Times New Roman"/>
                <w:b/>
                <w:bCs/>
                <w:color w:val="auto"/>
                <w:sz w:val="24"/>
                <w:szCs w:val="24"/>
                <w:lang w:val="zh-CN"/>
              </w:rPr>
            </w:pPr>
          </w:p>
          <w:p w14:paraId="1F43C9DB">
            <w:pPr>
              <w:autoSpaceDE w:val="0"/>
              <w:autoSpaceDN w:val="0"/>
              <w:adjustRightInd w:val="0"/>
              <w:jc w:val="center"/>
              <w:rPr>
                <w:rFonts w:hint="default" w:ascii="Times New Roman" w:hAnsi="Times New Roman" w:eastAsia="宋体" w:cs="Times New Roman"/>
                <w:b/>
                <w:bCs/>
                <w:color w:val="auto"/>
                <w:sz w:val="24"/>
                <w:szCs w:val="24"/>
                <w:lang w:val="zh-CN"/>
              </w:rPr>
            </w:pPr>
          </w:p>
          <w:p w14:paraId="42877F3A">
            <w:pPr>
              <w:spacing w:line="360" w:lineRule="auto"/>
              <w:jc w:val="left"/>
              <w:rPr>
                <w:rFonts w:hint="default" w:ascii="Times New Roman" w:hAnsi="Times New Roman" w:eastAsia="宋体" w:cs="Times New Roman"/>
                <w:color w:val="auto"/>
                <w:sz w:val="24"/>
              </w:rPr>
            </w:pPr>
          </w:p>
        </w:tc>
      </w:tr>
    </w:tbl>
    <w:p w14:paraId="19BE2E46">
      <w:pPr>
        <w:rPr>
          <w:rFonts w:hint="default" w:ascii="Times New Roman" w:hAnsi="Times New Roman" w:eastAsia="宋体" w:cs="Times New Roman"/>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1CA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5C52087F">
            <w:pPr>
              <w:pStyle w:val="6"/>
              <w:rPr>
                <w:rFonts w:hint="default" w:ascii="Times New Roman" w:hAnsi="Times New Roman" w:cs="Times New Roman"/>
                <w:color w:val="auto"/>
                <w:vertAlign w:val="baseline"/>
              </w:rPr>
            </w:pPr>
          </w:p>
        </w:tc>
        <w:tc>
          <w:tcPr>
            <w:tcW w:w="12978" w:type="dxa"/>
          </w:tcPr>
          <w:p w14:paraId="31CB3E60">
            <w:pPr>
              <w:spacing w:line="360" w:lineRule="auto"/>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16</w:t>
            </w:r>
            <w:r>
              <w:rPr>
                <w:rFonts w:hint="default" w:ascii="Times New Roman" w:hAnsi="Times New Roman" w:eastAsia="宋体" w:cs="Times New Roman"/>
                <w:b/>
                <w:color w:val="auto"/>
                <w:kern w:val="0"/>
                <w:sz w:val="24"/>
                <w:szCs w:val="24"/>
              </w:rPr>
              <w:t>、与相关环保法律法规相符性分析</w:t>
            </w:r>
          </w:p>
          <w:p w14:paraId="432398EE">
            <w:pPr>
              <w:spacing w:line="360" w:lineRule="auto"/>
              <w:ind w:firstLine="48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kern w:val="0"/>
                <w:sz w:val="24"/>
                <w:szCs w:val="24"/>
              </w:rPr>
              <w:t>本项目与相关法律法规相符性分析见表1-</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w:t>
            </w:r>
          </w:p>
          <w:p w14:paraId="693661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w:t>
            </w: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项目与相关环保法律法规相符性分析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0"/>
              <w:gridCol w:w="2827"/>
              <w:gridCol w:w="886"/>
            </w:tblGrid>
            <w:tr w14:paraId="5EB76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C77FAD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02" w:type="pct"/>
                  <w:tcBorders>
                    <w:tl2br w:val="nil"/>
                    <w:tr2bl w:val="nil"/>
                  </w:tcBorders>
                  <w:vAlign w:val="center"/>
                </w:tcPr>
                <w:p w14:paraId="1E24114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文件名称</w:t>
                  </w:r>
                </w:p>
              </w:tc>
              <w:tc>
                <w:tcPr>
                  <w:tcW w:w="2534" w:type="pct"/>
                  <w:tcBorders>
                    <w:tl2br w:val="nil"/>
                    <w:tr2bl w:val="nil"/>
                  </w:tcBorders>
                  <w:vAlign w:val="center"/>
                </w:tcPr>
                <w:p w14:paraId="061F835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文件要求</w:t>
                  </w:r>
                </w:p>
              </w:tc>
              <w:tc>
                <w:tcPr>
                  <w:tcW w:w="1107" w:type="pct"/>
                  <w:tcBorders>
                    <w:tl2br w:val="nil"/>
                    <w:tr2bl w:val="nil"/>
                  </w:tcBorders>
                  <w:vAlign w:val="center"/>
                </w:tcPr>
                <w:p w14:paraId="4189E3A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c>
                <w:tcPr>
                  <w:tcW w:w="347" w:type="pct"/>
                  <w:tcBorders>
                    <w:tl2br w:val="nil"/>
                    <w:tr2bl w:val="nil"/>
                  </w:tcBorders>
                  <w:vAlign w:val="center"/>
                </w:tcPr>
                <w:p w14:paraId="266265C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是否符合</w:t>
                  </w:r>
                </w:p>
              </w:tc>
            </w:tr>
            <w:tr w14:paraId="3602A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6461DA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02" w:type="pct"/>
                  <w:tcBorders>
                    <w:tl2br w:val="nil"/>
                    <w:tr2bl w:val="nil"/>
                  </w:tcBorders>
                  <w:vAlign w:val="center"/>
                </w:tcPr>
                <w:p w14:paraId="1EF447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《中华人民共和国大气污染防治法》（2018年修正）</w:t>
                  </w:r>
                </w:p>
              </w:tc>
              <w:tc>
                <w:tcPr>
                  <w:tcW w:w="2534" w:type="pct"/>
                  <w:tcBorders>
                    <w:tl2br w:val="nil"/>
                    <w:tr2bl w:val="nil"/>
                  </w:tcBorders>
                  <w:vAlign w:val="center"/>
                </w:tcPr>
                <w:p w14:paraId="32D43D97">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32E8F49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第四十五条  产生含挥发性有机物废气的生产和服务活动，应当在密闭空间或者设备中进行，并按照规定安装、使用污染防治设施；无法密闭的，应当采取措施减少废气排放。</w:t>
                  </w:r>
                </w:p>
              </w:tc>
              <w:tc>
                <w:tcPr>
                  <w:tcW w:w="1107" w:type="pct"/>
                  <w:vMerge w:val="restart"/>
                  <w:tcBorders>
                    <w:tl2br w:val="nil"/>
                    <w:tr2bl w:val="nil"/>
                  </w:tcBorders>
                  <w:vAlign w:val="center"/>
                </w:tcPr>
                <w:p w14:paraId="5332C0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本项目从事</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的生产，项目</w:t>
                  </w:r>
                  <w:r>
                    <w:rPr>
                      <w:rFonts w:hint="eastAsia" w:ascii="Times New Roman" w:hAnsi="Times New Roman" w:eastAsia="宋体" w:cs="Times New Roman"/>
                      <w:color w:val="auto"/>
                      <w:sz w:val="21"/>
                      <w:szCs w:val="21"/>
                      <w:lang w:val="en-US" w:eastAsia="zh-CN"/>
                    </w:rPr>
                    <w:t>封装</w:t>
                  </w:r>
                  <w:r>
                    <w:rPr>
                      <w:rFonts w:hint="default" w:ascii="Times New Roman" w:hAnsi="Times New Roman" w:eastAsia="宋体" w:cs="Times New Roman"/>
                      <w:color w:val="auto"/>
                      <w:sz w:val="21"/>
                      <w:szCs w:val="21"/>
                      <w:lang w:val="en-US" w:eastAsia="zh-CN"/>
                    </w:rPr>
                    <w:t>废气</w:t>
                  </w:r>
                  <w:r>
                    <w:rPr>
                      <w:rFonts w:hint="default" w:ascii="Times New Roman" w:hAnsi="Times New Roman" w:eastAsia="宋体" w:cs="Times New Roman"/>
                      <w:color w:val="auto"/>
                      <w:sz w:val="21"/>
                      <w:szCs w:val="21"/>
                    </w:rPr>
                    <w:t>经集气罩收集，收集后的废气进入</w:t>
                  </w: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处理后通过</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m高的排气筒（DA001）排放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焊接</w:t>
                  </w:r>
                  <w:r>
                    <w:rPr>
                      <w:rFonts w:hint="default" w:ascii="Times New Roman" w:hAnsi="Times New Roman" w:eastAsia="宋体" w:cs="Times New Roman"/>
                      <w:color w:val="auto"/>
                      <w:sz w:val="21"/>
                      <w:szCs w:val="21"/>
                      <w:lang w:val="en-US" w:eastAsia="zh-CN"/>
                    </w:rPr>
                    <w:t>废气</w:t>
                  </w:r>
                  <w:r>
                    <w:rPr>
                      <w:rFonts w:hint="default" w:ascii="Times New Roman" w:hAnsi="Times New Roman" w:eastAsia="宋体" w:cs="Times New Roman"/>
                      <w:color w:val="auto"/>
                      <w:sz w:val="21"/>
                      <w:szCs w:val="21"/>
                    </w:rPr>
                    <w:t>经集气罩收集，收集后的废气进入</w:t>
                  </w: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布袋除尘器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处理后通过</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m高的排气筒（DA00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）排放。本项目产生的废气采取了有效的防治措施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对周围环境影响较小。</w:t>
                  </w:r>
                </w:p>
              </w:tc>
              <w:tc>
                <w:tcPr>
                  <w:tcW w:w="347" w:type="pct"/>
                  <w:vMerge w:val="restart"/>
                  <w:tcBorders>
                    <w:tl2br w:val="nil"/>
                    <w:tr2bl w:val="nil"/>
                  </w:tcBorders>
                  <w:vAlign w:val="center"/>
                </w:tcPr>
                <w:p w14:paraId="0189D9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C417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3AF6CB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02" w:type="pct"/>
                  <w:tcBorders>
                    <w:tl2br w:val="nil"/>
                    <w:tr2bl w:val="nil"/>
                  </w:tcBorders>
                  <w:vAlign w:val="center"/>
                </w:tcPr>
                <w:p w14:paraId="0A23CB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《江苏省大气污染防治条例》（2018年修正）</w:t>
                  </w:r>
                </w:p>
              </w:tc>
              <w:tc>
                <w:tcPr>
                  <w:tcW w:w="2534" w:type="pct"/>
                  <w:tcBorders>
                    <w:tl2br w:val="nil"/>
                    <w:tr2bl w:val="nil"/>
                  </w:tcBorders>
                  <w:vAlign w:val="center"/>
                </w:tcPr>
                <w:p w14:paraId="0DA9F20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第三十八条  在生产经营过程中产生有毒有害大气污染物的，排污单位应当安装收集净化装置或者采取其他措施，达到国家和省规定的排放标准或者其他相关要求。禁止直接排放有毒有害大气污染物。</w:t>
                  </w:r>
                </w:p>
                <w:p w14:paraId="5ACE34A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07" w:type="pct"/>
                  <w:vMerge w:val="continue"/>
                  <w:tcBorders>
                    <w:tl2br w:val="nil"/>
                    <w:tr2bl w:val="nil"/>
                  </w:tcBorders>
                  <w:vAlign w:val="center"/>
                </w:tcPr>
                <w:p w14:paraId="39D1BF6C">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611004CF">
                  <w:pPr>
                    <w:widowControl/>
                    <w:jc w:val="left"/>
                    <w:rPr>
                      <w:rFonts w:hint="default" w:ascii="Times New Roman" w:hAnsi="Times New Roman" w:eastAsia="宋体" w:cs="Times New Roman"/>
                      <w:color w:val="auto"/>
                      <w:sz w:val="21"/>
                      <w:szCs w:val="21"/>
                    </w:rPr>
                  </w:pPr>
                </w:p>
              </w:tc>
            </w:tr>
            <w:tr w14:paraId="7D6CA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330674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802" w:type="pct"/>
                  <w:tcBorders>
                    <w:tl2br w:val="nil"/>
                    <w:tr2bl w:val="nil"/>
                  </w:tcBorders>
                  <w:vAlign w:val="center"/>
                </w:tcPr>
                <w:p w14:paraId="3124D4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《江苏省挥发性有机物污染防治管理办法》（省政府令第119号）</w:t>
                  </w:r>
                </w:p>
              </w:tc>
              <w:tc>
                <w:tcPr>
                  <w:tcW w:w="2534" w:type="pct"/>
                  <w:tcBorders>
                    <w:tl2br w:val="nil"/>
                    <w:tr2bl w:val="nil"/>
                  </w:tcBorders>
                  <w:vAlign w:val="center"/>
                </w:tcPr>
                <w:p w14:paraId="1639F94A">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第二十一条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6DE7E13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无法在密闭空间进行的生产经营活动应当采取有效措施，减少挥发性有机物排放量。</w:t>
                  </w:r>
                </w:p>
              </w:tc>
              <w:tc>
                <w:tcPr>
                  <w:tcW w:w="1107" w:type="pct"/>
                  <w:vMerge w:val="continue"/>
                  <w:tcBorders>
                    <w:tl2br w:val="nil"/>
                    <w:tr2bl w:val="nil"/>
                  </w:tcBorders>
                  <w:vAlign w:val="center"/>
                </w:tcPr>
                <w:p w14:paraId="30C24A70">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3AB69F7A">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1DEF4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B4AA62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02" w:type="pct"/>
                  <w:tcBorders>
                    <w:tl2br w:val="nil"/>
                    <w:tr2bl w:val="nil"/>
                  </w:tcBorders>
                  <w:vAlign w:val="center"/>
                </w:tcPr>
                <w:p w14:paraId="416A8BCC">
                  <w:pPr>
                    <w:widowControl/>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《江苏省重点行业挥发性有机物污染控制指南》（苏环办[2014]128号）</w:t>
                  </w:r>
                </w:p>
              </w:tc>
              <w:tc>
                <w:tcPr>
                  <w:tcW w:w="2534" w:type="pct"/>
                  <w:tcBorders>
                    <w:tl2br w:val="nil"/>
                    <w:tr2bl w:val="nil"/>
                  </w:tcBorders>
                  <w:vAlign w:val="center"/>
                </w:tcPr>
                <w:p w14:paraId="1580AD2F">
                  <w:pPr>
                    <w:widowControl/>
                    <w:spacing w:line="24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07" w:type="pct"/>
                  <w:vMerge w:val="continue"/>
                  <w:tcBorders>
                    <w:tl2br w:val="nil"/>
                    <w:tr2bl w:val="nil"/>
                  </w:tcBorders>
                  <w:vAlign w:val="center"/>
                </w:tcPr>
                <w:p w14:paraId="5A83CD30">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69FAFF70">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174B6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BCCE21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802" w:type="pct"/>
                  <w:tcBorders>
                    <w:tl2br w:val="nil"/>
                    <w:tr2bl w:val="nil"/>
                  </w:tcBorders>
                  <w:vAlign w:val="center"/>
                </w:tcPr>
                <w:p w14:paraId="5B29DD04">
                  <w:pPr>
                    <w:widowControl/>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生态环境部《2020年挥发性有机物治理攻坚方案》(环大气[2020]33号)</w:t>
                  </w:r>
                </w:p>
              </w:tc>
              <w:tc>
                <w:tcPr>
                  <w:tcW w:w="2534" w:type="pct"/>
                  <w:tcBorders>
                    <w:tl2br w:val="nil"/>
                    <w:tr2bl w:val="nil"/>
                  </w:tcBorders>
                  <w:vAlign w:val="center"/>
                </w:tcPr>
                <w:p w14:paraId="30DADFE9">
                  <w:pPr>
                    <w:widowControl/>
                    <w:numPr>
                      <w:ilvl w:val="0"/>
                      <w:numId w:val="0"/>
                    </w:numPr>
                    <w:spacing w:line="24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三、聚焦治污设施“三率”，提升综合治理效率</w:t>
                  </w:r>
                </w:p>
                <w:p w14:paraId="1356F1D3">
                  <w:pPr>
                    <w:widowControl/>
                    <w:numPr>
                      <w:ilvl w:val="0"/>
                      <w:numId w:val="0"/>
                    </w:numPr>
                    <w:spacing w:line="240" w:lineRule="atLeast"/>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组织企业对现有VOCs废气收集率、治理设施同步运行率和去除率开展自查，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107" w:type="pct"/>
                  <w:vMerge w:val="continue"/>
                  <w:tcBorders>
                    <w:tl2br w:val="nil"/>
                    <w:tr2bl w:val="nil"/>
                  </w:tcBorders>
                  <w:vAlign w:val="center"/>
                </w:tcPr>
                <w:p w14:paraId="34955B2E">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52156C74">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3AE0F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61C8D4C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802" w:type="pct"/>
                  <w:tcBorders>
                    <w:tl2br w:val="nil"/>
                    <w:tr2bl w:val="nil"/>
                  </w:tcBorders>
                  <w:vAlign w:val="center"/>
                </w:tcPr>
                <w:p w14:paraId="77C9B7B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省大气办关于印发《江苏省挥发性有机物清洁原料替代工作方案》的通知（苏大气办[2021]2号）</w:t>
                  </w:r>
                </w:p>
              </w:tc>
              <w:tc>
                <w:tcPr>
                  <w:tcW w:w="2534" w:type="pct"/>
                  <w:tcBorders>
                    <w:tl2br w:val="nil"/>
                    <w:tr2bl w:val="nil"/>
                  </w:tcBorders>
                  <w:vAlign w:val="center"/>
                </w:tcPr>
                <w:p w14:paraId="537988CF">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明确替代要求。以工业涂装、包装印刷、木材加工、纺织等行业为重点，分阶段推进3130家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107" w:type="pct"/>
                  <w:vMerge w:val="restart"/>
                  <w:tcBorders>
                    <w:tl2br w:val="nil"/>
                    <w:tr2bl w:val="nil"/>
                  </w:tcBorders>
                  <w:vAlign w:val="center"/>
                </w:tcPr>
                <w:p w14:paraId="7545B761">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根据清洗剂MSDS，挥发分主要为二乙二醇丁醚，占比为2-6%（本次占比按6%计），清洗剂密度为1.05</w:t>
                  </w:r>
                  <w:r>
                    <w:rPr>
                      <w:rFonts w:hint="eastAsia" w:ascii="Times New Roman" w:hAnsi="Times New Roman" w:eastAsia="宋体" w:cs="Times New Roman"/>
                      <w:b w:val="0"/>
                      <w:bCs/>
                      <w:color w:val="auto"/>
                      <w:sz w:val="21"/>
                      <w:szCs w:val="21"/>
                      <w:lang w:val="en-US" w:eastAsia="zh-CN"/>
                    </w:rPr>
                    <w:t>kg/m</w:t>
                  </w:r>
                  <w:r>
                    <w:rPr>
                      <w:rFonts w:hint="eastAsia"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，则清洗剂VOC含量限值为63.16g/L，符合《清洗剂挥发性有机化合物含量限值》（GB38508-2020）中表1半水基清洗剂</w:t>
                  </w:r>
                  <w:r>
                    <w:rPr>
                      <w:rFonts w:hint="default" w:ascii="Times New Roman" w:hAnsi="Times New Roman" w:eastAsia="宋体" w:cs="Times New Roman"/>
                      <w:color w:val="auto"/>
                      <w:sz w:val="21"/>
                      <w:szCs w:val="21"/>
                      <w:lang w:eastAsia="zh-CN"/>
                    </w:rPr>
                    <w:t>VOCs含量限量</w:t>
                  </w:r>
                  <w:r>
                    <w:rPr>
                      <w:rFonts w:hint="default" w:ascii="Times New Roman" w:hAnsi="Times New Roman" w:eastAsia="宋体" w:cs="Times New Roman"/>
                      <w:color w:val="auto"/>
                      <w:sz w:val="21"/>
                      <w:szCs w:val="21"/>
                      <w:lang w:val="en-US" w:eastAsia="zh-CN"/>
                    </w:rPr>
                    <w:t>标准（300g/L）</w:t>
                  </w:r>
                  <w:r>
                    <w:rPr>
                      <w:rFonts w:hint="default" w:ascii="Times New Roman" w:hAnsi="Times New Roman" w:eastAsia="宋体" w:cs="Times New Roman"/>
                      <w:color w:val="auto"/>
                      <w:sz w:val="21"/>
                      <w:szCs w:val="21"/>
                      <w:lang w:eastAsia="zh-CN"/>
                    </w:rPr>
                    <w:t>。</w:t>
                  </w:r>
                </w:p>
              </w:tc>
              <w:tc>
                <w:tcPr>
                  <w:tcW w:w="347" w:type="pct"/>
                  <w:tcBorders>
                    <w:tl2br w:val="nil"/>
                    <w:tr2bl w:val="nil"/>
                  </w:tcBorders>
                  <w:vAlign w:val="center"/>
                </w:tcPr>
                <w:p w14:paraId="188B1EB0">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是</w:t>
                  </w:r>
                </w:p>
              </w:tc>
            </w:tr>
            <w:tr w14:paraId="48D1C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F9ACFD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02" w:type="pct"/>
                  <w:tcBorders>
                    <w:tl2br w:val="nil"/>
                    <w:tr2bl w:val="nil"/>
                  </w:tcBorders>
                  <w:vAlign w:val="center"/>
                </w:tcPr>
                <w:p w14:paraId="0CF2FF3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《关于印发常州市挥发性有机物清洁原料替代工作方案的通知》（常污防攻坚指办[2021]32号）</w:t>
                  </w:r>
                </w:p>
              </w:tc>
              <w:tc>
                <w:tcPr>
                  <w:tcW w:w="2534" w:type="pct"/>
                  <w:tcBorders>
                    <w:tl2br w:val="nil"/>
                    <w:tr2bl w:val="nil"/>
                  </w:tcBorders>
                  <w:vAlign w:val="center"/>
                </w:tcPr>
                <w:p w14:paraId="429EEED7">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二、重点任务</w:t>
                  </w:r>
                </w:p>
                <w:p w14:paraId="0DAAB1D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（一）明确替代要求。以工业涂装、包装印刷、木材加工、纺织等行业为重点……胶粘剂等产品应符合相关标准中VOCs含量的限值要求。</w:t>
                  </w:r>
                </w:p>
                <w:p w14:paraId="41B0A7A9">
                  <w:pPr>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（二）严格准入条件。禁止建设生产和使用高VOCs含量的涂料、油墨、胶粘剂等项目。</w:t>
                  </w:r>
                </w:p>
              </w:tc>
              <w:tc>
                <w:tcPr>
                  <w:tcW w:w="1107" w:type="pct"/>
                  <w:vMerge w:val="continue"/>
                  <w:tcBorders>
                    <w:tl2br w:val="nil"/>
                    <w:tr2bl w:val="nil"/>
                  </w:tcBorders>
                  <w:vAlign w:val="center"/>
                </w:tcPr>
                <w:p w14:paraId="4D0EA505">
                  <w:pPr>
                    <w:widowControl/>
                    <w:jc w:val="center"/>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1DB3754B">
                  <w:pPr>
                    <w:pStyle w:val="25"/>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25D58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AAB672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802" w:type="pct"/>
                  <w:tcBorders>
                    <w:tl2br w:val="nil"/>
                    <w:tr2bl w:val="nil"/>
                  </w:tcBorders>
                  <w:vAlign w:val="center"/>
                </w:tcPr>
                <w:p w14:paraId="1ED40F19">
                  <w:pPr>
                    <w:widowControl/>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《关于印发《重点行业挥发性有机物综合治理方案》的通知》（环大气[2019]53号）</w:t>
                  </w:r>
                </w:p>
              </w:tc>
              <w:tc>
                <w:tcPr>
                  <w:tcW w:w="2534" w:type="pct"/>
                  <w:tcBorders>
                    <w:tl2br w:val="nil"/>
                    <w:tr2bl w:val="nil"/>
                  </w:tcBorders>
                  <w:vAlign w:val="center"/>
                </w:tcPr>
                <w:p w14:paraId="49CB2920">
                  <w:pPr>
                    <w:widowControl/>
                    <w:numPr>
                      <w:ilvl w:val="0"/>
                      <w:numId w:val="6"/>
                    </w:numPr>
                    <w:spacing w:line="240" w:lineRule="atLeast"/>
                    <w:ind w:firstLine="210" w:firstLineChars="1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0AD14CCA">
                  <w:pPr>
                    <w:widowControl/>
                    <w:numPr>
                      <w:ilvl w:val="0"/>
                      <w:numId w:val="0"/>
                    </w:numPr>
                    <w:spacing w:line="240" w:lineRule="atLeast"/>
                    <w:ind w:left="0" w:lef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107" w:type="pct"/>
                  <w:vMerge w:val="continue"/>
                  <w:tcBorders>
                    <w:tl2br w:val="nil"/>
                    <w:tr2bl w:val="nil"/>
                  </w:tcBorders>
                  <w:vAlign w:val="center"/>
                </w:tcPr>
                <w:p w14:paraId="7EB1907F">
                  <w:pPr>
                    <w:widowControl/>
                    <w:jc w:val="center"/>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4C6E5404">
                  <w:pPr>
                    <w:pStyle w:val="25"/>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0CA9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6CDFD8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802" w:type="pct"/>
                  <w:tcBorders>
                    <w:tl2br w:val="nil"/>
                    <w:tr2bl w:val="nil"/>
                  </w:tcBorders>
                  <w:vAlign w:val="center"/>
                </w:tcPr>
                <w:p w14:paraId="5E3995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《省生态环境厅关于报送高耗能、高排放项目清单的通知》（苏环便函[2021]903号）</w:t>
                  </w:r>
                </w:p>
              </w:tc>
              <w:tc>
                <w:tcPr>
                  <w:tcW w:w="2534" w:type="pct"/>
                  <w:tcBorders>
                    <w:tl2br w:val="nil"/>
                    <w:tr2bl w:val="nil"/>
                  </w:tcBorders>
                  <w:vAlign w:val="center"/>
                </w:tcPr>
                <w:p w14:paraId="5C4D247A">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一、“两高”项目范围</w:t>
                  </w:r>
                </w:p>
                <w:p w14:paraId="01F889E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两高（高耗能、高排放）项目范围包括煤电、石化化工、钢铁、有色金属冶炼、建材、造纸、纺织印染行业，根据附件1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建材项目报送范围为：3011水泥制造、3012石灰和石膏制造、3031粘土砖瓦及建筑砌块制造、3041平板玻璃制造、3061玻璃纤维及制品制造、3071建筑陶瓷制品制造、3089耐火陶瓷制品及其他耐火材料制造。</w:t>
                  </w:r>
                </w:p>
              </w:tc>
              <w:tc>
                <w:tcPr>
                  <w:tcW w:w="1107" w:type="pct"/>
                  <w:vMerge w:val="restart"/>
                  <w:tcBorders>
                    <w:tl2br w:val="nil"/>
                    <w:tr2bl w:val="nil"/>
                  </w:tcBorders>
                  <w:vAlign w:val="center"/>
                </w:tcPr>
                <w:p w14:paraId="57BD0C90">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本项目从事</w:t>
                  </w:r>
                  <w:r>
                    <w:rPr>
                      <w:rFonts w:hint="eastAsia" w:ascii="Times New Roman" w:hAnsi="Times New Roman" w:eastAsia="宋体" w:cs="Times New Roman"/>
                      <w:color w:val="auto"/>
                      <w:sz w:val="21"/>
                      <w:szCs w:val="21"/>
                      <w:lang w:eastAsia="zh-CN"/>
                    </w:rPr>
                    <w:t>新建生产电磁阀及配件产品项目</w:t>
                  </w:r>
                  <w:r>
                    <w:rPr>
                      <w:rFonts w:hint="default" w:ascii="Times New Roman" w:hAnsi="Times New Roman" w:eastAsia="宋体" w:cs="Times New Roman"/>
                      <w:color w:val="auto"/>
                      <w:sz w:val="21"/>
                      <w:szCs w:val="21"/>
                    </w:rPr>
                    <w:t>的生产，行业类别为</w:t>
                  </w:r>
                  <w:r>
                    <w:rPr>
                      <w:rFonts w:hint="eastAsia" w:ascii="Times New Roman" w:hAnsi="Times New Roman" w:eastAsia="宋体" w:cs="Times New Roman"/>
                      <w:color w:val="auto"/>
                      <w:sz w:val="21"/>
                      <w:szCs w:val="21"/>
                      <w:lang w:eastAsia="zh-CN"/>
                    </w:rPr>
                    <w:t>C4011工业自动控制系统装置制造</w:t>
                  </w:r>
                  <w:r>
                    <w:rPr>
                      <w:rFonts w:hint="default" w:ascii="Times New Roman" w:hAnsi="Times New Roman" w:eastAsia="宋体" w:cs="Times New Roman"/>
                      <w:color w:val="auto"/>
                      <w:sz w:val="21"/>
                      <w:szCs w:val="21"/>
                    </w:rPr>
                    <w:t>，不在《环境保护综合名录(2021)年版》的“高污染、高环境风险”产品名录中，不属于两高行业。项目距离最近的国控站点金坛城区直线距离约</w:t>
                  </w:r>
                  <w:r>
                    <w:rPr>
                      <w:rFonts w:hint="eastAsia"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rPr>
                    <w:t>km，不属于重点区域。</w:t>
                  </w:r>
                </w:p>
              </w:tc>
              <w:tc>
                <w:tcPr>
                  <w:tcW w:w="347" w:type="pct"/>
                  <w:vMerge w:val="restart"/>
                  <w:tcBorders>
                    <w:tl2br w:val="nil"/>
                    <w:tr2bl w:val="nil"/>
                  </w:tcBorders>
                  <w:vAlign w:val="center"/>
                </w:tcPr>
                <w:p w14:paraId="4508AB14">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778E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BAD91A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802" w:type="pct"/>
                  <w:tcBorders>
                    <w:tl2br w:val="nil"/>
                    <w:tr2bl w:val="nil"/>
                  </w:tcBorders>
                  <w:vAlign w:val="center"/>
                </w:tcPr>
                <w:p w14:paraId="3B8DDC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《关于加强高耗能、高排放建设项目生态环境源头防控的指导意见》（环环评[2021]45号）</w:t>
                  </w:r>
                </w:p>
              </w:tc>
              <w:tc>
                <w:tcPr>
                  <w:tcW w:w="2534" w:type="pct"/>
                  <w:tcBorders>
                    <w:tl2br w:val="nil"/>
                    <w:tr2bl w:val="nil"/>
                  </w:tcBorders>
                  <w:vAlign w:val="center"/>
                </w:tcPr>
                <w:p w14:paraId="5FC76B6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二、严格“两高”项目环评审批</w:t>
                  </w:r>
                </w:p>
                <w:p w14:paraId="7983119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07" w:type="pct"/>
                  <w:vMerge w:val="continue"/>
                  <w:tcBorders>
                    <w:tl2br w:val="nil"/>
                    <w:tr2bl w:val="nil"/>
                  </w:tcBorders>
                  <w:vAlign w:val="center"/>
                </w:tcPr>
                <w:p w14:paraId="7F79F0A1">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7F77BF77">
                  <w:pPr>
                    <w:widowControl/>
                    <w:jc w:val="left"/>
                    <w:rPr>
                      <w:rFonts w:hint="default" w:ascii="Times New Roman" w:hAnsi="Times New Roman" w:eastAsia="宋体" w:cs="Times New Roman"/>
                      <w:color w:val="auto"/>
                      <w:sz w:val="21"/>
                      <w:szCs w:val="21"/>
                    </w:rPr>
                  </w:pPr>
                </w:p>
              </w:tc>
            </w:tr>
            <w:tr w14:paraId="1957A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CFD73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802" w:type="pct"/>
                  <w:tcBorders>
                    <w:tl2br w:val="nil"/>
                    <w:tr2bl w:val="nil"/>
                  </w:tcBorders>
                  <w:vAlign w:val="center"/>
                </w:tcPr>
                <w:p w14:paraId="1F1237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关于印发《环境保护综合名录（2021年版）的通知》</w:t>
                  </w:r>
                </w:p>
              </w:tc>
              <w:tc>
                <w:tcPr>
                  <w:tcW w:w="2534" w:type="pct"/>
                  <w:tcBorders>
                    <w:tl2br w:val="nil"/>
                    <w:tr2bl w:val="nil"/>
                  </w:tcBorders>
                  <w:vAlign w:val="center"/>
                </w:tcPr>
                <w:p w14:paraId="611CF8B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07" w:type="pct"/>
                  <w:vMerge w:val="continue"/>
                  <w:tcBorders>
                    <w:tl2br w:val="nil"/>
                    <w:tr2bl w:val="nil"/>
                  </w:tcBorders>
                  <w:vAlign w:val="center"/>
                </w:tcPr>
                <w:p w14:paraId="1D881FC7">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275C733B">
                  <w:pPr>
                    <w:widowControl/>
                    <w:jc w:val="left"/>
                    <w:rPr>
                      <w:rFonts w:hint="default" w:ascii="Times New Roman" w:hAnsi="Times New Roman" w:eastAsia="宋体" w:cs="Times New Roman"/>
                      <w:color w:val="auto"/>
                      <w:sz w:val="21"/>
                      <w:szCs w:val="21"/>
                    </w:rPr>
                  </w:pPr>
                </w:p>
              </w:tc>
            </w:tr>
            <w:tr w14:paraId="12D71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0698129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802" w:type="pct"/>
                  <w:tcBorders>
                    <w:tl2br w:val="nil"/>
                    <w:tr2bl w:val="nil"/>
                  </w:tcBorders>
                  <w:vAlign w:val="center"/>
                </w:tcPr>
                <w:p w14:paraId="7F096C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市生态环境局关于建设项目的审批指导意见（试行）</w:t>
                  </w:r>
                </w:p>
              </w:tc>
              <w:tc>
                <w:tcPr>
                  <w:tcW w:w="2534" w:type="pct"/>
                  <w:tcBorders>
                    <w:tl2br w:val="nil"/>
                    <w:tr2bl w:val="nil"/>
                  </w:tcBorders>
                  <w:vAlign w:val="center"/>
                </w:tcPr>
                <w:p w14:paraId="6DFAE0D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1107" w:type="pct"/>
                  <w:vMerge w:val="continue"/>
                  <w:tcBorders>
                    <w:tl2br w:val="nil"/>
                    <w:tr2bl w:val="nil"/>
                  </w:tcBorders>
                  <w:vAlign w:val="center"/>
                </w:tcPr>
                <w:p w14:paraId="6D0EED2E">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0342091F">
                  <w:pPr>
                    <w:widowControl/>
                    <w:jc w:val="left"/>
                    <w:rPr>
                      <w:rFonts w:hint="default" w:ascii="Times New Roman" w:hAnsi="Times New Roman" w:eastAsia="宋体" w:cs="Times New Roman"/>
                      <w:color w:val="auto"/>
                      <w:sz w:val="21"/>
                      <w:szCs w:val="21"/>
                    </w:rPr>
                  </w:pPr>
                </w:p>
              </w:tc>
            </w:tr>
          </w:tbl>
          <w:p w14:paraId="2B4CACE0">
            <w:pPr>
              <w:pStyle w:val="6"/>
              <w:rPr>
                <w:rFonts w:hint="default" w:ascii="Times New Roman" w:hAnsi="Times New Roman" w:cs="Times New Roman"/>
                <w:color w:val="auto"/>
                <w:vertAlign w:val="baseline"/>
              </w:rPr>
            </w:pPr>
          </w:p>
        </w:tc>
      </w:tr>
    </w:tbl>
    <w:p w14:paraId="5E4F77D3">
      <w:pPr>
        <w:pStyle w:val="6"/>
        <w:rPr>
          <w:rFonts w:hint="default" w:ascii="Times New Roman" w:hAnsi="Times New Roman" w:cs="Times New Roman"/>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078C499B">
      <w:pPr>
        <w:pStyle w:val="4"/>
        <w:rPr>
          <w:rFonts w:hint="default" w:ascii="Times New Roman" w:hAnsi="Times New Roman" w:cs="Times New Roman"/>
          <w:color w:val="auto"/>
        </w:rPr>
      </w:pPr>
      <w:r>
        <w:rPr>
          <w:rFonts w:hint="default" w:ascii="Times New Roman" w:hAnsi="Times New Roman" w:cs="Times New Roman"/>
          <w:color w:val="auto"/>
        </w:rPr>
        <w:t>二、建设项目工程分析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8586"/>
      </w:tblGrid>
      <w:tr w14:paraId="34F1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05C10799">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建设内容</w:t>
            </w:r>
          </w:p>
        </w:tc>
        <w:tc>
          <w:tcPr>
            <w:tcW w:w="4622" w:type="pct"/>
          </w:tcPr>
          <w:p w14:paraId="532C3774">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1、工程概况</w:t>
            </w:r>
          </w:p>
          <w:p w14:paraId="79A912B6">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司达磁电科技（常州）有限公司成立于2003年05月13日</w:t>
            </w:r>
            <w:r>
              <w:rPr>
                <w:rFonts w:hint="default" w:ascii="Times New Roman" w:hAnsi="Times New Roman" w:eastAsia="宋体" w:cs="Times New Roman"/>
                <w:color w:val="auto"/>
                <w:sz w:val="24"/>
              </w:rPr>
              <w:t>，本公司经营范围包括比例伺服电磁阀用电控端子箱、电子继电器内藏型端子箱及电磁线圈、电磁插式阀及电磁铁、液压阀阀心及套筒、耐压防爆电磁铁及阀、干湿式离合器电磁线圈、线性马达元件的研发、制造；低功率省电型电磁铁及阀，工作压力≥25Mpa的整体式液压多路阀，电液比例伺服元件制造；其他各式电磁铁、线圈、电磁管、端子箱、液压气动机械元件及其配件，液压气动自动控制机器的制造。（涉及国家特别管理措施的除外；依法须经批准的项目，经相关部门批准后方可开展经营活动） 一般项目：电工仪器仪表销售；塑料加工专用设备销售；金属切割及焊接设备销售；模具销售；机械设备销售；金属工具销售</w:t>
            </w:r>
            <w:r>
              <w:rPr>
                <w:rFonts w:hint="default" w:ascii="Times New Roman" w:hAnsi="Times New Roman" w:eastAsia="宋体" w:cs="Times New Roman"/>
                <w:color w:val="auto"/>
                <w:sz w:val="24"/>
                <w:lang w:val="en-US" w:eastAsia="zh-CN"/>
              </w:rPr>
              <w:t>。</w:t>
            </w:r>
          </w:p>
          <w:p w14:paraId="64A2CB2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企业租用现有厂房2569.19</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，购置自动绕线机、自动硅钢片卷铁芯机、自动卷铁芯冲孔机等设备，形成年产电磁线圈100万套、电磁铁芯100万套、端子箱20万套、电磁铁10万套及阀芯50万只的生产能力。</w:t>
            </w:r>
          </w:p>
          <w:p w14:paraId="05F149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该项目已于202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日取得江苏金坛经济开发区经济发展局的项目备案证明，备案证号：</w:t>
            </w:r>
            <w:r>
              <w:rPr>
                <w:rFonts w:hint="default" w:ascii="Times New Roman" w:hAnsi="Times New Roman" w:eastAsia="宋体" w:cs="Times New Roman"/>
                <w:color w:val="auto"/>
                <w:sz w:val="24"/>
                <w:lang w:eastAsia="zh-CN"/>
              </w:rPr>
              <w:t>坛开经发备字〔202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lang w:eastAsia="zh-CN"/>
              </w:rPr>
              <w:t>号</w:t>
            </w:r>
            <w:r>
              <w:rPr>
                <w:rFonts w:hint="default" w:ascii="Times New Roman" w:hAnsi="Times New Roman" w:eastAsia="宋体" w:cs="Times New Roman"/>
                <w:color w:val="auto"/>
                <w:sz w:val="24"/>
              </w:rPr>
              <w:t>，项目代码：2502-320458-89-01-818530。</w:t>
            </w:r>
          </w:p>
          <w:p w14:paraId="7D0542A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三十七、仪器仪表制造业40</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83</w:t>
            </w:r>
            <w:r>
              <w:rPr>
                <w:rFonts w:hint="default" w:ascii="Times New Roman" w:hAnsi="Times New Roman" w:eastAsia="宋体" w:cs="Times New Roman"/>
                <w:color w:val="auto"/>
                <w:sz w:val="24"/>
                <w:lang w:val="en-US" w:eastAsia="zh-CN"/>
              </w:rPr>
              <w:t>通用仪器仪表制造401</w:t>
            </w:r>
            <w:r>
              <w:rPr>
                <w:rFonts w:hint="default" w:ascii="Times New Roman" w:hAnsi="Times New Roman" w:eastAsia="宋体" w:cs="Times New Roman"/>
                <w:color w:val="auto"/>
                <w:sz w:val="24"/>
              </w:rPr>
              <w:t>-其他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仅分割、焊接、组装的除外;年用非溶剂型低V0Cs含量涂料10吨以下的除外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，应编制环境影响评价报告表。</w:t>
            </w:r>
            <w:r>
              <w:rPr>
                <w:rFonts w:hint="eastAsia" w:ascii="Times New Roman" w:hAnsi="Times New Roman" w:eastAsia="宋体" w:cs="Times New Roman"/>
                <w:color w:val="auto"/>
                <w:sz w:val="24"/>
                <w:lang w:eastAsia="zh-CN"/>
              </w:rPr>
              <w:t>司达磁电科技（常州）有限公司</w:t>
            </w:r>
            <w:r>
              <w:rPr>
                <w:rFonts w:hint="default" w:ascii="Times New Roman" w:hAnsi="Times New Roman" w:eastAsia="宋体" w:cs="Times New Roman"/>
                <w:color w:val="auto"/>
                <w:sz w:val="24"/>
              </w:rPr>
              <w:t>委托</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编制建设项目环境影响报告表，</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接受委托后即组织进行现场勘查、相关资料收集及其他相关工作，最终完成了该项目环境影响评价报告表的编制。</w:t>
            </w:r>
          </w:p>
          <w:p w14:paraId="4E19E734">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2、建设内容和规模</w:t>
            </w:r>
          </w:p>
          <w:p w14:paraId="570E386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eastAsia" w:ascii="Times New Roman" w:hAnsi="Times New Roman" w:eastAsia="宋体" w:cs="Times New Roman"/>
                <w:color w:val="auto"/>
                <w:sz w:val="24"/>
                <w:lang w:eastAsia="zh-CN"/>
              </w:rPr>
              <w:t>新建生产电磁阀及配件产品项目</w:t>
            </w:r>
            <w:r>
              <w:rPr>
                <w:rFonts w:hint="default" w:ascii="Times New Roman" w:hAnsi="Times New Roman" w:eastAsia="宋体" w:cs="Times New Roman"/>
                <w:color w:val="auto"/>
                <w:sz w:val="24"/>
              </w:rPr>
              <w:t>；</w:t>
            </w:r>
          </w:p>
          <w:p w14:paraId="2B15D2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eastAsia" w:ascii="Times New Roman" w:hAnsi="Times New Roman" w:eastAsia="宋体" w:cs="Times New Roman"/>
                <w:color w:val="auto"/>
                <w:sz w:val="24"/>
                <w:lang w:eastAsia="zh-CN"/>
              </w:rPr>
              <w:t>司达磁电科技（常州）有限公司</w:t>
            </w:r>
            <w:r>
              <w:rPr>
                <w:rFonts w:hint="default" w:ascii="Times New Roman" w:hAnsi="Times New Roman" w:eastAsia="宋体" w:cs="Times New Roman"/>
                <w:color w:val="auto"/>
                <w:sz w:val="24"/>
              </w:rPr>
              <w:t>；</w:t>
            </w:r>
          </w:p>
          <w:p w14:paraId="409C222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r>
              <w:rPr>
                <w:rFonts w:hint="default"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rPr>
              <w:t>；</w:t>
            </w:r>
          </w:p>
          <w:p w14:paraId="730E335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建设性质：新建；</w:t>
            </w:r>
          </w:p>
          <w:p w14:paraId="74FAAA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建筑面积：2569.19m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14:paraId="53F0DBC4">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建设内容和规模：</w:t>
            </w:r>
            <w:r>
              <w:rPr>
                <w:rFonts w:hint="eastAsia" w:ascii="Times New Roman" w:hAnsi="Times New Roman" w:eastAsia="宋体" w:cs="Times New Roman"/>
                <w:color w:val="auto"/>
                <w:sz w:val="24"/>
                <w:lang w:eastAsia="zh-CN"/>
              </w:rPr>
              <w:t>司达磁电科技（常州）有限公司</w:t>
            </w:r>
            <w:r>
              <w:rPr>
                <w:rFonts w:hint="default" w:ascii="Times New Roman" w:hAnsi="Times New Roman" w:eastAsia="宋体" w:cs="Times New Roman"/>
                <w:color w:val="auto"/>
                <w:sz w:val="24"/>
              </w:rPr>
              <w:t>拟投资</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00万元，</w:t>
            </w:r>
            <w:r>
              <w:rPr>
                <w:rFonts w:hint="default" w:ascii="Times New Roman" w:hAnsi="Times New Roman" w:eastAsia="宋体" w:cs="Times New Roman"/>
                <w:color w:val="auto"/>
                <w:sz w:val="24"/>
                <w:lang w:val="en-US" w:eastAsia="zh-CN"/>
              </w:rPr>
              <w:t>租赁现有空置厂房，建筑面积为2569.19m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购置自动绕线机、自动硅钢片卷铁芯机、自动卷铁芯冲孔机等设备，形成年产电磁线圈100万套、电磁铁芯100万套、端子箱20万套、电磁铁10万套及阀芯50万只的生产能力</w:t>
            </w:r>
            <w:r>
              <w:rPr>
                <w:rFonts w:hint="eastAsia" w:ascii="Times New Roman" w:hAnsi="Times New Roman" w:eastAsia="宋体" w:cs="Times New Roman"/>
                <w:color w:val="auto"/>
                <w:sz w:val="24"/>
                <w:lang w:eastAsia="zh-CN"/>
              </w:rPr>
              <w:t>；</w:t>
            </w:r>
          </w:p>
          <w:p w14:paraId="7C6417A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投资情况：</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00万元，其中环保投资1</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0万元，占总投资的</w:t>
            </w:r>
            <w:r>
              <w:rPr>
                <w:rFonts w:hint="eastAsia" w:ascii="Times New Roman" w:hAnsi="Times New Roman" w:eastAsia="宋体" w:cs="Times New Roman"/>
                <w:color w:val="auto"/>
                <w:sz w:val="24"/>
                <w:lang w:val="en-US" w:eastAsia="zh-CN"/>
              </w:rPr>
              <w:t>3.85</w:t>
            </w:r>
            <w:r>
              <w:rPr>
                <w:rFonts w:hint="default" w:ascii="Times New Roman" w:hAnsi="Times New Roman" w:eastAsia="宋体" w:cs="Times New Roman"/>
                <w:color w:val="auto"/>
                <w:sz w:val="24"/>
              </w:rPr>
              <w:t>%；</w:t>
            </w:r>
          </w:p>
          <w:p w14:paraId="33DA35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劳动定员及工作制度：</w:t>
            </w:r>
            <w:r>
              <w:rPr>
                <w:rFonts w:hint="default" w:ascii="Times New Roman" w:hAnsi="Times New Roman" w:eastAsia="宋体" w:cs="Times New Roman"/>
                <w:bCs/>
                <w:color w:val="auto"/>
                <w:sz w:val="24"/>
                <w:szCs w:val="24"/>
              </w:rPr>
              <w:t>初步劳动定员为</w:t>
            </w:r>
            <w:r>
              <w:rPr>
                <w:rFonts w:hint="eastAsia"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rPr>
              <w:t>0人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rPr>
              <w:t>年工作300天，每天工作</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班，每班工作8小时，年工作时间为</w:t>
            </w:r>
            <w:r>
              <w:rPr>
                <w:rFonts w:hint="eastAsia"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rPr>
              <w:t>00小时</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其中焊接工作时间2400h/a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1FD72F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其他：本项目不设置食堂、宿舍等其他生活设施。</w:t>
            </w:r>
          </w:p>
          <w:p w14:paraId="7445B5D2">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、产品及产能</w:t>
            </w:r>
          </w:p>
          <w:p w14:paraId="43C9F14C">
            <w:pPr>
              <w:pStyle w:val="54"/>
              <w:spacing w:line="360" w:lineRule="auto"/>
              <w:ind w:firstLine="484"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color w:val="auto"/>
                <w:spacing w:val="1"/>
                <w:sz w:val="24"/>
              </w:rPr>
              <w:t>本项目</w:t>
            </w:r>
            <w:r>
              <w:rPr>
                <w:rFonts w:hint="default" w:ascii="Times New Roman" w:hAnsi="Times New Roman" w:eastAsia="宋体" w:cs="Times New Roman"/>
                <w:color w:val="auto"/>
                <w:spacing w:val="-2"/>
                <w:sz w:val="24"/>
              </w:rPr>
              <w:t>产品方案详见表2-1。</w:t>
            </w:r>
          </w:p>
          <w:p w14:paraId="7DAD56C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表2-2  建设项目产品方案</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1"/>
              <w:gridCol w:w="911"/>
              <w:gridCol w:w="1717"/>
              <w:gridCol w:w="3100"/>
              <w:gridCol w:w="1094"/>
              <w:gridCol w:w="1104"/>
            </w:tblGrid>
            <w:tr w14:paraId="45F953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2F9577A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44" w:type="pct"/>
                  <w:vAlign w:val="center"/>
                </w:tcPr>
                <w:p w14:paraId="4A62BBA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1025" w:type="pct"/>
                  <w:vAlign w:val="center"/>
                </w:tcPr>
                <w:p w14:paraId="45CA1612">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产品参数</w:t>
                  </w:r>
                </w:p>
              </w:tc>
              <w:tc>
                <w:tcPr>
                  <w:tcW w:w="1851" w:type="pct"/>
                  <w:vAlign w:val="center"/>
                </w:tcPr>
                <w:p w14:paraId="203E0E58">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产品照片</w:t>
                  </w:r>
                </w:p>
              </w:tc>
              <w:tc>
                <w:tcPr>
                  <w:tcW w:w="653" w:type="pct"/>
                  <w:vAlign w:val="center"/>
                </w:tcPr>
                <w:p w14:paraId="20B2AB95">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设计能力</w:t>
                  </w:r>
                </w:p>
              </w:tc>
              <w:tc>
                <w:tcPr>
                  <w:tcW w:w="659" w:type="pct"/>
                  <w:vAlign w:val="center"/>
                </w:tcPr>
                <w:p w14:paraId="3227852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年运行时数</w:t>
                  </w:r>
                </w:p>
              </w:tc>
            </w:tr>
            <w:tr w14:paraId="71D993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27DE22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4" w:type="pct"/>
                  <w:vAlign w:val="center"/>
                </w:tcPr>
                <w:p w14:paraId="3383DF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电磁线圈</w:t>
                  </w:r>
                </w:p>
              </w:tc>
              <w:tc>
                <w:tcPr>
                  <w:tcW w:w="1025" w:type="pct"/>
                  <w:shd w:val="clear" w:color="auto" w:fill="auto"/>
                  <w:vAlign w:val="center"/>
                </w:tcPr>
                <w:p w14:paraId="4C2172B7">
                  <w:pPr>
                    <w:pStyle w:val="7"/>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电压：DC12-220</w:t>
                  </w:r>
                </w:p>
                <w:p w14:paraId="43D14B97">
                  <w:pPr>
                    <w:pStyle w:val="7"/>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 xml:space="preserve">     AC24-380</w:t>
                  </w:r>
                </w:p>
              </w:tc>
              <w:tc>
                <w:tcPr>
                  <w:tcW w:w="1851" w:type="pct"/>
                  <w:vAlign w:val="center"/>
                </w:tcPr>
                <w:p w14:paraId="4D486646">
                  <w:pPr>
                    <w:jc w:val="center"/>
                    <w:rPr>
                      <w:rFonts w:hint="default" w:ascii="Times New Roman" w:hAnsi="Times New Roman" w:eastAsia="宋体" w:cs="Times New Roman"/>
                      <w:color w:val="auto"/>
                      <w:sz w:val="21"/>
                      <w:szCs w:val="21"/>
                      <w:lang w:val="en-US" w:eastAsia="zh-CN"/>
                    </w:rPr>
                  </w:pPr>
                  <w:r>
                    <w:rPr>
                      <w:color w:val="auto"/>
                      <w:sz w:val="21"/>
                      <w:szCs w:val="21"/>
                    </w:rPr>
                    <w:drawing>
                      <wp:inline distT="0" distB="0" distL="114300" distR="114300">
                        <wp:extent cx="1428750" cy="13411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rcRect l="8126" r="14073"/>
                                <a:stretch>
                                  <a:fillRect/>
                                </a:stretch>
                              </pic:blipFill>
                              <pic:spPr>
                                <a:xfrm>
                                  <a:off x="0" y="0"/>
                                  <a:ext cx="1428750" cy="1341120"/>
                                </a:xfrm>
                                <a:prstGeom prst="rect">
                                  <a:avLst/>
                                </a:prstGeom>
                                <a:noFill/>
                                <a:ln>
                                  <a:noFill/>
                                </a:ln>
                              </pic:spPr>
                            </pic:pic>
                          </a:graphicData>
                        </a:graphic>
                      </wp:inline>
                    </w:drawing>
                  </w:r>
                </w:p>
              </w:tc>
              <w:tc>
                <w:tcPr>
                  <w:tcW w:w="653" w:type="pct"/>
                  <w:vAlign w:val="center"/>
                </w:tcPr>
                <w:p w14:paraId="55B753BC">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w:t>
                  </w:r>
                  <w:r>
                    <w:rPr>
                      <w:rFonts w:hint="default" w:ascii="Times New Roman" w:hAnsi="Times New Roman" w:eastAsia="宋体" w:cs="Times New Roman"/>
                      <w:b w:val="0"/>
                      <w:bCs w:val="0"/>
                      <w:color w:val="auto"/>
                      <w:sz w:val="21"/>
                      <w:szCs w:val="21"/>
                      <w:lang w:val="en-US" w:eastAsia="zh-CN"/>
                    </w:rPr>
                    <w:t>万</w:t>
                  </w:r>
                  <w:r>
                    <w:rPr>
                      <w:rFonts w:hint="eastAsia" w:ascii="Times New Roman" w:hAnsi="Times New Roman" w:eastAsia="宋体" w:cs="Times New Roman"/>
                      <w:b w:val="0"/>
                      <w:bCs w:val="0"/>
                      <w:color w:val="auto"/>
                      <w:sz w:val="21"/>
                      <w:szCs w:val="21"/>
                      <w:lang w:val="en-US" w:eastAsia="zh-CN"/>
                    </w:rPr>
                    <w:t>套</w:t>
                  </w:r>
                </w:p>
              </w:tc>
              <w:tc>
                <w:tcPr>
                  <w:tcW w:w="659" w:type="pct"/>
                  <w:vMerge w:val="restart"/>
                  <w:vAlign w:val="center"/>
                </w:tcPr>
                <w:p w14:paraId="5357D012">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72</w:t>
                  </w:r>
                  <w:r>
                    <w:rPr>
                      <w:rFonts w:hint="default" w:ascii="Times New Roman" w:hAnsi="Times New Roman" w:eastAsia="宋体" w:cs="Times New Roman"/>
                      <w:color w:val="auto"/>
                      <w:sz w:val="21"/>
                      <w:szCs w:val="21"/>
                    </w:rPr>
                    <w:t>00h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其中焊接工作时间</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00h/a</w:t>
                  </w:r>
                  <w:r>
                    <w:rPr>
                      <w:rFonts w:hint="default" w:ascii="Times New Roman" w:hAnsi="Times New Roman" w:eastAsia="宋体" w:cs="Times New Roman"/>
                      <w:color w:val="auto"/>
                      <w:sz w:val="21"/>
                      <w:szCs w:val="21"/>
                      <w:lang w:eastAsia="zh-CN"/>
                    </w:rPr>
                    <w:t>）</w:t>
                  </w:r>
                </w:p>
              </w:tc>
            </w:tr>
            <w:tr w14:paraId="639D90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5113131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44" w:type="pct"/>
                  <w:vAlign w:val="center"/>
                </w:tcPr>
                <w:p w14:paraId="4E0DD6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电磁铁芯</w:t>
                  </w:r>
                </w:p>
              </w:tc>
              <w:tc>
                <w:tcPr>
                  <w:tcW w:w="1025" w:type="pct"/>
                  <w:shd w:val="clear" w:color="auto" w:fill="auto"/>
                  <w:vAlign w:val="center"/>
                </w:tcPr>
                <w:p w14:paraId="2FB0C5AB">
                  <w:pPr>
                    <w:pStyle w:val="7"/>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动压</w:t>
                  </w:r>
                  <w:r>
                    <w:rPr>
                      <w:rFonts w:hint="eastAsia" w:ascii="Times New Roman" w:hAnsi="Times New Roman" w:eastAsia="宋体" w:cs="Times New Roman"/>
                      <w:color w:val="auto"/>
                      <w:sz w:val="21"/>
                      <w:szCs w:val="21"/>
                      <w:lang w:eastAsia="zh-CN"/>
                    </w:rPr>
                    <w:t>：</w:t>
                  </w:r>
                </w:p>
                <w:p w14:paraId="75AE34C1">
                  <w:pPr>
                    <w:pStyle w:val="7"/>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250kgf/cm²</w:t>
                  </w:r>
                </w:p>
                <w:p w14:paraId="7A88C2A5">
                  <w:pPr>
                    <w:pStyle w:val="7"/>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1000万次</w:t>
                  </w:r>
                </w:p>
              </w:tc>
              <w:tc>
                <w:tcPr>
                  <w:tcW w:w="1851" w:type="pct"/>
                  <w:vAlign w:val="center"/>
                </w:tcPr>
                <w:p w14:paraId="10131AF5">
                  <w:pPr>
                    <w:jc w:val="center"/>
                    <w:rPr>
                      <w:rFonts w:hint="default" w:ascii="Times New Roman" w:hAnsi="Times New Roman" w:eastAsia="宋体" w:cs="Times New Roman"/>
                      <w:color w:val="auto"/>
                      <w:sz w:val="21"/>
                      <w:szCs w:val="21"/>
                      <w:lang w:val="en-US" w:eastAsia="zh-CN"/>
                    </w:rPr>
                  </w:pPr>
                  <w:r>
                    <w:rPr>
                      <w:color w:val="auto"/>
                      <w:sz w:val="21"/>
                      <w:szCs w:val="21"/>
                    </w:rPr>
                    <w:drawing>
                      <wp:inline distT="0" distB="0" distL="114300" distR="114300">
                        <wp:extent cx="1350010" cy="90360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rcRect l="12516" t="14347" r="18547" b="18277"/>
                                <a:stretch>
                                  <a:fillRect/>
                                </a:stretch>
                              </pic:blipFill>
                              <pic:spPr>
                                <a:xfrm>
                                  <a:off x="0" y="0"/>
                                  <a:ext cx="1350010" cy="903605"/>
                                </a:xfrm>
                                <a:prstGeom prst="rect">
                                  <a:avLst/>
                                </a:prstGeom>
                                <a:noFill/>
                                <a:ln>
                                  <a:noFill/>
                                </a:ln>
                              </pic:spPr>
                            </pic:pic>
                          </a:graphicData>
                        </a:graphic>
                      </wp:inline>
                    </w:drawing>
                  </w:r>
                </w:p>
              </w:tc>
              <w:tc>
                <w:tcPr>
                  <w:tcW w:w="653" w:type="pct"/>
                  <w:vAlign w:val="center"/>
                </w:tcPr>
                <w:p w14:paraId="56EFFD38">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w:t>
                  </w:r>
                  <w:r>
                    <w:rPr>
                      <w:rFonts w:hint="default" w:ascii="Times New Roman" w:hAnsi="Times New Roman" w:eastAsia="宋体" w:cs="Times New Roman"/>
                      <w:b w:val="0"/>
                      <w:bCs w:val="0"/>
                      <w:color w:val="auto"/>
                      <w:sz w:val="21"/>
                      <w:szCs w:val="21"/>
                      <w:lang w:val="en-US" w:eastAsia="zh-CN"/>
                    </w:rPr>
                    <w:t>万</w:t>
                  </w:r>
                  <w:r>
                    <w:rPr>
                      <w:rFonts w:hint="eastAsia" w:ascii="Times New Roman" w:hAnsi="Times New Roman" w:eastAsia="宋体" w:cs="Times New Roman"/>
                      <w:b w:val="0"/>
                      <w:bCs w:val="0"/>
                      <w:color w:val="auto"/>
                      <w:sz w:val="21"/>
                      <w:szCs w:val="21"/>
                      <w:lang w:val="en-US" w:eastAsia="zh-CN"/>
                    </w:rPr>
                    <w:t>套</w:t>
                  </w:r>
                </w:p>
              </w:tc>
              <w:tc>
                <w:tcPr>
                  <w:tcW w:w="659" w:type="pct"/>
                  <w:vMerge w:val="continue"/>
                  <w:vAlign w:val="center"/>
                </w:tcPr>
                <w:p w14:paraId="5AA17C12">
                  <w:pPr>
                    <w:jc w:val="center"/>
                    <w:rPr>
                      <w:rFonts w:hint="default" w:ascii="Times New Roman" w:hAnsi="Times New Roman" w:eastAsia="宋体" w:cs="Times New Roman"/>
                      <w:color w:val="auto"/>
                      <w:sz w:val="21"/>
                      <w:szCs w:val="21"/>
                    </w:rPr>
                  </w:pPr>
                </w:p>
              </w:tc>
            </w:tr>
            <w:tr w14:paraId="7CDA78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727DC86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4" w:type="pct"/>
                  <w:vAlign w:val="center"/>
                </w:tcPr>
                <w:p w14:paraId="4511A0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端子箱</w:t>
                  </w:r>
                </w:p>
              </w:tc>
              <w:tc>
                <w:tcPr>
                  <w:tcW w:w="1025" w:type="pct"/>
                  <w:shd w:val="clear" w:color="auto" w:fill="auto"/>
                  <w:vAlign w:val="center"/>
                </w:tcPr>
                <w:p w14:paraId="22219684">
                  <w:pPr>
                    <w:pStyle w:val="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电压：DC12-220</w:t>
                  </w:r>
                </w:p>
                <w:p w14:paraId="0206B519">
                  <w:pPr>
                    <w:pStyle w:val="7"/>
                    <w:ind w:left="0" w:leftChars="0"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 xml:space="preserve">     AC24-380</w:t>
                  </w:r>
                </w:p>
              </w:tc>
              <w:tc>
                <w:tcPr>
                  <w:tcW w:w="1851" w:type="pct"/>
                  <w:vAlign w:val="center"/>
                </w:tcPr>
                <w:p w14:paraId="7595C9EC">
                  <w:pPr>
                    <w:jc w:val="center"/>
                    <w:rPr>
                      <w:rFonts w:hint="default" w:ascii="Times New Roman" w:hAnsi="Times New Roman" w:eastAsia="宋体" w:cs="Times New Roman"/>
                      <w:color w:val="auto"/>
                      <w:sz w:val="21"/>
                      <w:szCs w:val="21"/>
                      <w:lang w:val="en-US" w:eastAsia="zh-CN"/>
                    </w:rPr>
                  </w:pPr>
                  <w:r>
                    <w:rPr>
                      <w:color w:val="auto"/>
                      <w:sz w:val="21"/>
                      <w:szCs w:val="21"/>
                    </w:rPr>
                    <w:drawing>
                      <wp:inline distT="0" distB="0" distL="114300" distR="114300">
                        <wp:extent cx="1793875" cy="107632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rcRect l="2799" t="7907" r="9359" b="11837"/>
                                <a:stretch>
                                  <a:fillRect/>
                                </a:stretch>
                              </pic:blipFill>
                              <pic:spPr>
                                <a:xfrm>
                                  <a:off x="0" y="0"/>
                                  <a:ext cx="1793875" cy="1076325"/>
                                </a:xfrm>
                                <a:prstGeom prst="rect">
                                  <a:avLst/>
                                </a:prstGeom>
                                <a:noFill/>
                                <a:ln>
                                  <a:noFill/>
                                </a:ln>
                              </pic:spPr>
                            </pic:pic>
                          </a:graphicData>
                        </a:graphic>
                      </wp:inline>
                    </w:drawing>
                  </w:r>
                </w:p>
              </w:tc>
              <w:tc>
                <w:tcPr>
                  <w:tcW w:w="653" w:type="pct"/>
                  <w:vAlign w:val="center"/>
                </w:tcPr>
                <w:p w14:paraId="272EC0DC">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eastAsia="zh-CN"/>
                    </w:rPr>
                    <w:t>万</w:t>
                  </w:r>
                  <w:r>
                    <w:rPr>
                      <w:rFonts w:hint="eastAsia" w:ascii="Times New Roman" w:hAnsi="Times New Roman" w:eastAsia="宋体" w:cs="Times New Roman"/>
                      <w:b w:val="0"/>
                      <w:bCs w:val="0"/>
                      <w:color w:val="auto"/>
                      <w:sz w:val="21"/>
                      <w:szCs w:val="21"/>
                      <w:lang w:val="en-US" w:eastAsia="zh-CN"/>
                    </w:rPr>
                    <w:t>套</w:t>
                  </w:r>
                </w:p>
              </w:tc>
              <w:tc>
                <w:tcPr>
                  <w:tcW w:w="659" w:type="pct"/>
                  <w:vMerge w:val="continue"/>
                  <w:vAlign w:val="center"/>
                </w:tcPr>
                <w:p w14:paraId="50AC0958">
                  <w:pPr>
                    <w:jc w:val="center"/>
                    <w:rPr>
                      <w:rFonts w:hint="default" w:ascii="Times New Roman" w:hAnsi="Times New Roman" w:eastAsia="宋体" w:cs="Times New Roman"/>
                      <w:color w:val="auto"/>
                      <w:sz w:val="21"/>
                      <w:szCs w:val="21"/>
                    </w:rPr>
                  </w:pPr>
                </w:p>
              </w:tc>
            </w:tr>
            <w:tr w14:paraId="2F5F9F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6BF606A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44" w:type="pct"/>
                  <w:vAlign w:val="center"/>
                </w:tcPr>
                <w:p w14:paraId="0F29B3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电磁铁</w:t>
                  </w:r>
                </w:p>
              </w:tc>
              <w:tc>
                <w:tcPr>
                  <w:tcW w:w="1025" w:type="pct"/>
                  <w:shd w:val="clear" w:color="auto" w:fill="auto"/>
                  <w:vAlign w:val="center"/>
                </w:tcPr>
                <w:p w14:paraId="49DEC544">
                  <w:pPr>
                    <w:pStyle w:val="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电压：DC12-220</w:t>
                  </w:r>
                </w:p>
                <w:p w14:paraId="4C5A5F26">
                  <w:pPr>
                    <w:pStyle w:val="7"/>
                    <w:ind w:left="0" w:leftChars="0"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 xml:space="preserve">     AC24-380</w:t>
                  </w:r>
                </w:p>
              </w:tc>
              <w:tc>
                <w:tcPr>
                  <w:tcW w:w="1851" w:type="pct"/>
                  <w:vAlign w:val="center"/>
                </w:tcPr>
                <w:p w14:paraId="7F6D6E95">
                  <w:pPr>
                    <w:jc w:val="center"/>
                    <w:rPr>
                      <w:rFonts w:hint="default" w:ascii="Times New Roman" w:hAnsi="Times New Roman" w:eastAsia="宋体" w:cs="Times New Roman"/>
                      <w:color w:val="auto"/>
                      <w:sz w:val="21"/>
                      <w:szCs w:val="21"/>
                      <w:lang w:val="en-US" w:eastAsia="zh-CN"/>
                    </w:rPr>
                  </w:pPr>
                  <w:r>
                    <w:rPr>
                      <w:color w:val="auto"/>
                      <w:sz w:val="21"/>
                      <w:szCs w:val="21"/>
                    </w:rPr>
                    <w:drawing>
                      <wp:inline distT="0" distB="0" distL="114300" distR="114300">
                        <wp:extent cx="1367790" cy="132588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rcRect l="12684" r="15228"/>
                                <a:stretch>
                                  <a:fillRect/>
                                </a:stretch>
                              </pic:blipFill>
                              <pic:spPr>
                                <a:xfrm>
                                  <a:off x="0" y="0"/>
                                  <a:ext cx="1367790" cy="1325880"/>
                                </a:xfrm>
                                <a:prstGeom prst="rect">
                                  <a:avLst/>
                                </a:prstGeom>
                                <a:noFill/>
                                <a:ln>
                                  <a:noFill/>
                                </a:ln>
                              </pic:spPr>
                            </pic:pic>
                          </a:graphicData>
                        </a:graphic>
                      </wp:inline>
                    </w:drawing>
                  </w:r>
                </w:p>
              </w:tc>
              <w:tc>
                <w:tcPr>
                  <w:tcW w:w="653" w:type="pct"/>
                  <w:vAlign w:val="center"/>
                </w:tcPr>
                <w:p w14:paraId="3C689481">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r>
                    <w:rPr>
                      <w:rFonts w:hint="default" w:ascii="Times New Roman" w:hAnsi="Times New Roman" w:eastAsia="宋体" w:cs="Times New Roman"/>
                      <w:b w:val="0"/>
                      <w:bCs w:val="0"/>
                      <w:color w:val="auto"/>
                      <w:sz w:val="21"/>
                      <w:szCs w:val="21"/>
                      <w:lang w:val="en-US" w:eastAsia="zh-CN"/>
                    </w:rPr>
                    <w:t>万</w:t>
                  </w:r>
                  <w:r>
                    <w:rPr>
                      <w:rFonts w:hint="eastAsia" w:ascii="Times New Roman" w:hAnsi="Times New Roman" w:eastAsia="宋体" w:cs="Times New Roman"/>
                      <w:b w:val="0"/>
                      <w:bCs w:val="0"/>
                      <w:color w:val="auto"/>
                      <w:sz w:val="21"/>
                      <w:szCs w:val="21"/>
                      <w:lang w:val="en-US" w:eastAsia="zh-CN"/>
                    </w:rPr>
                    <w:t>套</w:t>
                  </w:r>
                </w:p>
              </w:tc>
              <w:tc>
                <w:tcPr>
                  <w:tcW w:w="659" w:type="pct"/>
                  <w:vMerge w:val="continue"/>
                  <w:vAlign w:val="center"/>
                </w:tcPr>
                <w:p w14:paraId="3F48D3C9">
                  <w:pPr>
                    <w:jc w:val="center"/>
                    <w:rPr>
                      <w:rFonts w:hint="default" w:ascii="Times New Roman" w:hAnsi="Times New Roman" w:eastAsia="宋体" w:cs="Times New Roman"/>
                      <w:color w:val="auto"/>
                      <w:sz w:val="21"/>
                      <w:szCs w:val="21"/>
                    </w:rPr>
                  </w:pPr>
                </w:p>
              </w:tc>
            </w:tr>
            <w:tr w14:paraId="486893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4" w:type="pct"/>
                  <w:vAlign w:val="center"/>
                </w:tcPr>
                <w:p w14:paraId="4247218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4" w:type="pct"/>
                  <w:vAlign w:val="center"/>
                </w:tcPr>
                <w:p w14:paraId="40418E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阀芯</w:t>
                  </w:r>
                </w:p>
              </w:tc>
              <w:tc>
                <w:tcPr>
                  <w:tcW w:w="1025" w:type="pct"/>
                  <w:shd w:val="clear" w:color="auto" w:fill="auto"/>
                  <w:vAlign w:val="center"/>
                </w:tcPr>
                <w:p w14:paraId="4A8733F6">
                  <w:pPr>
                    <w:pStyle w:val="7"/>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02/03</w:t>
                  </w:r>
                </w:p>
              </w:tc>
              <w:tc>
                <w:tcPr>
                  <w:tcW w:w="1851" w:type="pct"/>
                  <w:vAlign w:val="center"/>
                </w:tcPr>
                <w:p w14:paraId="7A15A72E">
                  <w:pPr>
                    <w:jc w:val="center"/>
                    <w:rPr>
                      <w:rFonts w:hint="default" w:ascii="Times New Roman" w:hAnsi="Times New Roman" w:eastAsia="宋体" w:cs="Times New Roman"/>
                      <w:color w:val="auto"/>
                      <w:sz w:val="21"/>
                      <w:szCs w:val="21"/>
                      <w:lang w:val="en-US" w:eastAsia="zh-CN"/>
                    </w:rPr>
                  </w:pPr>
                  <w:r>
                    <w:rPr>
                      <w:color w:val="auto"/>
                      <w:sz w:val="21"/>
                      <w:szCs w:val="21"/>
                    </w:rPr>
                    <w:drawing>
                      <wp:inline distT="0" distB="0" distL="114300" distR="114300">
                        <wp:extent cx="1510665" cy="86106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rcRect l="11392" t="17697" r="14357" b="18820"/>
                                <a:stretch>
                                  <a:fillRect/>
                                </a:stretch>
                              </pic:blipFill>
                              <pic:spPr>
                                <a:xfrm>
                                  <a:off x="0" y="0"/>
                                  <a:ext cx="1510665" cy="861060"/>
                                </a:xfrm>
                                <a:prstGeom prst="rect">
                                  <a:avLst/>
                                </a:prstGeom>
                                <a:noFill/>
                                <a:ln>
                                  <a:noFill/>
                                </a:ln>
                              </pic:spPr>
                            </pic:pic>
                          </a:graphicData>
                        </a:graphic>
                      </wp:inline>
                    </w:drawing>
                  </w:r>
                </w:p>
              </w:tc>
              <w:tc>
                <w:tcPr>
                  <w:tcW w:w="653" w:type="pct"/>
                  <w:vAlign w:val="center"/>
                </w:tcPr>
                <w:p w14:paraId="0AD023B7">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50万只</w:t>
                  </w:r>
                </w:p>
              </w:tc>
              <w:tc>
                <w:tcPr>
                  <w:tcW w:w="659" w:type="pct"/>
                  <w:vMerge w:val="continue"/>
                  <w:vAlign w:val="center"/>
                </w:tcPr>
                <w:p w14:paraId="3AB55700">
                  <w:pPr>
                    <w:jc w:val="center"/>
                    <w:rPr>
                      <w:rFonts w:hint="default" w:ascii="Times New Roman" w:hAnsi="Times New Roman" w:eastAsia="宋体" w:cs="Times New Roman"/>
                      <w:color w:val="auto"/>
                      <w:sz w:val="21"/>
                      <w:szCs w:val="21"/>
                    </w:rPr>
                  </w:pPr>
                </w:p>
              </w:tc>
            </w:tr>
          </w:tbl>
          <w:p w14:paraId="627E91E8">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、生产设施</w:t>
            </w:r>
          </w:p>
          <w:p w14:paraId="6CFAED61">
            <w:pPr>
              <w:pStyle w:val="55"/>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本项目主要设备见表2-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36826B0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表2-3  主要设备清单一览表</w:t>
            </w:r>
          </w:p>
          <w:tbl>
            <w:tblPr>
              <w:tblStyle w:val="7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53"/>
              <w:gridCol w:w="2866"/>
              <w:gridCol w:w="2171"/>
              <w:gridCol w:w="1539"/>
              <w:gridCol w:w="1138"/>
            </w:tblGrid>
            <w:tr w14:paraId="57A3FC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497" w:type="pct"/>
                  <w:tcBorders>
                    <w:tl2br w:val="nil"/>
                    <w:tr2bl w:val="nil"/>
                  </w:tcBorders>
                  <w:vAlign w:val="center"/>
                </w:tcPr>
                <w:p w14:paraId="0FB8B04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序号</w:t>
                  </w:r>
                </w:p>
              </w:tc>
              <w:tc>
                <w:tcPr>
                  <w:tcW w:w="1819" w:type="pct"/>
                  <w:tcBorders>
                    <w:tl2br w:val="nil"/>
                    <w:tr2bl w:val="nil"/>
                  </w:tcBorders>
                  <w:vAlign w:val="center"/>
                </w:tcPr>
                <w:p w14:paraId="6D6E13D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设备名称</w:t>
                  </w:r>
                </w:p>
              </w:tc>
              <w:tc>
                <w:tcPr>
                  <w:tcW w:w="869" w:type="pct"/>
                  <w:tcBorders>
                    <w:tl2br w:val="nil"/>
                    <w:tr2bl w:val="nil"/>
                  </w:tcBorders>
                  <w:vAlign w:val="center"/>
                </w:tcPr>
                <w:p w14:paraId="7A4AA0C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规格/型号</w:t>
                  </w:r>
                </w:p>
              </w:tc>
              <w:tc>
                <w:tcPr>
                  <w:tcW w:w="1026" w:type="pct"/>
                  <w:tcBorders>
                    <w:tl2br w:val="nil"/>
                    <w:tr2bl w:val="nil"/>
                  </w:tcBorders>
                  <w:vAlign w:val="center"/>
                </w:tcPr>
                <w:p w14:paraId="1BB6C73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8"/>
                      <w:sz w:val="21"/>
                      <w:szCs w:val="21"/>
                    </w:rPr>
                    <w:t>数量</w:t>
                  </w:r>
                  <w:r>
                    <w:rPr>
                      <w:rFonts w:hint="default" w:ascii="Times New Roman" w:hAnsi="Times New Roman" w:eastAsia="宋体" w:cs="Times New Roman"/>
                      <w:b/>
                      <w:bCs/>
                      <w:color w:val="auto"/>
                      <w:spacing w:val="-8"/>
                      <w:sz w:val="21"/>
                      <w:szCs w:val="21"/>
                      <w:lang w:val="en-US" w:eastAsia="zh-CN"/>
                    </w:rPr>
                    <w:t>/台（套）</w:t>
                  </w:r>
                </w:p>
              </w:tc>
              <w:tc>
                <w:tcPr>
                  <w:tcW w:w="787" w:type="pct"/>
                  <w:tcBorders>
                    <w:tl2br w:val="nil"/>
                    <w:tr2bl w:val="nil"/>
                  </w:tcBorders>
                  <w:vAlign w:val="center"/>
                </w:tcPr>
                <w:p w14:paraId="2D0120F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5"/>
                      <w:sz w:val="21"/>
                      <w:szCs w:val="21"/>
                      <w:lang w:val="en-US" w:eastAsia="zh-CN"/>
                    </w:rPr>
                    <w:t>备注</w:t>
                  </w:r>
                </w:p>
              </w:tc>
            </w:tr>
            <w:tr w14:paraId="2D3747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A7DEA8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19" w:type="pct"/>
                  <w:tcBorders>
                    <w:tl2br w:val="nil"/>
                    <w:tr2bl w:val="nil"/>
                  </w:tcBorders>
                  <w:vAlign w:val="center"/>
                </w:tcPr>
                <w:p w14:paraId="7EEAAF5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自动绕线机</w:t>
                  </w:r>
                </w:p>
              </w:tc>
              <w:tc>
                <w:tcPr>
                  <w:tcW w:w="869" w:type="pct"/>
                  <w:tcBorders>
                    <w:tl2br w:val="nil"/>
                    <w:tr2bl w:val="nil"/>
                  </w:tcBorders>
                  <w:shd w:val="clear" w:color="auto" w:fill="auto"/>
                  <w:vAlign w:val="center"/>
                </w:tcPr>
                <w:p w14:paraId="00C9A668">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SW-504H-CS</w:t>
                  </w:r>
                </w:p>
              </w:tc>
              <w:tc>
                <w:tcPr>
                  <w:tcW w:w="1026" w:type="pct"/>
                  <w:tcBorders>
                    <w:tl2br w:val="nil"/>
                    <w:tr2bl w:val="nil"/>
                  </w:tcBorders>
                  <w:vAlign w:val="center"/>
                </w:tcPr>
                <w:p w14:paraId="680D051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87" w:type="pct"/>
                  <w:tcBorders>
                    <w:tl2br w:val="nil"/>
                    <w:tr2bl w:val="nil"/>
                  </w:tcBorders>
                  <w:vAlign w:val="center"/>
                </w:tcPr>
                <w:p w14:paraId="28F7030E">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248403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7" w:type="pct"/>
                  <w:tcBorders>
                    <w:tl2br w:val="nil"/>
                    <w:tr2bl w:val="nil"/>
                  </w:tcBorders>
                  <w:vAlign w:val="center"/>
                </w:tcPr>
                <w:p w14:paraId="0AE138C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19" w:type="pct"/>
                  <w:tcBorders>
                    <w:tl2br w:val="nil"/>
                    <w:tr2bl w:val="nil"/>
                  </w:tcBorders>
                  <w:vAlign w:val="center"/>
                </w:tcPr>
                <w:p w14:paraId="018D8F4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自动硅钢片卷铁芯机</w:t>
                  </w:r>
                </w:p>
              </w:tc>
              <w:tc>
                <w:tcPr>
                  <w:tcW w:w="869" w:type="pct"/>
                  <w:tcBorders>
                    <w:tl2br w:val="nil"/>
                    <w:tr2bl w:val="nil"/>
                  </w:tcBorders>
                  <w:shd w:val="clear" w:color="auto" w:fill="auto"/>
                  <w:vAlign w:val="center"/>
                </w:tcPr>
                <w:p w14:paraId="347756E8">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CHJ-180T</w:t>
                  </w:r>
                </w:p>
              </w:tc>
              <w:tc>
                <w:tcPr>
                  <w:tcW w:w="1026" w:type="pct"/>
                  <w:tcBorders>
                    <w:tl2br w:val="nil"/>
                    <w:tr2bl w:val="nil"/>
                  </w:tcBorders>
                  <w:vAlign w:val="center"/>
                </w:tcPr>
                <w:p w14:paraId="5D1768D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432645C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2EFE58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7" w:type="pct"/>
                  <w:tcBorders>
                    <w:tl2br w:val="nil"/>
                    <w:tr2bl w:val="nil"/>
                  </w:tcBorders>
                  <w:vAlign w:val="center"/>
                </w:tcPr>
                <w:p w14:paraId="4AAE8D55">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819" w:type="pct"/>
                  <w:tcBorders>
                    <w:tl2br w:val="nil"/>
                    <w:tr2bl w:val="nil"/>
                  </w:tcBorders>
                  <w:vAlign w:val="center"/>
                </w:tcPr>
                <w:p w14:paraId="3C89239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自动卷铁芯冲孔机</w:t>
                  </w:r>
                </w:p>
              </w:tc>
              <w:tc>
                <w:tcPr>
                  <w:tcW w:w="869" w:type="pct"/>
                  <w:tcBorders>
                    <w:tl2br w:val="nil"/>
                    <w:tr2bl w:val="nil"/>
                  </w:tcBorders>
                  <w:shd w:val="clear" w:color="auto" w:fill="auto"/>
                  <w:vAlign w:val="center"/>
                </w:tcPr>
                <w:p w14:paraId="18E77FB9">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CJ0820</w:t>
                  </w:r>
                </w:p>
              </w:tc>
              <w:tc>
                <w:tcPr>
                  <w:tcW w:w="1026" w:type="pct"/>
                  <w:tcBorders>
                    <w:tl2br w:val="nil"/>
                    <w:tr2bl w:val="nil"/>
                  </w:tcBorders>
                  <w:vAlign w:val="center"/>
                </w:tcPr>
                <w:p w14:paraId="0426CF9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4CB4FF1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19DF71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73772D9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819" w:type="pct"/>
                  <w:tcBorders>
                    <w:tl2br w:val="nil"/>
                    <w:tr2bl w:val="nil"/>
                  </w:tcBorders>
                  <w:vAlign w:val="center"/>
                </w:tcPr>
                <w:p w14:paraId="15FA641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自动封装成型机</w:t>
                  </w:r>
                </w:p>
              </w:tc>
              <w:tc>
                <w:tcPr>
                  <w:tcW w:w="869" w:type="pct"/>
                  <w:tcBorders>
                    <w:tl2br w:val="nil"/>
                    <w:tr2bl w:val="nil"/>
                  </w:tcBorders>
                  <w:shd w:val="clear" w:color="auto" w:fill="auto"/>
                  <w:vAlign w:val="center"/>
                </w:tcPr>
                <w:p w14:paraId="1EB20D9A">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JD-180T</w:t>
                  </w:r>
                </w:p>
              </w:tc>
              <w:tc>
                <w:tcPr>
                  <w:tcW w:w="1026" w:type="pct"/>
                  <w:tcBorders>
                    <w:tl2br w:val="nil"/>
                    <w:tr2bl w:val="nil"/>
                  </w:tcBorders>
                  <w:vAlign w:val="center"/>
                </w:tcPr>
                <w:p w14:paraId="11D9CC8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787" w:type="pct"/>
                  <w:tcBorders>
                    <w:tl2br w:val="nil"/>
                    <w:tr2bl w:val="nil"/>
                  </w:tcBorders>
                  <w:vAlign w:val="center"/>
                </w:tcPr>
                <w:p w14:paraId="2DBF1C4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5108EF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5EF75A3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819" w:type="pct"/>
                  <w:tcBorders>
                    <w:tl2br w:val="nil"/>
                    <w:tr2bl w:val="nil"/>
                  </w:tcBorders>
                  <w:vAlign w:val="center"/>
                </w:tcPr>
                <w:p w14:paraId="78958D6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自动开槽机</w:t>
                  </w:r>
                </w:p>
              </w:tc>
              <w:tc>
                <w:tcPr>
                  <w:tcW w:w="869" w:type="pct"/>
                  <w:tcBorders>
                    <w:tl2br w:val="nil"/>
                    <w:tr2bl w:val="nil"/>
                  </w:tcBorders>
                  <w:shd w:val="clear" w:color="auto" w:fill="auto"/>
                  <w:vAlign w:val="center"/>
                </w:tcPr>
                <w:p w14:paraId="40192786">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CT-ZHPS</w:t>
                  </w:r>
                </w:p>
              </w:tc>
              <w:tc>
                <w:tcPr>
                  <w:tcW w:w="1026" w:type="pct"/>
                  <w:tcBorders>
                    <w:tl2br w:val="nil"/>
                    <w:tr2bl w:val="nil"/>
                  </w:tcBorders>
                  <w:vAlign w:val="center"/>
                </w:tcPr>
                <w:p w14:paraId="406B32D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2D511DC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09D63F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731B748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819" w:type="pct"/>
                  <w:tcBorders>
                    <w:tl2br w:val="nil"/>
                    <w:tr2bl w:val="nil"/>
                  </w:tcBorders>
                  <w:vAlign w:val="center"/>
                </w:tcPr>
                <w:p w14:paraId="6FAE874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自动削角机</w:t>
                  </w:r>
                </w:p>
              </w:tc>
              <w:tc>
                <w:tcPr>
                  <w:tcW w:w="869" w:type="pct"/>
                  <w:tcBorders>
                    <w:tl2br w:val="nil"/>
                    <w:tr2bl w:val="nil"/>
                  </w:tcBorders>
                  <w:shd w:val="clear" w:color="auto" w:fill="auto"/>
                  <w:vAlign w:val="center"/>
                </w:tcPr>
                <w:p w14:paraId="3FC806EC">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CY-6025</w:t>
                  </w:r>
                </w:p>
              </w:tc>
              <w:tc>
                <w:tcPr>
                  <w:tcW w:w="1026" w:type="pct"/>
                  <w:tcBorders>
                    <w:tl2br w:val="nil"/>
                    <w:tr2bl w:val="nil"/>
                  </w:tcBorders>
                  <w:vAlign w:val="center"/>
                </w:tcPr>
                <w:p w14:paraId="28F5F9C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33C8FA2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61E192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6809598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819" w:type="pct"/>
                  <w:tcBorders>
                    <w:tl2br w:val="nil"/>
                    <w:tr2bl w:val="nil"/>
                  </w:tcBorders>
                  <w:vAlign w:val="center"/>
                </w:tcPr>
                <w:p w14:paraId="09153C1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自动锯床</w:t>
                  </w:r>
                </w:p>
              </w:tc>
              <w:tc>
                <w:tcPr>
                  <w:tcW w:w="869" w:type="pct"/>
                  <w:tcBorders>
                    <w:tl2br w:val="nil"/>
                    <w:tr2bl w:val="nil"/>
                  </w:tcBorders>
                  <w:shd w:val="clear" w:color="auto" w:fill="auto"/>
                  <w:vAlign w:val="center"/>
                </w:tcPr>
                <w:p w14:paraId="5DBF131B">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GZ4232</w:t>
                  </w:r>
                </w:p>
              </w:tc>
              <w:tc>
                <w:tcPr>
                  <w:tcW w:w="1026" w:type="pct"/>
                  <w:tcBorders>
                    <w:tl2br w:val="nil"/>
                    <w:tr2bl w:val="nil"/>
                  </w:tcBorders>
                  <w:vAlign w:val="center"/>
                </w:tcPr>
                <w:p w14:paraId="705A8F8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22913F4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599584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505F8DC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819" w:type="pct"/>
                  <w:tcBorders>
                    <w:tl2br w:val="nil"/>
                    <w:tr2bl w:val="nil"/>
                  </w:tcBorders>
                  <w:vAlign w:val="center"/>
                </w:tcPr>
                <w:p w14:paraId="2B1C772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无心研磨机</w:t>
                  </w:r>
                </w:p>
              </w:tc>
              <w:tc>
                <w:tcPr>
                  <w:tcW w:w="869" w:type="pct"/>
                  <w:tcBorders>
                    <w:tl2br w:val="nil"/>
                    <w:tr2bl w:val="nil"/>
                  </w:tcBorders>
                  <w:shd w:val="clear" w:color="auto" w:fill="auto"/>
                  <w:vAlign w:val="center"/>
                </w:tcPr>
                <w:p w14:paraId="077997A7">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JHC-18S</w:t>
                  </w:r>
                </w:p>
              </w:tc>
              <w:tc>
                <w:tcPr>
                  <w:tcW w:w="1026" w:type="pct"/>
                  <w:tcBorders>
                    <w:tl2br w:val="nil"/>
                    <w:tr2bl w:val="nil"/>
                  </w:tcBorders>
                  <w:vAlign w:val="center"/>
                </w:tcPr>
                <w:p w14:paraId="268DBEF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7D9A818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051814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7" w:type="pct"/>
                  <w:tcBorders>
                    <w:tl2br w:val="nil"/>
                    <w:tr2bl w:val="nil"/>
                  </w:tcBorders>
                  <w:vAlign w:val="center"/>
                </w:tcPr>
                <w:p w14:paraId="5CA717C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819" w:type="pct"/>
                  <w:tcBorders>
                    <w:tl2br w:val="nil"/>
                    <w:tr2bl w:val="nil"/>
                  </w:tcBorders>
                  <w:vAlign w:val="center"/>
                </w:tcPr>
                <w:p w14:paraId="58736E5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CNC</w:t>
                  </w:r>
                  <w:r>
                    <w:rPr>
                      <w:rStyle w:val="75"/>
                      <w:rFonts w:hint="default" w:ascii="Times New Roman" w:hAnsi="Times New Roman" w:eastAsia="宋体" w:cs="Times New Roman"/>
                      <w:color w:val="auto"/>
                      <w:sz w:val="21"/>
                      <w:szCs w:val="21"/>
                      <w:lang w:val="en-US" w:eastAsia="zh-CN" w:bidi="ar"/>
                    </w:rPr>
                    <w:t>数控车床</w:t>
                  </w:r>
                </w:p>
              </w:tc>
              <w:tc>
                <w:tcPr>
                  <w:tcW w:w="869" w:type="pct"/>
                  <w:tcBorders>
                    <w:tl2br w:val="nil"/>
                    <w:tr2bl w:val="nil"/>
                  </w:tcBorders>
                  <w:shd w:val="clear" w:color="auto" w:fill="auto"/>
                  <w:vAlign w:val="center"/>
                </w:tcPr>
                <w:p w14:paraId="0F158F2D">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M06D</w:t>
                  </w:r>
                  <w:r>
                    <w:rPr>
                      <w:rFonts w:ascii="Times New Roman" w:hAnsi="Times New Roman" w:cs="Times New Roman"/>
                      <w:color w:val="auto"/>
                      <w:sz w:val="21"/>
                      <w:szCs w:val="21"/>
                    </w:rPr>
                    <w:t>/</w:t>
                  </w:r>
                  <w:r>
                    <w:rPr>
                      <w:rFonts w:hint="eastAsia" w:ascii="Times New Roman" w:hAnsi="Times New Roman" w:cs="Times New Roman"/>
                      <w:color w:val="auto"/>
                      <w:sz w:val="21"/>
                      <w:szCs w:val="21"/>
                      <w:lang w:eastAsia="zh-CN"/>
                    </w:rPr>
                    <w:t>M42L</w:t>
                  </w:r>
                </w:p>
              </w:tc>
              <w:tc>
                <w:tcPr>
                  <w:tcW w:w="1026" w:type="pct"/>
                  <w:tcBorders>
                    <w:tl2br w:val="nil"/>
                    <w:tr2bl w:val="nil"/>
                  </w:tcBorders>
                  <w:vAlign w:val="center"/>
                </w:tcPr>
                <w:p w14:paraId="41D4E1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787" w:type="pct"/>
                  <w:tcBorders>
                    <w:tl2br w:val="nil"/>
                    <w:tr2bl w:val="nil"/>
                  </w:tcBorders>
                  <w:vAlign w:val="center"/>
                </w:tcPr>
                <w:p w14:paraId="28DBECC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7910C0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31D2FC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c>
                <w:tcPr>
                  <w:tcW w:w="1819" w:type="pct"/>
                  <w:tcBorders>
                    <w:tl2br w:val="nil"/>
                    <w:tr2bl w:val="nil"/>
                  </w:tcBorders>
                  <w:vAlign w:val="center"/>
                </w:tcPr>
                <w:p w14:paraId="50CB9E5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振动研磨机</w:t>
                  </w:r>
                </w:p>
              </w:tc>
              <w:tc>
                <w:tcPr>
                  <w:tcW w:w="869" w:type="pct"/>
                  <w:tcBorders>
                    <w:tl2br w:val="nil"/>
                    <w:tr2bl w:val="nil"/>
                  </w:tcBorders>
                  <w:shd w:val="clear" w:color="auto" w:fill="auto"/>
                  <w:vAlign w:val="center"/>
                </w:tcPr>
                <w:p w14:paraId="09D7A529">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VB-A</w:t>
                  </w:r>
                </w:p>
              </w:tc>
              <w:tc>
                <w:tcPr>
                  <w:tcW w:w="1026" w:type="pct"/>
                  <w:tcBorders>
                    <w:tl2br w:val="nil"/>
                    <w:tr2bl w:val="nil"/>
                  </w:tcBorders>
                  <w:vAlign w:val="center"/>
                </w:tcPr>
                <w:p w14:paraId="4E7A3D6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4C79D1D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29FCCE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0237757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11</w:t>
                  </w:r>
                </w:p>
              </w:tc>
              <w:tc>
                <w:tcPr>
                  <w:tcW w:w="1819" w:type="pct"/>
                  <w:tcBorders>
                    <w:tl2br w:val="nil"/>
                    <w:tr2bl w:val="nil"/>
                  </w:tcBorders>
                  <w:vAlign w:val="center"/>
                </w:tcPr>
                <w:p w14:paraId="6B91507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平磨机</w:t>
                  </w:r>
                </w:p>
              </w:tc>
              <w:tc>
                <w:tcPr>
                  <w:tcW w:w="869" w:type="pct"/>
                  <w:tcBorders>
                    <w:tl2br w:val="nil"/>
                    <w:tr2bl w:val="nil"/>
                  </w:tcBorders>
                  <w:shd w:val="clear" w:color="auto" w:fill="auto"/>
                  <w:vAlign w:val="center"/>
                </w:tcPr>
                <w:p w14:paraId="7EA7041E">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KGS-1020AH</w:t>
                  </w:r>
                </w:p>
              </w:tc>
              <w:tc>
                <w:tcPr>
                  <w:tcW w:w="1026" w:type="pct"/>
                  <w:tcBorders>
                    <w:tl2br w:val="nil"/>
                    <w:tr2bl w:val="nil"/>
                  </w:tcBorders>
                  <w:vAlign w:val="center"/>
                </w:tcPr>
                <w:p w14:paraId="20CD05E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0E9560C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455B64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651590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12</w:t>
                  </w:r>
                </w:p>
              </w:tc>
              <w:tc>
                <w:tcPr>
                  <w:tcW w:w="1819" w:type="pct"/>
                  <w:tcBorders>
                    <w:tl2br w:val="nil"/>
                    <w:tr2bl w:val="nil"/>
                  </w:tcBorders>
                  <w:vAlign w:val="center"/>
                </w:tcPr>
                <w:p w14:paraId="1A04FBD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超声波自动清洗机</w:t>
                  </w:r>
                </w:p>
              </w:tc>
              <w:tc>
                <w:tcPr>
                  <w:tcW w:w="869" w:type="pct"/>
                  <w:tcBorders>
                    <w:tl2br w:val="nil"/>
                    <w:tr2bl w:val="nil"/>
                  </w:tcBorders>
                  <w:shd w:val="clear" w:color="auto" w:fill="auto"/>
                  <w:vAlign w:val="center"/>
                </w:tcPr>
                <w:p w14:paraId="0D44C73B">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ZQ40-30TA</w:t>
                  </w:r>
                </w:p>
              </w:tc>
              <w:tc>
                <w:tcPr>
                  <w:tcW w:w="1026" w:type="pct"/>
                  <w:tcBorders>
                    <w:tl2br w:val="nil"/>
                    <w:tr2bl w:val="nil"/>
                  </w:tcBorders>
                  <w:vAlign w:val="center"/>
                </w:tcPr>
                <w:p w14:paraId="5D0959D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0326EA3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39E135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FFF4B2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13</w:t>
                  </w:r>
                </w:p>
              </w:tc>
              <w:tc>
                <w:tcPr>
                  <w:tcW w:w="1819" w:type="pct"/>
                  <w:tcBorders>
                    <w:tl2br w:val="nil"/>
                    <w:tr2bl w:val="nil"/>
                  </w:tcBorders>
                  <w:vAlign w:val="center"/>
                </w:tcPr>
                <w:p w14:paraId="17761C3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烤箱</w:t>
                  </w:r>
                </w:p>
              </w:tc>
              <w:tc>
                <w:tcPr>
                  <w:tcW w:w="869" w:type="pct"/>
                  <w:tcBorders>
                    <w:tl2br w:val="nil"/>
                    <w:tr2bl w:val="nil"/>
                  </w:tcBorders>
                  <w:shd w:val="clear" w:color="auto" w:fill="auto"/>
                  <w:vAlign w:val="center"/>
                </w:tcPr>
                <w:p w14:paraId="65B84C72">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LQ-T32400</w:t>
                  </w:r>
                </w:p>
              </w:tc>
              <w:tc>
                <w:tcPr>
                  <w:tcW w:w="1026" w:type="pct"/>
                  <w:tcBorders>
                    <w:tl2br w:val="nil"/>
                    <w:tr2bl w:val="nil"/>
                  </w:tcBorders>
                  <w:vAlign w:val="center"/>
                </w:tcPr>
                <w:p w14:paraId="5B6FBE8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24890EC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574FBA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30E3C01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14</w:t>
                  </w:r>
                </w:p>
              </w:tc>
              <w:tc>
                <w:tcPr>
                  <w:tcW w:w="1819" w:type="pct"/>
                  <w:tcBorders>
                    <w:tl2br w:val="nil"/>
                    <w:tr2bl w:val="nil"/>
                  </w:tcBorders>
                  <w:vAlign w:val="center"/>
                </w:tcPr>
                <w:p w14:paraId="1732537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无铅电焊台</w:t>
                  </w:r>
                </w:p>
              </w:tc>
              <w:tc>
                <w:tcPr>
                  <w:tcW w:w="869" w:type="pct"/>
                  <w:tcBorders>
                    <w:tl2br w:val="nil"/>
                    <w:tr2bl w:val="nil"/>
                  </w:tcBorders>
                  <w:shd w:val="clear" w:color="auto" w:fill="auto"/>
                  <w:vAlign w:val="center"/>
                </w:tcPr>
                <w:p w14:paraId="6F88C7DA">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QUICK-203H</w:t>
                  </w:r>
                </w:p>
              </w:tc>
              <w:tc>
                <w:tcPr>
                  <w:tcW w:w="1026" w:type="pct"/>
                  <w:tcBorders>
                    <w:tl2br w:val="nil"/>
                    <w:tr2bl w:val="nil"/>
                  </w:tcBorders>
                  <w:vAlign w:val="center"/>
                </w:tcPr>
                <w:p w14:paraId="158D047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87" w:type="pct"/>
                  <w:tcBorders>
                    <w:tl2br w:val="nil"/>
                    <w:tr2bl w:val="nil"/>
                  </w:tcBorders>
                  <w:vAlign w:val="center"/>
                </w:tcPr>
                <w:p w14:paraId="137517B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4CF984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7" w:type="pct"/>
                  <w:tcBorders>
                    <w:tl2br w:val="nil"/>
                    <w:tr2bl w:val="nil"/>
                  </w:tcBorders>
                  <w:vAlign w:val="center"/>
                </w:tcPr>
                <w:p w14:paraId="51FFC70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15</w:t>
                  </w:r>
                </w:p>
              </w:tc>
              <w:tc>
                <w:tcPr>
                  <w:tcW w:w="1819" w:type="pct"/>
                  <w:tcBorders>
                    <w:tl2br w:val="nil"/>
                    <w:tr2bl w:val="nil"/>
                  </w:tcBorders>
                  <w:vAlign w:val="center"/>
                </w:tcPr>
                <w:p w14:paraId="69FB706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仪表车床</w:t>
                  </w:r>
                </w:p>
              </w:tc>
              <w:tc>
                <w:tcPr>
                  <w:tcW w:w="869" w:type="pct"/>
                  <w:tcBorders>
                    <w:tl2br w:val="nil"/>
                    <w:tr2bl w:val="nil"/>
                  </w:tcBorders>
                  <w:shd w:val="clear" w:color="auto" w:fill="auto"/>
                  <w:vAlign w:val="center"/>
                </w:tcPr>
                <w:p w14:paraId="05AF7491">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 xml:space="preserve">32型 </w:t>
                  </w:r>
                </w:p>
              </w:tc>
              <w:tc>
                <w:tcPr>
                  <w:tcW w:w="1026" w:type="pct"/>
                  <w:tcBorders>
                    <w:tl2br w:val="nil"/>
                    <w:tr2bl w:val="nil"/>
                  </w:tcBorders>
                  <w:vAlign w:val="center"/>
                </w:tcPr>
                <w:p w14:paraId="40B899A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787" w:type="pct"/>
                  <w:tcBorders>
                    <w:tl2br w:val="nil"/>
                    <w:tr2bl w:val="nil"/>
                  </w:tcBorders>
                  <w:vAlign w:val="center"/>
                </w:tcPr>
                <w:p w14:paraId="1A6E4C8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35D014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4F44029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16</w:t>
                  </w:r>
                </w:p>
              </w:tc>
              <w:tc>
                <w:tcPr>
                  <w:tcW w:w="1819" w:type="pct"/>
                  <w:tcBorders>
                    <w:tl2br w:val="nil"/>
                    <w:tr2bl w:val="nil"/>
                  </w:tcBorders>
                  <w:vAlign w:val="center"/>
                </w:tcPr>
                <w:p w14:paraId="1DFD1F3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电烙铁</w:t>
                  </w:r>
                </w:p>
              </w:tc>
              <w:tc>
                <w:tcPr>
                  <w:tcW w:w="869" w:type="pct"/>
                  <w:tcBorders>
                    <w:tl2br w:val="nil"/>
                    <w:tr2bl w:val="nil"/>
                  </w:tcBorders>
                  <w:shd w:val="clear" w:color="auto" w:fill="auto"/>
                  <w:vAlign w:val="center"/>
                </w:tcPr>
                <w:p w14:paraId="7E12023C">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203H</w:t>
                  </w:r>
                </w:p>
              </w:tc>
              <w:tc>
                <w:tcPr>
                  <w:tcW w:w="1026" w:type="pct"/>
                  <w:tcBorders>
                    <w:tl2br w:val="nil"/>
                    <w:tr2bl w:val="nil"/>
                  </w:tcBorders>
                  <w:vAlign w:val="center"/>
                </w:tcPr>
                <w:p w14:paraId="4859446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87" w:type="pct"/>
                  <w:tcBorders>
                    <w:tl2br w:val="nil"/>
                    <w:tr2bl w:val="nil"/>
                  </w:tcBorders>
                  <w:vAlign w:val="center"/>
                </w:tcPr>
                <w:p w14:paraId="4B84F4A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0D5742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36445AF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17</w:t>
                  </w:r>
                </w:p>
              </w:tc>
              <w:tc>
                <w:tcPr>
                  <w:tcW w:w="1819" w:type="pct"/>
                  <w:tcBorders>
                    <w:tl2br w:val="nil"/>
                    <w:tr2bl w:val="nil"/>
                  </w:tcBorders>
                  <w:vAlign w:val="center"/>
                </w:tcPr>
                <w:p w14:paraId="17B56A2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耐压测试机</w:t>
                  </w:r>
                </w:p>
              </w:tc>
              <w:tc>
                <w:tcPr>
                  <w:tcW w:w="869" w:type="pct"/>
                  <w:tcBorders>
                    <w:tl2br w:val="nil"/>
                    <w:tr2bl w:val="nil"/>
                  </w:tcBorders>
                  <w:shd w:val="clear" w:color="auto" w:fill="auto"/>
                  <w:vAlign w:val="center"/>
                </w:tcPr>
                <w:p w14:paraId="60E70EBF">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WB2670A</w:t>
                  </w:r>
                </w:p>
              </w:tc>
              <w:tc>
                <w:tcPr>
                  <w:tcW w:w="1026" w:type="pct"/>
                  <w:tcBorders>
                    <w:tl2br w:val="nil"/>
                    <w:tr2bl w:val="nil"/>
                  </w:tcBorders>
                  <w:vAlign w:val="center"/>
                </w:tcPr>
                <w:p w14:paraId="6FB2BA1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w:t>
                  </w:r>
                </w:p>
              </w:tc>
              <w:tc>
                <w:tcPr>
                  <w:tcW w:w="787" w:type="pct"/>
                  <w:tcBorders>
                    <w:tl2br w:val="nil"/>
                    <w:tr2bl w:val="nil"/>
                  </w:tcBorders>
                  <w:vAlign w:val="center"/>
                </w:tcPr>
                <w:p w14:paraId="3002FC2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测试设备</w:t>
                  </w:r>
                </w:p>
              </w:tc>
            </w:tr>
            <w:tr w14:paraId="7C4E1A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4F0B6A3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18</w:t>
                  </w:r>
                </w:p>
              </w:tc>
              <w:tc>
                <w:tcPr>
                  <w:tcW w:w="1819" w:type="pct"/>
                  <w:tcBorders>
                    <w:tl2br w:val="nil"/>
                    <w:tr2bl w:val="nil"/>
                  </w:tcBorders>
                  <w:vAlign w:val="center"/>
                </w:tcPr>
                <w:p w14:paraId="0360064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程控耐压测试机</w:t>
                  </w:r>
                </w:p>
              </w:tc>
              <w:tc>
                <w:tcPr>
                  <w:tcW w:w="869" w:type="pct"/>
                  <w:tcBorders>
                    <w:tl2br w:val="nil"/>
                    <w:tr2bl w:val="nil"/>
                  </w:tcBorders>
                  <w:shd w:val="clear" w:color="auto" w:fill="auto"/>
                  <w:vAlign w:val="center"/>
                </w:tcPr>
                <w:p w14:paraId="66368206">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UC9901</w:t>
                  </w:r>
                </w:p>
              </w:tc>
              <w:tc>
                <w:tcPr>
                  <w:tcW w:w="1026" w:type="pct"/>
                  <w:tcBorders>
                    <w:tl2br w:val="nil"/>
                    <w:tr2bl w:val="nil"/>
                  </w:tcBorders>
                  <w:vAlign w:val="center"/>
                </w:tcPr>
                <w:p w14:paraId="614A5C4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787" w:type="pct"/>
                  <w:tcBorders>
                    <w:tl2br w:val="nil"/>
                    <w:tr2bl w:val="nil"/>
                  </w:tcBorders>
                  <w:vAlign w:val="center"/>
                </w:tcPr>
                <w:p w14:paraId="322E3D3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测试设备</w:t>
                  </w:r>
                </w:p>
              </w:tc>
            </w:tr>
            <w:tr w14:paraId="5D8708A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1117EAC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19</w:t>
                  </w:r>
                </w:p>
              </w:tc>
              <w:tc>
                <w:tcPr>
                  <w:tcW w:w="1819" w:type="pct"/>
                  <w:tcBorders>
                    <w:tl2br w:val="nil"/>
                    <w:tr2bl w:val="nil"/>
                  </w:tcBorders>
                  <w:vAlign w:val="center"/>
                </w:tcPr>
                <w:p w14:paraId="3879A2C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直流低电阻测试仪</w:t>
                  </w:r>
                </w:p>
              </w:tc>
              <w:tc>
                <w:tcPr>
                  <w:tcW w:w="869" w:type="pct"/>
                  <w:tcBorders>
                    <w:tl2br w:val="nil"/>
                    <w:tr2bl w:val="nil"/>
                  </w:tcBorders>
                  <w:shd w:val="clear" w:color="auto" w:fill="auto"/>
                  <w:vAlign w:val="center"/>
                </w:tcPr>
                <w:p w14:paraId="0AC2A9C7">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UC2518A</w:t>
                  </w:r>
                </w:p>
              </w:tc>
              <w:tc>
                <w:tcPr>
                  <w:tcW w:w="1026" w:type="pct"/>
                  <w:tcBorders>
                    <w:tl2br w:val="nil"/>
                    <w:tr2bl w:val="nil"/>
                  </w:tcBorders>
                  <w:vAlign w:val="center"/>
                </w:tcPr>
                <w:p w14:paraId="2F445C1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w:t>
                  </w:r>
                </w:p>
              </w:tc>
              <w:tc>
                <w:tcPr>
                  <w:tcW w:w="787" w:type="pct"/>
                  <w:tcBorders>
                    <w:tl2br w:val="nil"/>
                    <w:tr2bl w:val="nil"/>
                  </w:tcBorders>
                  <w:vAlign w:val="center"/>
                </w:tcPr>
                <w:p w14:paraId="2D74802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测试设备</w:t>
                  </w:r>
                </w:p>
              </w:tc>
            </w:tr>
            <w:tr w14:paraId="6BF87E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7FBF775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w:t>
                  </w:r>
                </w:p>
              </w:tc>
              <w:tc>
                <w:tcPr>
                  <w:tcW w:w="1819" w:type="pct"/>
                  <w:tcBorders>
                    <w:tl2br w:val="nil"/>
                    <w:tr2bl w:val="nil"/>
                  </w:tcBorders>
                  <w:vAlign w:val="center"/>
                </w:tcPr>
                <w:p w14:paraId="7D9E58F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点焊机</w:t>
                  </w:r>
                </w:p>
              </w:tc>
              <w:tc>
                <w:tcPr>
                  <w:tcW w:w="869" w:type="pct"/>
                  <w:tcBorders>
                    <w:tl2br w:val="nil"/>
                    <w:tr2bl w:val="nil"/>
                  </w:tcBorders>
                  <w:shd w:val="clear" w:color="auto" w:fill="auto"/>
                  <w:vAlign w:val="center"/>
                </w:tcPr>
                <w:p w14:paraId="6C941B3B">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DJNI-40</w:t>
                  </w:r>
                </w:p>
              </w:tc>
              <w:tc>
                <w:tcPr>
                  <w:tcW w:w="1026" w:type="pct"/>
                  <w:tcBorders>
                    <w:tl2br w:val="nil"/>
                    <w:tr2bl w:val="nil"/>
                  </w:tcBorders>
                  <w:vAlign w:val="center"/>
                </w:tcPr>
                <w:p w14:paraId="6AA290D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787" w:type="pct"/>
                  <w:tcBorders>
                    <w:tl2br w:val="nil"/>
                    <w:tr2bl w:val="nil"/>
                  </w:tcBorders>
                  <w:vAlign w:val="center"/>
                </w:tcPr>
                <w:p w14:paraId="76C1543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38849F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7" w:type="pct"/>
                  <w:tcBorders>
                    <w:tl2br w:val="nil"/>
                    <w:tr2bl w:val="nil"/>
                  </w:tcBorders>
                  <w:vAlign w:val="center"/>
                </w:tcPr>
                <w:p w14:paraId="2C1E143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w:t>
                  </w:r>
                </w:p>
              </w:tc>
              <w:tc>
                <w:tcPr>
                  <w:tcW w:w="1819" w:type="pct"/>
                  <w:tcBorders>
                    <w:tl2br w:val="nil"/>
                    <w:tr2bl w:val="nil"/>
                  </w:tcBorders>
                  <w:vAlign w:val="center"/>
                </w:tcPr>
                <w:p w14:paraId="3D256F1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凸轮车床</w:t>
                  </w:r>
                </w:p>
              </w:tc>
              <w:tc>
                <w:tcPr>
                  <w:tcW w:w="869" w:type="pct"/>
                  <w:tcBorders>
                    <w:tl2br w:val="nil"/>
                    <w:tr2bl w:val="nil"/>
                  </w:tcBorders>
                  <w:shd w:val="clear" w:color="auto" w:fill="auto"/>
                  <w:vAlign w:val="center"/>
                </w:tcPr>
                <w:p w14:paraId="5A6E7120">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2025</w:t>
                  </w:r>
                </w:p>
              </w:tc>
              <w:tc>
                <w:tcPr>
                  <w:tcW w:w="1026" w:type="pct"/>
                  <w:tcBorders>
                    <w:tl2br w:val="nil"/>
                    <w:tr2bl w:val="nil"/>
                  </w:tcBorders>
                  <w:vAlign w:val="center"/>
                </w:tcPr>
                <w:p w14:paraId="5BF2AF4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42AC86C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756BBF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8AA18C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22</w:t>
                  </w:r>
                </w:p>
              </w:tc>
              <w:tc>
                <w:tcPr>
                  <w:tcW w:w="1819" w:type="pct"/>
                  <w:tcBorders>
                    <w:tl2br w:val="nil"/>
                    <w:tr2bl w:val="nil"/>
                  </w:tcBorders>
                  <w:vAlign w:val="center"/>
                </w:tcPr>
                <w:p w14:paraId="6CB40D6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匝间短路测试机</w:t>
                  </w:r>
                </w:p>
              </w:tc>
              <w:tc>
                <w:tcPr>
                  <w:tcW w:w="869" w:type="pct"/>
                  <w:tcBorders>
                    <w:tl2br w:val="nil"/>
                    <w:tr2bl w:val="nil"/>
                  </w:tcBorders>
                  <w:shd w:val="clear" w:color="auto" w:fill="auto"/>
                  <w:vAlign w:val="center"/>
                </w:tcPr>
                <w:p w14:paraId="18CE05F6">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UC5815</w:t>
                  </w:r>
                </w:p>
              </w:tc>
              <w:tc>
                <w:tcPr>
                  <w:tcW w:w="1026" w:type="pct"/>
                  <w:tcBorders>
                    <w:tl2br w:val="nil"/>
                    <w:tr2bl w:val="nil"/>
                  </w:tcBorders>
                  <w:vAlign w:val="center"/>
                </w:tcPr>
                <w:p w14:paraId="3D3C004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787" w:type="pct"/>
                  <w:tcBorders>
                    <w:tl2br w:val="nil"/>
                    <w:tr2bl w:val="nil"/>
                  </w:tcBorders>
                  <w:vAlign w:val="center"/>
                </w:tcPr>
                <w:p w14:paraId="5347A6B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测试设备</w:t>
                  </w:r>
                </w:p>
              </w:tc>
            </w:tr>
            <w:tr w14:paraId="6B162E9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2BC1235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w:t>
                  </w:r>
                </w:p>
              </w:tc>
              <w:tc>
                <w:tcPr>
                  <w:tcW w:w="1819" w:type="pct"/>
                  <w:tcBorders>
                    <w:tl2br w:val="nil"/>
                    <w:tr2bl w:val="nil"/>
                  </w:tcBorders>
                  <w:vAlign w:val="center"/>
                </w:tcPr>
                <w:p w14:paraId="0E288CB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全自动脱油机</w:t>
                  </w:r>
                </w:p>
              </w:tc>
              <w:tc>
                <w:tcPr>
                  <w:tcW w:w="869" w:type="pct"/>
                  <w:tcBorders>
                    <w:tl2br w:val="nil"/>
                    <w:tr2bl w:val="nil"/>
                  </w:tcBorders>
                  <w:shd w:val="clear" w:color="auto" w:fill="auto"/>
                  <w:vAlign w:val="center"/>
                </w:tcPr>
                <w:p w14:paraId="4971585B">
                  <w:pPr>
                    <w:pStyle w:val="73"/>
                    <w:widowControl/>
                    <w:kinsoku w:val="0"/>
                    <w:autoSpaceDE w:val="0"/>
                    <w:autoSpaceDN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YX3</w:t>
                  </w:r>
                </w:p>
              </w:tc>
              <w:tc>
                <w:tcPr>
                  <w:tcW w:w="1026" w:type="pct"/>
                  <w:tcBorders>
                    <w:tl2br w:val="nil"/>
                    <w:tr2bl w:val="nil"/>
                  </w:tcBorders>
                  <w:vAlign w:val="center"/>
                </w:tcPr>
                <w:p w14:paraId="02AA274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6D657D4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0E755F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97" w:type="pct"/>
                  <w:tcBorders>
                    <w:tl2br w:val="nil"/>
                    <w:tr2bl w:val="nil"/>
                  </w:tcBorders>
                  <w:vAlign w:val="center"/>
                </w:tcPr>
                <w:p w14:paraId="5A215A9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24</w:t>
                  </w:r>
                </w:p>
              </w:tc>
              <w:tc>
                <w:tcPr>
                  <w:tcW w:w="1819" w:type="pct"/>
                  <w:tcBorders>
                    <w:tl2br w:val="nil"/>
                    <w:tr2bl w:val="nil"/>
                  </w:tcBorders>
                  <w:vAlign w:val="center"/>
                </w:tcPr>
                <w:p w14:paraId="7506F95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螺杆式空气压缩机</w:t>
                  </w:r>
                </w:p>
              </w:tc>
              <w:tc>
                <w:tcPr>
                  <w:tcW w:w="869" w:type="pct"/>
                  <w:tcBorders>
                    <w:tl2br w:val="nil"/>
                    <w:tr2bl w:val="nil"/>
                  </w:tcBorders>
                  <w:shd w:val="clear" w:color="auto" w:fill="auto"/>
                  <w:vAlign w:val="center"/>
                </w:tcPr>
                <w:p w14:paraId="6A8F344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ASC15/GAZZVSD+PAB</w:t>
                  </w:r>
                </w:p>
              </w:tc>
              <w:tc>
                <w:tcPr>
                  <w:tcW w:w="1026" w:type="pct"/>
                  <w:tcBorders>
                    <w:tl2br w:val="nil"/>
                    <w:tr2bl w:val="nil"/>
                  </w:tcBorders>
                  <w:vAlign w:val="center"/>
                </w:tcPr>
                <w:p w14:paraId="00335C1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1ADDF56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公辅设备</w:t>
                  </w:r>
                </w:p>
              </w:tc>
            </w:tr>
            <w:tr w14:paraId="72E85A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48D7670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w:t>
                  </w:r>
                </w:p>
              </w:tc>
              <w:tc>
                <w:tcPr>
                  <w:tcW w:w="1819" w:type="pct"/>
                  <w:tcBorders>
                    <w:tl2br w:val="nil"/>
                    <w:tr2bl w:val="nil"/>
                  </w:tcBorders>
                  <w:vAlign w:val="center"/>
                </w:tcPr>
                <w:p w14:paraId="5AB0FBA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端子压着机</w:t>
                  </w:r>
                </w:p>
              </w:tc>
              <w:tc>
                <w:tcPr>
                  <w:tcW w:w="869" w:type="pct"/>
                  <w:tcBorders>
                    <w:tl2br w:val="nil"/>
                    <w:tr2bl w:val="nil"/>
                  </w:tcBorders>
                  <w:shd w:val="clear" w:color="auto" w:fill="auto"/>
                  <w:vAlign w:val="center"/>
                </w:tcPr>
                <w:p w14:paraId="45B33A2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YN-DZ-02</w:t>
                  </w:r>
                </w:p>
              </w:tc>
              <w:tc>
                <w:tcPr>
                  <w:tcW w:w="1026" w:type="pct"/>
                  <w:tcBorders>
                    <w:tl2br w:val="nil"/>
                    <w:tr2bl w:val="nil"/>
                  </w:tcBorders>
                  <w:vAlign w:val="center"/>
                </w:tcPr>
                <w:p w14:paraId="2DDDA01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0754D58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621F08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4DC4AB5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26</w:t>
                  </w:r>
                </w:p>
              </w:tc>
              <w:tc>
                <w:tcPr>
                  <w:tcW w:w="1819" w:type="pct"/>
                  <w:tcBorders>
                    <w:tl2br w:val="nil"/>
                    <w:tr2bl w:val="nil"/>
                  </w:tcBorders>
                  <w:vAlign w:val="center"/>
                </w:tcPr>
                <w:p w14:paraId="1F62553C">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全自动双头沾锡机</w:t>
                  </w:r>
                </w:p>
              </w:tc>
              <w:tc>
                <w:tcPr>
                  <w:tcW w:w="869" w:type="pct"/>
                  <w:tcBorders>
                    <w:tl2br w:val="nil"/>
                    <w:tr2bl w:val="nil"/>
                  </w:tcBorders>
                  <w:shd w:val="clear" w:color="auto" w:fill="auto"/>
                  <w:vAlign w:val="center"/>
                </w:tcPr>
                <w:p w14:paraId="150C0CB7">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Cs w:val="21"/>
                    </w:rPr>
                    <w:t>YN-S2-02</w:t>
                  </w:r>
                </w:p>
              </w:tc>
              <w:tc>
                <w:tcPr>
                  <w:tcW w:w="1026" w:type="pct"/>
                  <w:tcBorders>
                    <w:tl2br w:val="nil"/>
                    <w:tr2bl w:val="nil"/>
                  </w:tcBorders>
                  <w:vAlign w:val="center"/>
                </w:tcPr>
                <w:p w14:paraId="28FAC2D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2F7313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14FAF7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726C407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27</w:t>
                  </w:r>
                </w:p>
              </w:tc>
              <w:tc>
                <w:tcPr>
                  <w:tcW w:w="1819" w:type="pct"/>
                  <w:tcBorders>
                    <w:tl2br w:val="nil"/>
                    <w:tr2bl w:val="nil"/>
                  </w:tcBorders>
                  <w:vAlign w:val="center"/>
                </w:tcPr>
                <w:p w14:paraId="4D8216B2">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自动焊锡机</w:t>
                  </w:r>
                </w:p>
              </w:tc>
              <w:tc>
                <w:tcPr>
                  <w:tcW w:w="869" w:type="pct"/>
                  <w:tcBorders>
                    <w:tl2br w:val="nil"/>
                    <w:tr2bl w:val="nil"/>
                  </w:tcBorders>
                  <w:shd w:val="clear" w:color="auto" w:fill="auto"/>
                  <w:vAlign w:val="center"/>
                </w:tcPr>
                <w:p w14:paraId="16DE4E5B">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Cs w:val="21"/>
                    </w:rPr>
                    <w:t>TZ-HX5331R</w:t>
                  </w:r>
                </w:p>
              </w:tc>
              <w:tc>
                <w:tcPr>
                  <w:tcW w:w="1026" w:type="pct"/>
                  <w:tcBorders>
                    <w:tl2br w:val="nil"/>
                    <w:tr2bl w:val="nil"/>
                  </w:tcBorders>
                  <w:vAlign w:val="center"/>
                </w:tcPr>
                <w:p w14:paraId="04D8E28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787" w:type="pct"/>
                  <w:tcBorders>
                    <w:tl2br w:val="nil"/>
                    <w:tr2bl w:val="nil"/>
                  </w:tcBorders>
                  <w:vAlign w:val="center"/>
                </w:tcPr>
                <w:p w14:paraId="6F645BD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3C0911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6610812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28</w:t>
                  </w:r>
                </w:p>
              </w:tc>
              <w:tc>
                <w:tcPr>
                  <w:tcW w:w="1819" w:type="pct"/>
                  <w:tcBorders>
                    <w:tl2br w:val="nil"/>
                    <w:tr2bl w:val="nil"/>
                  </w:tcBorders>
                  <w:vAlign w:val="center"/>
                </w:tcPr>
                <w:p w14:paraId="4C616DF4">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869" w:type="pct"/>
                  <w:tcBorders>
                    <w:tl2br w:val="nil"/>
                    <w:tr2bl w:val="nil"/>
                  </w:tcBorders>
                  <w:shd w:val="clear" w:color="auto" w:fill="auto"/>
                  <w:vAlign w:val="center"/>
                </w:tcPr>
                <w:p w14:paraId="69E1AC2F">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 DK7735</w:t>
                  </w:r>
                </w:p>
              </w:tc>
              <w:tc>
                <w:tcPr>
                  <w:tcW w:w="1026" w:type="pct"/>
                  <w:tcBorders>
                    <w:tl2br w:val="nil"/>
                    <w:tr2bl w:val="nil"/>
                  </w:tcBorders>
                  <w:vAlign w:val="center"/>
                </w:tcPr>
                <w:p w14:paraId="1F0907D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1ED1FD4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7CF7EB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7667E4D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29</w:t>
                  </w:r>
                </w:p>
              </w:tc>
              <w:tc>
                <w:tcPr>
                  <w:tcW w:w="1819" w:type="pct"/>
                  <w:tcBorders>
                    <w:tl2br w:val="nil"/>
                    <w:tr2bl w:val="nil"/>
                  </w:tcBorders>
                  <w:vAlign w:val="center"/>
                </w:tcPr>
                <w:p w14:paraId="0C042307">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精密</w:t>
                  </w:r>
                  <w:r>
                    <w:rPr>
                      <w:rStyle w:val="76"/>
                      <w:rFonts w:hint="default" w:ascii="Times New Roman" w:hAnsi="Times New Roman" w:eastAsia="宋体" w:cs="Times New Roman"/>
                      <w:color w:val="auto"/>
                      <w:sz w:val="21"/>
                      <w:szCs w:val="21"/>
                      <w:lang w:val="en-US" w:eastAsia="zh-CN" w:bidi="ar"/>
                    </w:rPr>
                    <w:t>CNC</w:t>
                  </w:r>
                  <w:r>
                    <w:rPr>
                      <w:rFonts w:hint="default" w:ascii="Times New Roman" w:hAnsi="Times New Roman" w:eastAsia="宋体" w:cs="Times New Roman"/>
                      <w:i w:val="0"/>
                      <w:iCs w:val="0"/>
                      <w:color w:val="auto"/>
                      <w:kern w:val="0"/>
                      <w:sz w:val="21"/>
                      <w:szCs w:val="21"/>
                      <w:u w:val="none"/>
                      <w:lang w:val="en-US" w:eastAsia="zh-CN" w:bidi="ar"/>
                    </w:rPr>
                    <w:t>数控顶针式磨床</w:t>
                  </w:r>
                </w:p>
              </w:tc>
              <w:tc>
                <w:tcPr>
                  <w:tcW w:w="869" w:type="pct"/>
                  <w:tcBorders>
                    <w:tl2br w:val="nil"/>
                    <w:tr2bl w:val="nil"/>
                  </w:tcBorders>
                  <w:shd w:val="clear" w:color="auto" w:fill="auto"/>
                  <w:vAlign w:val="center"/>
                </w:tcPr>
                <w:p w14:paraId="0BE9D2D1">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zCs w:val="21"/>
                    </w:rPr>
                    <w:t>/</w:t>
                  </w:r>
                </w:p>
              </w:tc>
              <w:tc>
                <w:tcPr>
                  <w:tcW w:w="1026" w:type="pct"/>
                  <w:tcBorders>
                    <w:tl2br w:val="nil"/>
                    <w:tr2bl w:val="nil"/>
                  </w:tcBorders>
                  <w:vAlign w:val="center"/>
                </w:tcPr>
                <w:p w14:paraId="12517D4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5A6A64A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12B6F5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5A50EDD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30</w:t>
                  </w:r>
                </w:p>
              </w:tc>
              <w:tc>
                <w:tcPr>
                  <w:tcW w:w="1819" w:type="pct"/>
                  <w:tcBorders>
                    <w:tl2br w:val="nil"/>
                    <w:tr2bl w:val="nil"/>
                  </w:tcBorders>
                  <w:vAlign w:val="center"/>
                </w:tcPr>
                <w:p w14:paraId="6D515474">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薄管摩擦压接机</w:t>
                  </w:r>
                </w:p>
              </w:tc>
              <w:tc>
                <w:tcPr>
                  <w:tcW w:w="869" w:type="pct"/>
                  <w:tcBorders>
                    <w:tl2br w:val="nil"/>
                    <w:tr2bl w:val="nil"/>
                  </w:tcBorders>
                  <w:shd w:val="clear" w:color="auto" w:fill="auto"/>
                  <w:vAlign w:val="center"/>
                </w:tcPr>
                <w:p w14:paraId="3F46E60D">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w:t>
                  </w:r>
                </w:p>
              </w:tc>
              <w:tc>
                <w:tcPr>
                  <w:tcW w:w="1026" w:type="pct"/>
                  <w:tcBorders>
                    <w:tl2br w:val="nil"/>
                    <w:tr2bl w:val="nil"/>
                  </w:tcBorders>
                  <w:vAlign w:val="center"/>
                </w:tcPr>
                <w:p w14:paraId="5375439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32B7B65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711428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02A6349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31</w:t>
                  </w:r>
                </w:p>
              </w:tc>
              <w:tc>
                <w:tcPr>
                  <w:tcW w:w="1819" w:type="pct"/>
                  <w:tcBorders>
                    <w:tl2br w:val="nil"/>
                    <w:tr2bl w:val="nil"/>
                  </w:tcBorders>
                  <w:vAlign w:val="center"/>
                </w:tcPr>
                <w:p w14:paraId="77B50D54">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等离子焊接机</w:t>
                  </w:r>
                </w:p>
              </w:tc>
              <w:tc>
                <w:tcPr>
                  <w:tcW w:w="869" w:type="pct"/>
                  <w:tcBorders>
                    <w:tl2br w:val="nil"/>
                    <w:tr2bl w:val="nil"/>
                  </w:tcBorders>
                  <w:shd w:val="clear" w:color="auto" w:fill="auto"/>
                  <w:vAlign w:val="center"/>
                </w:tcPr>
                <w:p w14:paraId="24B066E7">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szCs w:val="21"/>
                    </w:rPr>
                    <w:t>NW-350AH</w:t>
                  </w:r>
                </w:p>
              </w:tc>
              <w:tc>
                <w:tcPr>
                  <w:tcW w:w="1026" w:type="pct"/>
                  <w:tcBorders>
                    <w:tl2br w:val="nil"/>
                    <w:tr2bl w:val="nil"/>
                  </w:tcBorders>
                  <w:vAlign w:val="center"/>
                </w:tcPr>
                <w:p w14:paraId="5F011C5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787" w:type="pct"/>
                  <w:tcBorders>
                    <w:tl2br w:val="nil"/>
                    <w:tr2bl w:val="nil"/>
                  </w:tcBorders>
                  <w:vAlign w:val="center"/>
                </w:tcPr>
                <w:p w14:paraId="640CDFB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757C6A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44F0B27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32</w:t>
                  </w:r>
                </w:p>
              </w:tc>
              <w:tc>
                <w:tcPr>
                  <w:tcW w:w="1819" w:type="pct"/>
                  <w:tcBorders>
                    <w:tl2br w:val="nil"/>
                    <w:tr2bl w:val="nil"/>
                  </w:tcBorders>
                  <w:vAlign w:val="center"/>
                </w:tcPr>
                <w:p w14:paraId="3BF8227A">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电磁吸引力测试机</w:t>
                  </w:r>
                </w:p>
              </w:tc>
              <w:tc>
                <w:tcPr>
                  <w:tcW w:w="869" w:type="pct"/>
                  <w:tcBorders>
                    <w:tl2br w:val="nil"/>
                    <w:tr2bl w:val="nil"/>
                  </w:tcBorders>
                  <w:shd w:val="clear" w:color="auto" w:fill="auto"/>
                  <w:vAlign w:val="center"/>
                </w:tcPr>
                <w:p w14:paraId="3220FEAC">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szCs w:val="21"/>
                    </w:rPr>
                    <w:t>V-1GA-670B</w:t>
                  </w:r>
                </w:p>
              </w:tc>
              <w:tc>
                <w:tcPr>
                  <w:tcW w:w="1026" w:type="pct"/>
                  <w:tcBorders>
                    <w:tl2br w:val="nil"/>
                    <w:tr2bl w:val="nil"/>
                  </w:tcBorders>
                  <w:vAlign w:val="center"/>
                </w:tcPr>
                <w:p w14:paraId="15277D2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0762E01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2AFE6F0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45E9CDF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33</w:t>
                  </w:r>
                </w:p>
              </w:tc>
              <w:tc>
                <w:tcPr>
                  <w:tcW w:w="1819" w:type="pct"/>
                  <w:tcBorders>
                    <w:tl2br w:val="nil"/>
                    <w:tr2bl w:val="nil"/>
                  </w:tcBorders>
                  <w:vAlign w:val="center"/>
                </w:tcPr>
                <w:p w14:paraId="7B4A9C8F">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自动电磁阀测试机</w:t>
                  </w:r>
                </w:p>
              </w:tc>
              <w:tc>
                <w:tcPr>
                  <w:tcW w:w="869" w:type="pct"/>
                  <w:tcBorders>
                    <w:tl2br w:val="nil"/>
                    <w:tr2bl w:val="nil"/>
                  </w:tcBorders>
                  <w:shd w:val="clear" w:color="auto" w:fill="auto"/>
                  <w:vAlign w:val="center"/>
                </w:tcPr>
                <w:p w14:paraId="133723DD">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zCs w:val="21"/>
                    </w:rPr>
                    <w:t>/</w:t>
                  </w:r>
                </w:p>
              </w:tc>
              <w:tc>
                <w:tcPr>
                  <w:tcW w:w="1026" w:type="pct"/>
                  <w:tcBorders>
                    <w:tl2br w:val="nil"/>
                    <w:tr2bl w:val="nil"/>
                  </w:tcBorders>
                  <w:vAlign w:val="center"/>
                </w:tcPr>
                <w:p w14:paraId="3EE9DFB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2D77BBC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生产设备</w:t>
                  </w:r>
                </w:p>
              </w:tc>
            </w:tr>
            <w:tr w14:paraId="4F0ED4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05723F5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34</w:t>
                  </w:r>
                </w:p>
              </w:tc>
              <w:tc>
                <w:tcPr>
                  <w:tcW w:w="1819" w:type="pct"/>
                  <w:tcBorders>
                    <w:tl2br w:val="nil"/>
                    <w:tr2bl w:val="nil"/>
                  </w:tcBorders>
                  <w:vAlign w:val="center"/>
                </w:tcPr>
                <w:p w14:paraId="188C0DD1">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i w:val="0"/>
                      <w:iCs w:val="0"/>
                      <w:color w:val="auto"/>
                      <w:kern w:val="0"/>
                      <w:sz w:val="21"/>
                      <w:szCs w:val="21"/>
                      <w:u w:val="none"/>
                      <w:lang w:val="en-US" w:eastAsia="zh-CN" w:bidi="ar"/>
                    </w:rPr>
                    <w:t>电功率参数测量仪</w:t>
                  </w:r>
                </w:p>
              </w:tc>
              <w:tc>
                <w:tcPr>
                  <w:tcW w:w="869" w:type="pct"/>
                  <w:tcBorders>
                    <w:tl2br w:val="nil"/>
                    <w:tr2bl w:val="nil"/>
                  </w:tcBorders>
                  <w:shd w:val="clear" w:color="auto" w:fill="auto"/>
                  <w:vAlign w:val="center"/>
                </w:tcPr>
                <w:p w14:paraId="2C0D3064">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Cs w:val="21"/>
                    </w:rPr>
                    <w:t>WB100A</w:t>
                  </w:r>
                </w:p>
              </w:tc>
              <w:tc>
                <w:tcPr>
                  <w:tcW w:w="1026" w:type="pct"/>
                  <w:tcBorders>
                    <w:tl2br w:val="nil"/>
                    <w:tr2bl w:val="nil"/>
                  </w:tcBorders>
                  <w:vAlign w:val="center"/>
                </w:tcPr>
                <w:p w14:paraId="3B6C727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787" w:type="pct"/>
                  <w:tcBorders>
                    <w:tl2br w:val="nil"/>
                    <w:tr2bl w:val="nil"/>
                  </w:tcBorders>
                  <w:vAlign w:val="center"/>
                </w:tcPr>
                <w:p w14:paraId="15849F5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测试设备</w:t>
                  </w:r>
                </w:p>
              </w:tc>
            </w:tr>
            <w:tr w14:paraId="64CBAA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97" w:type="pct"/>
                  <w:tcBorders>
                    <w:tl2br w:val="nil"/>
                    <w:tr2bl w:val="nil"/>
                  </w:tcBorders>
                  <w:vAlign w:val="center"/>
                </w:tcPr>
                <w:p w14:paraId="7C55D1A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35</w:t>
                  </w:r>
                </w:p>
              </w:tc>
              <w:tc>
                <w:tcPr>
                  <w:tcW w:w="1819" w:type="pct"/>
                  <w:tcBorders>
                    <w:tl2br w:val="nil"/>
                    <w:tr2bl w:val="nil"/>
                  </w:tcBorders>
                  <w:vAlign w:val="center"/>
                </w:tcPr>
                <w:p w14:paraId="06B45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激光打标设备</w:t>
                  </w:r>
                </w:p>
              </w:tc>
              <w:tc>
                <w:tcPr>
                  <w:tcW w:w="869" w:type="pct"/>
                  <w:tcBorders>
                    <w:tl2br w:val="nil"/>
                    <w:tr2bl w:val="nil"/>
                  </w:tcBorders>
                  <w:shd w:val="clear" w:color="auto" w:fill="auto"/>
                  <w:vAlign w:val="center"/>
                </w:tcPr>
                <w:p w14:paraId="463027D6">
                  <w:pPr>
                    <w:widowControl/>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Cs w:val="21"/>
                    </w:rPr>
                    <w:t>SL-F20</w:t>
                  </w:r>
                </w:p>
              </w:tc>
              <w:tc>
                <w:tcPr>
                  <w:tcW w:w="1026" w:type="pct"/>
                  <w:tcBorders>
                    <w:tl2br w:val="nil"/>
                    <w:tr2bl w:val="nil"/>
                  </w:tcBorders>
                  <w:shd w:val="clear" w:color="auto" w:fill="auto"/>
                  <w:vAlign w:val="center"/>
                </w:tcPr>
                <w:p w14:paraId="1C424B7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87" w:type="pct"/>
                  <w:tcBorders>
                    <w:tl2br w:val="nil"/>
                    <w:tr2bl w:val="nil"/>
                  </w:tcBorders>
                  <w:vAlign w:val="center"/>
                </w:tcPr>
                <w:p w14:paraId="2585DB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生产设备</w:t>
                  </w:r>
                </w:p>
              </w:tc>
            </w:tr>
          </w:tbl>
          <w:p w14:paraId="091F197E">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、原辅材料</w:t>
            </w:r>
          </w:p>
          <w:p w14:paraId="1B9D5C8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1）原辅料用量及成分</w:t>
            </w:r>
          </w:p>
          <w:p w14:paraId="634216F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本项目主要原辅材料见表2-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14:paraId="41FB00A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表2-4  建设项目原辅料及资源能源消耗</w:t>
            </w:r>
          </w:p>
          <w:tbl>
            <w:tblPr>
              <w:tblStyle w:val="74"/>
              <w:tblW w:w="4995"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42"/>
              <w:gridCol w:w="884"/>
              <w:gridCol w:w="1617"/>
              <w:gridCol w:w="2251"/>
              <w:gridCol w:w="698"/>
              <w:gridCol w:w="790"/>
              <w:gridCol w:w="790"/>
              <w:gridCol w:w="790"/>
            </w:tblGrid>
            <w:tr w14:paraId="6AD536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324" w:type="pct"/>
                  <w:tcBorders>
                    <w:tl2br w:val="nil"/>
                    <w:tr2bl w:val="nil"/>
                  </w:tcBorders>
                  <w:vAlign w:val="center"/>
                </w:tcPr>
                <w:p w14:paraId="61A75D4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序号</w:t>
                  </w:r>
                </w:p>
              </w:tc>
              <w:tc>
                <w:tcPr>
                  <w:tcW w:w="528" w:type="pct"/>
                  <w:tcBorders>
                    <w:tl2br w:val="nil"/>
                    <w:tr2bl w:val="nil"/>
                  </w:tcBorders>
                  <w:vAlign w:val="center"/>
                </w:tcPr>
                <w:p w14:paraId="75668B5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产品名称</w:t>
                  </w:r>
                </w:p>
              </w:tc>
              <w:tc>
                <w:tcPr>
                  <w:tcW w:w="966" w:type="pct"/>
                  <w:tcBorders>
                    <w:tl2br w:val="nil"/>
                    <w:tr2bl w:val="nil"/>
                  </w:tcBorders>
                  <w:vAlign w:val="center"/>
                </w:tcPr>
                <w:p w14:paraId="5846F7A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原辅材料名称</w:t>
                  </w:r>
                </w:p>
              </w:tc>
              <w:tc>
                <w:tcPr>
                  <w:tcW w:w="1345" w:type="pct"/>
                  <w:tcBorders>
                    <w:tl2br w:val="nil"/>
                    <w:tr2bl w:val="nil"/>
                  </w:tcBorders>
                  <w:vAlign w:val="center"/>
                </w:tcPr>
                <w:p w14:paraId="39A721D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规格、组分</w:t>
                  </w:r>
                </w:p>
              </w:tc>
              <w:tc>
                <w:tcPr>
                  <w:tcW w:w="417" w:type="pct"/>
                  <w:tcBorders>
                    <w:tl2br w:val="nil"/>
                    <w:tr2bl w:val="nil"/>
                  </w:tcBorders>
                  <w:vAlign w:val="center"/>
                </w:tcPr>
                <w:p w14:paraId="4E69A86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单位</w:t>
                  </w:r>
                </w:p>
              </w:tc>
              <w:tc>
                <w:tcPr>
                  <w:tcW w:w="472" w:type="pct"/>
                  <w:tcBorders>
                    <w:tl2br w:val="nil"/>
                    <w:tr2bl w:val="nil"/>
                  </w:tcBorders>
                  <w:shd w:val="clear" w:color="auto" w:fill="auto"/>
                  <w:vAlign w:val="center"/>
                </w:tcPr>
                <w:p w14:paraId="6C19DA11">
                  <w:pPr>
                    <w:jc w:val="center"/>
                    <w:rPr>
                      <w:rFonts w:hint="default" w:ascii="Times New Roman" w:hAnsi="Times New Roman" w:eastAsia="宋体" w:cs="Times New Roman"/>
                      <w:b/>
                      <w:snapToGrid w:val="0"/>
                      <w:color w:val="auto"/>
                      <w:kern w:val="0"/>
                      <w:sz w:val="21"/>
                      <w:szCs w:val="21"/>
                      <w:lang w:val="en-US" w:eastAsia="en-US" w:bidi="ar-SA"/>
                    </w:rPr>
                  </w:pPr>
                  <w:r>
                    <w:rPr>
                      <w:rFonts w:hint="default" w:ascii="Times New Roman" w:hAnsi="Times New Roman" w:eastAsia="宋体" w:cs="Times New Roman"/>
                      <w:b/>
                      <w:color w:val="auto"/>
                      <w:sz w:val="21"/>
                      <w:szCs w:val="21"/>
                    </w:rPr>
                    <w:t>年耗量</w:t>
                  </w:r>
                </w:p>
              </w:tc>
              <w:tc>
                <w:tcPr>
                  <w:tcW w:w="472" w:type="pct"/>
                  <w:tcBorders>
                    <w:tl2br w:val="nil"/>
                    <w:tr2bl w:val="nil"/>
                  </w:tcBorders>
                  <w:shd w:val="clear" w:color="auto" w:fill="auto"/>
                  <w:vAlign w:val="center"/>
                </w:tcPr>
                <w:p w14:paraId="70F69615">
                  <w:pPr>
                    <w:jc w:val="center"/>
                    <w:rPr>
                      <w:rFonts w:hint="default" w:ascii="Times New Roman" w:hAnsi="Times New Roman" w:eastAsia="宋体" w:cs="Times New Roman"/>
                      <w:b/>
                      <w:snapToGrid w:val="0"/>
                      <w:color w:val="auto"/>
                      <w:kern w:val="0"/>
                      <w:sz w:val="21"/>
                      <w:szCs w:val="21"/>
                      <w:lang w:val="en-US" w:eastAsia="en-US" w:bidi="ar-SA"/>
                    </w:rPr>
                  </w:pPr>
                  <w:r>
                    <w:rPr>
                      <w:rFonts w:hint="default" w:ascii="Times New Roman" w:hAnsi="Times New Roman" w:eastAsia="宋体" w:cs="Times New Roman"/>
                      <w:b/>
                      <w:color w:val="auto"/>
                      <w:sz w:val="21"/>
                      <w:szCs w:val="21"/>
                    </w:rPr>
                    <w:t>最大储存量</w:t>
                  </w:r>
                </w:p>
              </w:tc>
              <w:tc>
                <w:tcPr>
                  <w:tcW w:w="472" w:type="pct"/>
                  <w:tcBorders>
                    <w:tl2br w:val="nil"/>
                    <w:tr2bl w:val="nil"/>
                  </w:tcBorders>
                  <w:shd w:val="clear" w:color="auto" w:fill="auto"/>
                  <w:vAlign w:val="center"/>
                </w:tcPr>
                <w:p w14:paraId="21C77CD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来源及</w:t>
                  </w:r>
                </w:p>
                <w:p w14:paraId="24BE8BB6">
                  <w:pPr>
                    <w:jc w:val="center"/>
                    <w:rPr>
                      <w:rFonts w:hint="default" w:ascii="Times New Roman" w:hAnsi="Times New Roman" w:eastAsia="宋体" w:cs="Times New Roman"/>
                      <w:b/>
                      <w:snapToGrid w:val="0"/>
                      <w:color w:val="auto"/>
                      <w:kern w:val="0"/>
                      <w:sz w:val="21"/>
                      <w:szCs w:val="21"/>
                      <w:lang w:val="en-US" w:eastAsia="en-US" w:bidi="ar-SA"/>
                    </w:rPr>
                  </w:pPr>
                  <w:r>
                    <w:rPr>
                      <w:rFonts w:hint="default" w:ascii="Times New Roman" w:hAnsi="Times New Roman" w:eastAsia="宋体" w:cs="Times New Roman"/>
                      <w:b/>
                      <w:color w:val="auto"/>
                      <w:sz w:val="21"/>
                      <w:szCs w:val="21"/>
                    </w:rPr>
                    <w:t>运输</w:t>
                  </w:r>
                </w:p>
              </w:tc>
            </w:tr>
            <w:tr w14:paraId="03B6A3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0AE072D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28" w:type="pct"/>
                  <w:vMerge w:val="restart"/>
                  <w:tcBorders>
                    <w:tl2br w:val="nil"/>
                    <w:tr2bl w:val="nil"/>
                  </w:tcBorders>
                  <w:vAlign w:val="center"/>
                </w:tcPr>
                <w:p w14:paraId="0DDC1D4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电磁线圈</w:t>
                  </w:r>
                </w:p>
              </w:tc>
              <w:tc>
                <w:tcPr>
                  <w:tcW w:w="966" w:type="pct"/>
                  <w:tcBorders>
                    <w:tl2br w:val="nil"/>
                    <w:tr2bl w:val="nil"/>
                  </w:tcBorders>
                  <w:vAlign w:val="center"/>
                </w:tcPr>
                <w:p w14:paraId="4D917C6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漆包线</w:t>
                  </w:r>
                </w:p>
              </w:tc>
              <w:tc>
                <w:tcPr>
                  <w:tcW w:w="1345" w:type="pct"/>
                  <w:tcBorders>
                    <w:tl2br w:val="nil"/>
                    <w:tr2bl w:val="nil"/>
                  </w:tcBorders>
                  <w:vAlign w:val="center"/>
                </w:tcPr>
                <w:p w14:paraId="3997D88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393F1EA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t/a</w:t>
                  </w:r>
                </w:p>
              </w:tc>
              <w:tc>
                <w:tcPr>
                  <w:tcW w:w="472" w:type="pct"/>
                  <w:tcBorders>
                    <w:tl2br w:val="nil"/>
                    <w:tr2bl w:val="nil"/>
                  </w:tcBorders>
                  <w:vAlign w:val="center"/>
                </w:tcPr>
                <w:p w14:paraId="64F462A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100</w:t>
                  </w:r>
                </w:p>
              </w:tc>
              <w:tc>
                <w:tcPr>
                  <w:tcW w:w="472" w:type="pct"/>
                  <w:tcBorders>
                    <w:tl2br w:val="nil"/>
                    <w:tr2bl w:val="nil"/>
                  </w:tcBorders>
                  <w:vAlign w:val="center"/>
                </w:tcPr>
                <w:p w14:paraId="79F908A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10</w:t>
                  </w:r>
                </w:p>
              </w:tc>
              <w:tc>
                <w:tcPr>
                  <w:tcW w:w="472" w:type="pct"/>
                  <w:vMerge w:val="restart"/>
                  <w:tcBorders>
                    <w:tl2br w:val="nil"/>
                    <w:tr2bl w:val="nil"/>
                  </w:tcBorders>
                  <w:vAlign w:val="center"/>
                </w:tcPr>
                <w:p w14:paraId="30A397B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国内</w:t>
                  </w:r>
                </w:p>
                <w:p w14:paraId="1C2851B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车运</w:t>
                  </w:r>
                </w:p>
              </w:tc>
            </w:tr>
            <w:tr w14:paraId="02C25B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24" w:type="pct"/>
                  <w:tcBorders>
                    <w:tl2br w:val="nil"/>
                    <w:tr2bl w:val="nil"/>
                  </w:tcBorders>
                  <w:vAlign w:val="center"/>
                </w:tcPr>
                <w:p w14:paraId="292BA49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28" w:type="pct"/>
                  <w:vMerge w:val="continue"/>
                  <w:tcBorders>
                    <w:tl2br w:val="nil"/>
                    <w:tr2bl w:val="nil"/>
                  </w:tcBorders>
                  <w:vAlign w:val="center"/>
                </w:tcPr>
                <w:p w14:paraId="05C337A2">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63071FA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塑料线架</w:t>
                  </w:r>
                </w:p>
              </w:tc>
              <w:tc>
                <w:tcPr>
                  <w:tcW w:w="1345" w:type="pct"/>
                  <w:tcBorders>
                    <w:tl2br w:val="nil"/>
                    <w:tr2bl w:val="nil"/>
                  </w:tcBorders>
                  <w:vAlign w:val="center"/>
                </w:tcPr>
                <w:p w14:paraId="284585D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223D8D8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55C4E73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100万</w:t>
                  </w:r>
                </w:p>
              </w:tc>
              <w:tc>
                <w:tcPr>
                  <w:tcW w:w="472" w:type="pct"/>
                  <w:tcBorders>
                    <w:tl2br w:val="nil"/>
                    <w:tr2bl w:val="nil"/>
                  </w:tcBorders>
                  <w:vAlign w:val="center"/>
                </w:tcPr>
                <w:p w14:paraId="3D40C22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10</w:t>
                  </w:r>
                  <w:r>
                    <w:rPr>
                      <w:rFonts w:hint="default" w:ascii="Times New Roman" w:hAnsi="Times New Roman" w:eastAsia="宋体" w:cs="Times New Roman"/>
                      <w:color w:val="auto"/>
                      <w:spacing w:val="-6"/>
                      <w:sz w:val="21"/>
                      <w:szCs w:val="21"/>
                    </w:rPr>
                    <w:t>万</w:t>
                  </w:r>
                </w:p>
              </w:tc>
              <w:tc>
                <w:tcPr>
                  <w:tcW w:w="472" w:type="pct"/>
                  <w:vMerge w:val="continue"/>
                  <w:tcBorders>
                    <w:tl2br w:val="nil"/>
                    <w:tr2bl w:val="nil"/>
                  </w:tcBorders>
                  <w:vAlign w:val="center"/>
                </w:tcPr>
                <w:p w14:paraId="1F42379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rPr>
                  </w:pPr>
                </w:p>
              </w:tc>
            </w:tr>
            <w:tr w14:paraId="629645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41462C1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28" w:type="pct"/>
                  <w:vMerge w:val="continue"/>
                  <w:tcBorders>
                    <w:tl2br w:val="nil"/>
                    <w:tr2bl w:val="nil"/>
                  </w:tcBorders>
                  <w:vAlign w:val="center"/>
                </w:tcPr>
                <w:p w14:paraId="341BDA4C">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0A388B8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外壳</w:t>
                  </w:r>
                </w:p>
              </w:tc>
              <w:tc>
                <w:tcPr>
                  <w:tcW w:w="1345" w:type="pct"/>
                  <w:tcBorders>
                    <w:tl2br w:val="nil"/>
                    <w:tr2bl w:val="nil"/>
                  </w:tcBorders>
                  <w:vAlign w:val="center"/>
                </w:tcPr>
                <w:p w14:paraId="1301138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2F79CFA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5844EBE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50万</w:t>
                  </w:r>
                </w:p>
              </w:tc>
              <w:tc>
                <w:tcPr>
                  <w:tcW w:w="472" w:type="pct"/>
                  <w:tcBorders>
                    <w:tl2br w:val="nil"/>
                    <w:tr2bl w:val="nil"/>
                  </w:tcBorders>
                  <w:vAlign w:val="center"/>
                </w:tcPr>
                <w:p w14:paraId="2EA9B4C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5</w:t>
                  </w:r>
                  <w:r>
                    <w:rPr>
                      <w:rFonts w:hint="default" w:ascii="Times New Roman" w:hAnsi="Times New Roman" w:eastAsia="宋体" w:cs="Times New Roman"/>
                      <w:color w:val="auto"/>
                      <w:spacing w:val="-6"/>
                      <w:sz w:val="21"/>
                      <w:szCs w:val="21"/>
                    </w:rPr>
                    <w:t>万</w:t>
                  </w:r>
                </w:p>
              </w:tc>
              <w:tc>
                <w:tcPr>
                  <w:tcW w:w="472" w:type="pct"/>
                  <w:vMerge w:val="continue"/>
                  <w:tcBorders>
                    <w:tl2br w:val="nil"/>
                    <w:tr2bl w:val="nil"/>
                  </w:tcBorders>
                  <w:vAlign w:val="center"/>
                </w:tcPr>
                <w:p w14:paraId="44D37D0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5"/>
                      <w:sz w:val="21"/>
                      <w:szCs w:val="21"/>
                    </w:rPr>
                  </w:pPr>
                </w:p>
              </w:tc>
            </w:tr>
            <w:tr w14:paraId="38E505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23E48FF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28" w:type="pct"/>
                  <w:vMerge w:val="continue"/>
                  <w:tcBorders>
                    <w:tl2br w:val="nil"/>
                    <w:tr2bl w:val="nil"/>
                  </w:tcBorders>
                  <w:vAlign w:val="center"/>
                </w:tcPr>
                <w:p w14:paraId="2F59DC25">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42CA833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配件</w:t>
                  </w:r>
                </w:p>
              </w:tc>
              <w:tc>
                <w:tcPr>
                  <w:tcW w:w="1345" w:type="pct"/>
                  <w:tcBorders>
                    <w:tl2br w:val="nil"/>
                    <w:tr2bl w:val="nil"/>
                  </w:tcBorders>
                  <w:vAlign w:val="center"/>
                </w:tcPr>
                <w:p w14:paraId="77B512E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4B0BBA4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套/年</w:t>
                  </w:r>
                </w:p>
              </w:tc>
              <w:tc>
                <w:tcPr>
                  <w:tcW w:w="472" w:type="pct"/>
                  <w:tcBorders>
                    <w:tl2br w:val="nil"/>
                    <w:tr2bl w:val="nil"/>
                  </w:tcBorders>
                  <w:vAlign w:val="center"/>
                </w:tcPr>
                <w:p w14:paraId="378B2A7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100万</w:t>
                  </w:r>
                </w:p>
              </w:tc>
              <w:tc>
                <w:tcPr>
                  <w:tcW w:w="472" w:type="pct"/>
                  <w:tcBorders>
                    <w:tl2br w:val="nil"/>
                    <w:tr2bl w:val="nil"/>
                  </w:tcBorders>
                  <w:vAlign w:val="center"/>
                </w:tcPr>
                <w:p w14:paraId="378E2C8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10</w:t>
                  </w:r>
                  <w:r>
                    <w:rPr>
                      <w:rFonts w:hint="default" w:ascii="Times New Roman" w:hAnsi="Times New Roman" w:eastAsia="宋体" w:cs="Times New Roman"/>
                      <w:color w:val="auto"/>
                      <w:spacing w:val="-6"/>
                      <w:sz w:val="21"/>
                      <w:szCs w:val="21"/>
                    </w:rPr>
                    <w:t>万</w:t>
                  </w:r>
                </w:p>
              </w:tc>
              <w:tc>
                <w:tcPr>
                  <w:tcW w:w="472" w:type="pct"/>
                  <w:vMerge w:val="continue"/>
                  <w:tcBorders>
                    <w:tl2br w:val="nil"/>
                    <w:tr2bl w:val="nil"/>
                  </w:tcBorders>
                  <w:vAlign w:val="center"/>
                </w:tcPr>
                <w:p w14:paraId="724E11D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rPr>
                  </w:pPr>
                </w:p>
              </w:tc>
            </w:tr>
            <w:tr w14:paraId="509BB2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700DC40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28" w:type="pct"/>
                  <w:vMerge w:val="continue"/>
                  <w:tcBorders>
                    <w:tl2br w:val="nil"/>
                    <w:tr2bl w:val="nil"/>
                  </w:tcBorders>
                  <w:vAlign w:val="center"/>
                </w:tcPr>
                <w:p w14:paraId="13121411">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61FE384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硅钢片</w:t>
                  </w:r>
                </w:p>
              </w:tc>
              <w:tc>
                <w:tcPr>
                  <w:tcW w:w="1345" w:type="pct"/>
                  <w:tcBorders>
                    <w:tl2br w:val="nil"/>
                    <w:tr2bl w:val="nil"/>
                  </w:tcBorders>
                  <w:vAlign w:val="center"/>
                </w:tcPr>
                <w:p w14:paraId="3D1C650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铁、硅、碳、锰</w:t>
                  </w:r>
                  <w:r>
                    <w:rPr>
                      <w:rFonts w:hint="eastAsia" w:ascii="Times New Roman" w:hAnsi="Times New Roman" w:cs="Times New Roman"/>
                      <w:color w:val="auto"/>
                      <w:sz w:val="21"/>
                      <w:szCs w:val="21"/>
                      <w:lang w:val="en-US" w:eastAsia="zh-CN"/>
                    </w:rPr>
                    <w:t>等</w:t>
                  </w:r>
                </w:p>
              </w:tc>
              <w:tc>
                <w:tcPr>
                  <w:tcW w:w="417" w:type="pct"/>
                  <w:tcBorders>
                    <w:tl2br w:val="nil"/>
                    <w:tr2bl w:val="nil"/>
                  </w:tcBorders>
                  <w:vAlign w:val="center"/>
                </w:tcPr>
                <w:p w14:paraId="4C8C50D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t/a</w:t>
                  </w:r>
                </w:p>
              </w:tc>
              <w:tc>
                <w:tcPr>
                  <w:tcW w:w="472" w:type="pct"/>
                  <w:tcBorders>
                    <w:tl2br w:val="nil"/>
                    <w:tr2bl w:val="nil"/>
                  </w:tcBorders>
                  <w:vAlign w:val="center"/>
                </w:tcPr>
                <w:p w14:paraId="5A8D23E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48</w:t>
                  </w:r>
                </w:p>
              </w:tc>
              <w:tc>
                <w:tcPr>
                  <w:tcW w:w="472" w:type="pct"/>
                  <w:tcBorders>
                    <w:tl2br w:val="nil"/>
                    <w:tr2bl w:val="nil"/>
                  </w:tcBorders>
                  <w:vAlign w:val="center"/>
                </w:tcPr>
                <w:p w14:paraId="356D85C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w:t>
                  </w:r>
                </w:p>
              </w:tc>
              <w:tc>
                <w:tcPr>
                  <w:tcW w:w="472" w:type="pct"/>
                  <w:vMerge w:val="continue"/>
                  <w:tcBorders>
                    <w:tl2br w:val="nil"/>
                    <w:tr2bl w:val="nil"/>
                  </w:tcBorders>
                  <w:vAlign w:val="center"/>
                </w:tcPr>
                <w:p w14:paraId="13C1ED7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2"/>
                      <w:sz w:val="21"/>
                      <w:szCs w:val="21"/>
                    </w:rPr>
                  </w:pPr>
                </w:p>
              </w:tc>
            </w:tr>
            <w:tr w14:paraId="0EAC8B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4" w:type="pct"/>
                  <w:tcBorders>
                    <w:tl2br w:val="nil"/>
                    <w:tr2bl w:val="nil"/>
                  </w:tcBorders>
                  <w:vAlign w:val="center"/>
                </w:tcPr>
                <w:p w14:paraId="01F41A3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28" w:type="pct"/>
                  <w:vMerge w:val="continue"/>
                  <w:tcBorders>
                    <w:tl2br w:val="nil"/>
                    <w:tr2bl w:val="nil"/>
                  </w:tcBorders>
                  <w:vAlign w:val="center"/>
                </w:tcPr>
                <w:p w14:paraId="247D1847">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05376DF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不饱和聚酯树脂成型</w:t>
                  </w:r>
                  <w:r>
                    <w:rPr>
                      <w:rFonts w:hint="default" w:ascii="Times New Roman" w:hAnsi="Times New Roman" w:eastAsia="宋体" w:cs="Times New Roman"/>
                      <w:color w:val="auto"/>
                      <w:spacing w:val="-3"/>
                      <w:sz w:val="21"/>
                      <w:szCs w:val="21"/>
                    </w:rPr>
                    <w:t>材料（BMC）</w:t>
                  </w:r>
                </w:p>
              </w:tc>
              <w:tc>
                <w:tcPr>
                  <w:tcW w:w="1345" w:type="pct"/>
                  <w:tcBorders>
                    <w:tl2br w:val="nil"/>
                    <w:tr2bl w:val="nil"/>
                  </w:tcBorders>
                  <w:vAlign w:val="center"/>
                </w:tcPr>
                <w:p w14:paraId="4035056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25千克/箱，碳酸钙50-60%、不饱和聚酯树脂17-22%、乙烯基酯树脂3-8%、玻璃纤维15-20%、苯乙烯1-5%、过苯甲酸叔丁酯0-1%、硬脂酸锌1-3%、氢化苯乙烯1-3%</w:t>
                  </w:r>
                </w:p>
              </w:tc>
              <w:tc>
                <w:tcPr>
                  <w:tcW w:w="417" w:type="pct"/>
                  <w:tcBorders>
                    <w:tl2br w:val="nil"/>
                    <w:tr2bl w:val="nil"/>
                  </w:tcBorders>
                  <w:vAlign w:val="center"/>
                </w:tcPr>
                <w:p w14:paraId="2154388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t/a</w:t>
                  </w:r>
                </w:p>
              </w:tc>
              <w:tc>
                <w:tcPr>
                  <w:tcW w:w="472" w:type="pct"/>
                  <w:tcBorders>
                    <w:tl2br w:val="nil"/>
                    <w:tr2bl w:val="nil"/>
                  </w:tcBorders>
                  <w:vAlign w:val="center"/>
                </w:tcPr>
                <w:p w14:paraId="74C77DF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6"/>
                      <w:sz w:val="21"/>
                      <w:szCs w:val="21"/>
                      <w:lang w:val="en-US" w:eastAsia="zh-CN"/>
                    </w:rPr>
                    <w:t>90</w:t>
                  </w:r>
                </w:p>
              </w:tc>
              <w:tc>
                <w:tcPr>
                  <w:tcW w:w="472" w:type="pct"/>
                  <w:tcBorders>
                    <w:tl2br w:val="nil"/>
                    <w:tr2bl w:val="nil"/>
                  </w:tcBorders>
                  <w:vAlign w:val="center"/>
                </w:tcPr>
                <w:p w14:paraId="5237014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10</w:t>
                  </w:r>
                </w:p>
              </w:tc>
              <w:tc>
                <w:tcPr>
                  <w:tcW w:w="472" w:type="pct"/>
                  <w:vMerge w:val="continue"/>
                  <w:tcBorders>
                    <w:tl2br w:val="nil"/>
                    <w:tr2bl w:val="nil"/>
                  </w:tcBorders>
                  <w:vAlign w:val="center"/>
                </w:tcPr>
                <w:p w14:paraId="79CCB0C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6"/>
                      <w:sz w:val="21"/>
                      <w:szCs w:val="21"/>
                    </w:rPr>
                  </w:pPr>
                </w:p>
              </w:tc>
            </w:tr>
            <w:tr w14:paraId="7011D44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7DE204B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28" w:type="pct"/>
                  <w:vMerge w:val="continue"/>
                  <w:tcBorders>
                    <w:tl2br w:val="nil"/>
                    <w:tr2bl w:val="nil"/>
                  </w:tcBorders>
                  <w:vAlign w:val="center"/>
                </w:tcPr>
                <w:p w14:paraId="1253208D">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475AD57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模具</w:t>
                  </w:r>
                </w:p>
              </w:tc>
              <w:tc>
                <w:tcPr>
                  <w:tcW w:w="1345" w:type="pct"/>
                  <w:tcBorders>
                    <w:tl2br w:val="nil"/>
                    <w:tr2bl w:val="nil"/>
                  </w:tcBorders>
                  <w:vAlign w:val="center"/>
                </w:tcPr>
                <w:p w14:paraId="6FBD73D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60118A8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套/年</w:t>
                  </w:r>
                </w:p>
              </w:tc>
              <w:tc>
                <w:tcPr>
                  <w:tcW w:w="472" w:type="pct"/>
                  <w:tcBorders>
                    <w:tl2br w:val="nil"/>
                    <w:tr2bl w:val="nil"/>
                  </w:tcBorders>
                  <w:vAlign w:val="center"/>
                </w:tcPr>
                <w:p w14:paraId="08A7ED8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60</w:t>
                  </w:r>
                </w:p>
              </w:tc>
              <w:tc>
                <w:tcPr>
                  <w:tcW w:w="472" w:type="pct"/>
                  <w:tcBorders>
                    <w:tl2br w:val="nil"/>
                    <w:tr2bl w:val="nil"/>
                  </w:tcBorders>
                  <w:vAlign w:val="center"/>
                </w:tcPr>
                <w:p w14:paraId="27FF470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w:t>
                  </w:r>
                </w:p>
              </w:tc>
              <w:tc>
                <w:tcPr>
                  <w:tcW w:w="472" w:type="pct"/>
                  <w:vMerge w:val="continue"/>
                  <w:tcBorders>
                    <w:tl2br w:val="nil"/>
                    <w:tr2bl w:val="nil"/>
                  </w:tcBorders>
                  <w:vAlign w:val="center"/>
                </w:tcPr>
                <w:p w14:paraId="315E172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1471AF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1CFE415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28" w:type="pct"/>
                  <w:vMerge w:val="continue"/>
                  <w:tcBorders>
                    <w:tl2br w:val="nil"/>
                    <w:tr2bl w:val="nil"/>
                  </w:tcBorders>
                  <w:vAlign w:val="center"/>
                </w:tcPr>
                <w:p w14:paraId="380A582D">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54B894D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焊棒</w:t>
                  </w:r>
                </w:p>
              </w:tc>
              <w:tc>
                <w:tcPr>
                  <w:tcW w:w="1345" w:type="pct"/>
                  <w:tcBorders>
                    <w:tl2br w:val="nil"/>
                    <w:tr2bl w:val="nil"/>
                  </w:tcBorders>
                  <w:vAlign w:val="center"/>
                </w:tcPr>
                <w:p w14:paraId="6C3F3D35">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cs="Times New Roman"/>
                      <w:color w:val="auto"/>
                      <w:spacing w:val="-2"/>
                      <w:sz w:val="21"/>
                      <w:szCs w:val="21"/>
                      <w:lang w:val="en-US" w:eastAsia="zh-CN"/>
                    </w:rPr>
                  </w:pPr>
                  <w:r>
                    <w:rPr>
                      <w:rFonts w:hint="default" w:ascii="Times New Roman" w:hAnsi="Times New Roman" w:eastAsia="宋体" w:cs="Times New Roman"/>
                      <w:color w:val="auto"/>
                      <w:spacing w:val="-2"/>
                      <w:sz w:val="21"/>
                      <w:szCs w:val="21"/>
                    </w:rPr>
                    <w:t>锡</w:t>
                  </w:r>
                  <w:r>
                    <w:rPr>
                      <w:rFonts w:hint="eastAsia" w:ascii="Times New Roman" w:hAnsi="Times New Roman" w:cs="Times New Roman"/>
                      <w:color w:val="auto"/>
                      <w:spacing w:val="-2"/>
                      <w:sz w:val="21"/>
                      <w:szCs w:val="21"/>
                      <w:lang w:val="en-US" w:eastAsia="zh-CN"/>
                    </w:rPr>
                    <w:t>95%、其他5%</w:t>
                  </w:r>
                </w:p>
                <w:p w14:paraId="174D83A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（不含铅）</w:t>
                  </w:r>
                </w:p>
              </w:tc>
              <w:tc>
                <w:tcPr>
                  <w:tcW w:w="417" w:type="pct"/>
                  <w:tcBorders>
                    <w:tl2br w:val="nil"/>
                    <w:tr2bl w:val="nil"/>
                  </w:tcBorders>
                  <w:vAlign w:val="center"/>
                </w:tcPr>
                <w:p w14:paraId="0E884A4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t/a</w:t>
                  </w:r>
                </w:p>
              </w:tc>
              <w:tc>
                <w:tcPr>
                  <w:tcW w:w="472" w:type="pct"/>
                  <w:tcBorders>
                    <w:tl2br w:val="nil"/>
                    <w:tr2bl w:val="nil"/>
                  </w:tcBorders>
                  <w:vAlign w:val="center"/>
                </w:tcPr>
                <w:p w14:paraId="5E021AA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2" w:type="pct"/>
                  <w:tcBorders>
                    <w:tl2br w:val="nil"/>
                    <w:tr2bl w:val="nil"/>
                  </w:tcBorders>
                  <w:vAlign w:val="center"/>
                </w:tcPr>
                <w:p w14:paraId="3B088F8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472" w:type="pct"/>
                  <w:vMerge w:val="continue"/>
                  <w:tcBorders>
                    <w:tl2br w:val="nil"/>
                    <w:tr2bl w:val="nil"/>
                  </w:tcBorders>
                  <w:vAlign w:val="center"/>
                </w:tcPr>
                <w:p w14:paraId="0FB99DC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6D767F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30783B5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28" w:type="pct"/>
                  <w:vMerge w:val="continue"/>
                  <w:tcBorders>
                    <w:tl2br w:val="nil"/>
                    <w:tr2bl w:val="nil"/>
                  </w:tcBorders>
                  <w:vAlign w:val="center"/>
                </w:tcPr>
                <w:p w14:paraId="587596DC">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6F51160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焊锡膏</w:t>
                  </w:r>
                </w:p>
              </w:tc>
              <w:tc>
                <w:tcPr>
                  <w:tcW w:w="1345" w:type="pct"/>
                  <w:tcBorders>
                    <w:tl2br w:val="nil"/>
                    <w:tr2bl w:val="nil"/>
                  </w:tcBorders>
                  <w:vAlign w:val="center"/>
                </w:tcPr>
                <w:p w14:paraId="7D4036D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100克/瓶，</w:t>
                  </w:r>
                  <w:r>
                    <w:rPr>
                      <w:rFonts w:hint="eastAsia" w:ascii="Times New Roman" w:hAnsi="Times New Roman" w:eastAsia="宋体" w:cs="Times New Roman"/>
                      <w:color w:val="auto"/>
                      <w:spacing w:val="-2"/>
                      <w:sz w:val="21"/>
                      <w:szCs w:val="21"/>
                      <w:lang w:val="en-US" w:eastAsia="zh-CN"/>
                    </w:rPr>
                    <w:t>医药白凡士林79%、七号白油10%、氧化松膏5%、溴氢酸盐3%、丁二酸2%、SAF-25 1%</w:t>
                  </w:r>
                </w:p>
              </w:tc>
              <w:tc>
                <w:tcPr>
                  <w:tcW w:w="417" w:type="pct"/>
                  <w:tcBorders>
                    <w:tl2br w:val="nil"/>
                    <w:tr2bl w:val="nil"/>
                  </w:tcBorders>
                  <w:vAlign w:val="center"/>
                </w:tcPr>
                <w:p w14:paraId="35847C1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t/a</w:t>
                  </w:r>
                </w:p>
              </w:tc>
              <w:tc>
                <w:tcPr>
                  <w:tcW w:w="472" w:type="pct"/>
                  <w:tcBorders>
                    <w:tl2br w:val="nil"/>
                    <w:tr2bl w:val="nil"/>
                  </w:tcBorders>
                  <w:vAlign w:val="center"/>
                </w:tcPr>
                <w:p w14:paraId="194ABCF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0.0</w:t>
                  </w:r>
                  <w:r>
                    <w:rPr>
                      <w:rFonts w:hint="eastAsia" w:ascii="Times New Roman" w:hAnsi="Times New Roman" w:cs="Times New Roman"/>
                      <w:color w:val="auto"/>
                      <w:spacing w:val="-3"/>
                      <w:sz w:val="21"/>
                      <w:szCs w:val="21"/>
                      <w:lang w:val="en-US" w:eastAsia="zh-CN"/>
                    </w:rPr>
                    <w:t>2</w:t>
                  </w:r>
                </w:p>
              </w:tc>
              <w:tc>
                <w:tcPr>
                  <w:tcW w:w="472" w:type="pct"/>
                  <w:tcBorders>
                    <w:tl2br w:val="nil"/>
                    <w:tr2bl w:val="nil"/>
                  </w:tcBorders>
                  <w:vAlign w:val="center"/>
                </w:tcPr>
                <w:p w14:paraId="353E7A7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0.0</w:t>
                  </w:r>
                  <w:r>
                    <w:rPr>
                      <w:rFonts w:hint="eastAsia" w:ascii="Times New Roman" w:hAnsi="Times New Roman" w:cs="Times New Roman"/>
                      <w:color w:val="auto"/>
                      <w:spacing w:val="-3"/>
                      <w:sz w:val="21"/>
                      <w:szCs w:val="21"/>
                      <w:lang w:val="en-US" w:eastAsia="zh-CN"/>
                    </w:rPr>
                    <w:t>2</w:t>
                  </w:r>
                </w:p>
              </w:tc>
              <w:tc>
                <w:tcPr>
                  <w:tcW w:w="472" w:type="pct"/>
                  <w:vMerge w:val="continue"/>
                  <w:tcBorders>
                    <w:tl2br w:val="nil"/>
                    <w:tr2bl w:val="nil"/>
                  </w:tcBorders>
                  <w:vAlign w:val="center"/>
                </w:tcPr>
                <w:p w14:paraId="67B7ADC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235467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39463BE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w:t>
                  </w:r>
                </w:p>
              </w:tc>
              <w:tc>
                <w:tcPr>
                  <w:tcW w:w="528" w:type="pct"/>
                  <w:vMerge w:val="restart"/>
                  <w:tcBorders>
                    <w:tl2br w:val="nil"/>
                    <w:tr2bl w:val="nil"/>
                  </w:tcBorders>
                  <w:vAlign w:val="center"/>
                </w:tcPr>
                <w:p w14:paraId="6B75013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电磁铁芯</w:t>
                  </w:r>
                </w:p>
              </w:tc>
              <w:tc>
                <w:tcPr>
                  <w:tcW w:w="966" w:type="pct"/>
                  <w:tcBorders>
                    <w:tl2br w:val="nil"/>
                    <w:tr2bl w:val="nil"/>
                  </w:tcBorders>
                  <w:vAlign w:val="center"/>
                </w:tcPr>
                <w:p w14:paraId="00C21FA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钢材</w:t>
                  </w:r>
                </w:p>
              </w:tc>
              <w:tc>
                <w:tcPr>
                  <w:tcW w:w="1345" w:type="pct"/>
                  <w:tcBorders>
                    <w:tl2br w:val="nil"/>
                    <w:tr2bl w:val="nil"/>
                  </w:tcBorders>
                  <w:vAlign w:val="center"/>
                </w:tcPr>
                <w:p w14:paraId="1E7551E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铁、铬、硅等</w:t>
                  </w:r>
                </w:p>
              </w:tc>
              <w:tc>
                <w:tcPr>
                  <w:tcW w:w="417" w:type="pct"/>
                  <w:tcBorders>
                    <w:tl2br w:val="nil"/>
                    <w:tr2bl w:val="nil"/>
                  </w:tcBorders>
                  <w:vAlign w:val="center"/>
                </w:tcPr>
                <w:p w14:paraId="36025F5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t/a</w:t>
                  </w:r>
                </w:p>
              </w:tc>
              <w:tc>
                <w:tcPr>
                  <w:tcW w:w="472" w:type="pct"/>
                  <w:tcBorders>
                    <w:tl2br w:val="nil"/>
                    <w:tr2bl w:val="nil"/>
                  </w:tcBorders>
                  <w:vAlign w:val="center"/>
                </w:tcPr>
                <w:p w14:paraId="61B2555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200</w:t>
                  </w:r>
                </w:p>
              </w:tc>
              <w:tc>
                <w:tcPr>
                  <w:tcW w:w="472" w:type="pct"/>
                  <w:tcBorders>
                    <w:tl2br w:val="nil"/>
                    <w:tr2bl w:val="nil"/>
                  </w:tcBorders>
                  <w:vAlign w:val="center"/>
                </w:tcPr>
                <w:p w14:paraId="2C68633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20</w:t>
                  </w:r>
                </w:p>
              </w:tc>
              <w:tc>
                <w:tcPr>
                  <w:tcW w:w="472" w:type="pct"/>
                  <w:vMerge w:val="continue"/>
                  <w:tcBorders>
                    <w:tl2br w:val="nil"/>
                    <w:tr2bl w:val="nil"/>
                  </w:tcBorders>
                  <w:vAlign w:val="center"/>
                </w:tcPr>
                <w:p w14:paraId="2E03E875">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p>
              </w:tc>
            </w:tr>
            <w:tr w14:paraId="35C44F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24" w:type="pct"/>
                  <w:tcBorders>
                    <w:tl2br w:val="nil"/>
                    <w:tr2bl w:val="nil"/>
                  </w:tcBorders>
                  <w:vAlign w:val="center"/>
                </w:tcPr>
                <w:p w14:paraId="73D55D9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11</w:t>
                  </w:r>
                </w:p>
              </w:tc>
              <w:tc>
                <w:tcPr>
                  <w:tcW w:w="528" w:type="pct"/>
                  <w:vMerge w:val="continue"/>
                  <w:tcBorders>
                    <w:tl2br w:val="nil"/>
                    <w:tr2bl w:val="nil"/>
                  </w:tcBorders>
                  <w:vAlign w:val="center"/>
                </w:tcPr>
                <w:p w14:paraId="684EFF7E">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38F43B40">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清洗剂</w:t>
                  </w:r>
                </w:p>
              </w:tc>
              <w:tc>
                <w:tcPr>
                  <w:tcW w:w="1345" w:type="pct"/>
                  <w:tcBorders>
                    <w:tl2br w:val="nil"/>
                    <w:tr2bl w:val="nil"/>
                  </w:tcBorders>
                  <w:shd w:val="clear" w:color="auto" w:fill="auto"/>
                  <w:vAlign w:val="center"/>
                </w:tcPr>
                <w:p w14:paraId="3EA7C2D8">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25千克/箱，</w:t>
                  </w:r>
                  <w:r>
                    <w:rPr>
                      <w:rFonts w:hint="eastAsia" w:ascii="Times New Roman" w:hAnsi="Times New Roman" w:eastAsia="宋体" w:cs="Times New Roman"/>
                      <w:color w:val="auto"/>
                      <w:spacing w:val="-2"/>
                      <w:sz w:val="21"/>
                      <w:szCs w:val="21"/>
                      <w:lang w:val="en-US" w:eastAsia="zh-CN"/>
                    </w:rPr>
                    <w:t>纯水70-80%、非离子型异构醇醚表面活性剂8-15%、多元羧酸类阴离子表面活性剂3-6%、偏硅酸钠3-8%、三乙醇胺2-6%、葡萄糖酸钠3-7%、二乙二醇丁醚2-6%</w:t>
                  </w:r>
                </w:p>
              </w:tc>
              <w:tc>
                <w:tcPr>
                  <w:tcW w:w="417" w:type="pct"/>
                  <w:tcBorders>
                    <w:tl2br w:val="nil"/>
                    <w:tr2bl w:val="nil"/>
                  </w:tcBorders>
                  <w:shd w:val="clear" w:color="auto" w:fill="auto"/>
                  <w:vAlign w:val="center"/>
                </w:tcPr>
                <w:p w14:paraId="5CC4DC42">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5"/>
                      <w:sz w:val="21"/>
                      <w:szCs w:val="21"/>
                    </w:rPr>
                    <w:t>t/a</w:t>
                  </w:r>
                </w:p>
              </w:tc>
              <w:tc>
                <w:tcPr>
                  <w:tcW w:w="472" w:type="pct"/>
                  <w:tcBorders>
                    <w:tl2br w:val="nil"/>
                    <w:tr2bl w:val="nil"/>
                  </w:tcBorders>
                  <w:vAlign w:val="center"/>
                </w:tcPr>
                <w:p w14:paraId="458BA42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0.1</w:t>
                  </w:r>
                </w:p>
              </w:tc>
              <w:tc>
                <w:tcPr>
                  <w:tcW w:w="472" w:type="pct"/>
                  <w:tcBorders>
                    <w:tl2br w:val="nil"/>
                    <w:tr2bl w:val="nil"/>
                  </w:tcBorders>
                  <w:vAlign w:val="center"/>
                </w:tcPr>
                <w:p w14:paraId="0B6E05D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0.1</w:t>
                  </w:r>
                </w:p>
              </w:tc>
              <w:tc>
                <w:tcPr>
                  <w:tcW w:w="472" w:type="pct"/>
                  <w:vMerge w:val="continue"/>
                  <w:tcBorders>
                    <w:tl2br w:val="nil"/>
                    <w:tr2bl w:val="nil"/>
                  </w:tcBorders>
                  <w:vAlign w:val="center"/>
                </w:tcPr>
                <w:p w14:paraId="13FC4DF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p>
              </w:tc>
            </w:tr>
            <w:tr w14:paraId="38CD10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79A03B4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12</w:t>
                  </w:r>
                </w:p>
              </w:tc>
              <w:tc>
                <w:tcPr>
                  <w:tcW w:w="528" w:type="pct"/>
                  <w:vMerge w:val="continue"/>
                  <w:tcBorders>
                    <w:tl2br w:val="nil"/>
                    <w:tr2bl w:val="nil"/>
                  </w:tcBorders>
                  <w:vAlign w:val="center"/>
                </w:tcPr>
                <w:p w14:paraId="0443C47B">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494AE82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氩气</w:t>
                  </w:r>
                </w:p>
              </w:tc>
              <w:tc>
                <w:tcPr>
                  <w:tcW w:w="1345" w:type="pct"/>
                  <w:tcBorders>
                    <w:tl2br w:val="nil"/>
                    <w:tr2bl w:val="nil"/>
                  </w:tcBorders>
                  <w:vAlign w:val="center"/>
                </w:tcPr>
                <w:p w14:paraId="645F66F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50升/瓶</w:t>
                  </w:r>
                </w:p>
              </w:tc>
              <w:tc>
                <w:tcPr>
                  <w:tcW w:w="417" w:type="pct"/>
                  <w:tcBorders>
                    <w:tl2br w:val="nil"/>
                    <w:tr2bl w:val="nil"/>
                  </w:tcBorders>
                  <w:vAlign w:val="center"/>
                </w:tcPr>
                <w:p w14:paraId="1C7B216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瓶/年</w:t>
                  </w:r>
                </w:p>
              </w:tc>
              <w:tc>
                <w:tcPr>
                  <w:tcW w:w="472" w:type="pct"/>
                  <w:tcBorders>
                    <w:tl2br w:val="nil"/>
                    <w:tr2bl w:val="nil"/>
                  </w:tcBorders>
                  <w:vAlign w:val="center"/>
                </w:tcPr>
                <w:p w14:paraId="42A47D1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60</w:t>
                  </w:r>
                </w:p>
              </w:tc>
              <w:tc>
                <w:tcPr>
                  <w:tcW w:w="472" w:type="pct"/>
                  <w:tcBorders>
                    <w:tl2br w:val="nil"/>
                    <w:tr2bl w:val="nil"/>
                  </w:tcBorders>
                  <w:vAlign w:val="center"/>
                </w:tcPr>
                <w:p w14:paraId="702406E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w:t>
                  </w:r>
                </w:p>
              </w:tc>
              <w:tc>
                <w:tcPr>
                  <w:tcW w:w="472" w:type="pct"/>
                  <w:vMerge w:val="continue"/>
                  <w:tcBorders>
                    <w:tl2br w:val="nil"/>
                    <w:tr2bl w:val="nil"/>
                  </w:tcBorders>
                  <w:vAlign w:val="center"/>
                </w:tcPr>
                <w:p w14:paraId="1D0A892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6FDA09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0A12E95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14</w:t>
                  </w:r>
                </w:p>
              </w:tc>
              <w:tc>
                <w:tcPr>
                  <w:tcW w:w="528" w:type="pct"/>
                  <w:vMerge w:val="restart"/>
                  <w:tcBorders>
                    <w:tl2br w:val="nil"/>
                    <w:tr2bl w:val="nil"/>
                  </w:tcBorders>
                  <w:vAlign w:val="center"/>
                </w:tcPr>
                <w:p w14:paraId="57131C2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端子箱</w:t>
                  </w:r>
                </w:p>
              </w:tc>
              <w:tc>
                <w:tcPr>
                  <w:tcW w:w="966" w:type="pct"/>
                  <w:tcBorders>
                    <w:tl2br w:val="nil"/>
                    <w:tr2bl w:val="nil"/>
                  </w:tcBorders>
                  <w:vAlign w:val="center"/>
                </w:tcPr>
                <w:p w14:paraId="642A75D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线路板</w:t>
                  </w:r>
                </w:p>
              </w:tc>
              <w:tc>
                <w:tcPr>
                  <w:tcW w:w="1345" w:type="pct"/>
                  <w:tcBorders>
                    <w:tl2br w:val="nil"/>
                    <w:tr2bl w:val="nil"/>
                  </w:tcBorders>
                  <w:vAlign w:val="center"/>
                </w:tcPr>
                <w:p w14:paraId="4D5CA94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58016E9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7500AF6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20万</w:t>
                  </w:r>
                </w:p>
              </w:tc>
              <w:tc>
                <w:tcPr>
                  <w:tcW w:w="472" w:type="pct"/>
                  <w:tcBorders>
                    <w:tl2br w:val="nil"/>
                    <w:tr2bl w:val="nil"/>
                  </w:tcBorders>
                  <w:vAlign w:val="center"/>
                </w:tcPr>
                <w:p w14:paraId="3CA618C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14F1CD8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p>
              </w:tc>
            </w:tr>
            <w:tr w14:paraId="4C94B1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740624E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15</w:t>
                  </w:r>
                </w:p>
              </w:tc>
              <w:tc>
                <w:tcPr>
                  <w:tcW w:w="528" w:type="pct"/>
                  <w:vMerge w:val="continue"/>
                  <w:tcBorders>
                    <w:tl2br w:val="nil"/>
                    <w:tr2bl w:val="nil"/>
                  </w:tcBorders>
                  <w:vAlign w:val="center"/>
                </w:tcPr>
                <w:p w14:paraId="3C39EE38">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7B9CEC4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电子元器件</w:t>
                  </w:r>
                </w:p>
              </w:tc>
              <w:tc>
                <w:tcPr>
                  <w:tcW w:w="1345" w:type="pct"/>
                  <w:tcBorders>
                    <w:tl2br w:val="nil"/>
                    <w:tr2bl w:val="nil"/>
                  </w:tcBorders>
                  <w:vAlign w:val="center"/>
                </w:tcPr>
                <w:p w14:paraId="7555B68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69342CE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套/年</w:t>
                  </w:r>
                </w:p>
              </w:tc>
              <w:tc>
                <w:tcPr>
                  <w:tcW w:w="472" w:type="pct"/>
                  <w:tcBorders>
                    <w:tl2br w:val="nil"/>
                    <w:tr2bl w:val="nil"/>
                  </w:tcBorders>
                  <w:vAlign w:val="center"/>
                </w:tcPr>
                <w:p w14:paraId="280AD33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20万</w:t>
                  </w:r>
                </w:p>
              </w:tc>
              <w:tc>
                <w:tcPr>
                  <w:tcW w:w="472" w:type="pct"/>
                  <w:tcBorders>
                    <w:tl2br w:val="nil"/>
                    <w:tr2bl w:val="nil"/>
                  </w:tcBorders>
                  <w:vAlign w:val="center"/>
                </w:tcPr>
                <w:p w14:paraId="629C086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13CC2DA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p>
              </w:tc>
            </w:tr>
            <w:tr w14:paraId="6B9014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2DB6937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16</w:t>
                  </w:r>
                </w:p>
              </w:tc>
              <w:tc>
                <w:tcPr>
                  <w:tcW w:w="528" w:type="pct"/>
                  <w:vMerge w:val="continue"/>
                  <w:tcBorders>
                    <w:tl2br w:val="nil"/>
                    <w:tr2bl w:val="nil"/>
                  </w:tcBorders>
                  <w:vAlign w:val="center"/>
                </w:tcPr>
                <w:p w14:paraId="2ED993DB">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050D474E">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外壳</w:t>
                  </w:r>
                </w:p>
              </w:tc>
              <w:tc>
                <w:tcPr>
                  <w:tcW w:w="1345" w:type="pct"/>
                  <w:tcBorders>
                    <w:tl2br w:val="nil"/>
                    <w:tr2bl w:val="nil"/>
                  </w:tcBorders>
                  <w:vAlign w:val="center"/>
                </w:tcPr>
                <w:p w14:paraId="4BFD1A7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52C1FB5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2A3ADAF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20万</w:t>
                  </w:r>
                </w:p>
              </w:tc>
              <w:tc>
                <w:tcPr>
                  <w:tcW w:w="472" w:type="pct"/>
                  <w:tcBorders>
                    <w:tl2br w:val="nil"/>
                    <w:tr2bl w:val="nil"/>
                  </w:tcBorders>
                  <w:vAlign w:val="center"/>
                </w:tcPr>
                <w:p w14:paraId="21A4B3D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017B649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4"/>
                      <w:sz w:val="21"/>
                      <w:szCs w:val="21"/>
                    </w:rPr>
                  </w:pPr>
                </w:p>
              </w:tc>
            </w:tr>
            <w:tr w14:paraId="51B4D2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24" w:type="pct"/>
                  <w:tcBorders>
                    <w:tl2br w:val="nil"/>
                    <w:tr2bl w:val="nil"/>
                  </w:tcBorders>
                  <w:vAlign w:val="center"/>
                </w:tcPr>
                <w:p w14:paraId="59D16DD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17</w:t>
                  </w:r>
                </w:p>
              </w:tc>
              <w:tc>
                <w:tcPr>
                  <w:tcW w:w="528" w:type="pct"/>
                  <w:vMerge w:val="continue"/>
                  <w:tcBorders>
                    <w:tl2br w:val="nil"/>
                    <w:tr2bl w:val="nil"/>
                  </w:tcBorders>
                  <w:vAlign w:val="center"/>
                </w:tcPr>
                <w:p w14:paraId="298A4B0F">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1587B77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实芯焊丝</w:t>
                  </w:r>
                </w:p>
              </w:tc>
              <w:tc>
                <w:tcPr>
                  <w:tcW w:w="1345" w:type="pct"/>
                  <w:tcBorders>
                    <w:tl2br w:val="nil"/>
                    <w:tr2bl w:val="nil"/>
                  </w:tcBorders>
                  <w:vAlign w:val="center"/>
                </w:tcPr>
                <w:p w14:paraId="5E0296A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碳、硅等（不含铅）</w:t>
                  </w:r>
                </w:p>
              </w:tc>
              <w:tc>
                <w:tcPr>
                  <w:tcW w:w="417" w:type="pct"/>
                  <w:tcBorders>
                    <w:tl2br w:val="nil"/>
                    <w:tr2bl w:val="nil"/>
                  </w:tcBorders>
                  <w:vAlign w:val="center"/>
                </w:tcPr>
                <w:p w14:paraId="1CF13CF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t/a</w:t>
                  </w:r>
                </w:p>
              </w:tc>
              <w:tc>
                <w:tcPr>
                  <w:tcW w:w="472" w:type="pct"/>
                  <w:tcBorders>
                    <w:tl2br w:val="nil"/>
                    <w:tr2bl w:val="nil"/>
                  </w:tcBorders>
                  <w:vAlign w:val="center"/>
                </w:tcPr>
                <w:p w14:paraId="680227F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15</w:t>
                  </w:r>
                </w:p>
              </w:tc>
              <w:tc>
                <w:tcPr>
                  <w:tcW w:w="472" w:type="pct"/>
                  <w:tcBorders>
                    <w:tl2br w:val="nil"/>
                    <w:tr2bl w:val="nil"/>
                  </w:tcBorders>
                  <w:vAlign w:val="center"/>
                </w:tcPr>
                <w:p w14:paraId="74701CC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w:t>
                  </w:r>
                </w:p>
              </w:tc>
              <w:tc>
                <w:tcPr>
                  <w:tcW w:w="472" w:type="pct"/>
                  <w:vMerge w:val="continue"/>
                  <w:tcBorders>
                    <w:tl2br w:val="nil"/>
                    <w:tr2bl w:val="nil"/>
                  </w:tcBorders>
                  <w:vAlign w:val="center"/>
                </w:tcPr>
                <w:p w14:paraId="4A68EFF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6874C7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24" w:type="pct"/>
                  <w:tcBorders>
                    <w:tl2br w:val="nil"/>
                    <w:tr2bl w:val="nil"/>
                  </w:tcBorders>
                  <w:vAlign w:val="center"/>
                </w:tcPr>
                <w:p w14:paraId="3EAAF90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18</w:t>
                  </w:r>
                </w:p>
              </w:tc>
              <w:tc>
                <w:tcPr>
                  <w:tcW w:w="528" w:type="pct"/>
                  <w:vMerge w:val="restart"/>
                  <w:tcBorders>
                    <w:tl2br w:val="nil"/>
                    <w:tr2bl w:val="nil"/>
                  </w:tcBorders>
                  <w:vAlign w:val="center"/>
                </w:tcPr>
                <w:p w14:paraId="43312978">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电磁铁</w:t>
                  </w:r>
                </w:p>
              </w:tc>
              <w:tc>
                <w:tcPr>
                  <w:tcW w:w="966" w:type="pct"/>
                  <w:tcBorders>
                    <w:tl2br w:val="nil"/>
                    <w:tr2bl w:val="nil"/>
                  </w:tcBorders>
                  <w:vAlign w:val="center"/>
                </w:tcPr>
                <w:p w14:paraId="1409B58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电磁线圈</w:t>
                  </w:r>
                </w:p>
              </w:tc>
              <w:tc>
                <w:tcPr>
                  <w:tcW w:w="1345" w:type="pct"/>
                  <w:tcBorders>
                    <w:tl2br w:val="nil"/>
                    <w:tr2bl w:val="nil"/>
                  </w:tcBorders>
                  <w:vAlign w:val="center"/>
                </w:tcPr>
                <w:p w14:paraId="0973B3D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6850CDE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662938B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10万</w:t>
                  </w:r>
                </w:p>
              </w:tc>
              <w:tc>
                <w:tcPr>
                  <w:tcW w:w="472" w:type="pct"/>
                  <w:tcBorders>
                    <w:tl2br w:val="nil"/>
                    <w:tr2bl w:val="nil"/>
                  </w:tcBorders>
                  <w:vAlign w:val="center"/>
                </w:tcPr>
                <w:p w14:paraId="2BF23B60">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6AD87045">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sz w:val="21"/>
                      <w:szCs w:val="21"/>
                    </w:rPr>
                  </w:pPr>
                </w:p>
              </w:tc>
            </w:tr>
            <w:tr w14:paraId="533737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324" w:type="pct"/>
                  <w:tcBorders>
                    <w:tl2br w:val="nil"/>
                    <w:tr2bl w:val="nil"/>
                  </w:tcBorders>
                  <w:vAlign w:val="center"/>
                </w:tcPr>
                <w:p w14:paraId="19B134C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19</w:t>
                  </w:r>
                </w:p>
              </w:tc>
              <w:tc>
                <w:tcPr>
                  <w:tcW w:w="528" w:type="pct"/>
                  <w:vMerge w:val="continue"/>
                  <w:tcBorders>
                    <w:tl2br w:val="nil"/>
                    <w:tr2bl w:val="nil"/>
                  </w:tcBorders>
                  <w:vAlign w:val="center"/>
                </w:tcPr>
                <w:p w14:paraId="6B287E6B">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482E25A6">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电磁铁芯</w:t>
                  </w:r>
                </w:p>
              </w:tc>
              <w:tc>
                <w:tcPr>
                  <w:tcW w:w="1345" w:type="pct"/>
                  <w:tcBorders>
                    <w:tl2br w:val="nil"/>
                    <w:tr2bl w:val="nil"/>
                  </w:tcBorders>
                  <w:vAlign w:val="center"/>
                </w:tcPr>
                <w:p w14:paraId="1D726F9A">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361452E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个/年</w:t>
                  </w:r>
                </w:p>
              </w:tc>
              <w:tc>
                <w:tcPr>
                  <w:tcW w:w="472" w:type="pct"/>
                  <w:tcBorders>
                    <w:tl2br w:val="nil"/>
                    <w:tr2bl w:val="nil"/>
                  </w:tcBorders>
                  <w:vAlign w:val="center"/>
                </w:tcPr>
                <w:p w14:paraId="067B987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10万</w:t>
                  </w:r>
                </w:p>
              </w:tc>
              <w:tc>
                <w:tcPr>
                  <w:tcW w:w="472" w:type="pct"/>
                  <w:tcBorders>
                    <w:tl2br w:val="nil"/>
                    <w:tr2bl w:val="nil"/>
                  </w:tcBorders>
                  <w:vAlign w:val="center"/>
                </w:tcPr>
                <w:p w14:paraId="74C448A5">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648A004B">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sz w:val="21"/>
                      <w:szCs w:val="21"/>
                    </w:rPr>
                  </w:pPr>
                </w:p>
              </w:tc>
            </w:tr>
            <w:tr w14:paraId="05A830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2EC098DC">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w:t>
                  </w:r>
                </w:p>
              </w:tc>
              <w:tc>
                <w:tcPr>
                  <w:tcW w:w="528" w:type="pct"/>
                  <w:vMerge w:val="continue"/>
                  <w:tcBorders>
                    <w:tl2br w:val="nil"/>
                    <w:tr2bl w:val="nil"/>
                  </w:tcBorders>
                  <w:vAlign w:val="center"/>
                </w:tcPr>
                <w:p w14:paraId="798C208D">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pct"/>
                  <w:tcBorders>
                    <w:tl2br w:val="nil"/>
                    <w:tr2bl w:val="nil"/>
                  </w:tcBorders>
                  <w:vAlign w:val="center"/>
                </w:tcPr>
                <w:p w14:paraId="4C87850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配件</w:t>
                  </w:r>
                </w:p>
              </w:tc>
              <w:tc>
                <w:tcPr>
                  <w:tcW w:w="1345" w:type="pct"/>
                  <w:tcBorders>
                    <w:tl2br w:val="nil"/>
                    <w:tr2bl w:val="nil"/>
                  </w:tcBorders>
                  <w:vAlign w:val="center"/>
                </w:tcPr>
                <w:p w14:paraId="684BA29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7" w:type="pct"/>
                  <w:tcBorders>
                    <w:tl2br w:val="nil"/>
                    <w:tr2bl w:val="nil"/>
                  </w:tcBorders>
                  <w:vAlign w:val="center"/>
                </w:tcPr>
                <w:p w14:paraId="657A8EE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套/年</w:t>
                  </w:r>
                </w:p>
              </w:tc>
              <w:tc>
                <w:tcPr>
                  <w:tcW w:w="472" w:type="pct"/>
                  <w:tcBorders>
                    <w:tl2br w:val="nil"/>
                    <w:tr2bl w:val="nil"/>
                  </w:tcBorders>
                  <w:vAlign w:val="center"/>
                </w:tcPr>
                <w:p w14:paraId="20AFA70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10万</w:t>
                  </w:r>
                </w:p>
              </w:tc>
              <w:tc>
                <w:tcPr>
                  <w:tcW w:w="472" w:type="pct"/>
                  <w:tcBorders>
                    <w:tl2br w:val="nil"/>
                    <w:tr2bl w:val="nil"/>
                  </w:tcBorders>
                  <w:vAlign w:val="center"/>
                </w:tcPr>
                <w:p w14:paraId="4EAD5A64">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cs="Times New Roman"/>
                      <w:color w:val="auto"/>
                      <w:spacing w:val="-4"/>
                      <w:sz w:val="21"/>
                      <w:szCs w:val="21"/>
                      <w:lang w:val="en-US" w:eastAsia="zh-CN"/>
                    </w:rPr>
                    <w:t>2万</w:t>
                  </w:r>
                </w:p>
              </w:tc>
              <w:tc>
                <w:tcPr>
                  <w:tcW w:w="472" w:type="pct"/>
                  <w:vMerge w:val="continue"/>
                  <w:tcBorders>
                    <w:tl2br w:val="nil"/>
                    <w:tr2bl w:val="nil"/>
                  </w:tcBorders>
                  <w:vAlign w:val="center"/>
                </w:tcPr>
                <w:p w14:paraId="363FAB5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sz w:val="21"/>
                      <w:szCs w:val="21"/>
                    </w:rPr>
                  </w:pPr>
                </w:p>
              </w:tc>
            </w:tr>
            <w:tr w14:paraId="28C154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24" w:type="pct"/>
                  <w:tcBorders>
                    <w:tl2br w:val="nil"/>
                    <w:tr2bl w:val="nil"/>
                  </w:tcBorders>
                  <w:vAlign w:val="center"/>
                </w:tcPr>
                <w:p w14:paraId="217611B7">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w:t>
                  </w:r>
                </w:p>
              </w:tc>
              <w:tc>
                <w:tcPr>
                  <w:tcW w:w="528" w:type="pct"/>
                  <w:tcBorders>
                    <w:tl2br w:val="nil"/>
                    <w:tr2bl w:val="nil"/>
                  </w:tcBorders>
                  <w:vAlign w:val="center"/>
                </w:tcPr>
                <w:p w14:paraId="58BBE273">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阀芯</w:t>
                  </w:r>
                </w:p>
              </w:tc>
              <w:tc>
                <w:tcPr>
                  <w:tcW w:w="966" w:type="pct"/>
                  <w:tcBorders>
                    <w:tl2br w:val="nil"/>
                    <w:tr2bl w:val="nil"/>
                  </w:tcBorders>
                  <w:vAlign w:val="center"/>
                </w:tcPr>
                <w:p w14:paraId="21FEC0B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钢材</w:t>
                  </w:r>
                </w:p>
              </w:tc>
              <w:tc>
                <w:tcPr>
                  <w:tcW w:w="1345" w:type="pct"/>
                  <w:tcBorders>
                    <w:tl2br w:val="nil"/>
                    <w:tr2bl w:val="nil"/>
                  </w:tcBorders>
                  <w:vAlign w:val="center"/>
                </w:tcPr>
                <w:p w14:paraId="595C662F">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铁、锰等</w:t>
                  </w:r>
                </w:p>
              </w:tc>
              <w:tc>
                <w:tcPr>
                  <w:tcW w:w="417" w:type="pct"/>
                  <w:tcBorders>
                    <w:tl2br w:val="nil"/>
                    <w:tr2bl w:val="nil"/>
                  </w:tcBorders>
                  <w:vAlign w:val="center"/>
                </w:tcPr>
                <w:p w14:paraId="25BAEAC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t/a</w:t>
                  </w:r>
                </w:p>
              </w:tc>
              <w:tc>
                <w:tcPr>
                  <w:tcW w:w="472" w:type="pct"/>
                  <w:tcBorders>
                    <w:tl2br w:val="nil"/>
                    <w:tr2bl w:val="nil"/>
                  </w:tcBorders>
                  <w:vAlign w:val="center"/>
                </w:tcPr>
                <w:p w14:paraId="044514F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c>
                <w:tcPr>
                  <w:tcW w:w="472" w:type="pct"/>
                  <w:tcBorders>
                    <w:tl2br w:val="nil"/>
                    <w:tr2bl w:val="nil"/>
                  </w:tcBorders>
                  <w:vAlign w:val="center"/>
                </w:tcPr>
                <w:p w14:paraId="0F15B9C9">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w:t>
                  </w:r>
                </w:p>
              </w:tc>
              <w:tc>
                <w:tcPr>
                  <w:tcW w:w="472" w:type="pct"/>
                  <w:vMerge w:val="continue"/>
                  <w:tcBorders>
                    <w:tl2br w:val="nil"/>
                    <w:tr2bl w:val="nil"/>
                  </w:tcBorders>
                  <w:vAlign w:val="center"/>
                </w:tcPr>
                <w:p w14:paraId="1C5FC4B2">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5A873A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24" w:type="pct"/>
                  <w:tcBorders>
                    <w:tl2br w:val="nil"/>
                    <w:tr2bl w:val="nil"/>
                  </w:tcBorders>
                  <w:shd w:val="clear" w:color="auto" w:fill="auto"/>
                  <w:vAlign w:val="center"/>
                </w:tcPr>
                <w:p w14:paraId="226FE0F0">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22</w:t>
                  </w:r>
                </w:p>
              </w:tc>
              <w:tc>
                <w:tcPr>
                  <w:tcW w:w="528" w:type="pct"/>
                  <w:vMerge w:val="restart"/>
                  <w:tcBorders>
                    <w:tl2br w:val="nil"/>
                    <w:tr2bl w:val="nil"/>
                  </w:tcBorders>
                  <w:vAlign w:val="center"/>
                </w:tcPr>
                <w:p w14:paraId="075D9A4D">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其他原辅材料及能源</w:t>
                  </w:r>
                </w:p>
              </w:tc>
              <w:tc>
                <w:tcPr>
                  <w:tcW w:w="966" w:type="pct"/>
                  <w:tcBorders>
                    <w:tl2br w:val="nil"/>
                    <w:tr2bl w:val="nil"/>
                  </w:tcBorders>
                  <w:shd w:val="clear" w:color="auto" w:fill="auto"/>
                  <w:vAlign w:val="center"/>
                </w:tcPr>
                <w:p w14:paraId="5F9E511C">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润滑油</w:t>
                  </w:r>
                </w:p>
              </w:tc>
              <w:tc>
                <w:tcPr>
                  <w:tcW w:w="1345" w:type="pct"/>
                  <w:tcBorders>
                    <w:tl2br w:val="nil"/>
                    <w:tr2bl w:val="nil"/>
                  </w:tcBorders>
                  <w:shd w:val="clear" w:color="auto" w:fill="auto"/>
                  <w:vAlign w:val="center"/>
                </w:tcPr>
                <w:p w14:paraId="0308811A">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417" w:type="pct"/>
                  <w:tcBorders>
                    <w:tl2br w:val="nil"/>
                    <w:tr2bl w:val="nil"/>
                  </w:tcBorders>
                  <w:shd w:val="clear" w:color="auto" w:fill="auto"/>
                  <w:vAlign w:val="center"/>
                </w:tcPr>
                <w:p w14:paraId="52478C0E">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t/a</w:t>
                  </w:r>
                </w:p>
              </w:tc>
              <w:tc>
                <w:tcPr>
                  <w:tcW w:w="472" w:type="pct"/>
                  <w:tcBorders>
                    <w:tl2br w:val="nil"/>
                    <w:tr2bl w:val="nil"/>
                  </w:tcBorders>
                  <w:shd w:val="clear" w:color="auto" w:fill="auto"/>
                  <w:vAlign w:val="center"/>
                </w:tcPr>
                <w:p w14:paraId="1BB85D71">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0.15</w:t>
                  </w:r>
                </w:p>
              </w:tc>
              <w:tc>
                <w:tcPr>
                  <w:tcW w:w="472" w:type="pct"/>
                  <w:tcBorders>
                    <w:tl2br w:val="nil"/>
                    <w:tr2bl w:val="nil"/>
                  </w:tcBorders>
                  <w:shd w:val="clear" w:color="auto" w:fill="auto"/>
                  <w:vAlign w:val="center"/>
                </w:tcPr>
                <w:p w14:paraId="62C7E59F">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0.15</w:t>
                  </w:r>
                </w:p>
              </w:tc>
              <w:tc>
                <w:tcPr>
                  <w:tcW w:w="472" w:type="pct"/>
                  <w:vMerge w:val="continue"/>
                  <w:tcBorders>
                    <w:tl2br w:val="nil"/>
                    <w:tr2bl w:val="nil"/>
                  </w:tcBorders>
                  <w:vAlign w:val="center"/>
                </w:tcPr>
                <w:p w14:paraId="01D7E2A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r w14:paraId="5BC11B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24" w:type="pct"/>
                  <w:tcBorders>
                    <w:tl2br w:val="nil"/>
                    <w:tr2bl w:val="nil"/>
                  </w:tcBorders>
                  <w:shd w:val="clear" w:color="auto" w:fill="auto"/>
                  <w:vAlign w:val="center"/>
                </w:tcPr>
                <w:p w14:paraId="0BA67FAE">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23</w:t>
                  </w:r>
                </w:p>
              </w:tc>
              <w:tc>
                <w:tcPr>
                  <w:tcW w:w="528" w:type="pct"/>
                  <w:vMerge w:val="continue"/>
                  <w:tcBorders>
                    <w:tl2br w:val="nil"/>
                    <w:tr2bl w:val="nil"/>
                  </w:tcBorders>
                  <w:vAlign w:val="center"/>
                </w:tcPr>
                <w:p w14:paraId="6514A261">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2"/>
                      <w:sz w:val="21"/>
                      <w:szCs w:val="21"/>
                    </w:rPr>
                  </w:pPr>
                </w:p>
              </w:tc>
              <w:tc>
                <w:tcPr>
                  <w:tcW w:w="966" w:type="pct"/>
                  <w:tcBorders>
                    <w:tl2br w:val="nil"/>
                    <w:tr2bl w:val="nil"/>
                  </w:tcBorders>
                  <w:shd w:val="clear" w:color="auto" w:fill="auto"/>
                  <w:vAlign w:val="center"/>
                </w:tcPr>
                <w:p w14:paraId="311CF6AE">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乳化液</w:t>
                  </w:r>
                </w:p>
              </w:tc>
              <w:tc>
                <w:tcPr>
                  <w:tcW w:w="1345" w:type="pct"/>
                  <w:tcBorders>
                    <w:tl2br w:val="nil"/>
                    <w:tr2bl w:val="nil"/>
                  </w:tcBorders>
                  <w:shd w:val="clear" w:color="auto" w:fill="auto"/>
                  <w:vAlign w:val="center"/>
                </w:tcPr>
                <w:p w14:paraId="24914E64">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eastAsia" w:ascii="Times New Roman" w:hAnsi="Times New Roman" w:cs="Times New Roman"/>
                      <w:color w:val="auto"/>
                      <w:spacing w:val="-2"/>
                      <w:sz w:val="21"/>
                      <w:szCs w:val="21"/>
                      <w:lang w:val="en-US" w:eastAsia="zh-CN"/>
                    </w:rPr>
                    <w:t>/</w:t>
                  </w:r>
                </w:p>
              </w:tc>
              <w:tc>
                <w:tcPr>
                  <w:tcW w:w="417" w:type="pct"/>
                  <w:tcBorders>
                    <w:tl2br w:val="nil"/>
                    <w:tr2bl w:val="nil"/>
                  </w:tcBorders>
                  <w:shd w:val="clear" w:color="auto" w:fill="auto"/>
                  <w:vAlign w:val="center"/>
                </w:tcPr>
                <w:p w14:paraId="3E6CDC30">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t/a</w:t>
                  </w:r>
                </w:p>
              </w:tc>
              <w:tc>
                <w:tcPr>
                  <w:tcW w:w="472" w:type="pct"/>
                  <w:tcBorders>
                    <w:tl2br w:val="nil"/>
                    <w:tr2bl w:val="nil"/>
                  </w:tcBorders>
                  <w:shd w:val="clear" w:color="auto" w:fill="auto"/>
                  <w:vAlign w:val="center"/>
                </w:tcPr>
                <w:p w14:paraId="185B1903">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0.2</w:t>
                  </w:r>
                </w:p>
              </w:tc>
              <w:tc>
                <w:tcPr>
                  <w:tcW w:w="472" w:type="pct"/>
                  <w:tcBorders>
                    <w:tl2br w:val="nil"/>
                    <w:tr2bl w:val="nil"/>
                  </w:tcBorders>
                  <w:shd w:val="clear" w:color="auto" w:fill="auto"/>
                  <w:vAlign w:val="center"/>
                </w:tcPr>
                <w:p w14:paraId="1FC1F14A">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0.2</w:t>
                  </w:r>
                </w:p>
              </w:tc>
              <w:tc>
                <w:tcPr>
                  <w:tcW w:w="472" w:type="pct"/>
                  <w:tcBorders>
                    <w:tl2br w:val="nil"/>
                    <w:tr2bl w:val="nil"/>
                  </w:tcBorders>
                  <w:vAlign w:val="center"/>
                </w:tcPr>
                <w:p w14:paraId="1A59C744">
                  <w:pPr>
                    <w:pStyle w:val="7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3"/>
                      <w:sz w:val="21"/>
                      <w:szCs w:val="21"/>
                    </w:rPr>
                  </w:pPr>
                </w:p>
              </w:tc>
            </w:tr>
          </w:tbl>
          <w:p w14:paraId="4CF8DEFB">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jc w:val="both"/>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bCs w:val="0"/>
                <w:color w:val="auto"/>
                <w:sz w:val="24"/>
                <w:szCs w:val="24"/>
                <w:lang w:val="en-US" w:eastAsia="zh-CN"/>
              </w:rPr>
              <w:t>选择</w:t>
            </w:r>
            <w:r>
              <w:rPr>
                <w:rFonts w:hint="default" w:ascii="Times New Roman" w:hAnsi="Times New Roman" w:eastAsia="宋体" w:cs="Times New Roman"/>
                <w:b/>
                <w:bCs w:val="0"/>
                <w:color w:val="auto"/>
                <w:sz w:val="24"/>
                <w:szCs w:val="24"/>
              </w:rPr>
              <w:t>不饱和聚酯树脂成型材料（BMC</w:t>
            </w:r>
            <w:r>
              <w:rPr>
                <w:rFonts w:hint="default"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的说明</w:t>
            </w:r>
            <w:r>
              <w:rPr>
                <w:rFonts w:hint="default"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val="0"/>
                <w:bCs/>
                <w:color w:val="auto"/>
                <w:sz w:val="24"/>
                <w:szCs w:val="24"/>
              </w:rPr>
              <w:t>BMC</w:t>
            </w:r>
            <w:r>
              <w:rPr>
                <w:rFonts w:hint="eastAsia" w:ascii="Times New Roman" w:hAnsi="Times New Roman" w:eastAsia="宋体" w:cs="Times New Roman"/>
                <w:b w:val="0"/>
                <w:bCs/>
                <w:color w:val="auto"/>
                <w:sz w:val="24"/>
                <w:szCs w:val="24"/>
                <w:lang w:val="en-US" w:eastAsia="zh-CN"/>
              </w:rPr>
              <w:t>材料</w:t>
            </w:r>
            <w:r>
              <w:rPr>
                <w:rFonts w:hint="default" w:ascii="Times New Roman" w:hAnsi="Times New Roman" w:eastAsia="宋体" w:cs="Times New Roman"/>
                <w:b w:val="0"/>
                <w:bCs/>
                <w:color w:val="auto"/>
                <w:sz w:val="24"/>
                <w:szCs w:val="24"/>
                <w:lang w:val="en-US" w:eastAsia="zh-CN"/>
              </w:rPr>
              <w:t>具有高强度、高刚性和耐磨性</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sz w:val="24"/>
                <w:szCs w:val="24"/>
                <w:lang w:val="en-US" w:eastAsia="zh-CN"/>
              </w:rPr>
              <w:t>不易变形或老化</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优异的绝缘性能和耐电弧性能</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良好的耐腐蚀性等优点，因此本项目选择BMC作为原料进行生产</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而BMC的制备需要使用苯乙烯作为交联剂</w:t>
            </w:r>
            <w:r>
              <w:rPr>
                <w:rFonts w:hint="eastAsia" w:ascii="Times New Roman" w:hAnsi="Times New Roman" w:eastAsia="宋体" w:cs="Times New Roman"/>
                <w:b w:val="0"/>
                <w:bCs/>
                <w:sz w:val="24"/>
                <w:szCs w:val="24"/>
                <w:lang w:val="en-US" w:eastAsia="zh-CN"/>
              </w:rPr>
              <w:t>，针对NMC加工过程产生的有机废气（包括苯乙烯），本项目设置二级活性炭装置进行吸收处理，减少苯乙烯废气对周围环境的影响</w:t>
            </w:r>
            <w:r>
              <w:rPr>
                <w:rFonts w:hint="default" w:ascii="Times New Roman" w:hAnsi="Times New Roman" w:eastAsia="宋体" w:cs="Times New Roman"/>
                <w:b w:val="0"/>
                <w:bCs/>
                <w:sz w:val="24"/>
                <w:szCs w:val="24"/>
                <w:lang w:val="en-US" w:eastAsia="zh-CN"/>
              </w:rPr>
              <w:t>。</w:t>
            </w:r>
          </w:p>
          <w:p w14:paraId="49E81A6E">
            <w:pPr>
              <w:spacing w:before="156" w:beforeLines="5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表2-5  主要原辅料理化性质</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0"/>
              <w:gridCol w:w="4491"/>
              <w:gridCol w:w="1097"/>
              <w:gridCol w:w="1852"/>
            </w:tblGrid>
            <w:tr w14:paraId="18601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6" w:type="pct"/>
                  <w:tcBorders>
                    <w:tl2br w:val="nil"/>
                    <w:tr2bl w:val="nil"/>
                  </w:tcBorders>
                  <w:tcMar>
                    <w:top w:w="0" w:type="dxa"/>
                    <w:left w:w="0" w:type="dxa"/>
                    <w:bottom w:w="0" w:type="dxa"/>
                    <w:right w:w="0" w:type="dxa"/>
                  </w:tcMar>
                  <w:vAlign w:val="center"/>
                </w:tcPr>
                <w:p w14:paraId="1F5F96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2682" w:type="pct"/>
                  <w:tcBorders>
                    <w:tl2br w:val="nil"/>
                    <w:tr2bl w:val="nil"/>
                  </w:tcBorders>
                  <w:tcMar>
                    <w:top w:w="0" w:type="dxa"/>
                    <w:left w:w="0" w:type="dxa"/>
                    <w:bottom w:w="0" w:type="dxa"/>
                    <w:right w:w="0" w:type="dxa"/>
                  </w:tcMar>
                  <w:vAlign w:val="center"/>
                </w:tcPr>
                <w:p w14:paraId="0812BF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理化性质</w:t>
                  </w:r>
                </w:p>
              </w:tc>
              <w:tc>
                <w:tcPr>
                  <w:tcW w:w="655" w:type="pct"/>
                  <w:tcBorders>
                    <w:tl2br w:val="nil"/>
                    <w:tr2bl w:val="nil"/>
                  </w:tcBorders>
                  <w:tcMar>
                    <w:top w:w="0" w:type="dxa"/>
                    <w:left w:w="0" w:type="dxa"/>
                    <w:bottom w:w="0" w:type="dxa"/>
                    <w:right w:w="0" w:type="dxa"/>
                  </w:tcMar>
                  <w:vAlign w:val="center"/>
                </w:tcPr>
                <w:p w14:paraId="58F84B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燃爆性/</w:t>
                  </w:r>
                </w:p>
                <w:p w14:paraId="26DC6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放射性</w:t>
                  </w:r>
                </w:p>
              </w:tc>
              <w:tc>
                <w:tcPr>
                  <w:tcW w:w="1106" w:type="pct"/>
                  <w:tcBorders>
                    <w:tl2br w:val="nil"/>
                    <w:tr2bl w:val="nil"/>
                  </w:tcBorders>
                  <w:tcMar>
                    <w:top w:w="0" w:type="dxa"/>
                    <w:left w:w="0" w:type="dxa"/>
                    <w:bottom w:w="0" w:type="dxa"/>
                    <w:right w:w="0" w:type="dxa"/>
                  </w:tcMar>
                  <w:vAlign w:val="center"/>
                </w:tcPr>
                <w:p w14:paraId="4BE3B3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毒性毒理/</w:t>
                  </w:r>
                </w:p>
                <w:p w14:paraId="64D2A6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危险特性</w:t>
                  </w:r>
                </w:p>
              </w:tc>
            </w:tr>
            <w:tr w14:paraId="18631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6" w:type="pct"/>
                  <w:tcBorders>
                    <w:tl2br w:val="nil"/>
                    <w:tr2bl w:val="nil"/>
                  </w:tcBorders>
                  <w:tcMar>
                    <w:top w:w="0" w:type="dxa"/>
                    <w:left w:w="0" w:type="dxa"/>
                    <w:bottom w:w="0" w:type="dxa"/>
                    <w:right w:w="0" w:type="dxa"/>
                  </w:tcMar>
                  <w:vAlign w:val="center"/>
                </w:tcPr>
                <w:p w14:paraId="3FC23D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2"/>
                      <w:sz w:val="21"/>
                      <w:szCs w:val="21"/>
                    </w:rPr>
                    <w:t>碳酸钙</w:t>
                  </w:r>
                </w:p>
              </w:tc>
              <w:tc>
                <w:tcPr>
                  <w:tcW w:w="2682" w:type="pct"/>
                  <w:tcBorders>
                    <w:tl2br w:val="nil"/>
                    <w:tr2bl w:val="nil"/>
                  </w:tcBorders>
                  <w:tcMar>
                    <w:top w:w="0" w:type="dxa"/>
                    <w:left w:w="0" w:type="dxa"/>
                    <w:bottom w:w="0" w:type="dxa"/>
                    <w:right w:w="0" w:type="dxa"/>
                  </w:tcMar>
                  <w:vAlign w:val="center"/>
                </w:tcPr>
                <w:p w14:paraId="0E1895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是一种</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"https://baike.baidu.com/item/%E6%97%A0%E6%9C%BA%E5%8C%96%E5%90%88%E7%89%A9/10716655?fromModule=lemma_inlink" \t "https://baike.baidu.com/item/%E7%A2%B3%E9%85%B8%E9%92%99/_blank"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无机化合物</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化学式为CaCO₃，是石灰石、大理石等的主要成分。碳酸钙通常为白色晶体，无味，基本上不溶于水，易与酸反应放出二氧化碳。它是地球上常见物质之一，存在于霰石、方解石、白垩、石灰岩、大理石、石灰华等岩石内，亦为某些动物骨骼或外壳的主要成分。碳酸钙也是重要的建筑材料，工业上用途甚广</w:t>
                  </w:r>
                  <w:r>
                    <w:rPr>
                      <w:rFonts w:hint="eastAsia" w:ascii="Times New Roman" w:hAnsi="Times New Roman" w:eastAsia="宋体" w:cs="Times New Roman"/>
                      <w:color w:val="auto"/>
                      <w:kern w:val="0"/>
                      <w:sz w:val="21"/>
                      <w:szCs w:val="21"/>
                      <w:lang w:eastAsia="zh-CN"/>
                    </w:rPr>
                    <w:t>。碳酸钙是白色微细结晶粉末，无味、无臭。有无定形和结晶两种形态。结晶型中又可分为斜方晶系和六方晶系（无水碳酸钙为无色斜方晶体，六水碳酸钙为无色单斜晶体），呈柱状或菱形，密度为2.93g/cm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。熔点1339℃（825-896.6℃时已分解），10.7MPa下熔点为1289℃。几乎不溶于水，在含有铵盐或三氧化二铁的水中溶解，不溶于醇。</w:t>
                  </w:r>
                </w:p>
              </w:tc>
              <w:tc>
                <w:tcPr>
                  <w:tcW w:w="655" w:type="pct"/>
                  <w:tcBorders>
                    <w:tl2br w:val="nil"/>
                    <w:tr2bl w:val="nil"/>
                  </w:tcBorders>
                  <w:tcMar>
                    <w:top w:w="0" w:type="dxa"/>
                    <w:left w:w="0" w:type="dxa"/>
                    <w:bottom w:w="0" w:type="dxa"/>
                    <w:right w:w="0" w:type="dxa"/>
                  </w:tcMar>
                  <w:vAlign w:val="center"/>
                </w:tcPr>
                <w:p w14:paraId="156F6C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shd w:val="clear" w:color="auto" w:fill="FFFFFF"/>
                      <w:lang w:val="en-US" w:eastAsia="zh-CN"/>
                    </w:rPr>
                    <w:t>不易燃</w:t>
                  </w:r>
                </w:p>
              </w:tc>
              <w:tc>
                <w:tcPr>
                  <w:tcW w:w="1106" w:type="pct"/>
                  <w:tcBorders>
                    <w:tl2br w:val="nil"/>
                    <w:tr2bl w:val="nil"/>
                  </w:tcBorders>
                  <w:tcMar>
                    <w:top w:w="0" w:type="dxa"/>
                    <w:left w:w="0" w:type="dxa"/>
                    <w:bottom w:w="0" w:type="dxa"/>
                    <w:right w:w="0" w:type="dxa"/>
                  </w:tcMar>
                  <w:vAlign w:val="center"/>
                </w:tcPr>
                <w:p w14:paraId="6D068B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急性毒性：LD</w:t>
                  </w:r>
                  <w:r>
                    <w:rPr>
                      <w:rFonts w:hint="default" w:ascii="Times New Roman" w:hAnsi="Times New Roman" w:eastAsia="宋体" w:cs="Times New Roman"/>
                      <w:color w:val="auto"/>
                      <w:kern w:val="0"/>
                      <w:sz w:val="21"/>
                      <w:szCs w:val="21"/>
                      <w:vertAlign w:val="subscript"/>
                      <w:lang w:val="en-US" w:eastAsia="zh-CN"/>
                    </w:rPr>
                    <w:t>50</w:t>
                  </w:r>
                  <w:r>
                    <w:rPr>
                      <w:rFonts w:hint="default" w:ascii="Times New Roman" w:hAnsi="Times New Roman" w:eastAsia="宋体" w:cs="Times New Roman"/>
                      <w:color w:val="auto"/>
                      <w:kern w:val="0"/>
                      <w:sz w:val="21"/>
                      <w:szCs w:val="21"/>
                      <w:lang w:val="en-US" w:eastAsia="zh-CN"/>
                    </w:rPr>
                    <w:t>：6450mg/kg（大白鼠经口）</w:t>
                  </w:r>
                </w:p>
              </w:tc>
            </w:tr>
            <w:tr w14:paraId="2F2C42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6" w:type="pct"/>
                  <w:tcBorders>
                    <w:tl2br w:val="nil"/>
                    <w:tr2bl w:val="nil"/>
                  </w:tcBorders>
                  <w:tcMar>
                    <w:top w:w="0" w:type="dxa"/>
                    <w:left w:w="0" w:type="dxa"/>
                    <w:bottom w:w="0" w:type="dxa"/>
                    <w:right w:w="0" w:type="dxa"/>
                  </w:tcMar>
                  <w:vAlign w:val="center"/>
                </w:tcPr>
                <w:p w14:paraId="087C3FBA">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spacing w:val="-2"/>
                      <w:sz w:val="21"/>
                      <w:szCs w:val="21"/>
                    </w:rPr>
                    <w:t>苯乙烯</w:t>
                  </w:r>
                </w:p>
              </w:tc>
              <w:tc>
                <w:tcPr>
                  <w:tcW w:w="2682" w:type="pct"/>
                  <w:tcBorders>
                    <w:tl2br w:val="nil"/>
                    <w:tr2bl w:val="nil"/>
                  </w:tcBorders>
                  <w:tcMar>
                    <w:top w:w="0" w:type="dxa"/>
                    <w:left w:w="0" w:type="dxa"/>
                    <w:bottom w:w="0" w:type="dxa"/>
                    <w:right w:w="0" w:type="dxa"/>
                  </w:tcMar>
                  <w:vAlign w:val="center"/>
                </w:tcPr>
                <w:p w14:paraId="53804E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一类有机化合物，化学式为C</w:t>
                  </w:r>
                  <w:r>
                    <w:rPr>
                      <w:rFonts w:hint="default" w:ascii="Times New Roman" w:hAnsi="Times New Roman" w:eastAsia="宋体" w:cs="Times New Roman"/>
                      <w:color w:val="auto"/>
                      <w:kern w:val="0"/>
                      <w:sz w:val="21"/>
                      <w:szCs w:val="21"/>
                      <w:vertAlign w:val="subscript"/>
                    </w:rPr>
                    <w:t>8</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8</w:t>
                  </w:r>
                  <w:r>
                    <w:rPr>
                      <w:rFonts w:hint="default" w:ascii="Times New Roman" w:hAnsi="Times New Roman" w:eastAsia="宋体" w:cs="Times New Roman"/>
                      <w:color w:val="auto"/>
                      <w:kern w:val="0"/>
                      <w:sz w:val="21"/>
                      <w:szCs w:val="21"/>
                    </w:rPr>
                    <w:t>，结构中包含一个苯环和一个乙烯基。它是一种无色透明的液体，在室温下可燃，广泛用于化工工业。</w:t>
                  </w:r>
                  <w:r>
                    <w:rPr>
                      <w:rFonts w:hint="default" w:ascii="Times New Roman" w:hAnsi="Times New Roman" w:eastAsia="宋体" w:cs="Times New Roman"/>
                      <w:color w:val="auto"/>
                      <w:kern w:val="0"/>
                      <w:sz w:val="21"/>
                      <w:szCs w:val="21"/>
                      <w:lang w:val="en-US" w:eastAsia="zh-CN"/>
                    </w:rPr>
                    <w:t>密度：0.906g/cm</w:t>
                  </w:r>
                  <w:r>
                    <w:rPr>
                      <w:rFonts w:hint="default"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熔点：-31.5℃</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沸点：145.2℃</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闪点：31.1℃</w:t>
                  </w:r>
                  <w:r>
                    <w:rPr>
                      <w:rFonts w:hint="eastAsia" w:ascii="Times New Roman" w:hAnsi="Times New Roman" w:eastAsia="宋体" w:cs="Times New Roman"/>
                      <w:color w:val="auto"/>
                      <w:kern w:val="0"/>
                      <w:sz w:val="21"/>
                      <w:szCs w:val="21"/>
                      <w:lang w:val="en-US" w:eastAsia="zh-CN"/>
                    </w:rPr>
                    <w:t>。</w:t>
                  </w:r>
                </w:p>
              </w:tc>
              <w:tc>
                <w:tcPr>
                  <w:tcW w:w="655" w:type="pct"/>
                  <w:tcBorders>
                    <w:tl2br w:val="nil"/>
                    <w:tr2bl w:val="nil"/>
                  </w:tcBorders>
                  <w:tcMar>
                    <w:top w:w="0" w:type="dxa"/>
                    <w:left w:w="0" w:type="dxa"/>
                    <w:bottom w:w="0" w:type="dxa"/>
                    <w:right w:w="0" w:type="dxa"/>
                  </w:tcMar>
                  <w:vAlign w:val="center"/>
                </w:tcPr>
                <w:p w14:paraId="4CE5E8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易燃</w:t>
                  </w:r>
                </w:p>
              </w:tc>
              <w:tc>
                <w:tcPr>
                  <w:tcW w:w="1106" w:type="pct"/>
                  <w:tcBorders>
                    <w:tl2br w:val="nil"/>
                    <w:tr2bl w:val="nil"/>
                  </w:tcBorders>
                  <w:tcMar>
                    <w:top w:w="0" w:type="dxa"/>
                    <w:left w:w="0" w:type="dxa"/>
                    <w:bottom w:w="0" w:type="dxa"/>
                    <w:right w:w="0" w:type="dxa"/>
                  </w:tcMar>
                  <w:vAlign w:val="center"/>
                </w:tcPr>
                <w:p w14:paraId="32A244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LD</w:t>
                  </w:r>
                  <w:r>
                    <w:rPr>
                      <w:rFonts w:hint="default" w:ascii="Times New Roman" w:hAnsi="Times New Roman" w:eastAsia="宋体" w:cs="Times New Roman"/>
                      <w:bCs/>
                      <w:color w:val="auto"/>
                      <w:kern w:val="0"/>
                      <w:sz w:val="21"/>
                      <w:szCs w:val="21"/>
                      <w:vertAlign w:val="subscript"/>
                      <w:lang w:eastAsia="zh-CN"/>
                    </w:rPr>
                    <w:t>50</w:t>
                  </w:r>
                  <w:r>
                    <w:rPr>
                      <w:rFonts w:hint="default" w:ascii="Times New Roman" w:hAnsi="Times New Roman" w:eastAsia="宋体" w:cs="Times New Roman"/>
                      <w:bCs/>
                      <w:color w:val="auto"/>
                      <w:kern w:val="0"/>
                      <w:sz w:val="21"/>
                      <w:szCs w:val="21"/>
                      <w:lang w:eastAsia="zh-CN"/>
                    </w:rPr>
                    <w:t>：1000mg/kg（大鼠经口）；316mg/kg（小鼠经口）</w:t>
                  </w:r>
                </w:p>
              </w:tc>
            </w:tr>
            <w:tr w14:paraId="41FAA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6" w:type="pct"/>
                  <w:tcBorders>
                    <w:tl2br w:val="nil"/>
                    <w:tr2bl w:val="nil"/>
                  </w:tcBorders>
                  <w:tcMar>
                    <w:top w:w="0" w:type="dxa"/>
                    <w:left w:w="0" w:type="dxa"/>
                    <w:bottom w:w="0" w:type="dxa"/>
                    <w:right w:w="0" w:type="dxa"/>
                  </w:tcMar>
                  <w:vAlign w:val="center"/>
                </w:tcPr>
                <w:p w14:paraId="69AAC147">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硬脂酸锌</w:t>
                  </w:r>
                </w:p>
              </w:tc>
              <w:tc>
                <w:tcPr>
                  <w:tcW w:w="2682" w:type="pct"/>
                  <w:tcBorders>
                    <w:tl2br w:val="nil"/>
                    <w:tr2bl w:val="nil"/>
                  </w:tcBorders>
                  <w:tcMar>
                    <w:top w:w="0" w:type="dxa"/>
                    <w:left w:w="0" w:type="dxa"/>
                    <w:bottom w:w="0" w:type="dxa"/>
                    <w:right w:w="0" w:type="dxa"/>
                  </w:tcMar>
                  <w:vAlign w:val="center"/>
                </w:tcPr>
                <w:p w14:paraId="2A79A9B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是一种有机物，化学式为C</w:t>
                  </w:r>
                  <w:r>
                    <w:rPr>
                      <w:rFonts w:hint="default" w:ascii="Times New Roman" w:hAnsi="Times New Roman" w:eastAsia="宋体" w:cs="Times New Roman"/>
                      <w:color w:val="auto"/>
                      <w:sz w:val="21"/>
                      <w:szCs w:val="21"/>
                      <w:vertAlign w:val="subscript"/>
                    </w:rPr>
                    <w:t>36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70</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Zn，是白色粉末，不溶于水。主要用作</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"https://baike.baidu.com/item/%E8%8B%AF%E4%B9%99%E7%83%AF%E6%A0%91%E8%84%82/8008871?fromModule=lemma_inlink"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苯乙烯树脂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、酚醛树脂、胺基树脂的润滑剂和脱模剂。同时在橡胶中还具有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"https://baike.baidu.com/item/%E7%A1%AB%E5%8C%96%E6%B4%BB%E6%80%A7%E5%89%82/9088013?fromModule=lemma_inlink"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硫化活性剂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，软化剂的功能。白色粉末，不溶于水，溶于热的乙醇、苯、甲苯、</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"https://baike.baidu.com/item/%E6%9D%BE%E8%8A%82%E6%B2%B9/0?fromModule=lemma_inlink"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松节油</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等有机溶剂；遇到酸分解成硬脂酸和相应的盐；在干燥的条件下有火险性，自燃点900℃；有吸湿性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密度：1.095g/cm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；熔点：118-125℃</w:t>
                  </w:r>
                </w:p>
              </w:tc>
              <w:tc>
                <w:tcPr>
                  <w:tcW w:w="655" w:type="pct"/>
                  <w:tcBorders>
                    <w:tl2br w:val="nil"/>
                    <w:tr2bl w:val="nil"/>
                  </w:tcBorders>
                  <w:tcMar>
                    <w:top w:w="0" w:type="dxa"/>
                    <w:left w:w="0" w:type="dxa"/>
                    <w:bottom w:w="0" w:type="dxa"/>
                    <w:right w:w="0" w:type="dxa"/>
                  </w:tcMar>
                  <w:vAlign w:val="center"/>
                </w:tcPr>
                <w:p w14:paraId="3E3326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w:t>
                  </w:r>
                </w:p>
              </w:tc>
              <w:tc>
                <w:tcPr>
                  <w:tcW w:w="1106" w:type="pct"/>
                  <w:tcBorders>
                    <w:tl2br w:val="nil"/>
                    <w:tr2bl w:val="nil"/>
                  </w:tcBorders>
                  <w:tcMar>
                    <w:top w:w="0" w:type="dxa"/>
                    <w:left w:w="0" w:type="dxa"/>
                    <w:bottom w:w="0" w:type="dxa"/>
                    <w:right w:w="0" w:type="dxa"/>
                  </w:tcMar>
                  <w:vAlign w:val="center"/>
                </w:tcPr>
                <w:p w14:paraId="56E214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B2B1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6" w:type="pct"/>
                  <w:tcBorders>
                    <w:tl2br w:val="nil"/>
                    <w:tr2bl w:val="nil"/>
                  </w:tcBorders>
                  <w:tcMar>
                    <w:top w:w="0" w:type="dxa"/>
                    <w:left w:w="0" w:type="dxa"/>
                    <w:bottom w:w="0" w:type="dxa"/>
                    <w:right w:w="0" w:type="dxa"/>
                  </w:tcMar>
                  <w:vAlign w:val="center"/>
                </w:tcPr>
                <w:p w14:paraId="62FF8DD1">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丁二酸</w:t>
                  </w:r>
                </w:p>
              </w:tc>
              <w:tc>
                <w:tcPr>
                  <w:tcW w:w="2682" w:type="pct"/>
                  <w:tcBorders>
                    <w:tl2br w:val="nil"/>
                    <w:tr2bl w:val="nil"/>
                  </w:tcBorders>
                  <w:tcMar>
                    <w:top w:w="0" w:type="dxa"/>
                    <w:left w:w="0" w:type="dxa"/>
                    <w:bottom w:w="0" w:type="dxa"/>
                    <w:right w:w="0" w:type="dxa"/>
                  </w:tcMar>
                  <w:vAlign w:val="center"/>
                </w:tcPr>
                <w:p w14:paraId="03F5AD46">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是一种二羧酸，呈无色晶体，味酸，溶于水、乙醇和乙醚，不溶于氯仿、二氯甲烷。琥珀酸为无色结晶；</w:t>
                  </w: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HYPERLINK "https://baike.baidu.com/item/%E7%9B%B8%E5%AF%B9%E5%AF%86%E5%BA%A6/0?fromModule=lemma_inlink" \t "https://baike.baidu.com/item/_blank"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相对密度</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1.572（25/4℃），熔点188℃，在235℃时分解；在减压下蒸馏可升华；能溶于水，微溶于</w:t>
                  </w: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HYPERLINK "https://baike.baidu.com/item/%E4%B9%99%E9%86%87/0?fromModule=lemma_inlink" \t "https://baike.baidu.com/item/_blank"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乙醇</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、乙醚和</w:t>
                  </w: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HYPERLINK "https://baike.baidu.com/item/%E4%B8%99%E9%85%AE/0?fromModule=lemma_inlink" \t "https://baike.baidu.com/item/_blank"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丙酮</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中</w:t>
                  </w:r>
                  <w:r>
                    <w:rPr>
                      <w:rFonts w:hint="eastAsia" w:ascii="Times New Roman" w:hAnsi="Times New Roman" w:eastAsia="宋体" w:cs="Times New Roman"/>
                      <w:color w:val="auto"/>
                      <w:kern w:val="2"/>
                      <w:sz w:val="21"/>
                      <w:szCs w:val="21"/>
                      <w:lang w:val="en-US" w:eastAsia="zh-CN" w:bidi="ar-SA"/>
                    </w:rPr>
                    <w:t>。</w:t>
                  </w:r>
                </w:p>
              </w:tc>
              <w:tc>
                <w:tcPr>
                  <w:tcW w:w="655" w:type="pct"/>
                  <w:tcBorders>
                    <w:tl2br w:val="nil"/>
                    <w:tr2bl w:val="nil"/>
                  </w:tcBorders>
                  <w:tcMar>
                    <w:top w:w="0" w:type="dxa"/>
                    <w:left w:w="0" w:type="dxa"/>
                    <w:bottom w:w="0" w:type="dxa"/>
                    <w:right w:w="0" w:type="dxa"/>
                  </w:tcMar>
                  <w:vAlign w:val="center"/>
                </w:tcPr>
                <w:p w14:paraId="43108F72">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可燃</w:t>
                  </w:r>
                </w:p>
              </w:tc>
              <w:tc>
                <w:tcPr>
                  <w:tcW w:w="1106" w:type="pct"/>
                  <w:tcBorders>
                    <w:tl2br w:val="nil"/>
                    <w:tr2bl w:val="nil"/>
                  </w:tcBorders>
                  <w:tcMar>
                    <w:top w:w="0" w:type="dxa"/>
                    <w:left w:w="0" w:type="dxa"/>
                    <w:bottom w:w="0" w:type="dxa"/>
                    <w:right w:w="0" w:type="dxa"/>
                  </w:tcMar>
                  <w:vAlign w:val="center"/>
                </w:tcPr>
                <w:p w14:paraId="7C21C64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大鼠口服LD</w:t>
                  </w:r>
                  <w:r>
                    <w:rPr>
                      <w:rFonts w:hint="default" w:ascii="Times New Roman" w:hAnsi="Times New Roman" w:eastAsia="宋体" w:cs="Times New Roman"/>
                      <w:color w:val="auto"/>
                      <w:kern w:val="2"/>
                      <w:sz w:val="21"/>
                      <w:szCs w:val="21"/>
                      <w:vertAlign w:val="subscript"/>
                      <w:lang w:val="en-US" w:eastAsia="zh-CN" w:bidi="ar-SA"/>
                    </w:rPr>
                    <w:t>50</w:t>
                  </w:r>
                  <w:r>
                    <w:rPr>
                      <w:rFonts w:hint="default" w:ascii="Times New Roman" w:hAnsi="Times New Roman" w:eastAsia="宋体" w:cs="Times New Roman"/>
                      <w:color w:val="auto"/>
                      <w:kern w:val="2"/>
                      <w:sz w:val="21"/>
                      <w:szCs w:val="21"/>
                      <w:lang w:val="en-US" w:eastAsia="zh-CN" w:bidi="ar-SA"/>
                    </w:rPr>
                    <w:t>为8530mg/kg</w:t>
                  </w:r>
                </w:p>
              </w:tc>
            </w:tr>
            <w:tr w14:paraId="1BC78E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0" w:type="auto"/>
                  <w:vAlign w:val="center"/>
                </w:tcPr>
                <w:p w14:paraId="5963A30D">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偏硅酸钠</w:t>
                  </w:r>
                </w:p>
              </w:tc>
              <w:tc>
                <w:tcPr>
                  <w:tcW w:w="2682" w:type="pct"/>
                  <w:vAlign w:val="center"/>
                </w:tcPr>
                <w:p w14:paraId="1EF5738F">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是一种无机化合物，化学式为Na</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SiO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，为白色颗粒，易溶于水，溶于稀氢氧化钠溶液，不溶于乙醇和酸，主要用作分析试剂、织物防火剂、胶黏剂、硬化剂、增重剂、填充剂，也用于矿石浮洗及石油精制。密度：2.4g/cm</w:t>
                  </w:r>
                  <w:r>
                    <w:rPr>
                      <w:rFonts w:hint="default"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熔点：1089°C</w:t>
                  </w:r>
                </w:p>
              </w:tc>
              <w:tc>
                <w:tcPr>
                  <w:tcW w:w="655" w:type="pct"/>
                  <w:vAlign w:val="center"/>
                </w:tcPr>
                <w:p w14:paraId="29EE3AF2">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0" w:type="auto"/>
                  <w:vAlign w:val="center"/>
                </w:tcPr>
                <w:p w14:paraId="6624D1FC">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大鼠经口LD</w:t>
                  </w:r>
                  <w:r>
                    <w:rPr>
                      <w:rFonts w:hint="default" w:ascii="Times New Roman" w:hAnsi="Times New Roman" w:eastAsia="宋体" w:cs="Times New Roman"/>
                      <w:color w:val="auto"/>
                      <w:kern w:val="2"/>
                      <w:sz w:val="21"/>
                      <w:szCs w:val="21"/>
                      <w:vertAlign w:val="subscript"/>
                      <w:lang w:val="en-US" w:eastAsia="zh-CN" w:bidi="ar-SA"/>
                    </w:rPr>
                    <w:t>50</w:t>
                  </w:r>
                  <w:r>
                    <w:rPr>
                      <w:rFonts w:hint="default" w:ascii="Times New Roman" w:hAnsi="Times New Roman" w:eastAsia="宋体" w:cs="Times New Roman"/>
                      <w:color w:val="auto"/>
                      <w:kern w:val="2"/>
                      <w:sz w:val="21"/>
                      <w:szCs w:val="21"/>
                      <w:lang w:val="en-US" w:eastAsia="zh-CN" w:bidi="ar-SA"/>
                    </w:rPr>
                    <w:t>：1280mg/kg</w:t>
                  </w:r>
                </w:p>
              </w:tc>
            </w:tr>
            <w:tr w14:paraId="524C2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0" w:type="auto"/>
                  <w:vAlign w:val="center"/>
                </w:tcPr>
                <w:p w14:paraId="142EA261">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乙醇胺</w:t>
                  </w:r>
                </w:p>
              </w:tc>
              <w:tc>
                <w:tcPr>
                  <w:tcW w:w="2682" w:type="pct"/>
                  <w:vAlign w:val="center"/>
                </w:tcPr>
                <w:p w14:paraId="0F866307">
                  <w:pPr>
                    <w:numPr>
                      <w:ilvl w:val="0"/>
                      <w:numId w:val="7"/>
                    </w:num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羟基乙胺，别名乙醇胺，是一种有机化合物，化学式为C</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H</w:t>
                  </w:r>
                  <w:r>
                    <w:rPr>
                      <w:rFonts w:hint="default" w:ascii="Times New Roman" w:hAnsi="Times New Roman" w:eastAsia="宋体" w:cs="Times New Roman"/>
                      <w:color w:val="auto"/>
                      <w:kern w:val="2"/>
                      <w:sz w:val="21"/>
                      <w:szCs w:val="21"/>
                      <w:vertAlign w:val="subscript"/>
                      <w:lang w:val="en-US" w:eastAsia="zh-CN" w:bidi="ar-SA"/>
                    </w:rPr>
                    <w:t>7</w:t>
                  </w:r>
                  <w:r>
                    <w:rPr>
                      <w:rFonts w:hint="default" w:ascii="Times New Roman" w:hAnsi="Times New Roman" w:eastAsia="宋体" w:cs="Times New Roman"/>
                      <w:color w:val="auto"/>
                      <w:kern w:val="2"/>
                      <w:sz w:val="21"/>
                      <w:szCs w:val="21"/>
                      <w:lang w:val="en-US" w:eastAsia="zh-CN" w:bidi="ar-SA"/>
                    </w:rPr>
                    <w:t>NO。密度</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1.02 g/cm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；闪点：93.3 ℃</w:t>
                  </w:r>
                </w:p>
              </w:tc>
              <w:tc>
                <w:tcPr>
                  <w:tcW w:w="655" w:type="pct"/>
                  <w:vAlign w:val="center"/>
                </w:tcPr>
                <w:p w14:paraId="4053D44B">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0" w:type="auto"/>
                  <w:vAlign w:val="center"/>
                </w:tcPr>
                <w:p w14:paraId="675F780E">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58670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0" w:type="auto"/>
                  <w:vAlign w:val="center"/>
                </w:tcPr>
                <w:p w14:paraId="7886419D">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sz w:val="21"/>
                      <w:szCs w:val="21"/>
                      <w:lang w:val="en-US" w:eastAsia="zh-CN"/>
                    </w:rPr>
                    <w:t>葡萄糖酸钠</w:t>
                  </w:r>
                </w:p>
              </w:tc>
              <w:tc>
                <w:tcPr>
                  <w:tcW w:w="2682" w:type="pct"/>
                  <w:vAlign w:val="center"/>
                </w:tcPr>
                <w:p w14:paraId="2EA28BA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是一种有机物，化学式为C</w:t>
                  </w:r>
                  <w:r>
                    <w:rPr>
                      <w:rFonts w:hint="default" w:ascii="Times New Roman" w:hAnsi="Times New Roman" w:eastAsia="宋体" w:cs="Times New Roman"/>
                      <w:color w:val="auto"/>
                      <w:sz w:val="21"/>
                      <w:szCs w:val="21"/>
                      <w:vertAlign w:val="subscript"/>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11</w:t>
                  </w:r>
                  <w:r>
                    <w:rPr>
                      <w:rFonts w:hint="default" w:ascii="Times New Roman" w:hAnsi="Times New Roman" w:eastAsia="宋体" w:cs="Times New Roman"/>
                      <w:color w:val="auto"/>
                      <w:sz w:val="21"/>
                      <w:szCs w:val="21"/>
                    </w:rPr>
                    <w:t>NaO</w:t>
                  </w:r>
                  <w:r>
                    <w:rPr>
                      <w:rFonts w:hint="default" w:ascii="Times New Roman" w:hAnsi="Times New Roman" w:eastAsia="宋体" w:cs="Times New Roman"/>
                      <w:color w:val="auto"/>
                      <w:sz w:val="21"/>
                      <w:szCs w:val="21"/>
                      <w:vertAlign w:val="subscript"/>
                    </w:rPr>
                    <w:t>7</w:t>
                  </w:r>
                  <w:r>
                    <w:rPr>
                      <w:rFonts w:hint="default" w:ascii="Times New Roman" w:hAnsi="Times New Roman" w:eastAsia="宋体" w:cs="Times New Roman"/>
                      <w:color w:val="auto"/>
                      <w:sz w:val="21"/>
                      <w:szCs w:val="21"/>
                    </w:rPr>
                    <w:t>，在工业上用途十分广泛，葡萄糖酸钠可以在建筑、纺织印染和金属表面处理以及水处理等行业作高效螯合剂，钢铁表面清洗剂，玻瓶清洗剂，电镀工业铝氧着色，在混凝土行业用作高效缓凝剂、</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"https://baike.baidu.com/item/%E9%AB%98%E6%95%88%E5%87%8F%E6%B0%B4%E5%89%82/4636944?fromModule=lemma_inlink"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高效减水剂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等。</w:t>
                  </w:r>
                </w:p>
              </w:tc>
              <w:tc>
                <w:tcPr>
                  <w:tcW w:w="655" w:type="pct"/>
                  <w:vAlign w:val="center"/>
                </w:tcPr>
                <w:p w14:paraId="38F042F8">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vAlign w:val="center"/>
                </w:tcPr>
                <w:p w14:paraId="22047868">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兔子经静脉LDLo：7630mg/kg</w:t>
                  </w:r>
                </w:p>
              </w:tc>
            </w:tr>
            <w:tr w14:paraId="29D8CC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0" w:type="auto"/>
                  <w:vAlign w:val="center"/>
                </w:tcPr>
                <w:p w14:paraId="600B5A07">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sz w:val="21"/>
                      <w:szCs w:val="21"/>
                      <w:lang w:val="en-US" w:eastAsia="zh-CN"/>
                    </w:rPr>
                    <w:t>二乙二醇丁醚</w:t>
                  </w:r>
                </w:p>
              </w:tc>
              <w:tc>
                <w:tcPr>
                  <w:tcW w:w="2682" w:type="pct"/>
                  <w:vAlign w:val="center"/>
                </w:tcPr>
                <w:p w14:paraId="1671AD7D">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是一种</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"https://baike.baidu.com/item/%E6%9C%89%E6%9C%BA%E5%8C%96%E5%90%88%E7%89%A9/2950156?fromModule=lemma_inlink"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有机化合物</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，分子式为C</w:t>
                  </w:r>
                  <w:r>
                    <w:rPr>
                      <w:rFonts w:hint="default" w:ascii="Times New Roman" w:hAnsi="Times New Roman" w:eastAsia="宋体" w:cs="Times New Roman"/>
                      <w:color w:val="auto"/>
                      <w:sz w:val="21"/>
                      <w:szCs w:val="21"/>
                      <w:vertAlign w:val="subscript"/>
                      <w:lang w:eastAsia="zh-CN"/>
                    </w:rPr>
                    <w:t>8</w:t>
                  </w:r>
                  <w:r>
                    <w:rPr>
                      <w:rFonts w:hint="default" w:ascii="Times New Roman" w:hAnsi="Times New Roman" w:eastAsia="宋体" w:cs="Times New Roman"/>
                      <w:color w:val="auto"/>
                      <w:sz w:val="21"/>
                      <w:szCs w:val="21"/>
                      <w:lang w:eastAsia="zh-CN"/>
                    </w:rPr>
                    <w:t>H</w:t>
                  </w:r>
                  <w:r>
                    <w:rPr>
                      <w:rFonts w:hint="default" w:ascii="Times New Roman" w:hAnsi="Times New Roman" w:eastAsia="宋体" w:cs="Times New Roman"/>
                      <w:color w:val="auto"/>
                      <w:sz w:val="21"/>
                      <w:szCs w:val="21"/>
                      <w:vertAlign w:val="subscript"/>
                      <w:lang w:eastAsia="zh-CN"/>
                    </w:rPr>
                    <w:t>18</w:t>
                  </w:r>
                  <w:r>
                    <w:rPr>
                      <w:rFonts w:hint="default" w:ascii="Times New Roman" w:hAnsi="Times New Roman" w:eastAsia="宋体" w:cs="Times New Roman"/>
                      <w:color w:val="auto"/>
                      <w:sz w:val="21"/>
                      <w:szCs w:val="21"/>
                      <w:lang w:eastAsia="zh-CN"/>
                    </w:rPr>
                    <w:t>O</w:t>
                  </w:r>
                  <w:r>
                    <w:rPr>
                      <w:rFonts w:hint="default" w:ascii="Times New Roman" w:hAnsi="Times New Roman" w:eastAsia="宋体" w:cs="Times New Roman"/>
                      <w:color w:val="auto"/>
                      <w:sz w:val="21"/>
                      <w:szCs w:val="21"/>
                      <w:vertAlign w:val="subscript"/>
                      <w:lang w:eastAsia="zh-CN"/>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HO</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CH</w:t>
                  </w:r>
                  <w:r>
                    <w:rPr>
                      <w:rFonts w:hint="default" w:ascii="Times New Roman" w:hAnsi="Times New Roman" w:eastAsia="宋体" w:cs="Times New Roman"/>
                      <w:color w:val="auto"/>
                      <w:sz w:val="21"/>
                      <w:szCs w:val="21"/>
                      <w:vertAlign w:val="subscript"/>
                      <w:lang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O</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CH</w:t>
                  </w:r>
                  <w:r>
                    <w:rPr>
                      <w:rFonts w:hint="default" w:ascii="Times New Roman" w:hAnsi="Times New Roman" w:eastAsia="宋体" w:cs="Times New Roman"/>
                      <w:color w:val="auto"/>
                      <w:sz w:val="21"/>
                      <w:szCs w:val="21"/>
                      <w:vertAlign w:val="subscript"/>
                      <w:lang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O</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CH</w:t>
                  </w:r>
                  <w:r>
                    <w:rPr>
                      <w:rFonts w:hint="default" w:ascii="Times New Roman" w:hAnsi="Times New Roman" w:eastAsia="宋体" w:cs="Times New Roman"/>
                      <w:color w:val="auto"/>
                      <w:sz w:val="21"/>
                      <w:szCs w:val="21"/>
                      <w:vertAlign w:val="subscript"/>
                      <w:lang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CH</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，能与水以任何比例</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"https://baike.baidu.com/item/%E6%B7%B7%E6%BA%B6/3766100?fromModule=lemma_inlink"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混溶</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、溶于</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"https://baike.baidu.com/item/%E4%B9%99%E9%86%87/135334?fromModule=lemma_inlink"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乙醇</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"https://baike.baidu.com/item/%E4%B9%99%E9%86%9A/316922?fromModule=lemma_inlink"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乙醚</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、油类和许多其他</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"https://baike.baidu.com/item/%E6%9C%89%E6%9C%BA%E6%BA%B6%E5%89%82/7921016?fromModule=lemma_inlink"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有机溶剂</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。常用作</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"https://baike.baidu.com/item/%E7%A1%9D%E5%8C%96%E6%A3%89/1156953?fromModule=lemma_inlink"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硝化棉</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、清漆、</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"https://baike.baidu.com/item/%E5%8D%B0%E5%88%B7%E5%A2%A8/22319602?fromModule=lemma_inlink"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印刷墨</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、油类、树脂等的溶剂及</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"https://baike.baidu.com/item/%E5%90%88%E6%88%90%E5%A1%91%E6%96%99/9199590?fromModule=lemma_inlink"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合成塑料</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eastAsia="zh-CN"/>
                    </w:rPr>
                    <w:t>的中间体。</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HYPERLINK "https://baike.baidu.com/item/%E7%9B%B8%E5%AF%B9%E5%AF%86%E5%BA%A6/5064282?fromModule=lemma_inlink" \t "https://baike.baidu.com/item/_blank"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lang w:eastAsia="zh-CN"/>
                    </w:rPr>
                    <w:t>相对密度</w:t>
                  </w:r>
                  <w:r>
                    <w:rPr>
                      <w:rFonts w:hint="default" w:ascii="Times New Roman" w:hAnsi="Times New Roman" w:eastAsia="宋体" w:cs="Times New Roman"/>
                      <w:color w:val="auto"/>
                      <w:sz w:val="21"/>
                      <w:szCs w:val="21"/>
                      <w:lang w:eastAsia="zh-CN"/>
                    </w:rPr>
                    <w:fldChar w:fldCharType="end"/>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0.9536（20/20℃）</w:t>
                  </w:r>
                  <w:r>
                    <w:rPr>
                      <w:rFonts w:hint="eastAsia" w:ascii="Times New Roman" w:hAnsi="Times New Roman" w:eastAsia="宋体" w:cs="Times New Roman"/>
                      <w:color w:val="auto"/>
                      <w:sz w:val="21"/>
                      <w:szCs w:val="21"/>
                      <w:lang w:eastAsia="zh-CN"/>
                    </w:rPr>
                    <w:t>；熔点（℃）-68.1。</w:t>
                  </w:r>
                </w:p>
              </w:tc>
              <w:tc>
                <w:tcPr>
                  <w:tcW w:w="655" w:type="pct"/>
                  <w:vAlign w:val="center"/>
                </w:tcPr>
                <w:p w14:paraId="46FB196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可燃</w:t>
                  </w:r>
                </w:p>
              </w:tc>
              <w:tc>
                <w:tcPr>
                  <w:tcW w:w="0" w:type="auto"/>
                  <w:vAlign w:val="center"/>
                </w:tcPr>
                <w:p w14:paraId="4489857A">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"https://baike.baidu.com/item/%E5%A4%A7%E9%BC%A0/3721233?fromModule=lemma_inlink" \t "https://baike.baidu.com/item/_blank"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大鼠</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经口LD</w:t>
                  </w:r>
                  <w:r>
                    <w:rPr>
                      <w:rFonts w:hint="default" w:ascii="Times New Roman" w:hAnsi="Times New Roman" w:eastAsia="宋体" w:cs="Times New Roman"/>
                      <w:color w:val="auto"/>
                      <w:sz w:val="21"/>
                      <w:szCs w:val="21"/>
                      <w:vertAlign w:val="subscript"/>
                      <w:lang w:val="en-US" w:eastAsia="zh-CN"/>
                    </w:rPr>
                    <w:t>50</w:t>
                  </w:r>
                  <w:r>
                    <w:rPr>
                      <w:rFonts w:hint="default" w:ascii="Times New Roman" w:hAnsi="Times New Roman" w:eastAsia="宋体" w:cs="Times New Roman"/>
                      <w:color w:val="auto"/>
                      <w:sz w:val="21"/>
                      <w:szCs w:val="21"/>
                      <w:lang w:val="en-US" w:eastAsia="zh-CN"/>
                    </w:rPr>
                    <w:t>-6,560mg/kg</w:t>
                  </w:r>
                </w:p>
              </w:tc>
            </w:tr>
          </w:tbl>
          <w:p w14:paraId="59D9DBE9">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val="0"/>
                <w:color w:val="auto"/>
                <w:sz w:val="24"/>
                <w:szCs w:val="24"/>
                <w:lang w:val="en-US" w:eastAsia="zh-CN"/>
              </w:rPr>
              <w:t>（2）清洗剂VOCs含量相符性分析</w:t>
            </w:r>
          </w:p>
          <w:p w14:paraId="221A10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bCs w:val="0"/>
                <w:color w:val="auto"/>
                <w:sz w:val="24"/>
                <w:lang w:val="en-US" w:eastAsia="zh-CN"/>
              </w:rPr>
              <w:t>清洗剂VOCs含量相符性</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根据清洗剂MSDS，挥发分主要为二乙二醇丁醚，占比为2-6%（本次占比按6%计），清洗剂密度为1.05</w:t>
            </w:r>
            <w:r>
              <w:rPr>
                <w:rFonts w:hint="default" w:ascii="Times New Roman" w:hAnsi="Times New Roman" w:cs="Times New Roman"/>
                <w:color w:val="auto"/>
                <w:lang w:val="en-US" w:eastAsia="zh-CN"/>
              </w:rPr>
              <w:t>kg/m</w:t>
            </w:r>
            <w:r>
              <w:rPr>
                <w:rFonts w:hint="default" w:ascii="Times New Roman" w:hAnsi="Times New Roman" w:cs="Times New Roman"/>
                <w:color w:val="auto"/>
                <w:vertAlign w:val="superscript"/>
                <w:lang w:val="en-US" w:eastAsia="zh-CN"/>
              </w:rPr>
              <w:t>3</w:t>
            </w:r>
            <w:r>
              <w:rPr>
                <w:rFonts w:hint="eastAsia" w:ascii="Times New Roman" w:hAnsi="Times New Roman" w:eastAsia="宋体" w:cs="Times New Roman"/>
                <w:b w:val="0"/>
                <w:bCs/>
                <w:color w:val="auto"/>
                <w:sz w:val="24"/>
                <w:lang w:val="en-US" w:eastAsia="zh-CN"/>
              </w:rPr>
              <w:t>，则</w:t>
            </w:r>
            <w:r>
              <w:rPr>
                <w:rFonts w:hint="default" w:ascii="Times New Roman" w:hAnsi="Times New Roman" w:eastAsia="宋体" w:cs="Times New Roman"/>
                <w:b w:val="0"/>
                <w:bCs/>
                <w:color w:val="auto"/>
                <w:sz w:val="24"/>
                <w:szCs w:val="24"/>
                <w:lang w:val="en-US" w:eastAsia="zh-CN"/>
              </w:rPr>
              <w:t>清</w:t>
            </w:r>
            <w:r>
              <w:rPr>
                <w:rFonts w:hint="default" w:ascii="Times New Roman" w:hAnsi="Times New Roman" w:eastAsia="宋体" w:cs="Times New Roman"/>
                <w:color w:val="auto"/>
                <w:sz w:val="24"/>
                <w:szCs w:val="24"/>
                <w:lang w:val="en-US" w:eastAsia="zh-CN"/>
              </w:rPr>
              <w:t>洗剂VOC含量限值为</w:t>
            </w:r>
            <w:r>
              <w:rPr>
                <w:rFonts w:hint="eastAsia" w:ascii="Times New Roman" w:hAnsi="Times New Roman" w:eastAsia="宋体" w:cs="Times New Roman"/>
                <w:color w:val="auto"/>
                <w:sz w:val="24"/>
                <w:szCs w:val="24"/>
                <w:lang w:val="en-US" w:eastAsia="zh-CN"/>
              </w:rPr>
              <w:t>63.16</w:t>
            </w:r>
            <w:r>
              <w:rPr>
                <w:rFonts w:hint="default" w:ascii="Times New Roman" w:hAnsi="Times New Roman" w:eastAsia="宋体" w:cs="Times New Roman"/>
                <w:color w:val="auto"/>
                <w:sz w:val="24"/>
                <w:szCs w:val="24"/>
                <w:lang w:val="en-US" w:eastAsia="zh-CN"/>
              </w:rPr>
              <w:t>g/L，符合《清洗剂挥发性有机化合物含量限值》（GB38508-2020）中表1</w:t>
            </w:r>
            <w:r>
              <w:rPr>
                <w:rFonts w:hint="eastAsia" w:ascii="Times New Roman" w:hAnsi="Times New Roman" w:eastAsia="宋体" w:cs="Times New Roman"/>
                <w:color w:val="auto"/>
                <w:sz w:val="24"/>
                <w:szCs w:val="24"/>
                <w:lang w:val="en-US" w:eastAsia="zh-CN"/>
              </w:rPr>
              <w:t>半水基</w:t>
            </w:r>
            <w:r>
              <w:rPr>
                <w:rFonts w:hint="default" w:ascii="Times New Roman" w:hAnsi="Times New Roman" w:eastAsia="宋体" w:cs="Times New Roman"/>
                <w:color w:val="auto"/>
                <w:sz w:val="24"/>
                <w:szCs w:val="24"/>
                <w:lang w:val="en-US" w:eastAsia="zh-CN"/>
              </w:rPr>
              <w:t>清洗剂</w:t>
            </w:r>
            <w:r>
              <w:rPr>
                <w:rFonts w:hint="default" w:ascii="Times New Roman" w:hAnsi="Times New Roman" w:eastAsia="宋体" w:cs="Times New Roman"/>
                <w:color w:val="auto"/>
                <w:kern w:val="0"/>
                <w:sz w:val="24"/>
                <w:szCs w:val="24"/>
              </w:rPr>
              <w:t>VOCs含量限量</w:t>
            </w:r>
            <w:r>
              <w:rPr>
                <w:rFonts w:hint="default" w:ascii="Times New Roman" w:hAnsi="Times New Roman" w:eastAsia="宋体" w:cs="Times New Roman"/>
                <w:color w:val="auto"/>
                <w:sz w:val="24"/>
                <w:szCs w:val="24"/>
                <w:lang w:val="en-US" w:eastAsia="zh-CN"/>
              </w:rPr>
              <w:t>标准（</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00g/L）</w:t>
            </w:r>
            <w:r>
              <w:rPr>
                <w:rFonts w:hint="default" w:ascii="Times New Roman" w:hAnsi="Times New Roman" w:eastAsia="宋体" w:cs="Times New Roman"/>
                <w:color w:val="auto"/>
                <w:kern w:val="0"/>
                <w:sz w:val="24"/>
                <w:szCs w:val="24"/>
              </w:rPr>
              <w:t>。</w:t>
            </w:r>
          </w:p>
          <w:p w14:paraId="377D8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en-US" w:eastAsia="zh-CN"/>
              </w:rPr>
              <w:t>）VOCs</w:t>
            </w:r>
            <w:r>
              <w:rPr>
                <w:rFonts w:hint="eastAsia" w:ascii="Times New Roman" w:hAnsi="Times New Roman" w:eastAsia="宋体" w:cs="Times New Roman"/>
                <w:b w:val="0"/>
                <w:bCs/>
                <w:color w:val="auto"/>
                <w:sz w:val="24"/>
                <w:lang w:val="en-US" w:eastAsia="zh-CN"/>
              </w:rPr>
              <w:t>产生情况</w:t>
            </w:r>
          </w:p>
          <w:p w14:paraId="1450B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本项目含VOCs物料主要包括：不饱和聚酯树脂成型材料</w:t>
            </w:r>
            <w:r>
              <w:rPr>
                <w:rFonts w:hint="eastAsia" w:ascii="Times New Roman" w:hAnsi="Times New Roman" w:eastAsia="宋体" w:cs="Times New Roman"/>
                <w:b w:val="0"/>
                <w:bCs/>
                <w:color w:val="auto"/>
                <w:sz w:val="24"/>
                <w:lang w:val="en-US" w:eastAsia="zh-CN"/>
              </w:rPr>
              <w:t>、焊锡膏</w:t>
            </w:r>
            <w:r>
              <w:rPr>
                <w:rFonts w:hint="default" w:ascii="Times New Roman" w:hAnsi="Times New Roman" w:eastAsia="宋体" w:cs="Times New Roman"/>
                <w:b w:val="0"/>
                <w:bCs/>
                <w:color w:val="auto"/>
                <w:sz w:val="24"/>
                <w:lang w:val="en-US" w:eastAsia="zh-CN"/>
              </w:rPr>
              <w:t>和清洗剂；生产过程中，各原料VOCs产生情况见表2-1。</w:t>
            </w:r>
          </w:p>
          <w:p w14:paraId="01E76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p>
          <w:p w14:paraId="664B1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p>
          <w:p w14:paraId="593E4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p>
          <w:p w14:paraId="32362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p>
          <w:p w14:paraId="5B73A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表2-1  物料VOCs产生情况</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621"/>
              <w:gridCol w:w="1254"/>
              <w:gridCol w:w="1459"/>
              <w:gridCol w:w="1504"/>
              <w:gridCol w:w="1221"/>
            </w:tblGrid>
            <w:tr w14:paraId="7E034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tcBorders>
                    <w:tl2br w:val="nil"/>
                    <w:tr2bl w:val="nil"/>
                  </w:tcBorders>
                  <w:vAlign w:val="center"/>
                </w:tcPr>
                <w:p w14:paraId="661F0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生产工序</w:t>
                  </w:r>
                </w:p>
              </w:tc>
              <w:tc>
                <w:tcPr>
                  <w:tcW w:w="968" w:type="pct"/>
                  <w:tcBorders>
                    <w:tl2br w:val="nil"/>
                    <w:tr2bl w:val="nil"/>
                  </w:tcBorders>
                  <w:vAlign w:val="center"/>
                </w:tcPr>
                <w:p w14:paraId="58E4F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原料名称</w:t>
                  </w:r>
                </w:p>
              </w:tc>
              <w:tc>
                <w:tcPr>
                  <w:tcW w:w="749" w:type="pct"/>
                  <w:tcBorders>
                    <w:tl2br w:val="nil"/>
                    <w:tr2bl w:val="nil"/>
                  </w:tcBorders>
                  <w:vAlign w:val="center"/>
                </w:tcPr>
                <w:p w14:paraId="05095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原料用量</w:t>
                  </w:r>
                </w:p>
              </w:tc>
              <w:tc>
                <w:tcPr>
                  <w:tcW w:w="871" w:type="pct"/>
                  <w:tcBorders>
                    <w:tl2br w:val="nil"/>
                    <w:tr2bl w:val="nil"/>
                  </w:tcBorders>
                  <w:vAlign w:val="center"/>
                </w:tcPr>
                <w:p w14:paraId="14383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VOCs含量限值</w:t>
                  </w:r>
                  <w:r>
                    <w:rPr>
                      <w:rFonts w:hint="eastAsia" w:ascii="Times New Roman" w:hAnsi="Times New Roman" w:eastAsia="宋体" w:cs="Times New Roman"/>
                      <w:b/>
                      <w:bCs/>
                      <w:color w:val="auto"/>
                      <w:sz w:val="21"/>
                      <w:szCs w:val="21"/>
                      <w:lang w:val="en-US" w:eastAsia="zh-CN"/>
                    </w:rPr>
                    <w:t>/占比</w:t>
                  </w:r>
                </w:p>
              </w:tc>
              <w:tc>
                <w:tcPr>
                  <w:tcW w:w="898" w:type="pct"/>
                  <w:tcBorders>
                    <w:tl2br w:val="nil"/>
                    <w:tr2bl w:val="nil"/>
                  </w:tcBorders>
                  <w:vAlign w:val="center"/>
                </w:tcPr>
                <w:p w14:paraId="2DA16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密度</w:t>
                  </w:r>
                </w:p>
              </w:tc>
              <w:tc>
                <w:tcPr>
                  <w:tcW w:w="729" w:type="pct"/>
                  <w:tcBorders>
                    <w:tl2br w:val="nil"/>
                    <w:tr2bl w:val="nil"/>
                  </w:tcBorders>
                  <w:vAlign w:val="center"/>
                </w:tcPr>
                <w:p w14:paraId="32EE9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val="en-US" w:eastAsia="zh-CN"/>
                    </w:rPr>
                    <w:t>VOCs产生量（t）</w:t>
                  </w:r>
                </w:p>
              </w:tc>
            </w:tr>
            <w:tr w14:paraId="449DA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tcBorders>
                    <w:tl2br w:val="nil"/>
                    <w:tr2bl w:val="nil"/>
                  </w:tcBorders>
                  <w:vAlign w:val="center"/>
                </w:tcPr>
                <w:p w14:paraId="7403C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成型封装</w:t>
                  </w:r>
                </w:p>
              </w:tc>
              <w:tc>
                <w:tcPr>
                  <w:tcW w:w="968" w:type="pct"/>
                  <w:tcBorders>
                    <w:tl2br w:val="nil"/>
                    <w:tr2bl w:val="nil"/>
                  </w:tcBorders>
                  <w:vAlign w:val="center"/>
                </w:tcPr>
                <w:p w14:paraId="07C0E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不饱和聚酯树脂成型材料</w:t>
                  </w:r>
                </w:p>
              </w:tc>
              <w:tc>
                <w:tcPr>
                  <w:tcW w:w="749" w:type="pct"/>
                  <w:tcBorders>
                    <w:tl2br w:val="nil"/>
                    <w:tr2bl w:val="nil"/>
                  </w:tcBorders>
                  <w:vAlign w:val="center"/>
                </w:tcPr>
                <w:p w14:paraId="12732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90</w:t>
                  </w:r>
                </w:p>
              </w:tc>
              <w:tc>
                <w:tcPr>
                  <w:tcW w:w="871" w:type="pct"/>
                  <w:tcBorders>
                    <w:tl2br w:val="nil"/>
                    <w:tr2bl w:val="nil"/>
                  </w:tcBorders>
                  <w:vAlign w:val="center"/>
                </w:tcPr>
                <w:p w14:paraId="54119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898" w:type="pct"/>
                  <w:tcBorders>
                    <w:tl2br w:val="nil"/>
                    <w:tr2bl w:val="nil"/>
                  </w:tcBorders>
                  <w:vAlign w:val="center"/>
                </w:tcPr>
                <w:p w14:paraId="77CD8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29" w:type="pct"/>
                  <w:tcBorders>
                    <w:tl2br w:val="nil"/>
                    <w:tr2bl w:val="nil"/>
                  </w:tcBorders>
                  <w:vAlign w:val="center"/>
                </w:tcPr>
                <w:p w14:paraId="349A4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0.9</w:t>
                  </w:r>
                </w:p>
              </w:tc>
            </w:tr>
            <w:tr w14:paraId="4FB7F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tcBorders>
                    <w:tl2br w:val="nil"/>
                    <w:tr2bl w:val="nil"/>
                  </w:tcBorders>
                  <w:vAlign w:val="center"/>
                </w:tcPr>
                <w:p w14:paraId="040B9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防锈清洗</w:t>
                  </w:r>
                </w:p>
              </w:tc>
              <w:tc>
                <w:tcPr>
                  <w:tcW w:w="968" w:type="pct"/>
                  <w:tcBorders>
                    <w:tl2br w:val="nil"/>
                    <w:tr2bl w:val="nil"/>
                  </w:tcBorders>
                  <w:vAlign w:val="center"/>
                </w:tcPr>
                <w:p w14:paraId="1BE2F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清洗剂</w:t>
                  </w:r>
                </w:p>
              </w:tc>
              <w:tc>
                <w:tcPr>
                  <w:tcW w:w="749" w:type="pct"/>
                  <w:tcBorders>
                    <w:tl2br w:val="nil"/>
                    <w:tr2bl w:val="nil"/>
                  </w:tcBorders>
                  <w:vAlign w:val="center"/>
                </w:tcPr>
                <w:p w14:paraId="4FE02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w:t>
                  </w:r>
                </w:p>
              </w:tc>
              <w:tc>
                <w:tcPr>
                  <w:tcW w:w="871" w:type="pct"/>
                  <w:tcBorders>
                    <w:tl2br w:val="nil"/>
                    <w:tr2bl w:val="nil"/>
                  </w:tcBorders>
                  <w:vAlign w:val="center"/>
                </w:tcPr>
                <w:p w14:paraId="40BAD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6%（以二乙二醇丁醚占比计）</w:t>
                  </w:r>
                </w:p>
              </w:tc>
              <w:tc>
                <w:tcPr>
                  <w:tcW w:w="898" w:type="pct"/>
                  <w:tcBorders>
                    <w:tl2br w:val="nil"/>
                    <w:tr2bl w:val="nil"/>
                  </w:tcBorders>
                  <w:vAlign w:val="center"/>
                </w:tcPr>
                <w:p w14:paraId="05A9F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29" w:type="pct"/>
                  <w:tcBorders>
                    <w:tl2br w:val="nil"/>
                    <w:tr2bl w:val="nil"/>
                  </w:tcBorders>
                  <w:vAlign w:val="center"/>
                </w:tcPr>
                <w:p w14:paraId="562A5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0.006</w:t>
                  </w:r>
                </w:p>
              </w:tc>
            </w:tr>
            <w:tr w14:paraId="72689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tcBorders>
                    <w:tl2br w:val="nil"/>
                    <w:tr2bl w:val="nil"/>
                  </w:tcBorders>
                  <w:vAlign w:val="center"/>
                </w:tcPr>
                <w:p w14:paraId="2E3C3B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配线组装</w:t>
                  </w:r>
                </w:p>
              </w:tc>
              <w:tc>
                <w:tcPr>
                  <w:tcW w:w="968" w:type="pct"/>
                  <w:tcBorders>
                    <w:tl2br w:val="nil"/>
                    <w:tr2bl w:val="nil"/>
                  </w:tcBorders>
                  <w:vAlign w:val="center"/>
                </w:tcPr>
                <w:p w14:paraId="74A24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焊锡膏</w:t>
                  </w:r>
                </w:p>
              </w:tc>
              <w:tc>
                <w:tcPr>
                  <w:tcW w:w="749" w:type="pct"/>
                  <w:tcBorders>
                    <w:tl2br w:val="nil"/>
                    <w:tr2bl w:val="nil"/>
                  </w:tcBorders>
                  <w:vAlign w:val="center"/>
                </w:tcPr>
                <w:p w14:paraId="1AF486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w:t>
                  </w:r>
                </w:p>
              </w:tc>
              <w:tc>
                <w:tcPr>
                  <w:tcW w:w="871" w:type="pct"/>
                  <w:tcBorders>
                    <w:tl2br w:val="nil"/>
                    <w:tr2bl w:val="nil"/>
                  </w:tcBorders>
                  <w:vAlign w:val="center"/>
                </w:tcPr>
                <w:p w14:paraId="5D8BDD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98" w:type="pct"/>
                  <w:tcBorders>
                    <w:tl2br w:val="nil"/>
                    <w:tr2bl w:val="nil"/>
                  </w:tcBorders>
                  <w:vAlign w:val="center"/>
                </w:tcPr>
                <w:p w14:paraId="79338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29" w:type="pct"/>
                  <w:tcBorders>
                    <w:tl2br w:val="nil"/>
                    <w:tr2bl w:val="nil"/>
                  </w:tcBorders>
                  <w:vAlign w:val="center"/>
                </w:tcPr>
                <w:p w14:paraId="36AFE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0.02</w:t>
                  </w:r>
                </w:p>
              </w:tc>
            </w:tr>
          </w:tbl>
          <w:p w14:paraId="34B0D52D">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、项目工程情况</w:t>
            </w:r>
          </w:p>
          <w:p w14:paraId="4A1A9176">
            <w:pPr>
              <w:pStyle w:val="54"/>
              <w:spacing w:line="360" w:lineRule="auto"/>
              <w:ind w:right="13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本项目主体、公用及辅助工程</w:t>
            </w:r>
            <w:r>
              <w:rPr>
                <w:rFonts w:hint="default" w:ascii="Times New Roman" w:hAnsi="Times New Roman" w:eastAsia="宋体" w:cs="Times New Roman"/>
                <w:color w:val="auto"/>
                <w:spacing w:val="-2"/>
                <w:sz w:val="24"/>
              </w:rPr>
              <w:t>组成详见表2-</w:t>
            </w:r>
            <w:r>
              <w:rPr>
                <w:rFonts w:hint="default"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rPr>
              <w:t>。</w:t>
            </w:r>
          </w:p>
          <w:p w14:paraId="5A42EF0C">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表2-1  项目主体、公用、辅助及环保工程情况表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1223"/>
              <w:gridCol w:w="1195"/>
              <w:gridCol w:w="1429"/>
              <w:gridCol w:w="2820"/>
              <w:gridCol w:w="920"/>
            </w:tblGrid>
            <w:tr w14:paraId="1E75E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29CDF7A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1445" w:type="pct"/>
                  <w:gridSpan w:val="2"/>
                  <w:vAlign w:val="center"/>
                </w:tcPr>
                <w:p w14:paraId="605AD9B2">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建设名称</w:t>
                  </w:r>
                </w:p>
              </w:tc>
              <w:tc>
                <w:tcPr>
                  <w:tcW w:w="854" w:type="pct"/>
                  <w:vAlign w:val="center"/>
                </w:tcPr>
                <w:p w14:paraId="7C5CF2B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设计能力</w:t>
                  </w:r>
                </w:p>
              </w:tc>
              <w:tc>
                <w:tcPr>
                  <w:tcW w:w="1685" w:type="pct"/>
                  <w:vAlign w:val="center"/>
                </w:tcPr>
                <w:p w14:paraId="39046EB8">
                  <w:p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工程内容</w:t>
                  </w:r>
                </w:p>
              </w:tc>
              <w:tc>
                <w:tcPr>
                  <w:tcW w:w="549" w:type="pct"/>
                  <w:vAlign w:val="center"/>
                </w:tcPr>
                <w:p w14:paraId="0AA4E54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14:paraId="5FC31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491828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1445" w:type="pct"/>
                  <w:gridSpan w:val="2"/>
                  <w:vAlign w:val="center"/>
                </w:tcPr>
                <w:p w14:paraId="1E58E21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生产车间</w:t>
                  </w:r>
                </w:p>
              </w:tc>
              <w:tc>
                <w:tcPr>
                  <w:tcW w:w="854" w:type="pct"/>
                  <w:vAlign w:val="center"/>
                </w:tcPr>
                <w:p w14:paraId="3A3594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lang w:val="en-US" w:eastAsia="zh-CN"/>
                    </w:rPr>
                    <w:t>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3112CA4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包括</w:t>
                  </w:r>
                  <w:r>
                    <w:rPr>
                      <w:rFonts w:hint="eastAsia" w:ascii="Times New Roman" w:hAnsi="Times New Roman" w:eastAsia="宋体" w:cs="Times New Roman"/>
                      <w:color w:val="auto"/>
                      <w:szCs w:val="21"/>
                      <w:lang w:val="en-US" w:eastAsia="zh-CN"/>
                    </w:rPr>
                    <w:t>生产加工区、成品仓库、原料仓库等</w:t>
                  </w:r>
                </w:p>
              </w:tc>
              <w:tc>
                <w:tcPr>
                  <w:tcW w:w="549" w:type="pct"/>
                  <w:vMerge w:val="restart"/>
                  <w:vAlign w:val="center"/>
                </w:tcPr>
                <w:p w14:paraId="5C74602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依托现有空置厂房</w:t>
                  </w:r>
                </w:p>
              </w:tc>
            </w:tr>
            <w:tr w14:paraId="60121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2C1DC5C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贮运工程</w:t>
                  </w:r>
                </w:p>
              </w:tc>
              <w:tc>
                <w:tcPr>
                  <w:tcW w:w="1445" w:type="pct"/>
                  <w:gridSpan w:val="2"/>
                  <w:vAlign w:val="center"/>
                </w:tcPr>
                <w:p w14:paraId="5A8AE5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成品仓库</w:t>
                  </w:r>
                </w:p>
              </w:tc>
              <w:tc>
                <w:tcPr>
                  <w:tcW w:w="854" w:type="pct"/>
                  <w:vAlign w:val="center"/>
                </w:tcPr>
                <w:p w14:paraId="2BD8B1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6E48914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位于</w:t>
                  </w:r>
                  <w:r>
                    <w:rPr>
                      <w:rFonts w:hint="eastAsia" w:ascii="Times New Roman" w:hAnsi="Times New Roman" w:eastAsia="宋体" w:cs="Times New Roman"/>
                      <w:color w:val="auto"/>
                      <w:szCs w:val="21"/>
                      <w:lang w:val="en-US" w:eastAsia="zh-CN"/>
                    </w:rPr>
                    <w:t>车间西侧</w:t>
                  </w:r>
                </w:p>
              </w:tc>
              <w:tc>
                <w:tcPr>
                  <w:tcW w:w="549" w:type="pct"/>
                  <w:vMerge w:val="continue"/>
                  <w:vAlign w:val="center"/>
                </w:tcPr>
                <w:p w14:paraId="3CBEE95C">
                  <w:pPr>
                    <w:jc w:val="center"/>
                    <w:rPr>
                      <w:rFonts w:hint="default" w:ascii="Times New Roman" w:hAnsi="Times New Roman" w:eastAsia="宋体" w:cs="Times New Roman"/>
                      <w:color w:val="auto"/>
                      <w:szCs w:val="21"/>
                      <w:lang w:val="en-US" w:eastAsia="zh-CN"/>
                    </w:rPr>
                  </w:pPr>
                </w:p>
              </w:tc>
            </w:tr>
            <w:tr w14:paraId="597C6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35D78C87">
                  <w:pPr>
                    <w:jc w:val="center"/>
                    <w:rPr>
                      <w:rFonts w:hint="default" w:ascii="Times New Roman" w:hAnsi="Times New Roman" w:eastAsia="宋体" w:cs="Times New Roman"/>
                      <w:color w:val="auto"/>
                      <w:szCs w:val="21"/>
                    </w:rPr>
                  </w:pPr>
                </w:p>
              </w:tc>
              <w:tc>
                <w:tcPr>
                  <w:tcW w:w="1445" w:type="pct"/>
                  <w:gridSpan w:val="2"/>
                  <w:vAlign w:val="center"/>
                </w:tcPr>
                <w:p w14:paraId="1F34B9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原料仓库</w:t>
                  </w:r>
                </w:p>
              </w:tc>
              <w:tc>
                <w:tcPr>
                  <w:tcW w:w="854" w:type="pct"/>
                  <w:vAlign w:val="center"/>
                </w:tcPr>
                <w:p w14:paraId="7836DD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062D295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位于</w:t>
                  </w:r>
                  <w:r>
                    <w:rPr>
                      <w:rFonts w:hint="eastAsia" w:ascii="Times New Roman" w:hAnsi="Times New Roman" w:eastAsia="宋体" w:cs="Times New Roman"/>
                      <w:color w:val="auto"/>
                      <w:szCs w:val="21"/>
                      <w:lang w:val="en-US" w:eastAsia="zh-CN"/>
                    </w:rPr>
                    <w:t>车间西侧</w:t>
                  </w:r>
                </w:p>
              </w:tc>
              <w:tc>
                <w:tcPr>
                  <w:tcW w:w="549" w:type="pct"/>
                  <w:vMerge w:val="continue"/>
                  <w:vAlign w:val="center"/>
                </w:tcPr>
                <w:p w14:paraId="00A71113">
                  <w:pPr>
                    <w:jc w:val="center"/>
                    <w:rPr>
                      <w:rFonts w:hint="default" w:ascii="Times New Roman" w:hAnsi="Times New Roman" w:eastAsia="宋体" w:cs="Times New Roman"/>
                      <w:color w:val="auto"/>
                      <w:szCs w:val="21"/>
                    </w:rPr>
                  </w:pPr>
                </w:p>
              </w:tc>
            </w:tr>
            <w:tr w14:paraId="0C15A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25C2505C">
                  <w:pPr>
                    <w:jc w:val="center"/>
                    <w:rPr>
                      <w:rFonts w:hint="default" w:ascii="Times New Roman" w:hAnsi="Times New Roman" w:eastAsia="宋体" w:cs="Times New Roman"/>
                      <w:color w:val="auto"/>
                      <w:szCs w:val="21"/>
                    </w:rPr>
                  </w:pPr>
                </w:p>
              </w:tc>
              <w:tc>
                <w:tcPr>
                  <w:tcW w:w="1445" w:type="pct"/>
                  <w:gridSpan w:val="2"/>
                  <w:vAlign w:val="center"/>
                </w:tcPr>
                <w:p w14:paraId="408C314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气体钢瓶存放区</w:t>
                  </w:r>
                </w:p>
              </w:tc>
              <w:tc>
                <w:tcPr>
                  <w:tcW w:w="854" w:type="pct"/>
                  <w:vAlign w:val="center"/>
                </w:tcPr>
                <w:p w14:paraId="6DAC024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0DD380D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位于</w:t>
                  </w:r>
                  <w:r>
                    <w:rPr>
                      <w:rFonts w:hint="eastAsia" w:ascii="Times New Roman" w:hAnsi="Times New Roman" w:eastAsia="宋体" w:cs="Times New Roman"/>
                      <w:color w:val="auto"/>
                      <w:szCs w:val="21"/>
                      <w:lang w:val="en-US" w:eastAsia="zh-CN"/>
                    </w:rPr>
                    <w:t>车间西侧</w:t>
                  </w:r>
                </w:p>
              </w:tc>
              <w:tc>
                <w:tcPr>
                  <w:tcW w:w="549" w:type="pct"/>
                  <w:vMerge w:val="continue"/>
                  <w:vAlign w:val="center"/>
                </w:tcPr>
                <w:p w14:paraId="4BD5B59B">
                  <w:pPr>
                    <w:jc w:val="center"/>
                    <w:rPr>
                      <w:rFonts w:hint="default" w:ascii="Times New Roman" w:hAnsi="Times New Roman" w:eastAsia="宋体" w:cs="Times New Roman"/>
                      <w:color w:val="auto"/>
                      <w:szCs w:val="21"/>
                    </w:rPr>
                  </w:pPr>
                </w:p>
              </w:tc>
            </w:tr>
            <w:tr w14:paraId="703FA4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5467D46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公辅工程</w:t>
                  </w:r>
                </w:p>
              </w:tc>
              <w:tc>
                <w:tcPr>
                  <w:tcW w:w="1445" w:type="pct"/>
                  <w:gridSpan w:val="2"/>
                  <w:vAlign w:val="center"/>
                </w:tcPr>
                <w:p w14:paraId="0A40483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给水系统</w:t>
                  </w:r>
                </w:p>
              </w:tc>
              <w:tc>
                <w:tcPr>
                  <w:tcW w:w="854" w:type="pct"/>
                  <w:vAlign w:val="center"/>
                </w:tcPr>
                <w:p w14:paraId="111A9764">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2408.5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2A77E87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49" w:type="pct"/>
                  <w:vAlign w:val="center"/>
                </w:tcPr>
                <w:p w14:paraId="5E3BF7AF">
                  <w:pPr>
                    <w:pStyle w:val="53"/>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由城市给水管网供给</w:t>
                  </w:r>
                </w:p>
              </w:tc>
            </w:tr>
            <w:tr w14:paraId="796DB3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65" w:type="pct"/>
                  <w:vMerge w:val="continue"/>
                  <w:vAlign w:val="center"/>
                </w:tcPr>
                <w:p w14:paraId="6CA5950E">
                  <w:pPr>
                    <w:jc w:val="center"/>
                    <w:rPr>
                      <w:rFonts w:hint="default" w:ascii="Times New Roman" w:hAnsi="Times New Roman" w:eastAsia="宋体" w:cs="Times New Roman"/>
                      <w:color w:val="auto"/>
                      <w:szCs w:val="21"/>
                    </w:rPr>
                  </w:pPr>
                </w:p>
              </w:tc>
              <w:tc>
                <w:tcPr>
                  <w:tcW w:w="731" w:type="pct"/>
                  <w:tcBorders>
                    <w:right w:val="single" w:color="auto" w:sz="4" w:space="0"/>
                  </w:tcBorders>
                  <w:vAlign w:val="center"/>
                </w:tcPr>
                <w:p w14:paraId="071540F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排水系统</w:t>
                  </w:r>
                </w:p>
              </w:tc>
              <w:tc>
                <w:tcPr>
                  <w:tcW w:w="714" w:type="pct"/>
                  <w:tcBorders>
                    <w:left w:val="single" w:color="auto" w:sz="4" w:space="0"/>
                  </w:tcBorders>
                  <w:vAlign w:val="center"/>
                </w:tcPr>
                <w:p w14:paraId="6F75C82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854" w:type="pct"/>
                  <w:vAlign w:val="center"/>
                </w:tcPr>
                <w:p w14:paraId="031C991C">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1920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2FAEE02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本项目无生产废水</w:t>
                  </w:r>
                  <w:r>
                    <w:rPr>
                      <w:rFonts w:hint="default" w:ascii="Times New Roman" w:hAnsi="Times New Roman" w:eastAsia="宋体" w:cs="Times New Roman"/>
                      <w:color w:val="auto"/>
                      <w:szCs w:val="21"/>
                    </w:rPr>
                    <w:t>，生活污水</w:t>
                  </w:r>
                  <w:r>
                    <w:rPr>
                      <w:rFonts w:hint="default" w:ascii="Times New Roman" w:hAnsi="Times New Roman" w:eastAsia="宋体" w:cs="Times New Roman"/>
                      <w:color w:val="auto"/>
                      <w:szCs w:val="21"/>
                      <w:lang w:val="en-US" w:eastAsia="zh-CN"/>
                    </w:rPr>
                    <w:t>经市政污水管网接至</w:t>
                  </w:r>
                  <w:r>
                    <w:rPr>
                      <w:rFonts w:hint="default" w:ascii="Times New Roman" w:hAnsi="Times New Roman" w:eastAsia="宋体" w:cs="Times New Roman"/>
                      <w:color w:val="auto"/>
                      <w:szCs w:val="21"/>
                    </w:rPr>
                    <w:t>常州市金坛区第二污水厂集中处理，尾水排入尧塘河</w:t>
                  </w:r>
                </w:p>
              </w:tc>
              <w:tc>
                <w:tcPr>
                  <w:tcW w:w="549" w:type="pct"/>
                  <w:vAlign w:val="center"/>
                </w:tcPr>
                <w:p w14:paraId="2E836E8D">
                  <w:pPr>
                    <w:pStyle w:val="53"/>
                    <w:widowControl/>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791A0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05569D49">
                  <w:pPr>
                    <w:jc w:val="center"/>
                    <w:rPr>
                      <w:rFonts w:hint="default" w:ascii="Times New Roman" w:hAnsi="Times New Roman" w:eastAsia="宋体" w:cs="Times New Roman"/>
                      <w:color w:val="auto"/>
                      <w:szCs w:val="21"/>
                    </w:rPr>
                  </w:pPr>
                </w:p>
              </w:tc>
              <w:tc>
                <w:tcPr>
                  <w:tcW w:w="1445" w:type="pct"/>
                  <w:gridSpan w:val="2"/>
                  <w:vAlign w:val="center"/>
                </w:tcPr>
                <w:p w14:paraId="31781A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雨水排放系统</w:t>
                  </w:r>
                </w:p>
              </w:tc>
              <w:tc>
                <w:tcPr>
                  <w:tcW w:w="854" w:type="pct"/>
                  <w:vAlign w:val="center"/>
                </w:tcPr>
                <w:p w14:paraId="603E05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685" w:type="pct"/>
                  <w:vAlign w:val="center"/>
                </w:tcPr>
                <w:p w14:paraId="3626BDC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雨水通过</w:t>
                  </w:r>
                  <w:r>
                    <w:rPr>
                      <w:rFonts w:hint="default" w:ascii="Times New Roman" w:hAnsi="Times New Roman" w:eastAsia="宋体" w:cs="Times New Roman"/>
                      <w:color w:val="auto"/>
                      <w:szCs w:val="21"/>
                      <w:lang w:val="en-US" w:eastAsia="zh-CN"/>
                    </w:rPr>
                    <w:t>厂</w:t>
                  </w:r>
                  <w:r>
                    <w:rPr>
                      <w:rFonts w:hint="default" w:ascii="Times New Roman" w:hAnsi="Times New Roman" w:eastAsia="宋体" w:cs="Times New Roman"/>
                      <w:color w:val="auto"/>
                      <w:szCs w:val="21"/>
                    </w:rPr>
                    <w:t>内现有雨水管网排入市政雨水管网</w:t>
                  </w:r>
                </w:p>
              </w:tc>
              <w:tc>
                <w:tcPr>
                  <w:tcW w:w="549" w:type="pct"/>
                  <w:vAlign w:val="center"/>
                </w:tcPr>
                <w:p w14:paraId="1957F86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70CE2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108B92FD">
                  <w:pPr>
                    <w:jc w:val="center"/>
                    <w:rPr>
                      <w:rFonts w:hint="default" w:ascii="Times New Roman" w:hAnsi="Times New Roman" w:eastAsia="宋体" w:cs="Times New Roman"/>
                      <w:color w:val="auto"/>
                      <w:szCs w:val="21"/>
                    </w:rPr>
                  </w:pPr>
                </w:p>
              </w:tc>
              <w:tc>
                <w:tcPr>
                  <w:tcW w:w="1445" w:type="pct"/>
                  <w:gridSpan w:val="2"/>
                  <w:vAlign w:val="center"/>
                </w:tcPr>
                <w:p w14:paraId="43D1D1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供电工程</w:t>
                  </w:r>
                </w:p>
              </w:tc>
              <w:tc>
                <w:tcPr>
                  <w:tcW w:w="854" w:type="pct"/>
                  <w:vAlign w:val="center"/>
                </w:tcPr>
                <w:p w14:paraId="60436EA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10万kWh/a</w:t>
                  </w:r>
                </w:p>
              </w:tc>
              <w:tc>
                <w:tcPr>
                  <w:tcW w:w="1685" w:type="pct"/>
                  <w:vAlign w:val="center"/>
                </w:tcPr>
                <w:p w14:paraId="5AF3B4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由城市电网供给</w:t>
                  </w:r>
                </w:p>
              </w:tc>
              <w:tc>
                <w:tcPr>
                  <w:tcW w:w="549" w:type="pct"/>
                  <w:vAlign w:val="center"/>
                </w:tcPr>
                <w:p w14:paraId="1F7BB2B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641D3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45342F7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1445" w:type="pct"/>
                  <w:gridSpan w:val="2"/>
                  <w:vAlign w:val="center"/>
                </w:tcPr>
                <w:p w14:paraId="23CC843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规范化排污口、雨污分流管网</w:t>
                  </w:r>
                </w:p>
              </w:tc>
              <w:tc>
                <w:tcPr>
                  <w:tcW w:w="2539" w:type="pct"/>
                  <w:gridSpan w:val="2"/>
                  <w:vAlign w:val="center"/>
                </w:tcPr>
                <w:p w14:paraId="180F7C2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本项目实行“雨污分流”，雨水排入市政雨水管网，生活污水</w:t>
                  </w:r>
                  <w:r>
                    <w:rPr>
                      <w:rFonts w:hint="default" w:ascii="Times New Roman" w:hAnsi="Times New Roman" w:eastAsia="宋体" w:cs="Times New Roman"/>
                      <w:color w:val="auto"/>
                      <w:szCs w:val="21"/>
                      <w:lang w:val="en-US" w:eastAsia="zh-CN"/>
                    </w:rPr>
                    <w:t>经市政污水管网接至</w:t>
                  </w:r>
                  <w:r>
                    <w:rPr>
                      <w:rFonts w:hint="default" w:ascii="Times New Roman" w:hAnsi="Times New Roman" w:eastAsia="宋体" w:cs="Times New Roman"/>
                      <w:color w:val="auto"/>
                      <w:szCs w:val="21"/>
                    </w:rPr>
                    <w:t>常州市金坛区第二污水厂集中处理，尾水排入尧塘河</w:t>
                  </w:r>
                </w:p>
              </w:tc>
              <w:tc>
                <w:tcPr>
                  <w:tcW w:w="549" w:type="pct"/>
                  <w:vAlign w:val="center"/>
                </w:tcPr>
                <w:p w14:paraId="64577B3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6ED10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4E97C6F3">
                  <w:pPr>
                    <w:jc w:val="center"/>
                    <w:rPr>
                      <w:rFonts w:hint="default" w:ascii="Times New Roman" w:hAnsi="Times New Roman" w:eastAsia="宋体" w:cs="Times New Roman"/>
                      <w:color w:val="auto"/>
                      <w:szCs w:val="21"/>
                    </w:rPr>
                  </w:pPr>
                </w:p>
              </w:tc>
              <w:tc>
                <w:tcPr>
                  <w:tcW w:w="731" w:type="pct"/>
                  <w:vAlign w:val="center"/>
                </w:tcPr>
                <w:p w14:paraId="4C1CC3DD">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废水</w:t>
                  </w:r>
                </w:p>
              </w:tc>
              <w:tc>
                <w:tcPr>
                  <w:tcW w:w="714" w:type="pct"/>
                  <w:vAlign w:val="center"/>
                </w:tcPr>
                <w:p w14:paraId="64BCA24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生活污水</w:t>
                  </w:r>
                </w:p>
              </w:tc>
              <w:tc>
                <w:tcPr>
                  <w:tcW w:w="854" w:type="pct"/>
                  <w:vAlign w:val="center"/>
                </w:tcPr>
                <w:p w14:paraId="74A7C39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1920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5CC04E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经市政污水管网接至</w:t>
                  </w:r>
                  <w:r>
                    <w:rPr>
                      <w:rFonts w:hint="default" w:ascii="Times New Roman" w:hAnsi="Times New Roman" w:eastAsia="宋体" w:cs="Times New Roman"/>
                      <w:color w:val="auto"/>
                      <w:szCs w:val="21"/>
                    </w:rPr>
                    <w:t>常州市金坛区第二污水厂集中处理，尾水排入尧塘河</w:t>
                  </w:r>
                </w:p>
              </w:tc>
              <w:tc>
                <w:tcPr>
                  <w:tcW w:w="549" w:type="pct"/>
                  <w:vAlign w:val="center"/>
                </w:tcPr>
                <w:p w14:paraId="3B02C37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20A14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187DA523">
                  <w:pPr>
                    <w:jc w:val="center"/>
                    <w:rPr>
                      <w:rFonts w:hint="default" w:ascii="Times New Roman" w:hAnsi="Times New Roman" w:eastAsia="宋体" w:cs="Times New Roman"/>
                      <w:color w:val="auto"/>
                      <w:szCs w:val="21"/>
                    </w:rPr>
                  </w:pPr>
                </w:p>
              </w:tc>
              <w:tc>
                <w:tcPr>
                  <w:tcW w:w="731" w:type="pct"/>
                  <w:vMerge w:val="restart"/>
                  <w:vAlign w:val="center"/>
                </w:tcPr>
                <w:p w14:paraId="2177410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废气</w:t>
                  </w:r>
                </w:p>
              </w:tc>
              <w:tc>
                <w:tcPr>
                  <w:tcW w:w="714" w:type="pct"/>
                  <w:shd w:val="clear" w:color="auto" w:fill="auto"/>
                  <w:vAlign w:val="center"/>
                </w:tcPr>
                <w:p w14:paraId="5E04520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成型封装废气</w:t>
                  </w:r>
                </w:p>
              </w:tc>
              <w:tc>
                <w:tcPr>
                  <w:tcW w:w="854" w:type="pct"/>
                  <w:shd w:val="clear" w:color="auto" w:fill="auto"/>
                  <w:vAlign w:val="center"/>
                </w:tcPr>
                <w:p w14:paraId="59819E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 xml:space="preserve">设计风量 </w:t>
                  </w:r>
                  <w:r>
                    <w:rPr>
                      <w:rFonts w:hint="eastAsia" w:ascii="Times New Roman" w:hAnsi="Times New Roman" w:eastAsia="宋体" w:cs="Times New Roman"/>
                      <w:color w:val="auto"/>
                      <w:szCs w:val="21"/>
                      <w:lang w:val="en-US" w:eastAsia="zh-CN"/>
                    </w:rPr>
                    <w:t>10000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5" w:type="pct"/>
                  <w:shd w:val="clear" w:color="auto" w:fill="auto"/>
                  <w:vAlign w:val="center"/>
                </w:tcPr>
                <w:p w14:paraId="5CCE99A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集气罩</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二级活性炭吸附装置</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排放</w:t>
                  </w:r>
                </w:p>
              </w:tc>
              <w:tc>
                <w:tcPr>
                  <w:tcW w:w="549" w:type="pct"/>
                  <w:vAlign w:val="center"/>
                </w:tcPr>
                <w:p w14:paraId="2D6D4DF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4BA6C6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0044EBDD">
                  <w:pPr>
                    <w:jc w:val="center"/>
                    <w:rPr>
                      <w:rFonts w:hint="default" w:ascii="Times New Roman" w:hAnsi="Times New Roman" w:eastAsia="宋体" w:cs="Times New Roman"/>
                      <w:color w:val="auto"/>
                      <w:szCs w:val="21"/>
                    </w:rPr>
                  </w:pPr>
                </w:p>
              </w:tc>
              <w:tc>
                <w:tcPr>
                  <w:tcW w:w="731" w:type="pct"/>
                  <w:vMerge w:val="continue"/>
                  <w:vAlign w:val="center"/>
                </w:tcPr>
                <w:p w14:paraId="18A01006">
                  <w:pPr>
                    <w:jc w:val="center"/>
                    <w:rPr>
                      <w:rFonts w:hint="default" w:ascii="Times New Roman" w:hAnsi="Times New Roman" w:eastAsia="宋体" w:cs="Times New Roman"/>
                      <w:color w:val="auto"/>
                      <w:szCs w:val="21"/>
                      <w:lang w:val="en-US" w:eastAsia="zh-CN"/>
                    </w:rPr>
                  </w:pPr>
                </w:p>
              </w:tc>
              <w:tc>
                <w:tcPr>
                  <w:tcW w:w="714" w:type="pct"/>
                  <w:shd w:val="clear" w:color="auto" w:fill="auto"/>
                  <w:vAlign w:val="center"/>
                </w:tcPr>
                <w:p w14:paraId="372C539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焊接废气</w:t>
                  </w:r>
                </w:p>
              </w:tc>
              <w:tc>
                <w:tcPr>
                  <w:tcW w:w="854" w:type="pct"/>
                  <w:shd w:val="clear" w:color="auto" w:fill="auto"/>
                  <w:vAlign w:val="center"/>
                </w:tcPr>
                <w:p w14:paraId="6043C59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 xml:space="preserve">设计风量 </w:t>
                  </w:r>
                  <w:r>
                    <w:rPr>
                      <w:rFonts w:hint="eastAsia" w:ascii="Times New Roman" w:hAnsi="Times New Roman" w:eastAsia="宋体" w:cs="Times New Roman"/>
                      <w:color w:val="auto"/>
                      <w:szCs w:val="21"/>
                      <w:lang w:val="en-US" w:eastAsia="zh-CN"/>
                    </w:rPr>
                    <w:t>3000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5" w:type="pct"/>
                  <w:shd w:val="clear" w:color="auto" w:fill="auto"/>
                  <w:vAlign w:val="center"/>
                </w:tcPr>
                <w:p w14:paraId="5D2014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集气罩</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布袋除尘器</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排放</w:t>
                  </w:r>
                </w:p>
              </w:tc>
              <w:tc>
                <w:tcPr>
                  <w:tcW w:w="549" w:type="pct"/>
                  <w:vAlign w:val="center"/>
                </w:tcPr>
                <w:p w14:paraId="66A899F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2A8585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6EC3AE57">
                  <w:pPr>
                    <w:jc w:val="center"/>
                    <w:rPr>
                      <w:rFonts w:hint="default" w:ascii="Times New Roman" w:hAnsi="Times New Roman" w:eastAsia="宋体" w:cs="Times New Roman"/>
                      <w:color w:val="auto"/>
                      <w:szCs w:val="21"/>
                    </w:rPr>
                  </w:pPr>
                </w:p>
              </w:tc>
              <w:tc>
                <w:tcPr>
                  <w:tcW w:w="1445" w:type="pct"/>
                  <w:gridSpan w:val="2"/>
                  <w:vAlign w:val="center"/>
                </w:tcPr>
                <w:p w14:paraId="3B34C9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854" w:type="pct"/>
                  <w:vAlign w:val="center"/>
                </w:tcPr>
                <w:p w14:paraId="19F19375">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降噪25dB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c>
                <w:tcPr>
                  <w:tcW w:w="1685" w:type="pct"/>
                  <w:vAlign w:val="center"/>
                </w:tcPr>
                <w:p w14:paraId="41C06A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选取厂房隔声、距离衰减</w:t>
                  </w:r>
                </w:p>
              </w:tc>
              <w:tc>
                <w:tcPr>
                  <w:tcW w:w="549" w:type="pct"/>
                  <w:vAlign w:val="center"/>
                </w:tcPr>
                <w:p w14:paraId="06A6028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厂界达标</w:t>
                  </w:r>
                </w:p>
              </w:tc>
            </w:tr>
            <w:tr w14:paraId="1AB0BE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0EC2D599">
                  <w:pPr>
                    <w:jc w:val="center"/>
                    <w:rPr>
                      <w:rFonts w:hint="default" w:ascii="Times New Roman" w:hAnsi="Times New Roman" w:eastAsia="宋体" w:cs="Times New Roman"/>
                      <w:color w:val="auto"/>
                      <w:szCs w:val="21"/>
                    </w:rPr>
                  </w:pPr>
                </w:p>
              </w:tc>
              <w:tc>
                <w:tcPr>
                  <w:tcW w:w="731" w:type="pct"/>
                  <w:vMerge w:val="restart"/>
                  <w:vAlign w:val="center"/>
                </w:tcPr>
                <w:p w14:paraId="67BA9B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714" w:type="pct"/>
                  <w:vAlign w:val="center"/>
                </w:tcPr>
                <w:p w14:paraId="4903A5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一般固废堆场</w:t>
                  </w:r>
                </w:p>
              </w:tc>
              <w:tc>
                <w:tcPr>
                  <w:tcW w:w="854" w:type="pct"/>
                  <w:vAlign w:val="center"/>
                </w:tcPr>
                <w:p w14:paraId="3136D0A0">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46E906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位于车间</w:t>
                  </w:r>
                  <w:r>
                    <w:rPr>
                      <w:rFonts w:hint="default" w:ascii="Times New Roman" w:hAnsi="Times New Roman" w:eastAsia="宋体" w:cs="Times New Roman"/>
                      <w:color w:val="auto"/>
                      <w:szCs w:val="21"/>
                      <w:lang w:val="en-US" w:eastAsia="zh-CN"/>
                    </w:rPr>
                    <w:t>东</w:t>
                  </w:r>
                  <w:r>
                    <w:rPr>
                      <w:rFonts w:hint="default" w:ascii="Times New Roman" w:hAnsi="Times New Roman" w:eastAsia="宋体" w:cs="Times New Roman"/>
                      <w:color w:val="auto"/>
                      <w:szCs w:val="21"/>
                    </w:rPr>
                    <w:t>侧，堆放一般固废</w:t>
                  </w:r>
                </w:p>
              </w:tc>
              <w:tc>
                <w:tcPr>
                  <w:tcW w:w="549" w:type="pct"/>
                  <w:vAlign w:val="center"/>
                </w:tcPr>
                <w:p w14:paraId="6E71136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r w14:paraId="339EF1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348200B7">
                  <w:pPr>
                    <w:jc w:val="center"/>
                    <w:rPr>
                      <w:rFonts w:hint="default" w:ascii="Times New Roman" w:hAnsi="Times New Roman" w:eastAsia="宋体" w:cs="Times New Roman"/>
                      <w:color w:val="auto"/>
                      <w:szCs w:val="21"/>
                    </w:rPr>
                  </w:pPr>
                </w:p>
              </w:tc>
              <w:tc>
                <w:tcPr>
                  <w:tcW w:w="731" w:type="pct"/>
                  <w:vMerge w:val="continue"/>
                  <w:vAlign w:val="center"/>
                </w:tcPr>
                <w:p w14:paraId="7066022D">
                  <w:pPr>
                    <w:jc w:val="center"/>
                    <w:rPr>
                      <w:rFonts w:hint="default" w:ascii="Times New Roman" w:hAnsi="Times New Roman" w:eastAsia="宋体" w:cs="Times New Roman"/>
                      <w:color w:val="auto"/>
                      <w:szCs w:val="21"/>
                    </w:rPr>
                  </w:pPr>
                </w:p>
              </w:tc>
              <w:tc>
                <w:tcPr>
                  <w:tcW w:w="714" w:type="pct"/>
                  <w:vAlign w:val="center"/>
                </w:tcPr>
                <w:p w14:paraId="1293D9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危废</w:t>
                  </w:r>
                  <w:r>
                    <w:rPr>
                      <w:rFonts w:hint="default" w:ascii="Times New Roman" w:hAnsi="Times New Roman" w:eastAsia="宋体" w:cs="Times New Roman"/>
                      <w:color w:val="auto"/>
                      <w:szCs w:val="21"/>
                      <w:lang w:val="en-US" w:eastAsia="zh-CN"/>
                    </w:rPr>
                    <w:t>暂存间</w:t>
                  </w:r>
                </w:p>
              </w:tc>
              <w:tc>
                <w:tcPr>
                  <w:tcW w:w="854" w:type="pct"/>
                  <w:vAlign w:val="center"/>
                </w:tcPr>
                <w:p w14:paraId="19A15DEE">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6FE0654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位于车间</w:t>
                  </w:r>
                  <w:r>
                    <w:rPr>
                      <w:rFonts w:hint="default" w:ascii="Times New Roman" w:hAnsi="Times New Roman" w:eastAsia="宋体" w:cs="Times New Roman"/>
                      <w:color w:val="auto"/>
                      <w:szCs w:val="21"/>
                      <w:lang w:val="en-US" w:eastAsia="zh-CN"/>
                    </w:rPr>
                    <w:t>东</w:t>
                  </w:r>
                  <w:r>
                    <w:rPr>
                      <w:rFonts w:hint="default" w:ascii="Times New Roman" w:hAnsi="Times New Roman" w:eastAsia="宋体" w:cs="Times New Roman"/>
                      <w:color w:val="auto"/>
                      <w:szCs w:val="21"/>
                    </w:rPr>
                    <w:t>侧，存放危险废物</w:t>
                  </w:r>
                </w:p>
              </w:tc>
              <w:tc>
                <w:tcPr>
                  <w:tcW w:w="549" w:type="pct"/>
                  <w:vAlign w:val="center"/>
                </w:tcPr>
                <w:p w14:paraId="705DCBA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bl>
          <w:p w14:paraId="3BA4789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依托可行性分析：</w:t>
            </w:r>
          </w:p>
          <w:p w14:paraId="2298087F">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本项目租用位于</w:t>
            </w:r>
            <w:r>
              <w:rPr>
                <w:rFonts w:hint="default" w:ascii="Times New Roman" w:hAnsi="Times New Roman" w:eastAsia="宋体" w:cs="Times New Roman"/>
                <w:color w:val="auto"/>
                <w:sz w:val="24"/>
                <w:lang w:val="en-US" w:eastAsia="zh-CN"/>
              </w:rPr>
              <w:t>常州尼莫海洋科技有限公司位于</w:t>
            </w:r>
            <w:r>
              <w:rPr>
                <w:rFonts w:hint="default"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lang w:val="en-US" w:eastAsia="zh-CN"/>
              </w:rPr>
              <w:t>内的现有空置厂房</w:t>
            </w:r>
            <w:r>
              <w:rPr>
                <w:rFonts w:hint="eastAsia" w:ascii="Times New Roman" w:hAnsi="Times New Roman" w:eastAsia="宋体" w:cs="Times New Roman"/>
                <w:color w:val="auto"/>
                <w:sz w:val="24"/>
                <w:lang w:val="en-US" w:eastAsia="zh-CN"/>
              </w:rPr>
              <w:t>（原为拟建装配车间，实际一直未生产，为空置厂房）</w:t>
            </w:r>
            <w:r>
              <w:rPr>
                <w:rFonts w:hint="default" w:ascii="Times New Roman" w:hAnsi="Times New Roman" w:eastAsia="宋体" w:cs="Times New Roman"/>
                <w:color w:val="auto"/>
                <w:sz w:val="24"/>
                <w:lang w:eastAsia="zh-CN"/>
              </w:rPr>
              <w:t>，建筑面积共</w:t>
            </w:r>
            <w:r>
              <w:rPr>
                <w:rFonts w:hint="default" w:ascii="Times New Roman" w:hAnsi="Times New Roman" w:eastAsia="宋体" w:cs="Times New Roman"/>
                <w:color w:val="auto"/>
                <w:sz w:val="24"/>
                <w:lang w:val="en-US" w:eastAsia="zh-CN"/>
              </w:rPr>
              <w:t>2569.19</w:t>
            </w:r>
            <w:r>
              <w:rPr>
                <w:rFonts w:hint="default" w:ascii="Times New Roman" w:hAnsi="Times New Roman" w:eastAsia="宋体" w:cs="Times New Roman"/>
                <w:color w:val="auto"/>
                <w:sz w:val="24"/>
                <w:lang w:eastAsia="zh-CN"/>
              </w:rPr>
              <w:t>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，可满足本项目生产所需；</w:t>
            </w:r>
            <w:r>
              <w:rPr>
                <w:rFonts w:hint="default" w:ascii="Times New Roman" w:hAnsi="Times New Roman" w:eastAsia="宋体" w:cs="Times New Roman"/>
                <w:color w:val="auto"/>
                <w:sz w:val="24"/>
                <w:lang w:val="en-US" w:eastAsia="zh-CN"/>
              </w:rPr>
              <w:t>常州尼莫海洋科技有限公司</w:t>
            </w:r>
            <w:r>
              <w:rPr>
                <w:rFonts w:hint="default" w:ascii="Times New Roman" w:hAnsi="Times New Roman" w:eastAsia="宋体" w:cs="Times New Roman"/>
                <w:color w:val="auto"/>
                <w:sz w:val="24"/>
                <w:lang w:eastAsia="zh-CN"/>
              </w:rPr>
              <w:t>厂区内已实施雨污分流，已建设污水管网及排口、雨水管网及排口、供电线路及供水管网。供水由市政给水管网提供，依托厂区已建管网；排水依托厂区现有雨污管网，供电依托厂区供电管网，满足本项目使用需求。</w:t>
            </w:r>
            <w:r>
              <w:rPr>
                <w:rFonts w:hint="eastAsia" w:ascii="Times New Roman" w:hAnsi="Times New Roman" w:eastAsia="宋体" w:cs="Times New Roman"/>
                <w:color w:val="auto"/>
                <w:sz w:val="24"/>
                <w:lang w:val="en-US" w:eastAsia="zh-CN"/>
              </w:rPr>
              <w:t>厂内未建设初期雨水池和事故应急池，本项目拟新建</w:t>
            </w:r>
            <w:r>
              <w:rPr>
                <w:rFonts w:hint="eastAsia" w:ascii="Times New Roman" w:hAnsi="Times New Roman" w:eastAsia="宋体" w:cs="Times New Roman"/>
                <w:b w:val="0"/>
                <w:color w:val="auto"/>
                <w:kern w:val="0"/>
                <w:sz w:val="24"/>
                <w:szCs w:val="24"/>
                <w:lang w:val="en-US" w:eastAsia="zh-CN"/>
              </w:rPr>
              <w:t>8</w:t>
            </w:r>
            <w:r>
              <w:rPr>
                <w:rFonts w:hint="default" w:ascii="Times New Roman" w:hAnsi="Times New Roman" w:eastAsia="宋体" w:cs="Times New Roman"/>
                <w:b w:val="0"/>
                <w:color w:val="auto"/>
                <w:kern w:val="0"/>
                <w:sz w:val="24"/>
                <w:szCs w:val="24"/>
              </w:rPr>
              <w:t>0m</w:t>
            </w:r>
            <w:r>
              <w:rPr>
                <w:rFonts w:hint="default" w:ascii="Times New Roman" w:hAnsi="Times New Roman" w:eastAsia="宋体" w:cs="Times New Roman"/>
                <w:b w:val="0"/>
                <w:color w:val="auto"/>
                <w:kern w:val="0"/>
                <w:sz w:val="24"/>
                <w:szCs w:val="24"/>
                <w:vertAlign w:val="superscript"/>
              </w:rPr>
              <w:t>3</w:t>
            </w:r>
            <w:r>
              <w:rPr>
                <w:rFonts w:hint="default" w:ascii="Times New Roman" w:hAnsi="Times New Roman" w:eastAsia="宋体" w:cs="Times New Roman"/>
                <w:b w:val="0"/>
                <w:color w:val="auto"/>
                <w:kern w:val="0"/>
                <w:sz w:val="24"/>
                <w:szCs w:val="24"/>
              </w:rPr>
              <w:t>事故应急池</w:t>
            </w:r>
            <w:r>
              <w:rPr>
                <w:rFonts w:hint="eastAsia" w:ascii="Times New Roman" w:hAnsi="Times New Roman" w:eastAsia="宋体" w:cs="Times New Roman"/>
                <w:b w:val="0"/>
                <w:color w:val="auto"/>
                <w:kern w:val="0"/>
                <w:sz w:val="24"/>
                <w:szCs w:val="24"/>
                <w:lang w:eastAsia="zh-CN"/>
              </w:rPr>
              <w:t>（</w:t>
            </w:r>
            <w:r>
              <w:rPr>
                <w:rFonts w:hint="eastAsia" w:ascii="Times New Roman" w:hAnsi="Times New Roman" w:eastAsia="宋体" w:cs="Times New Roman"/>
                <w:b w:val="0"/>
                <w:color w:val="auto"/>
                <w:kern w:val="0"/>
                <w:sz w:val="24"/>
                <w:szCs w:val="24"/>
                <w:lang w:val="en-US" w:eastAsia="zh-CN"/>
              </w:rPr>
              <w:t>并设置截止阀）。</w:t>
            </w:r>
          </w:p>
          <w:p w14:paraId="03EDCA0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常州尼莫海洋科技有限公司成立于1996年01月15日，注册地位于常州市金坛区华丰路6号，法定代表人为于建华。经营范围包括海洋装备研发、软件开发、技术转让、技术咨询服务；海洋工程装备、船用配套设备、液压动力机械及元件、气压动力机及元件、试验机、环境监测专用仪器仪表、阀门制造、安装、维修、销售。</w:t>
            </w:r>
            <w:r>
              <w:rPr>
                <w:rFonts w:hint="eastAsia" w:ascii="Times New Roman" w:hAnsi="Times New Roman" w:eastAsia="宋体" w:cs="Times New Roman"/>
                <w:b w:val="0"/>
                <w:bCs/>
                <w:color w:val="auto"/>
                <w:sz w:val="24"/>
                <w:szCs w:val="24"/>
                <w:lang w:val="en-US" w:eastAsia="zh-CN"/>
              </w:rPr>
              <w:t>现</w:t>
            </w:r>
            <w:r>
              <w:rPr>
                <w:rFonts w:hint="default" w:ascii="Times New Roman" w:hAnsi="Times New Roman" w:eastAsia="宋体" w:cs="Times New Roman"/>
                <w:b w:val="0"/>
                <w:bCs/>
                <w:color w:val="auto"/>
                <w:sz w:val="24"/>
                <w:szCs w:val="24"/>
              </w:rPr>
              <w:t>常州尼莫海洋科技有限公司</w:t>
            </w:r>
            <w:r>
              <w:rPr>
                <w:rFonts w:hint="eastAsia" w:ascii="Times New Roman" w:hAnsi="Times New Roman" w:eastAsia="宋体" w:cs="Times New Roman"/>
                <w:b w:val="0"/>
                <w:bCs/>
                <w:color w:val="auto"/>
                <w:sz w:val="24"/>
                <w:szCs w:val="24"/>
                <w:lang w:val="en-US" w:eastAsia="zh-CN"/>
              </w:rPr>
              <w:t>未生产，厂内共建设3栋厂房，南侧厂房为空置，暂未出租，中间厂房为本项目租赁厂房，南侧厂房租赁给常州市东华电力电子有限公司。</w:t>
            </w:r>
          </w:p>
          <w:p w14:paraId="496B3DD6">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公用工程说明：</w:t>
            </w:r>
          </w:p>
          <w:p w14:paraId="0DF7F82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（1）给</w:t>
            </w:r>
            <w:r>
              <w:rPr>
                <w:rFonts w:hint="default" w:ascii="Times New Roman" w:hAnsi="Times New Roman" w:eastAsia="宋体" w:cs="Times New Roman"/>
                <w:b/>
                <w:color w:val="auto"/>
                <w:sz w:val="24"/>
                <w:szCs w:val="24"/>
                <w:lang w:val="en-US" w:eastAsia="zh-CN"/>
              </w:rPr>
              <w:t>排</w:t>
            </w:r>
            <w:r>
              <w:rPr>
                <w:rFonts w:hint="default" w:ascii="Times New Roman" w:hAnsi="Times New Roman" w:eastAsia="宋体" w:cs="Times New Roman"/>
                <w:b/>
                <w:color w:val="auto"/>
                <w:sz w:val="24"/>
                <w:szCs w:val="24"/>
              </w:rPr>
              <w:t>水</w:t>
            </w:r>
          </w:p>
          <w:p w14:paraId="1CB2C146">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sz w:val="24"/>
                <w:szCs w:val="24"/>
              </w:rPr>
              <w:t>生活用水：</w:t>
            </w:r>
            <w:r>
              <w:rPr>
                <w:rFonts w:hint="default" w:ascii="Times New Roman" w:hAnsi="Times New Roman" w:eastAsia="宋体" w:cs="Times New Roman"/>
                <w:bCs/>
                <w:color w:val="auto"/>
                <w:sz w:val="24"/>
                <w:szCs w:val="24"/>
              </w:rPr>
              <w:t>本项目员工定员为</w:t>
            </w:r>
            <w:r>
              <w:rPr>
                <w:rFonts w:hint="eastAsia"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rPr>
              <w:t>0人，年工作日约300天，办公生活用水量按照80L/人·d计算，则本项目生活用水量为</w:t>
            </w:r>
            <w:r>
              <w:rPr>
                <w:rFonts w:hint="eastAsia" w:ascii="Times New Roman" w:hAnsi="Times New Roman" w:eastAsia="宋体" w:cs="Times New Roman"/>
                <w:bCs/>
                <w:color w:val="auto"/>
                <w:sz w:val="24"/>
                <w:szCs w:val="24"/>
                <w:lang w:val="en-US" w:eastAsia="zh-CN"/>
              </w:rPr>
              <w:t>240</w:t>
            </w:r>
            <w:r>
              <w:rPr>
                <w:rFonts w:hint="default" w:ascii="Times New Roman" w:hAnsi="Times New Roman" w:eastAsia="宋体" w:cs="Times New Roman"/>
                <w:bCs/>
                <w:color w:val="auto"/>
                <w:sz w:val="24"/>
                <w:szCs w:val="24"/>
              </w:rPr>
              <w:t>0t/a。生活污水量按照用水量的80%计，污水产生量约</w:t>
            </w:r>
            <w:r>
              <w:rPr>
                <w:rFonts w:hint="eastAsia" w:ascii="Times New Roman" w:hAnsi="Times New Roman" w:eastAsia="宋体" w:cs="Times New Roman"/>
                <w:bCs/>
                <w:color w:val="auto"/>
                <w:sz w:val="24"/>
                <w:szCs w:val="24"/>
                <w:lang w:val="en-US" w:eastAsia="zh-CN"/>
              </w:rPr>
              <w:t>1920</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val="en-US" w:eastAsia="zh-CN"/>
              </w:rPr>
              <w:t>经市政污水管网接至</w:t>
            </w:r>
            <w:r>
              <w:rPr>
                <w:rFonts w:hint="default" w:ascii="Times New Roman" w:hAnsi="Times New Roman" w:eastAsia="宋体" w:cs="Times New Roman"/>
                <w:color w:val="auto"/>
                <w:sz w:val="24"/>
              </w:rPr>
              <w:t>常州市金坛第二污水处理厂集中处理，处理后尾水排入尧塘河。</w:t>
            </w:r>
          </w:p>
          <w:p w14:paraId="54D3EE01">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清洗槽用水：</w:t>
            </w:r>
            <w:r>
              <w:rPr>
                <w:rFonts w:hint="eastAsia" w:ascii="Times New Roman" w:hAnsi="Times New Roman" w:eastAsia="宋体" w:cs="Times New Roman"/>
                <w:b w:val="0"/>
                <w:bCs/>
                <w:color w:val="auto"/>
                <w:sz w:val="24"/>
                <w:szCs w:val="24"/>
                <w:lang w:val="en-US" w:eastAsia="zh-CN"/>
              </w:rPr>
              <w:t>清洗工序设置3个清洗槽，分别为自来水洗糟-清洗剂槽-清洗剂槽，槽容积均为0.216m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，自来水槽用水量为0.15m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vertAlign w:val="baseline"/>
                <w:lang w:val="en-US" w:eastAsia="zh-CN"/>
              </w:rPr>
              <w:t>/次</w:t>
            </w:r>
            <w:r>
              <w:rPr>
                <w:rFonts w:hint="eastAsia" w:ascii="Times New Roman" w:hAnsi="Times New Roman" w:eastAsia="宋体" w:cs="Times New Roman"/>
                <w:b w:val="0"/>
                <w:bCs/>
                <w:color w:val="auto"/>
                <w:sz w:val="24"/>
                <w:szCs w:val="24"/>
                <w:lang w:val="en-US" w:eastAsia="zh-CN"/>
              </w:rPr>
              <w:t>，每10d更换一次，损耗量按用水量的20%计，则清洗槽废液产生量为3.6m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/a，清洗废液定期更换，作为危废处置。</w:t>
            </w:r>
          </w:p>
          <w:p w14:paraId="526001AB">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清洗剂配置用水：</w:t>
            </w:r>
            <w:r>
              <w:rPr>
                <w:rFonts w:hint="eastAsia" w:ascii="Times New Roman" w:hAnsi="Times New Roman" w:eastAsia="宋体" w:cs="Times New Roman"/>
                <w:b w:val="0"/>
                <w:bCs/>
                <w:color w:val="auto"/>
                <w:sz w:val="24"/>
                <w:szCs w:val="24"/>
                <w:lang w:val="en-US" w:eastAsia="zh-CN"/>
              </w:rPr>
              <w:t>本项目清洗工序清洗剂需加水调配，与水配比为1:20，根据建设单位提供资料，清洗剂用量为0.1t/a，则清洗剂配置用水量为2t/a，损耗量按用水量的20%计，则清洗废水量约为1.6m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/a，清洗废液定期更换，作为危废处置。</w:t>
            </w:r>
          </w:p>
          <w:p w14:paraId="410F989F">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乳化液配置用水：</w:t>
            </w:r>
            <w:r>
              <w:rPr>
                <w:rFonts w:hint="eastAsia" w:ascii="Times New Roman" w:hAnsi="Times New Roman" w:eastAsia="宋体" w:cs="Times New Roman"/>
                <w:b w:val="0"/>
                <w:bCs/>
                <w:color w:val="auto"/>
                <w:sz w:val="24"/>
                <w:szCs w:val="24"/>
                <w:lang w:val="en-US" w:eastAsia="zh-CN"/>
              </w:rPr>
              <w:t>本项目振动研磨工序使用乳化液，需加水调配，与水配比为1:10，根据建设单位提供资料，乳化液用量为0.2t/a，则乳化液配置用水量为2t/a，损耗量按用水量的20%计，则废乳化液量约为1.6m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/a，乳化液定期更换，作为危废处置。</w:t>
            </w:r>
          </w:p>
          <w:p w14:paraId="25C187E7">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厂房生产过程中，地面基本保持清洁，仅进行定期的扫地，不需地面清洗，不产生清洗废水。</w:t>
            </w:r>
          </w:p>
          <w:p w14:paraId="06B6F2EF">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具体水平衡图见图2-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p>
          <w:p w14:paraId="61B876D6">
            <w:pPr>
              <w:pStyle w:val="1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drawing>
                <wp:inline distT="0" distB="0" distL="114300" distR="114300">
                  <wp:extent cx="5294630" cy="4586605"/>
                  <wp:effectExtent l="0" t="0" r="0" b="0"/>
                  <wp:docPr id="8" name="图片 8"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水平衡图"/>
                          <pic:cNvPicPr>
                            <a:picLocks noChangeAspect="1"/>
                          </pic:cNvPicPr>
                        </pic:nvPicPr>
                        <pic:blipFill>
                          <a:blip r:embed="rId19"/>
                          <a:stretch>
                            <a:fillRect/>
                          </a:stretch>
                        </pic:blipFill>
                        <pic:spPr>
                          <a:xfrm>
                            <a:off x="0" y="0"/>
                            <a:ext cx="5294630" cy="4586605"/>
                          </a:xfrm>
                          <a:prstGeom prst="rect">
                            <a:avLst/>
                          </a:prstGeom>
                        </pic:spPr>
                      </pic:pic>
                    </a:graphicData>
                  </a:graphic>
                </wp:inline>
              </w:drawing>
            </w:r>
          </w:p>
          <w:p w14:paraId="398F12B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水平衡图（t/a）</w:t>
            </w:r>
          </w:p>
          <w:p w14:paraId="139FA1D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）供电</w:t>
            </w:r>
          </w:p>
          <w:p w14:paraId="2E77E70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本项目生产设备使用电能，用电由市政电网接入，年用电量约为</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0万kW·h。</w:t>
            </w:r>
          </w:p>
          <w:p w14:paraId="55D2F36D">
            <w:pPr>
              <w:spacing w:line="360" w:lineRule="auto"/>
              <w:rPr>
                <w:rFonts w:hint="default" w:ascii="Times New Roman" w:hAnsi="Times New Roman" w:eastAsia="宋体" w:cs="Times New Roman"/>
                <w:b/>
                <w:color w:val="auto"/>
                <w:sz w:val="24"/>
              </w:rPr>
            </w:pPr>
            <w:bookmarkStart w:id="0" w:name="_Toc457"/>
            <w:bookmarkStart w:id="1" w:name="_Toc21599"/>
            <w:bookmarkStart w:id="2" w:name="_Toc21016"/>
            <w:bookmarkStart w:id="3" w:name="_Toc4904"/>
            <w:bookmarkStart w:id="4" w:name="_Toc9020"/>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、项目周边概况及车间平面布置</w:t>
            </w:r>
          </w:p>
          <w:p w14:paraId="1C09AD61">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①项目周边概况</w:t>
            </w:r>
          </w:p>
          <w:p w14:paraId="0761FD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建设项目选址位于</w:t>
            </w:r>
            <w:r>
              <w:rPr>
                <w:rFonts w:hint="default"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lang w:val="en-US" w:eastAsia="zh-CN"/>
              </w:rPr>
              <w:t>厂区东侧</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常州</w:t>
            </w:r>
            <w:r>
              <w:rPr>
                <w:rFonts w:hint="eastAsia" w:ascii="Times New Roman" w:hAnsi="Times New Roman" w:eastAsia="宋体" w:cs="Times New Roman"/>
                <w:color w:val="auto"/>
                <w:sz w:val="24"/>
                <w:lang w:val="en-US" w:eastAsia="zh-CN"/>
              </w:rPr>
              <w:t>美瑞服饰</w:t>
            </w:r>
            <w:r>
              <w:rPr>
                <w:rFonts w:hint="default" w:ascii="Times New Roman" w:hAnsi="Times New Roman" w:eastAsia="宋体" w:cs="Times New Roman"/>
                <w:color w:val="auto"/>
                <w:sz w:val="24"/>
                <w:lang w:val="en-US" w:eastAsia="zh-CN"/>
              </w:rPr>
              <w:t>有限公司</w:t>
            </w:r>
            <w:r>
              <w:rPr>
                <w:rFonts w:hint="default" w:ascii="Times New Roman" w:hAnsi="Times New Roman" w:eastAsia="宋体" w:cs="Times New Roman"/>
                <w:color w:val="auto"/>
                <w:sz w:val="24"/>
              </w:rPr>
              <w:t>；南侧为江苏峨嵋动力机械有限公司；西侧为常州德博新材料科技有限公司；北侧为康诚机械制造有限公司。距离本项目最近的环境敏感保护目标为西北约400m处的常州德理康医院。项目周边概况图详见附图2。</w:t>
            </w:r>
          </w:p>
          <w:p w14:paraId="68E54D2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②车间平面布置</w:t>
            </w:r>
          </w:p>
          <w:p w14:paraId="4F2E42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建设项目所在生产车间建筑面积</w:t>
            </w:r>
            <w:r>
              <w:rPr>
                <w:rFonts w:hint="default" w:ascii="Times New Roman" w:hAnsi="Times New Roman" w:eastAsia="宋体" w:cs="Times New Roman"/>
                <w:color w:val="auto"/>
                <w:sz w:val="24"/>
                <w:lang w:val="en-US" w:eastAsia="zh-CN"/>
              </w:rPr>
              <w:t>约2569.19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，项目平面布置图详见附图3</w:t>
            </w:r>
            <w:r>
              <w:rPr>
                <w:rFonts w:hint="default" w:ascii="Times New Roman" w:hAnsi="Times New Roman" w:eastAsia="宋体" w:cs="Times New Roman"/>
                <w:color w:val="auto"/>
                <w:sz w:val="24"/>
                <w:szCs w:val="24"/>
              </w:rPr>
              <w:t>。</w:t>
            </w:r>
            <w:bookmarkEnd w:id="0"/>
            <w:bookmarkEnd w:id="1"/>
            <w:bookmarkEnd w:id="2"/>
            <w:bookmarkEnd w:id="3"/>
            <w:bookmarkEnd w:id="4"/>
          </w:p>
        </w:tc>
      </w:tr>
      <w:tr w14:paraId="575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4" w:hRule="atLeast"/>
        </w:trPr>
        <w:tc>
          <w:tcPr>
            <w:tcW w:w="377" w:type="pct"/>
            <w:vAlign w:val="center"/>
          </w:tcPr>
          <w:p w14:paraId="16082599">
            <w:pPr>
              <w:jc w:val="both"/>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工艺流程和产排污环节</w:t>
            </w:r>
          </w:p>
        </w:tc>
        <w:tc>
          <w:tcPr>
            <w:tcW w:w="4622" w:type="pct"/>
            <w:vAlign w:val="top"/>
          </w:tcPr>
          <w:p w14:paraId="1BE25597">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一、工艺流程简述</w:t>
            </w:r>
          </w:p>
          <w:p w14:paraId="6BA6022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bookmarkStart w:id="5" w:name="_Toc21734"/>
            <w:bookmarkStart w:id="6" w:name="_Toc23344"/>
            <w:bookmarkStart w:id="7" w:name="_Toc20544"/>
            <w:bookmarkStart w:id="8" w:name="_Toc18182"/>
            <w:r>
              <w:rPr>
                <w:rFonts w:hint="default" w:ascii="Times New Roman" w:hAnsi="Times New Roman" w:eastAsia="宋体" w:cs="Times New Roman"/>
                <w:b/>
                <w:bCs w:val="0"/>
                <w:color w:val="auto"/>
                <w:sz w:val="24"/>
                <w:lang w:val="en-US" w:eastAsia="zh-CN"/>
              </w:rPr>
              <w:t>1、电磁线圈</w:t>
            </w:r>
          </w:p>
          <w:p w14:paraId="537D26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color w:val="auto"/>
                <w:sz w:val="24"/>
              </w:rPr>
              <w:t>电磁线圈</w:t>
            </w:r>
            <w:r>
              <w:rPr>
                <w:rFonts w:hint="default" w:ascii="Times New Roman" w:hAnsi="Times New Roman" w:eastAsia="宋体" w:cs="Times New Roman"/>
                <w:b w:val="0"/>
                <w:bCs/>
                <w:color w:val="auto"/>
                <w:sz w:val="24"/>
                <w:lang w:val="en-US" w:eastAsia="zh-CN"/>
              </w:rPr>
              <w:t>生产工艺见图2-3。</w:t>
            </w:r>
          </w:p>
          <w:bookmarkEnd w:id="5"/>
          <w:bookmarkEnd w:id="6"/>
          <w:bookmarkEnd w:id="7"/>
          <w:bookmarkEnd w:id="8"/>
          <w:p w14:paraId="295617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4785360" cy="3889375"/>
                  <wp:effectExtent l="0" t="0" r="0" b="0"/>
                  <wp:docPr id="12" name="图片 12" descr="电磁线圈-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磁线圈-生产工艺"/>
                          <pic:cNvPicPr>
                            <a:picLocks noChangeAspect="1"/>
                          </pic:cNvPicPr>
                        </pic:nvPicPr>
                        <pic:blipFill>
                          <a:blip r:embed="rId20"/>
                          <a:stretch>
                            <a:fillRect/>
                          </a:stretch>
                        </pic:blipFill>
                        <pic:spPr>
                          <a:xfrm>
                            <a:off x="0" y="0"/>
                            <a:ext cx="4785360" cy="3889375"/>
                          </a:xfrm>
                          <a:prstGeom prst="rect">
                            <a:avLst/>
                          </a:prstGeom>
                        </pic:spPr>
                      </pic:pic>
                    </a:graphicData>
                  </a:graphic>
                </wp:inline>
              </w:drawing>
            </w:r>
          </w:p>
          <w:p w14:paraId="64E107E4">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电磁线圈</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64736DC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生产工艺简述：</w:t>
            </w:r>
          </w:p>
          <w:p w14:paraId="6378585C">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3"/>
                <w:sz w:val="24"/>
                <w:szCs w:val="24"/>
              </w:rPr>
              <w:t>绕线：</w:t>
            </w:r>
            <w:r>
              <w:rPr>
                <w:rFonts w:hint="default" w:ascii="Times New Roman" w:hAnsi="Times New Roman" w:cs="Times New Roman"/>
                <w:color w:val="auto"/>
                <w:spacing w:val="3"/>
                <w:sz w:val="24"/>
                <w:szCs w:val="24"/>
              </w:rPr>
              <w:t>先将塑料线架置于自动绕线机固定的</w:t>
            </w:r>
            <w:r>
              <w:rPr>
                <w:rFonts w:hint="default" w:ascii="Times New Roman" w:hAnsi="Times New Roman" w:cs="Times New Roman"/>
                <w:color w:val="auto"/>
                <w:spacing w:val="2"/>
                <w:sz w:val="24"/>
                <w:szCs w:val="24"/>
              </w:rPr>
              <w:t>专用绕线夹头上，再通过</w:t>
            </w:r>
            <w:r>
              <w:rPr>
                <w:rFonts w:hint="default" w:ascii="Times New Roman" w:hAnsi="Times New Roman" w:cs="Times New Roman"/>
                <w:color w:val="auto"/>
                <w:spacing w:val="-2"/>
                <w:sz w:val="24"/>
                <w:szCs w:val="24"/>
              </w:rPr>
              <w:t>绕线夹头的转动将漆包线缠绕在塑料线架上，此工序无污染物产生。</w:t>
            </w:r>
          </w:p>
          <w:p w14:paraId="285A7CE8">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3"/>
                <w:sz w:val="24"/>
                <w:szCs w:val="24"/>
              </w:rPr>
              <w:t>机加工：</w:t>
            </w:r>
            <w:r>
              <w:rPr>
                <w:rFonts w:hint="default" w:ascii="Times New Roman" w:hAnsi="Times New Roman" w:cs="Times New Roman"/>
                <w:color w:val="auto"/>
                <w:spacing w:val="3"/>
                <w:sz w:val="24"/>
                <w:szCs w:val="24"/>
              </w:rPr>
              <w:t>外购硅钢片经自动硅钢片卷铁芯</w:t>
            </w:r>
            <w:r>
              <w:rPr>
                <w:rFonts w:hint="default" w:ascii="Times New Roman" w:hAnsi="Times New Roman" w:cs="Times New Roman"/>
                <w:color w:val="auto"/>
                <w:spacing w:val="2"/>
                <w:sz w:val="24"/>
                <w:szCs w:val="24"/>
              </w:rPr>
              <w:t>机、自动卷铁芯冲孔机等设</w:t>
            </w:r>
            <w:r>
              <w:rPr>
                <w:rFonts w:hint="default" w:ascii="Times New Roman" w:hAnsi="Times New Roman" w:cs="Times New Roman"/>
                <w:color w:val="auto"/>
                <w:spacing w:val="-1"/>
                <w:sz w:val="24"/>
                <w:szCs w:val="24"/>
              </w:rPr>
              <w:t>备加工成为电磁线圈配套外壳</w:t>
            </w:r>
            <w:r>
              <w:rPr>
                <w:rFonts w:hint="eastAsia" w:ascii="Times New Roman" w:hAnsi="Times New Roman" w:cs="Times New Roman"/>
                <w:color w:val="auto"/>
                <w:spacing w:val="-1"/>
                <w:sz w:val="24"/>
                <w:szCs w:val="24"/>
                <w:lang w:eastAsia="zh-CN"/>
              </w:rPr>
              <w:t>；自动硅钢片卷铁芯机等设备平时需用润滑油保养和维护，润滑油循环使用，定期更换、补充</w:t>
            </w:r>
            <w:r>
              <w:rPr>
                <w:rFonts w:hint="default" w:ascii="Times New Roman" w:hAnsi="Times New Roman" w:cs="Times New Roman"/>
                <w:color w:val="auto"/>
                <w:spacing w:val="-1"/>
                <w:sz w:val="24"/>
                <w:szCs w:val="24"/>
              </w:rPr>
              <w:t>。</w:t>
            </w:r>
            <w:r>
              <w:rPr>
                <w:rFonts w:hint="default" w:ascii="Times New Roman" w:hAnsi="Times New Roman" w:cs="Times New Roman"/>
                <w:color w:val="auto"/>
                <w:spacing w:val="-2"/>
                <w:sz w:val="24"/>
                <w:szCs w:val="24"/>
              </w:rPr>
              <w:t>此工序有硅钢</w:t>
            </w:r>
            <w:r>
              <w:rPr>
                <w:rFonts w:hint="default" w:ascii="Times New Roman" w:hAnsi="Times New Roman" w:cs="Times New Roman"/>
                <w:color w:val="auto"/>
                <w:spacing w:val="-3"/>
                <w:sz w:val="24"/>
                <w:szCs w:val="24"/>
              </w:rPr>
              <w:t>片边角料（S1-</w:t>
            </w:r>
            <w:r>
              <w:rPr>
                <w:rFonts w:hint="eastAsia" w:ascii="Times New Roman" w:hAnsi="Times New Roman" w:cs="Times New Roman"/>
                <w:color w:val="auto"/>
                <w:spacing w:val="-3"/>
                <w:sz w:val="24"/>
                <w:szCs w:val="24"/>
                <w:lang w:val="en-US" w:eastAsia="zh-CN"/>
              </w:rPr>
              <w:t>1</w:t>
            </w:r>
            <w:r>
              <w:rPr>
                <w:rFonts w:hint="default" w:ascii="Times New Roman" w:hAnsi="Times New Roman" w:cs="Times New Roman"/>
                <w:color w:val="auto"/>
                <w:spacing w:val="-3"/>
                <w:sz w:val="24"/>
                <w:szCs w:val="24"/>
              </w:rPr>
              <w:t>）</w:t>
            </w:r>
            <w:r>
              <w:rPr>
                <w:rFonts w:hint="eastAsia" w:ascii="Times New Roman" w:hAnsi="Times New Roman" w:cs="Times New Roman"/>
                <w:color w:val="auto"/>
                <w:spacing w:val="-3"/>
                <w:sz w:val="24"/>
                <w:szCs w:val="24"/>
                <w:lang w:eastAsia="zh-CN"/>
              </w:rPr>
              <w:t>、</w:t>
            </w:r>
            <w:r>
              <w:rPr>
                <w:rFonts w:hint="eastAsia" w:ascii="Times New Roman" w:hAnsi="Times New Roman" w:cs="Times New Roman"/>
                <w:color w:val="auto"/>
                <w:spacing w:val="-3"/>
                <w:sz w:val="24"/>
                <w:szCs w:val="24"/>
                <w:lang w:val="en-US" w:eastAsia="zh-CN"/>
              </w:rPr>
              <w:t>废润滑油（S1-2）</w:t>
            </w:r>
            <w:r>
              <w:rPr>
                <w:rFonts w:hint="default" w:ascii="Times New Roman" w:hAnsi="Times New Roman" w:cs="Times New Roman"/>
                <w:color w:val="auto"/>
                <w:spacing w:val="-3"/>
                <w:sz w:val="24"/>
                <w:szCs w:val="24"/>
              </w:rPr>
              <w:t>噪声（N）产生。</w:t>
            </w:r>
          </w:p>
          <w:p w14:paraId="5041D116">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3"/>
                <w:sz w:val="24"/>
                <w:szCs w:val="24"/>
              </w:rPr>
              <w:t>配线组装：</w:t>
            </w:r>
            <w:r>
              <w:rPr>
                <w:rFonts w:hint="default" w:ascii="Times New Roman" w:hAnsi="Times New Roman" w:cs="Times New Roman"/>
                <w:color w:val="auto"/>
                <w:spacing w:val="3"/>
                <w:sz w:val="24"/>
                <w:szCs w:val="24"/>
              </w:rPr>
              <w:t>手工将外购外壳或者自加工外壳与外购</w:t>
            </w:r>
            <w:r>
              <w:rPr>
                <w:rFonts w:hint="default" w:ascii="Times New Roman" w:hAnsi="Times New Roman" w:cs="Times New Roman"/>
                <w:color w:val="auto"/>
                <w:spacing w:val="2"/>
                <w:sz w:val="24"/>
                <w:szCs w:val="24"/>
              </w:rPr>
              <w:t>配件组装在一起，</w:t>
            </w:r>
            <w:r>
              <w:rPr>
                <w:rFonts w:hint="default" w:ascii="Times New Roman" w:hAnsi="Times New Roman" w:cs="Times New Roman"/>
                <w:color w:val="auto"/>
                <w:spacing w:val="-6"/>
                <w:sz w:val="24"/>
                <w:szCs w:val="24"/>
              </w:rPr>
              <w:t>并对组装件局部进行浸焊。浸焊基本原理为：首先采用无铅焊锡台对焊棒进行加热（无铅焊锡台采用电加热</w:t>
            </w:r>
            <w:r>
              <w:rPr>
                <w:rFonts w:hint="default" w:ascii="Times New Roman" w:hAnsi="Times New Roman" w:cs="Times New Roman"/>
                <w:color w:val="auto"/>
                <w:spacing w:val="-1"/>
                <w:sz w:val="24"/>
                <w:szCs w:val="24"/>
              </w:rPr>
              <w:t>），</w:t>
            </w:r>
            <w:r>
              <w:rPr>
                <w:rFonts w:hint="default" w:ascii="Times New Roman" w:hAnsi="Times New Roman" w:cs="Times New Roman"/>
                <w:color w:val="auto"/>
                <w:spacing w:val="-6"/>
                <w:sz w:val="24"/>
                <w:szCs w:val="24"/>
              </w:rPr>
              <w:t>使焊棒熔化形成焊料液，并将温度控制在380℃左</w:t>
            </w:r>
            <w:r>
              <w:rPr>
                <w:rFonts w:hint="default" w:ascii="Times New Roman" w:hAnsi="Times New Roman" w:cs="Times New Roman"/>
                <w:color w:val="auto"/>
                <w:sz w:val="24"/>
                <w:szCs w:val="24"/>
              </w:rPr>
              <w:t>右，然后控制组装件焊接部位沾取少量焊锡膏</w:t>
            </w:r>
            <w:r>
              <w:rPr>
                <w:rFonts w:hint="default" w:ascii="Times New Roman" w:hAnsi="Times New Roman" w:cs="Times New Roman"/>
                <w:color w:val="auto"/>
                <w:spacing w:val="-1"/>
                <w:sz w:val="24"/>
                <w:szCs w:val="24"/>
              </w:rPr>
              <w:t>，浸入熔化状态的焊料液中，浸锡时间约1～2s，一次完成焊接部位的焊接</w:t>
            </w:r>
            <w:r>
              <w:rPr>
                <w:rFonts w:hint="default" w:ascii="Times New Roman" w:hAnsi="Times New Roman" w:cs="Times New Roman"/>
                <w:color w:val="auto"/>
                <w:spacing w:val="-2"/>
                <w:sz w:val="24"/>
                <w:szCs w:val="24"/>
              </w:rPr>
              <w:t>。配线组装工序有浸焊废气（G</w:t>
            </w:r>
            <w:r>
              <w:rPr>
                <w:rFonts w:hint="eastAsia" w:ascii="Times New Roman" w:hAnsi="Times New Roman" w:cs="Times New Roman"/>
                <w:color w:val="auto"/>
                <w:spacing w:val="-2"/>
                <w:sz w:val="24"/>
                <w:szCs w:val="24"/>
                <w:lang w:val="en-US" w:eastAsia="zh-CN"/>
              </w:rPr>
              <w:t>1-1</w:t>
            </w:r>
            <w:r>
              <w:rPr>
                <w:rFonts w:hint="default" w:ascii="Times New Roman" w:hAnsi="Times New Roman" w:cs="Times New Roman"/>
                <w:color w:val="auto"/>
                <w:spacing w:val="-2"/>
                <w:sz w:val="24"/>
                <w:szCs w:val="24"/>
              </w:rPr>
              <w:t>）产</w:t>
            </w:r>
            <w:r>
              <w:rPr>
                <w:rFonts w:hint="default" w:ascii="Times New Roman" w:hAnsi="Times New Roman" w:cs="Times New Roman"/>
                <w:color w:val="auto"/>
                <w:spacing w:val="-12"/>
                <w:sz w:val="24"/>
                <w:szCs w:val="24"/>
              </w:rPr>
              <w:t>生。</w:t>
            </w:r>
          </w:p>
          <w:p w14:paraId="1FC4DC97">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74"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pacing w:val="-2"/>
                <w:sz w:val="24"/>
                <w:szCs w:val="24"/>
              </w:rPr>
              <w:t>成型封装：</w:t>
            </w:r>
            <w:r>
              <w:rPr>
                <w:rFonts w:hint="default" w:ascii="Times New Roman" w:hAnsi="Times New Roman" w:cs="Times New Roman"/>
                <w:color w:val="auto"/>
                <w:spacing w:val="-2"/>
                <w:sz w:val="24"/>
                <w:szCs w:val="24"/>
              </w:rPr>
              <w:t>先将上述工序组装件放置在外购模具的型腔内</w:t>
            </w:r>
            <w:r>
              <w:rPr>
                <w:rFonts w:hint="default" w:ascii="Times New Roman" w:hAnsi="Times New Roman" w:cs="Times New Roman"/>
                <w:color w:val="auto"/>
                <w:spacing w:val="-3"/>
                <w:sz w:val="24"/>
                <w:szCs w:val="24"/>
              </w:rPr>
              <w:t>并闭合型腔，</w:t>
            </w:r>
            <w:r>
              <w:rPr>
                <w:rFonts w:hint="default" w:ascii="Times New Roman" w:hAnsi="Times New Roman" w:cs="Times New Roman"/>
                <w:color w:val="auto"/>
                <w:spacing w:val="3"/>
                <w:sz w:val="24"/>
                <w:szCs w:val="24"/>
              </w:rPr>
              <w:t>再将不饱和聚酯树脂成型材料（</w:t>
            </w:r>
            <w:r>
              <w:rPr>
                <w:rFonts w:hint="default" w:ascii="Times New Roman" w:hAnsi="Times New Roman" w:cs="Times New Roman"/>
                <w:color w:val="auto"/>
                <w:sz w:val="24"/>
                <w:szCs w:val="24"/>
              </w:rPr>
              <w:t>BMC</w:t>
            </w:r>
            <w:r>
              <w:rPr>
                <w:rFonts w:hint="default" w:ascii="Times New Roman" w:hAnsi="Times New Roman" w:cs="Times New Roman"/>
                <w:color w:val="auto"/>
                <w:spacing w:val="3"/>
                <w:sz w:val="24"/>
                <w:szCs w:val="24"/>
              </w:rPr>
              <w:t>）加入模具的加料室内，使其受热成为粘流</w:t>
            </w:r>
            <w:r>
              <w:rPr>
                <w:rFonts w:hint="default" w:ascii="Times New Roman" w:hAnsi="Times New Roman" w:cs="Times New Roman"/>
                <w:color w:val="auto"/>
                <w:spacing w:val="-5"/>
                <w:sz w:val="24"/>
                <w:szCs w:val="24"/>
              </w:rPr>
              <w:t>状态，在自动封装成型机柱塞压力的作用下，粘流状</w:t>
            </w:r>
            <w:r>
              <w:rPr>
                <w:rFonts w:hint="default" w:ascii="Times New Roman" w:hAnsi="Times New Roman" w:cs="Times New Roman"/>
                <w:color w:val="auto"/>
                <w:spacing w:val="-6"/>
                <w:sz w:val="24"/>
                <w:szCs w:val="24"/>
              </w:rPr>
              <w:t>态的BMC材料经过浇注系统，</w:t>
            </w:r>
            <w:r>
              <w:rPr>
                <w:rFonts w:hint="default" w:ascii="Times New Roman" w:hAnsi="Times New Roman" w:cs="Times New Roman"/>
                <w:color w:val="auto"/>
                <w:sz w:val="24"/>
                <w:szCs w:val="24"/>
              </w:rPr>
              <w:t>进入并充满闭合的型腔，BMC材料在型腔内继续受</w:t>
            </w:r>
            <w:r>
              <w:rPr>
                <w:rFonts w:hint="default" w:ascii="Times New Roman" w:hAnsi="Times New Roman" w:cs="Times New Roman"/>
                <w:color w:val="auto"/>
                <w:spacing w:val="-1"/>
                <w:sz w:val="24"/>
                <w:szCs w:val="24"/>
              </w:rPr>
              <w:t>热受压，经过一定时间的固化</w:t>
            </w:r>
            <w:r>
              <w:rPr>
                <w:rFonts w:hint="default" w:ascii="Times New Roman" w:hAnsi="Times New Roman" w:cs="Times New Roman"/>
                <w:color w:val="auto"/>
                <w:spacing w:val="-6"/>
                <w:sz w:val="24"/>
                <w:szCs w:val="24"/>
              </w:rPr>
              <w:t>后，打开模具取出BMC材料制品。成型封装过程采用电加热模具，加热温</w:t>
            </w:r>
            <w:r>
              <w:rPr>
                <w:rFonts w:hint="default" w:ascii="Times New Roman" w:hAnsi="Times New Roman" w:cs="Times New Roman"/>
                <w:color w:val="auto"/>
                <w:spacing w:val="-7"/>
                <w:sz w:val="24"/>
                <w:szCs w:val="24"/>
              </w:rPr>
              <w:t>度为140</w:t>
            </w:r>
            <w:r>
              <w:rPr>
                <w:rFonts w:hint="default" w:ascii="Times New Roman" w:hAnsi="Times New Roman" w:cs="Times New Roman"/>
                <w:color w:val="auto"/>
                <w:spacing w:val="13"/>
                <w:sz w:val="24"/>
                <w:szCs w:val="24"/>
              </w:rPr>
              <w:t>℃</w:t>
            </w:r>
            <w:r>
              <w:rPr>
                <w:rFonts w:hint="eastAsia" w:ascii="Times New Roman" w:hAnsi="Times New Roman" w:cs="Times New Roman"/>
                <w:color w:val="auto"/>
                <w:spacing w:val="13"/>
                <w:sz w:val="24"/>
                <w:szCs w:val="24"/>
                <w:lang w:eastAsia="zh-CN"/>
              </w:rPr>
              <w:t>，</w:t>
            </w:r>
            <w:r>
              <w:rPr>
                <w:rFonts w:hint="default" w:ascii="Times New Roman" w:hAnsi="Times New Roman" w:cs="Times New Roman"/>
                <w:color w:val="auto"/>
                <w:spacing w:val="13"/>
                <w:sz w:val="24"/>
                <w:szCs w:val="24"/>
              </w:rPr>
              <w:t>持续3</w:t>
            </w:r>
            <w:r>
              <w:rPr>
                <w:rFonts w:hint="default" w:ascii="Times New Roman" w:hAnsi="Times New Roman" w:cs="Times New Roman"/>
                <w:color w:val="auto"/>
                <w:sz w:val="24"/>
                <w:szCs w:val="24"/>
              </w:rPr>
              <w:t>min</w:t>
            </w:r>
            <w:r>
              <w:rPr>
                <w:rFonts w:hint="default" w:ascii="Times New Roman" w:hAnsi="Times New Roman" w:cs="Times New Roman"/>
                <w:color w:val="auto"/>
                <w:spacing w:val="13"/>
                <w:sz w:val="24"/>
                <w:szCs w:val="24"/>
              </w:rPr>
              <w:t>。</w:t>
            </w:r>
            <w:r>
              <w:rPr>
                <w:rFonts w:hint="eastAsia" w:ascii="Times New Roman" w:hAnsi="Times New Roman" w:cs="Times New Roman"/>
                <w:color w:val="auto"/>
                <w:spacing w:val="13"/>
                <w:sz w:val="24"/>
                <w:szCs w:val="24"/>
                <w:lang w:val="en-US" w:eastAsia="zh-CN"/>
              </w:rPr>
              <w:t>该过程产生封装</w:t>
            </w:r>
            <w:r>
              <w:rPr>
                <w:rFonts w:hint="default" w:ascii="Times New Roman" w:hAnsi="Times New Roman" w:cs="Times New Roman"/>
                <w:color w:val="auto"/>
                <w:spacing w:val="-2"/>
                <w:sz w:val="24"/>
                <w:szCs w:val="24"/>
              </w:rPr>
              <w:t>废气（G</w:t>
            </w:r>
            <w:r>
              <w:rPr>
                <w:rFonts w:hint="eastAsia" w:ascii="Times New Roman" w:hAnsi="Times New Roman" w:cs="Times New Roman"/>
                <w:color w:val="auto"/>
                <w:spacing w:val="-2"/>
                <w:sz w:val="24"/>
                <w:szCs w:val="24"/>
                <w:lang w:val="en-US" w:eastAsia="zh-CN"/>
              </w:rPr>
              <w:t>1-2</w:t>
            </w:r>
            <w:r>
              <w:rPr>
                <w:rFonts w:hint="default" w:ascii="Times New Roman" w:hAnsi="Times New Roman" w:cs="Times New Roman"/>
                <w:color w:val="auto"/>
                <w:spacing w:val="-2"/>
                <w:sz w:val="24"/>
                <w:szCs w:val="24"/>
              </w:rPr>
              <w:t>）</w:t>
            </w:r>
            <w:r>
              <w:rPr>
                <w:rFonts w:hint="eastAsia" w:ascii="Times New Roman" w:hAnsi="Times New Roman" w:cs="Times New Roman"/>
                <w:color w:val="auto"/>
                <w:spacing w:val="-2"/>
                <w:sz w:val="24"/>
                <w:szCs w:val="24"/>
                <w:lang w:eastAsia="zh-CN"/>
              </w:rPr>
              <w:t>、</w:t>
            </w:r>
            <w:r>
              <w:rPr>
                <w:rFonts w:hint="eastAsia" w:ascii="Times New Roman" w:hAnsi="Times New Roman" w:cs="Times New Roman"/>
                <w:color w:val="auto"/>
                <w:spacing w:val="-2"/>
                <w:sz w:val="24"/>
                <w:szCs w:val="24"/>
                <w:lang w:val="en-US" w:eastAsia="zh-CN"/>
              </w:rPr>
              <w:t>废边角料（S1-3）</w:t>
            </w:r>
            <w:r>
              <w:rPr>
                <w:rFonts w:hint="default" w:ascii="Times New Roman" w:hAnsi="Times New Roman" w:cs="Times New Roman"/>
                <w:color w:val="auto"/>
                <w:spacing w:val="-6"/>
                <w:sz w:val="24"/>
                <w:szCs w:val="24"/>
              </w:rPr>
              <w:t>及噪声（N）产</w:t>
            </w:r>
            <w:r>
              <w:rPr>
                <w:rFonts w:hint="default" w:ascii="Times New Roman" w:hAnsi="Times New Roman" w:cs="Times New Roman"/>
                <w:color w:val="auto"/>
                <w:spacing w:val="-12"/>
                <w:sz w:val="24"/>
                <w:szCs w:val="24"/>
              </w:rPr>
              <w:t>生</w:t>
            </w:r>
            <w:r>
              <w:rPr>
                <w:rFonts w:hint="default" w:ascii="Times New Roman" w:hAnsi="Times New Roman" w:cs="Times New Roman"/>
                <w:color w:val="auto"/>
                <w:spacing w:val="-2"/>
                <w:sz w:val="24"/>
                <w:szCs w:val="24"/>
              </w:rPr>
              <w:t>产</w:t>
            </w:r>
            <w:r>
              <w:rPr>
                <w:rFonts w:hint="default" w:ascii="Times New Roman" w:hAnsi="Times New Roman" w:cs="Times New Roman"/>
                <w:color w:val="auto"/>
                <w:spacing w:val="-12"/>
                <w:sz w:val="24"/>
                <w:szCs w:val="24"/>
              </w:rPr>
              <w:t>生。</w:t>
            </w:r>
          </w:p>
          <w:p w14:paraId="62A6700C">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BMC材料经加热发生固化反应，其主要反应原理为：通过加热促进BMC材料</w:t>
            </w:r>
            <w:r>
              <w:rPr>
                <w:rFonts w:hint="default" w:ascii="Times New Roman" w:hAnsi="Times New Roman" w:cs="Times New Roman"/>
                <w:color w:val="auto"/>
                <w:spacing w:val="-6"/>
                <w:sz w:val="24"/>
                <w:szCs w:val="24"/>
              </w:rPr>
              <w:t>中的固化剂产生氧化还原反应发生均裂而产生游离基。游离基有未成对电子，其</w:t>
            </w:r>
            <w:r>
              <w:rPr>
                <w:rFonts w:hint="default" w:ascii="Times New Roman" w:hAnsi="Times New Roman" w:cs="Times New Roman"/>
                <w:color w:val="auto"/>
                <w:spacing w:val="-1"/>
                <w:sz w:val="24"/>
                <w:szCs w:val="24"/>
              </w:rPr>
              <w:t>化学性质极为活泼，当它遇到烯类单体或聚酯链上的双键时，就掠取其中键上的一个电子杂化成新键，同时在原价键处形成新的单体游离基或聚酯游离基。新形</w:t>
            </w:r>
            <w:r>
              <w:rPr>
                <w:rFonts w:hint="default" w:ascii="Times New Roman" w:hAnsi="Times New Roman" w:cs="Times New Roman"/>
                <w:color w:val="auto"/>
                <w:sz w:val="24"/>
                <w:szCs w:val="24"/>
              </w:rPr>
              <w:t>成的这些游离基以链锁反应的方式不断重复上</w:t>
            </w:r>
            <w:r>
              <w:rPr>
                <w:rFonts w:hint="default" w:ascii="Times New Roman" w:hAnsi="Times New Roman" w:cs="Times New Roman"/>
                <w:color w:val="auto"/>
                <w:spacing w:val="-1"/>
                <w:sz w:val="24"/>
                <w:szCs w:val="24"/>
              </w:rPr>
              <w:t>述反应，使反应链迅速增长形成三</w:t>
            </w:r>
            <w:r>
              <w:rPr>
                <w:rFonts w:hint="default" w:ascii="Times New Roman" w:hAnsi="Times New Roman" w:cs="Times New Roman"/>
                <w:color w:val="auto"/>
                <w:spacing w:val="-3"/>
                <w:sz w:val="24"/>
                <w:szCs w:val="24"/>
              </w:rPr>
              <w:t>向交联结构，从而实现体系充分固化。</w:t>
            </w:r>
          </w:p>
          <w:p w14:paraId="5DAEAE04">
            <w:pPr>
              <w:keepNext w:val="0"/>
              <w:keepLines w:val="0"/>
              <w:pageBreakBefore w:val="0"/>
              <w:widowControl w:val="0"/>
              <w:kinsoku/>
              <w:wordWrap/>
              <w:overflowPunct/>
              <w:topLinePunct w:val="0"/>
              <w:autoSpaceDE/>
              <w:autoSpaceDN/>
              <w:bidi w:val="0"/>
              <w:adjustRightInd/>
              <w:snapToGrid/>
              <w:spacing w:line="360" w:lineRule="auto"/>
              <w:ind w:firstLine="494" w:firstLineChars="200"/>
              <w:textAlignment w:val="auto"/>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b/>
                <w:bCs/>
                <w:color w:val="auto"/>
                <w:spacing w:val="3"/>
                <w:sz w:val="24"/>
                <w:szCs w:val="24"/>
              </w:rPr>
              <w:t>测试：</w:t>
            </w:r>
            <w:r>
              <w:rPr>
                <w:rFonts w:hint="default" w:ascii="Times New Roman" w:hAnsi="Times New Roman" w:eastAsia="宋体" w:cs="Times New Roman"/>
                <w:color w:val="auto"/>
                <w:spacing w:val="3"/>
                <w:sz w:val="24"/>
                <w:szCs w:val="24"/>
              </w:rPr>
              <w:t>上述工序产品需要进行耐压性能、绝</w:t>
            </w:r>
            <w:r>
              <w:rPr>
                <w:rFonts w:hint="default" w:ascii="Times New Roman" w:hAnsi="Times New Roman" w:eastAsia="宋体" w:cs="Times New Roman"/>
                <w:color w:val="auto"/>
                <w:spacing w:val="2"/>
                <w:sz w:val="24"/>
                <w:szCs w:val="24"/>
              </w:rPr>
              <w:t>缘性能等测试，测试合格</w:t>
            </w:r>
            <w:r>
              <w:rPr>
                <w:rFonts w:hint="default" w:ascii="Times New Roman" w:hAnsi="Times New Roman" w:eastAsia="宋体" w:cs="Times New Roman"/>
                <w:color w:val="auto"/>
                <w:spacing w:val="-2"/>
                <w:sz w:val="24"/>
                <w:szCs w:val="24"/>
              </w:rPr>
              <w:t>品即为本项目电磁线圈产品，</w:t>
            </w:r>
            <w:r>
              <w:rPr>
                <w:rFonts w:hint="eastAsia" w:ascii="Times New Roman" w:hAnsi="Times New Roman" w:eastAsia="宋体" w:cs="Times New Roman"/>
                <w:color w:val="auto"/>
                <w:spacing w:val="-2"/>
                <w:sz w:val="24"/>
                <w:szCs w:val="24"/>
                <w:lang w:val="en-US" w:eastAsia="zh-CN"/>
              </w:rPr>
              <w:t>该工序产生</w:t>
            </w:r>
            <w:r>
              <w:rPr>
                <w:rFonts w:hint="default" w:ascii="Times New Roman" w:hAnsi="Times New Roman" w:eastAsia="宋体" w:cs="Times New Roman"/>
                <w:color w:val="auto"/>
                <w:spacing w:val="-2"/>
                <w:sz w:val="24"/>
                <w:szCs w:val="24"/>
              </w:rPr>
              <w:t>不合格品</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S1-4</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3"/>
                <w:sz w:val="24"/>
                <w:szCs w:val="24"/>
              </w:rPr>
              <w:t>。</w:t>
            </w:r>
          </w:p>
          <w:p w14:paraId="29FF67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lang w:val="en-US" w:eastAsia="zh-CN"/>
              </w:rPr>
              <w:t>、电磁铁芯</w:t>
            </w:r>
          </w:p>
          <w:p w14:paraId="340108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电磁铁芯生产工艺见图2-3。</w:t>
            </w:r>
          </w:p>
          <w:p w14:paraId="7865304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4697095" cy="3098165"/>
                  <wp:effectExtent l="0" t="0" r="0" b="0"/>
                  <wp:docPr id="11" name="图片 11" descr="电磁铁芯-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电磁铁芯-生产工艺"/>
                          <pic:cNvPicPr>
                            <a:picLocks noChangeAspect="1"/>
                          </pic:cNvPicPr>
                        </pic:nvPicPr>
                        <pic:blipFill>
                          <a:blip r:embed="rId21"/>
                          <a:stretch>
                            <a:fillRect/>
                          </a:stretch>
                        </pic:blipFill>
                        <pic:spPr>
                          <a:xfrm>
                            <a:off x="0" y="0"/>
                            <a:ext cx="4697095" cy="3098165"/>
                          </a:xfrm>
                          <a:prstGeom prst="rect">
                            <a:avLst/>
                          </a:prstGeom>
                        </pic:spPr>
                      </pic:pic>
                    </a:graphicData>
                  </a:graphic>
                </wp:inline>
              </w:drawing>
            </w:r>
          </w:p>
          <w:p w14:paraId="69B39354">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val="0"/>
                <w:color w:val="auto"/>
                <w:sz w:val="24"/>
                <w:lang w:val="en-US" w:eastAsia="zh-CN"/>
              </w:rPr>
              <w:t>电磁铁芯</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6F58ABD5">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rPr>
              <w:t>生产工艺简述：</w:t>
            </w:r>
          </w:p>
          <w:p w14:paraId="6C9780CE">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78"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1"/>
                <w:sz w:val="24"/>
                <w:szCs w:val="24"/>
              </w:rPr>
              <w:t>机加工：</w:t>
            </w:r>
            <w:r>
              <w:rPr>
                <w:rFonts w:hint="default" w:ascii="Times New Roman" w:hAnsi="Times New Roman" w:eastAsia="宋体" w:cs="Times New Roman"/>
                <w:color w:val="auto"/>
                <w:spacing w:val="-1"/>
                <w:sz w:val="24"/>
                <w:szCs w:val="24"/>
              </w:rPr>
              <w:t>外购钢材经CNC数控车床等设备加工为电磁铁芯各部件。机</w:t>
            </w:r>
            <w:r>
              <w:rPr>
                <w:rFonts w:hint="default" w:ascii="Times New Roman" w:hAnsi="Times New Roman" w:eastAsia="宋体" w:cs="Times New Roman"/>
                <w:color w:val="auto"/>
                <w:spacing w:val="-6"/>
                <w:sz w:val="24"/>
                <w:szCs w:val="24"/>
              </w:rPr>
              <w:t>加工过程中需采用乳化液冷却、润滑加工表</w:t>
            </w:r>
            <w:r>
              <w:rPr>
                <w:rFonts w:hint="default" w:ascii="Times New Roman" w:hAnsi="Times New Roman" w:eastAsia="宋体" w:cs="Times New Roman"/>
                <w:color w:val="auto"/>
                <w:spacing w:val="-7"/>
                <w:sz w:val="24"/>
                <w:szCs w:val="24"/>
              </w:rPr>
              <w:t>面，乳化液循环使用，定期更换补充；</w:t>
            </w:r>
            <w:r>
              <w:rPr>
                <w:rFonts w:hint="default" w:ascii="Times New Roman" w:hAnsi="Times New Roman" w:eastAsia="宋体" w:cs="Times New Roman"/>
                <w:color w:val="auto"/>
                <w:sz w:val="24"/>
                <w:szCs w:val="24"/>
              </w:rPr>
              <w:t>CNC数控车床等设备平时需用润滑油保养和维护，润滑油循环使用，定期更换、</w:t>
            </w:r>
            <w:r>
              <w:rPr>
                <w:rFonts w:hint="default" w:ascii="Times New Roman" w:hAnsi="Times New Roman" w:eastAsia="宋体" w:cs="Times New Roman"/>
                <w:color w:val="auto"/>
                <w:spacing w:val="-8"/>
                <w:sz w:val="24"/>
                <w:szCs w:val="24"/>
              </w:rPr>
              <w:t>补充</w:t>
            </w:r>
            <w:r>
              <w:rPr>
                <w:rFonts w:hint="eastAsia" w:ascii="Times New Roman" w:hAnsi="Times New Roman" w:cs="Times New Roman"/>
                <w:color w:val="auto"/>
                <w:spacing w:val="-8"/>
                <w:sz w:val="24"/>
                <w:szCs w:val="24"/>
                <w:lang w:eastAsia="zh-CN"/>
              </w:rPr>
              <w:t>；</w:t>
            </w:r>
            <w:r>
              <w:rPr>
                <w:rFonts w:hint="eastAsia" w:ascii="Times New Roman" w:hAnsi="Times New Roman" w:cs="Times New Roman"/>
                <w:color w:val="auto"/>
                <w:spacing w:val="-2"/>
                <w:lang w:val="en-US" w:eastAsia="zh-CN"/>
              </w:rPr>
              <w:t>该过程使用自动脱油机将车床加工的铁屑与乳化液分离</w:t>
            </w:r>
            <w:r>
              <w:rPr>
                <w:rFonts w:hint="default" w:ascii="Times New Roman" w:hAnsi="Times New Roman" w:eastAsia="宋体" w:cs="Times New Roman"/>
                <w:color w:val="auto"/>
                <w:spacing w:val="-8"/>
                <w:sz w:val="24"/>
                <w:szCs w:val="24"/>
              </w:rPr>
              <w:t>。此工序有钢材边角料（S</w:t>
            </w:r>
            <w:r>
              <w:rPr>
                <w:rFonts w:hint="eastAsia" w:ascii="Times New Roman" w:hAnsi="Times New Roman" w:eastAsia="宋体" w:cs="Times New Roman"/>
                <w:color w:val="auto"/>
                <w:spacing w:val="-8"/>
                <w:sz w:val="24"/>
                <w:szCs w:val="24"/>
                <w:lang w:val="en-US" w:eastAsia="zh-CN"/>
              </w:rPr>
              <w:t>2-1</w:t>
            </w:r>
            <w:r>
              <w:rPr>
                <w:rFonts w:hint="default" w:ascii="Times New Roman" w:hAnsi="Times New Roman" w:eastAsia="宋体" w:cs="Times New Roman"/>
                <w:color w:val="auto"/>
                <w:spacing w:val="-8"/>
                <w:sz w:val="24"/>
                <w:szCs w:val="24"/>
              </w:rPr>
              <w:t>）、废乳化液（S</w:t>
            </w:r>
            <w:r>
              <w:rPr>
                <w:rFonts w:hint="eastAsia" w:ascii="Times New Roman" w:hAnsi="Times New Roman" w:eastAsia="宋体" w:cs="Times New Roman"/>
                <w:color w:val="auto"/>
                <w:spacing w:val="-8"/>
                <w:sz w:val="24"/>
                <w:szCs w:val="24"/>
                <w:lang w:val="en-US" w:eastAsia="zh-CN"/>
              </w:rPr>
              <w:t>2-2</w:t>
            </w:r>
            <w:r>
              <w:rPr>
                <w:rFonts w:hint="default" w:ascii="Times New Roman" w:hAnsi="Times New Roman" w:eastAsia="宋体" w:cs="Times New Roman"/>
                <w:color w:val="auto"/>
                <w:spacing w:val="-22"/>
                <w:sz w:val="24"/>
                <w:szCs w:val="24"/>
              </w:rPr>
              <w:t>）、废润滑油（S</w:t>
            </w:r>
            <w:r>
              <w:rPr>
                <w:rFonts w:hint="eastAsia" w:ascii="Times New Roman" w:hAnsi="Times New Roman" w:eastAsia="宋体" w:cs="Times New Roman"/>
                <w:color w:val="auto"/>
                <w:spacing w:val="-22"/>
                <w:sz w:val="24"/>
                <w:szCs w:val="24"/>
                <w:lang w:val="en-US" w:eastAsia="zh-CN"/>
              </w:rPr>
              <w:t>2-3</w:t>
            </w:r>
            <w:r>
              <w:rPr>
                <w:rFonts w:hint="default" w:ascii="Times New Roman" w:hAnsi="Times New Roman" w:eastAsia="宋体" w:cs="Times New Roman"/>
                <w:color w:val="auto"/>
                <w:spacing w:val="-5"/>
                <w:sz w:val="24"/>
                <w:szCs w:val="24"/>
              </w:rPr>
              <w:t>）及噪声（N）</w:t>
            </w:r>
            <w:r>
              <w:rPr>
                <w:rFonts w:hint="default" w:ascii="Times New Roman" w:hAnsi="Times New Roman" w:eastAsia="宋体" w:cs="Times New Roman"/>
                <w:color w:val="auto"/>
                <w:spacing w:val="-10"/>
                <w:sz w:val="24"/>
                <w:szCs w:val="24"/>
              </w:rPr>
              <w:t>产生。</w:t>
            </w:r>
          </w:p>
          <w:p w14:paraId="1982FD41">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rPr>
              <w:t>清洗：</w:t>
            </w:r>
            <w:r>
              <w:rPr>
                <w:rFonts w:hint="default" w:ascii="Times New Roman" w:hAnsi="Times New Roman" w:eastAsia="宋体" w:cs="Times New Roman"/>
                <w:color w:val="auto"/>
                <w:spacing w:val="3"/>
                <w:sz w:val="24"/>
                <w:szCs w:val="24"/>
              </w:rPr>
              <w:t>电磁铁芯各部件需采用超声波</w:t>
            </w:r>
            <w:r>
              <w:rPr>
                <w:rFonts w:hint="default" w:ascii="Times New Roman" w:hAnsi="Times New Roman" w:eastAsia="宋体" w:cs="Times New Roman"/>
                <w:color w:val="auto"/>
                <w:spacing w:val="2"/>
                <w:sz w:val="24"/>
                <w:szCs w:val="24"/>
              </w:rPr>
              <w:t>自动清洗机进行清洗，以去除工</w:t>
            </w:r>
            <w:r>
              <w:rPr>
                <w:rFonts w:hint="default" w:ascii="Times New Roman" w:hAnsi="Times New Roman" w:eastAsia="宋体" w:cs="Times New Roman"/>
                <w:color w:val="auto"/>
                <w:spacing w:val="13"/>
                <w:sz w:val="24"/>
                <w:szCs w:val="24"/>
              </w:rPr>
              <w:t>件表面的少量油污及金属屑，清洗机采用电加热，清洗温度为50℃</w:t>
            </w:r>
            <w:r>
              <w:rPr>
                <w:rFonts w:hint="eastAsia" w:ascii="Times New Roman" w:hAnsi="Times New Roman" w:eastAsia="宋体" w:cs="Times New Roman"/>
                <w:color w:val="auto"/>
                <w:spacing w:val="13"/>
                <w:sz w:val="24"/>
                <w:szCs w:val="24"/>
                <w:lang w:eastAsia="zh-CN"/>
              </w:rPr>
              <w:t>，</w:t>
            </w:r>
            <w:r>
              <w:rPr>
                <w:rFonts w:hint="default" w:ascii="Times New Roman" w:hAnsi="Times New Roman" w:eastAsia="宋体" w:cs="Times New Roman"/>
                <w:color w:val="auto"/>
                <w:spacing w:val="13"/>
                <w:sz w:val="24"/>
                <w:szCs w:val="24"/>
              </w:rPr>
              <w:t>时间约</w:t>
            </w:r>
            <w:r>
              <w:rPr>
                <w:rFonts w:hint="default" w:ascii="Times New Roman" w:hAnsi="Times New Roman" w:eastAsia="宋体" w:cs="Times New Roman"/>
                <w:color w:val="auto"/>
                <w:spacing w:val="-2"/>
                <w:sz w:val="24"/>
                <w:szCs w:val="24"/>
              </w:rPr>
              <w:t>2-3min。清洗机设3个尺寸均为L0.6m×W0.6m×H0.6m的清洗槽，其中一个清洗</w:t>
            </w:r>
            <w:r>
              <w:rPr>
                <w:rFonts w:hint="default" w:ascii="Times New Roman" w:hAnsi="Times New Roman" w:eastAsia="宋体" w:cs="Times New Roman"/>
                <w:color w:val="auto"/>
                <w:sz w:val="24"/>
                <w:szCs w:val="24"/>
              </w:rPr>
              <w:t>槽注入自来水，另外两个清洗槽注入清洗溶液（由清洗剂与</w:t>
            </w:r>
            <w:r>
              <w:rPr>
                <w:rFonts w:hint="default" w:ascii="Times New Roman" w:hAnsi="Times New Roman" w:eastAsia="宋体" w:cs="Times New Roman"/>
                <w:color w:val="auto"/>
                <w:spacing w:val="-1"/>
                <w:sz w:val="24"/>
                <w:szCs w:val="24"/>
              </w:rPr>
              <w:t>自来水按1:20的比</w:t>
            </w:r>
            <w:r>
              <w:rPr>
                <w:rFonts w:hint="default" w:ascii="Times New Roman" w:hAnsi="Times New Roman" w:eastAsia="宋体" w:cs="Times New Roman"/>
                <w:color w:val="auto"/>
                <w:sz w:val="24"/>
                <w:szCs w:val="24"/>
              </w:rPr>
              <w:t>例混合而成</w:t>
            </w:r>
            <w:r>
              <w:rPr>
                <w:rFonts w:hint="default" w:ascii="Times New Roman" w:hAnsi="Times New Roman" w:eastAsia="宋体" w:cs="Times New Roman"/>
                <w:color w:val="auto"/>
                <w:spacing w:val="-7"/>
                <w:sz w:val="24"/>
                <w:szCs w:val="24"/>
              </w:rPr>
              <w:t>），</w:t>
            </w:r>
            <w:r>
              <w:rPr>
                <w:rFonts w:hint="default" w:ascii="Times New Roman" w:hAnsi="Times New Roman" w:eastAsia="宋体" w:cs="Times New Roman"/>
                <w:color w:val="auto"/>
                <w:sz w:val="24"/>
                <w:szCs w:val="24"/>
              </w:rPr>
              <w:t>清洗时将工件放入清洗机配套清洗篮，人工将清洗篮依次浸入自来水清洗槽及清洗溶液清洗槽清洗，清洗完</w:t>
            </w:r>
            <w:r>
              <w:rPr>
                <w:rFonts w:hint="default" w:ascii="Times New Roman" w:hAnsi="Times New Roman" w:eastAsia="宋体" w:cs="Times New Roman"/>
                <w:color w:val="auto"/>
                <w:spacing w:val="-1"/>
                <w:sz w:val="24"/>
                <w:szCs w:val="24"/>
              </w:rPr>
              <w:t>成后进入下一道工序。自来水及清洗溶液循环使用，定期更换、补充，因此，超声波清洗机有清洗废液（S</w:t>
            </w:r>
            <w:r>
              <w:rPr>
                <w:rFonts w:hint="default" w:ascii="Times New Roman" w:hAnsi="Times New Roman" w:eastAsia="宋体" w:cs="Times New Roman"/>
                <w:color w:val="auto"/>
                <w:spacing w:val="-2"/>
                <w:sz w:val="24"/>
                <w:szCs w:val="24"/>
              </w:rPr>
              <w:t>2-4）</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清洗废气（G2-1）</w:t>
            </w:r>
            <w:r>
              <w:rPr>
                <w:rFonts w:hint="default" w:ascii="Times New Roman" w:hAnsi="Times New Roman" w:eastAsia="宋体" w:cs="Times New Roman"/>
                <w:color w:val="auto"/>
                <w:spacing w:val="-5"/>
                <w:sz w:val="24"/>
                <w:szCs w:val="24"/>
              </w:rPr>
              <w:t>及噪声（N）</w:t>
            </w:r>
            <w:r>
              <w:rPr>
                <w:rFonts w:hint="default" w:ascii="Times New Roman" w:hAnsi="Times New Roman" w:eastAsia="宋体" w:cs="Times New Roman"/>
                <w:color w:val="auto"/>
                <w:spacing w:val="-2"/>
                <w:sz w:val="24"/>
                <w:szCs w:val="24"/>
              </w:rPr>
              <w:t>产生。</w:t>
            </w:r>
          </w:p>
          <w:p w14:paraId="57B47D87">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rPr>
              <w:t>烘干：</w:t>
            </w:r>
            <w:r>
              <w:rPr>
                <w:rFonts w:hint="default" w:ascii="Times New Roman" w:hAnsi="Times New Roman" w:eastAsia="宋体" w:cs="Times New Roman"/>
                <w:color w:val="auto"/>
                <w:spacing w:val="3"/>
                <w:sz w:val="24"/>
                <w:szCs w:val="24"/>
              </w:rPr>
              <w:t>经清洗工序后的各部件需要采用烤箱</w:t>
            </w:r>
            <w:r>
              <w:rPr>
                <w:rFonts w:hint="default" w:ascii="Times New Roman" w:hAnsi="Times New Roman" w:eastAsia="宋体" w:cs="Times New Roman"/>
                <w:color w:val="auto"/>
                <w:spacing w:val="2"/>
                <w:sz w:val="24"/>
                <w:szCs w:val="24"/>
              </w:rPr>
              <w:t>进行烘干，以防各部件生</w:t>
            </w:r>
            <w:r>
              <w:rPr>
                <w:rFonts w:hint="default" w:ascii="Times New Roman" w:hAnsi="Times New Roman" w:eastAsia="宋体" w:cs="Times New Roman"/>
                <w:color w:val="auto"/>
                <w:spacing w:val="3"/>
                <w:sz w:val="24"/>
                <w:szCs w:val="24"/>
              </w:rPr>
              <w:t>锈，烤箱采用电加热，烘干温度为80℃</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时间为3h。各</w:t>
            </w:r>
            <w:r>
              <w:rPr>
                <w:rFonts w:hint="default" w:ascii="Times New Roman" w:hAnsi="Times New Roman" w:eastAsia="宋体" w:cs="Times New Roman"/>
                <w:color w:val="auto"/>
                <w:spacing w:val="2"/>
                <w:sz w:val="24"/>
                <w:szCs w:val="24"/>
              </w:rPr>
              <w:t>部件经清洗后沾染有少</w:t>
            </w:r>
            <w:r>
              <w:rPr>
                <w:rFonts w:hint="default" w:ascii="Times New Roman" w:hAnsi="Times New Roman" w:eastAsia="宋体" w:cs="Times New Roman"/>
                <w:color w:val="auto"/>
                <w:sz w:val="24"/>
                <w:szCs w:val="24"/>
              </w:rPr>
              <w:t>量清洗剂和水分，清洗剂化学成分主要为表</w:t>
            </w:r>
            <w:r>
              <w:rPr>
                <w:rFonts w:hint="default" w:ascii="Times New Roman" w:hAnsi="Times New Roman" w:eastAsia="宋体" w:cs="Times New Roman"/>
                <w:color w:val="auto"/>
                <w:spacing w:val="-1"/>
                <w:sz w:val="24"/>
                <w:szCs w:val="24"/>
              </w:rPr>
              <w:t>面活性剂及无水偏硅酸钠，性质较为</w:t>
            </w:r>
            <w:r>
              <w:rPr>
                <w:rFonts w:hint="default" w:ascii="Times New Roman" w:hAnsi="Times New Roman" w:eastAsia="宋体" w:cs="Times New Roman"/>
                <w:color w:val="auto"/>
                <w:spacing w:val="-4"/>
                <w:sz w:val="24"/>
                <w:szCs w:val="24"/>
              </w:rPr>
              <w:t>稳定，此工序</w:t>
            </w:r>
            <w:r>
              <w:rPr>
                <w:rFonts w:hint="eastAsia" w:ascii="Times New Roman" w:hAnsi="Times New Roman" w:eastAsia="宋体" w:cs="Times New Roman"/>
                <w:color w:val="auto"/>
                <w:spacing w:val="-4"/>
                <w:sz w:val="24"/>
                <w:szCs w:val="24"/>
                <w:lang w:val="en-US" w:eastAsia="zh-CN"/>
              </w:rPr>
              <w:t>产生少量清洗废气</w:t>
            </w:r>
            <w:r>
              <w:rPr>
                <w:rFonts w:hint="eastAsia" w:ascii="Times New Roman" w:hAnsi="Times New Roman" w:eastAsia="宋体" w:cs="Times New Roman"/>
                <w:color w:val="auto"/>
                <w:spacing w:val="-2"/>
                <w:sz w:val="24"/>
                <w:szCs w:val="24"/>
                <w:lang w:val="en-US" w:eastAsia="zh-CN"/>
              </w:rPr>
              <w:t>（G2-1）</w:t>
            </w:r>
            <w:r>
              <w:rPr>
                <w:rFonts w:hint="default" w:ascii="Times New Roman" w:hAnsi="Times New Roman" w:eastAsia="宋体" w:cs="Times New Roman"/>
                <w:color w:val="auto"/>
                <w:spacing w:val="-4"/>
                <w:sz w:val="24"/>
                <w:szCs w:val="24"/>
              </w:rPr>
              <w:t>。</w:t>
            </w:r>
          </w:p>
          <w:p w14:paraId="5948C7A5">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rPr>
              <w:t>组装：</w:t>
            </w:r>
            <w:r>
              <w:rPr>
                <w:rFonts w:hint="default" w:ascii="Times New Roman" w:hAnsi="Times New Roman" w:eastAsia="宋体" w:cs="Times New Roman"/>
                <w:color w:val="auto"/>
                <w:spacing w:val="3"/>
                <w:sz w:val="24"/>
                <w:szCs w:val="24"/>
              </w:rPr>
              <w:t>根据产品要求，人工将烘干后的各部件组装在一起，此工序无</w:t>
            </w:r>
            <w:r>
              <w:rPr>
                <w:rFonts w:hint="default" w:ascii="Times New Roman" w:hAnsi="Times New Roman" w:eastAsia="宋体" w:cs="Times New Roman"/>
                <w:color w:val="auto"/>
                <w:spacing w:val="-7"/>
                <w:sz w:val="24"/>
                <w:szCs w:val="24"/>
              </w:rPr>
              <w:t>污染物产生。</w:t>
            </w:r>
          </w:p>
          <w:p w14:paraId="16BDC161">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2"/>
                <w:sz w:val="24"/>
                <w:szCs w:val="24"/>
              </w:rPr>
              <w:t>焊接：</w:t>
            </w:r>
            <w:r>
              <w:rPr>
                <w:rFonts w:hint="default" w:ascii="Times New Roman" w:hAnsi="Times New Roman" w:eastAsia="宋体" w:cs="Times New Roman"/>
                <w:color w:val="auto"/>
                <w:spacing w:val="2"/>
                <w:sz w:val="24"/>
                <w:szCs w:val="24"/>
              </w:rPr>
              <w:t>根据需要对上述工序组装件连接处进行焊接，本项目焊接采用</w:t>
            </w:r>
            <w:r>
              <w:rPr>
                <w:rFonts w:hint="default" w:ascii="Times New Roman" w:hAnsi="Times New Roman" w:eastAsia="宋体" w:cs="Times New Roman"/>
                <w:color w:val="auto"/>
                <w:spacing w:val="-5"/>
                <w:sz w:val="24"/>
                <w:szCs w:val="24"/>
              </w:rPr>
              <w:t>等离子焊接，其基本原理为：</w:t>
            </w:r>
          </w:p>
          <w:p w14:paraId="7DFFFF93">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在等离子焊接机钨极与喷嘴之间或钨极与工</w:t>
            </w:r>
            <w:r>
              <w:rPr>
                <w:rFonts w:hint="default" w:ascii="Times New Roman" w:hAnsi="Times New Roman" w:eastAsia="宋体" w:cs="Times New Roman"/>
                <w:color w:val="auto"/>
                <w:spacing w:val="-1"/>
                <w:sz w:val="24"/>
                <w:szCs w:val="24"/>
              </w:rPr>
              <w:t>件之间加一较高电压，经高频振</w:t>
            </w:r>
            <w:r>
              <w:rPr>
                <w:rFonts w:hint="default" w:ascii="Times New Roman" w:hAnsi="Times New Roman" w:eastAsia="宋体" w:cs="Times New Roman"/>
                <w:color w:val="auto"/>
                <w:sz w:val="24"/>
                <w:szCs w:val="24"/>
              </w:rPr>
              <w:t>荡使气体电离形成自由电弧，该电弧受三个压缩</w:t>
            </w:r>
            <w:r>
              <w:rPr>
                <w:rFonts w:hint="default" w:ascii="Times New Roman" w:hAnsi="Times New Roman" w:eastAsia="宋体" w:cs="Times New Roman"/>
                <w:color w:val="auto"/>
                <w:spacing w:val="-1"/>
                <w:sz w:val="24"/>
                <w:szCs w:val="24"/>
              </w:rPr>
              <w:t>作用形成等离子弧：①机械压缩</w:t>
            </w:r>
            <w:r>
              <w:rPr>
                <w:rFonts w:hint="default" w:ascii="Times New Roman" w:hAnsi="Times New Roman" w:eastAsia="宋体" w:cs="Times New Roman"/>
                <w:color w:val="auto"/>
                <w:sz w:val="24"/>
                <w:szCs w:val="24"/>
              </w:rPr>
              <w:t>效应（作用）——电弧经过有一定孔径的水冷喷嘴通</w:t>
            </w:r>
            <w:r>
              <w:rPr>
                <w:rFonts w:hint="default" w:ascii="Times New Roman" w:hAnsi="Times New Roman" w:eastAsia="宋体" w:cs="Times New Roman"/>
                <w:color w:val="auto"/>
                <w:spacing w:val="-1"/>
                <w:sz w:val="24"/>
                <w:szCs w:val="24"/>
              </w:rPr>
              <w:t>道，使电弧截面受到拘束，</w:t>
            </w:r>
            <w:r>
              <w:rPr>
                <w:rFonts w:hint="default" w:ascii="Times New Roman" w:hAnsi="Times New Roman" w:eastAsia="宋体" w:cs="Times New Roman"/>
                <w:color w:val="auto"/>
                <w:sz w:val="24"/>
                <w:szCs w:val="24"/>
              </w:rPr>
              <w:t>不能自由扩展；②热压缩效应——当通入一定压</w:t>
            </w:r>
            <w:r>
              <w:rPr>
                <w:rFonts w:hint="default" w:ascii="Times New Roman" w:hAnsi="Times New Roman" w:eastAsia="宋体" w:cs="Times New Roman"/>
                <w:color w:val="auto"/>
                <w:spacing w:val="-1"/>
                <w:sz w:val="24"/>
                <w:szCs w:val="24"/>
              </w:rPr>
              <w:t>力和流量的氩气时，冷气流均匀</w:t>
            </w:r>
            <w:r>
              <w:rPr>
                <w:rFonts w:hint="default" w:ascii="Times New Roman" w:hAnsi="Times New Roman" w:eastAsia="宋体" w:cs="Times New Roman"/>
                <w:color w:val="auto"/>
                <w:sz w:val="24"/>
                <w:szCs w:val="24"/>
              </w:rPr>
              <w:t>地包围着电弧，使电弧外围受到强烈冷却，迫使</w:t>
            </w:r>
            <w:r>
              <w:rPr>
                <w:rFonts w:hint="default" w:ascii="Times New Roman" w:hAnsi="Times New Roman" w:eastAsia="宋体" w:cs="Times New Roman"/>
                <w:color w:val="auto"/>
                <w:spacing w:val="-1"/>
                <w:sz w:val="24"/>
                <w:szCs w:val="24"/>
              </w:rPr>
              <w:t>带电粒子流（离子和电子）往弧</w:t>
            </w:r>
            <w:r>
              <w:rPr>
                <w:rFonts w:hint="default" w:ascii="Times New Roman" w:hAnsi="Times New Roman" w:eastAsia="宋体" w:cs="Times New Roman"/>
                <w:color w:val="auto"/>
                <w:sz w:val="24"/>
                <w:szCs w:val="24"/>
              </w:rPr>
              <w:t>柱中心集中，弧柱被进一步压缩；③电磁收缩效应—</w:t>
            </w:r>
            <w:r>
              <w:rPr>
                <w:rFonts w:hint="default" w:ascii="Times New Roman" w:hAnsi="Times New Roman" w:eastAsia="宋体" w:cs="Times New Roman"/>
                <w:color w:val="auto"/>
                <w:spacing w:val="-1"/>
                <w:sz w:val="24"/>
                <w:szCs w:val="24"/>
              </w:rPr>
              <w:t>—定向运动的电子、离子流</w:t>
            </w:r>
            <w:r>
              <w:rPr>
                <w:rFonts w:hint="default" w:ascii="Times New Roman" w:hAnsi="Times New Roman" w:eastAsia="宋体" w:cs="Times New Roman"/>
                <w:color w:val="auto"/>
                <w:sz w:val="24"/>
                <w:szCs w:val="24"/>
              </w:rPr>
              <w:t>就是相互平行的载流导体，在弧柱电流本身产生</w:t>
            </w:r>
            <w:r>
              <w:rPr>
                <w:rFonts w:hint="default" w:ascii="Times New Roman" w:hAnsi="Times New Roman" w:eastAsia="宋体" w:cs="Times New Roman"/>
                <w:color w:val="auto"/>
                <w:spacing w:val="-1"/>
                <w:sz w:val="24"/>
                <w:szCs w:val="24"/>
              </w:rPr>
              <w:t>的磁场作用下，产生的电磁力使</w:t>
            </w:r>
            <w:r>
              <w:rPr>
                <w:rFonts w:hint="default" w:ascii="Times New Roman" w:hAnsi="Times New Roman" w:eastAsia="宋体" w:cs="Times New Roman"/>
                <w:color w:val="auto"/>
                <w:spacing w:val="-6"/>
                <w:sz w:val="24"/>
                <w:szCs w:val="24"/>
              </w:rPr>
              <w:t>孤柱进一步收缩。电弧经过以上三种压缩效应后，能量高度集中在直径很小的弧</w:t>
            </w:r>
            <w:r>
              <w:rPr>
                <w:rFonts w:hint="default" w:ascii="Times New Roman" w:hAnsi="Times New Roman" w:eastAsia="宋体" w:cs="Times New Roman"/>
                <w:color w:val="auto"/>
                <w:spacing w:val="-2"/>
                <w:sz w:val="24"/>
                <w:szCs w:val="24"/>
              </w:rPr>
              <w:t>柱中，弧柱中的气体被充分电离成等离子体，形成等离子弧。</w:t>
            </w:r>
          </w:p>
          <w:p w14:paraId="56EDC46F">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56"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本项目焊接气体（氩气）经等离子焊接机作用形成等离子弧后，</w:t>
            </w:r>
            <w:r>
              <w:rPr>
                <w:rFonts w:hint="default" w:ascii="Times New Roman" w:hAnsi="Times New Roman" w:eastAsia="宋体" w:cs="Times New Roman"/>
                <w:color w:val="auto"/>
                <w:sz w:val="24"/>
                <w:szCs w:val="24"/>
              </w:rPr>
              <w:t>利用等离子弧能量密度大和等离子流力强的特点</w:t>
            </w:r>
            <w:r>
              <w:rPr>
                <w:rFonts w:hint="default" w:ascii="Times New Roman" w:hAnsi="Times New Roman" w:eastAsia="宋体" w:cs="Times New Roman"/>
                <w:color w:val="auto"/>
                <w:spacing w:val="-1"/>
                <w:sz w:val="24"/>
                <w:szCs w:val="24"/>
              </w:rPr>
              <w:t>，将工件完全熔透并产生一个贯</w:t>
            </w:r>
            <w:r>
              <w:rPr>
                <w:rFonts w:hint="default" w:ascii="Times New Roman" w:hAnsi="Times New Roman" w:eastAsia="宋体" w:cs="Times New Roman"/>
                <w:color w:val="auto"/>
                <w:sz w:val="24"/>
                <w:szCs w:val="24"/>
              </w:rPr>
              <w:t>穿工件的小孔。被熔化的金属在电弧吸力、</w:t>
            </w:r>
            <w:r>
              <w:rPr>
                <w:rFonts w:hint="default" w:ascii="Times New Roman" w:hAnsi="Times New Roman" w:eastAsia="宋体" w:cs="Times New Roman"/>
                <w:color w:val="auto"/>
                <w:spacing w:val="-1"/>
                <w:sz w:val="24"/>
                <w:szCs w:val="24"/>
              </w:rPr>
              <w:t>液体金属重力与表面张力相互作用下</w:t>
            </w:r>
            <w:r>
              <w:rPr>
                <w:rFonts w:hint="default" w:ascii="Times New Roman" w:hAnsi="Times New Roman" w:eastAsia="宋体" w:cs="Times New Roman"/>
                <w:color w:val="auto"/>
                <w:sz w:val="24"/>
                <w:szCs w:val="24"/>
              </w:rPr>
              <w:t>保持平衡。焊枪前进时，小孔在电弧后方锁</w:t>
            </w:r>
            <w:r>
              <w:rPr>
                <w:rFonts w:hint="default" w:ascii="Times New Roman" w:hAnsi="Times New Roman" w:eastAsia="宋体" w:cs="Times New Roman"/>
                <w:color w:val="auto"/>
                <w:spacing w:val="-1"/>
                <w:sz w:val="24"/>
                <w:szCs w:val="24"/>
              </w:rPr>
              <w:t>闭，形成完全熔透的焊缝。此工序有</w:t>
            </w:r>
            <w:r>
              <w:rPr>
                <w:rFonts w:hint="default" w:ascii="Times New Roman" w:hAnsi="Times New Roman" w:eastAsia="宋体" w:cs="Times New Roman"/>
                <w:color w:val="auto"/>
                <w:spacing w:val="-2"/>
                <w:sz w:val="24"/>
                <w:szCs w:val="24"/>
              </w:rPr>
              <w:t>等离子焊接烟尘（G2-</w:t>
            </w:r>
            <w:r>
              <w:rPr>
                <w:rFonts w:hint="eastAsia"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）及噪声（N）产生。</w:t>
            </w:r>
          </w:p>
          <w:p w14:paraId="1073273A">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Times New Roman" w:hAnsi="Times New Roman" w:eastAsia="宋体" w:cs="Times New Roman"/>
                <w:b/>
                <w:bCs w:val="0"/>
                <w:color w:val="auto"/>
                <w:sz w:val="24"/>
                <w:lang w:val="en-US" w:eastAsia="zh-CN"/>
              </w:rPr>
            </w:pPr>
            <w:r>
              <w:rPr>
                <w:rFonts w:hint="default" w:ascii="Times New Roman" w:hAnsi="Times New Roman" w:eastAsia="宋体" w:cs="Times New Roman"/>
                <w:b/>
                <w:bCs/>
                <w:color w:val="auto"/>
                <w:spacing w:val="2"/>
                <w:sz w:val="24"/>
                <w:szCs w:val="24"/>
              </w:rPr>
              <w:t>测试：</w:t>
            </w:r>
            <w:r>
              <w:rPr>
                <w:rFonts w:hint="default" w:ascii="Times New Roman" w:hAnsi="Times New Roman" w:eastAsia="宋体" w:cs="Times New Roman"/>
                <w:color w:val="auto"/>
                <w:spacing w:val="2"/>
                <w:sz w:val="24"/>
                <w:szCs w:val="24"/>
              </w:rPr>
              <w:t>焊接后的产品需进行密封性能测试，测试合格品即为本项目电</w:t>
            </w:r>
            <w:r>
              <w:rPr>
                <w:rFonts w:hint="default" w:ascii="Times New Roman" w:hAnsi="Times New Roman" w:eastAsia="宋体" w:cs="Times New Roman"/>
                <w:color w:val="auto"/>
                <w:spacing w:val="-1"/>
                <w:sz w:val="24"/>
                <w:szCs w:val="24"/>
              </w:rPr>
              <w:t>磁铁芯产品，不合格品报废，有废电磁铁芯（</w:t>
            </w:r>
            <w:r>
              <w:rPr>
                <w:rFonts w:hint="default" w:ascii="Times New Roman" w:hAnsi="Times New Roman" w:eastAsia="宋体" w:cs="Times New Roman"/>
                <w:color w:val="auto"/>
                <w:spacing w:val="-2"/>
                <w:sz w:val="24"/>
                <w:szCs w:val="24"/>
              </w:rPr>
              <w:t>S2-</w:t>
            </w:r>
            <w:r>
              <w:rPr>
                <w:rFonts w:hint="eastAsia" w:ascii="Times New Roman" w:hAnsi="Times New Roman" w:eastAsia="宋体" w:cs="Times New Roman"/>
                <w:color w:val="auto"/>
                <w:spacing w:val="-2"/>
                <w:sz w:val="24"/>
                <w:szCs w:val="24"/>
                <w:lang w:val="en-US" w:eastAsia="zh-CN"/>
              </w:rPr>
              <w:t>5</w:t>
            </w:r>
            <w:r>
              <w:rPr>
                <w:rFonts w:hint="default" w:ascii="Times New Roman" w:hAnsi="Times New Roman" w:eastAsia="宋体" w:cs="Times New Roman"/>
                <w:color w:val="auto"/>
                <w:spacing w:val="-2"/>
                <w:sz w:val="24"/>
                <w:szCs w:val="24"/>
              </w:rPr>
              <w:t>）产生。</w:t>
            </w:r>
          </w:p>
          <w:p w14:paraId="47488E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lang w:val="en-US" w:eastAsia="zh-CN"/>
              </w:rPr>
              <w:t>、电磁铁</w:t>
            </w:r>
          </w:p>
          <w:p w14:paraId="7F5161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电磁铁生产工艺见图2-3。</w:t>
            </w:r>
          </w:p>
          <w:p w14:paraId="16847D7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4410075" cy="1675130"/>
                  <wp:effectExtent l="0" t="0" r="0" b="0"/>
                  <wp:docPr id="19" name="图片 19" descr="电磁铁-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电磁铁-生产工艺"/>
                          <pic:cNvPicPr>
                            <a:picLocks noChangeAspect="1"/>
                          </pic:cNvPicPr>
                        </pic:nvPicPr>
                        <pic:blipFill>
                          <a:blip r:embed="rId22"/>
                          <a:stretch>
                            <a:fillRect/>
                          </a:stretch>
                        </pic:blipFill>
                        <pic:spPr>
                          <a:xfrm>
                            <a:off x="0" y="0"/>
                            <a:ext cx="4410075" cy="1675130"/>
                          </a:xfrm>
                          <a:prstGeom prst="rect">
                            <a:avLst/>
                          </a:prstGeom>
                        </pic:spPr>
                      </pic:pic>
                    </a:graphicData>
                  </a:graphic>
                </wp:inline>
              </w:drawing>
            </w:r>
          </w:p>
          <w:p w14:paraId="273A5BCD">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val="0"/>
                <w:color w:val="auto"/>
                <w:sz w:val="24"/>
                <w:lang w:val="en-US" w:eastAsia="zh-CN"/>
              </w:rPr>
              <w:t>电磁铁</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42E55A58">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rPr>
              <w:t>生产工艺简述：</w:t>
            </w:r>
          </w:p>
          <w:p w14:paraId="778E9697">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cs="Times New Roman"/>
                <w:color w:val="auto"/>
              </w:rPr>
            </w:pPr>
            <w:r>
              <w:rPr>
                <w:rFonts w:hint="default" w:ascii="Times New Roman" w:hAnsi="Times New Roman" w:cs="Times New Roman"/>
                <w:color w:val="auto"/>
                <w:spacing w:val="-4"/>
              </w:rPr>
              <w:t>（1）组装：人工将</w:t>
            </w:r>
            <w:r>
              <w:rPr>
                <w:rFonts w:hint="eastAsia" w:ascii="Times New Roman" w:hAnsi="Times New Roman" w:cs="Times New Roman"/>
                <w:color w:val="auto"/>
                <w:spacing w:val="-4"/>
                <w:lang w:val="en-US" w:eastAsia="zh-CN"/>
              </w:rPr>
              <w:t>上述工序</w:t>
            </w:r>
            <w:r>
              <w:rPr>
                <w:rFonts w:hint="default" w:ascii="Times New Roman" w:hAnsi="Times New Roman" w:cs="Times New Roman"/>
                <w:color w:val="auto"/>
                <w:spacing w:val="-4"/>
              </w:rPr>
              <w:t>加工得到的电磁线圈、电磁铁芯产品与外购</w:t>
            </w:r>
            <w:r>
              <w:rPr>
                <w:rFonts w:hint="default" w:ascii="Times New Roman" w:hAnsi="Times New Roman" w:cs="Times New Roman"/>
                <w:color w:val="auto"/>
                <w:spacing w:val="-3"/>
              </w:rPr>
              <w:t>配件组装在一起，此工序无污染物产生。</w:t>
            </w:r>
          </w:p>
          <w:p w14:paraId="42A0096D">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eastAsia" w:ascii="Times New Roman" w:hAnsi="Times New Roman" w:eastAsia="宋体" w:cs="Times New Roman"/>
                <w:b/>
                <w:bCs w:val="0"/>
                <w:color w:val="auto"/>
                <w:sz w:val="24"/>
                <w:lang w:val="en-US" w:eastAsia="zh-CN"/>
              </w:rPr>
            </w:pPr>
            <w:r>
              <w:rPr>
                <w:rFonts w:hint="default" w:ascii="Times New Roman" w:hAnsi="Times New Roman" w:cs="Times New Roman"/>
                <w:color w:val="auto"/>
                <w:spacing w:val="2"/>
              </w:rPr>
              <w:t>（2）测试：上述组装件通过电磁吸引力测试</w:t>
            </w:r>
            <w:r>
              <w:rPr>
                <w:rFonts w:hint="default" w:ascii="Times New Roman" w:hAnsi="Times New Roman" w:cs="Times New Roman"/>
                <w:color w:val="auto"/>
                <w:spacing w:val="1"/>
              </w:rPr>
              <w:t>，并明确其性能后即为本项目</w:t>
            </w:r>
            <w:r>
              <w:rPr>
                <w:rFonts w:hint="default" w:ascii="Times New Roman" w:hAnsi="Times New Roman" w:cs="Times New Roman"/>
                <w:color w:val="auto"/>
                <w:spacing w:val="-5"/>
              </w:rPr>
              <w:t>电磁铁产品，</w:t>
            </w:r>
            <w:r>
              <w:rPr>
                <w:rFonts w:hint="eastAsia" w:ascii="Times New Roman" w:hAnsi="Times New Roman" w:cs="Times New Roman"/>
                <w:color w:val="auto"/>
                <w:spacing w:val="-5"/>
                <w:lang w:val="en-US" w:eastAsia="zh-CN"/>
              </w:rPr>
              <w:t>该工序产生</w:t>
            </w:r>
            <w:r>
              <w:rPr>
                <w:rFonts w:hint="default" w:ascii="Times New Roman" w:hAnsi="Times New Roman" w:eastAsia="宋体" w:cs="Times New Roman"/>
                <w:color w:val="auto"/>
                <w:spacing w:val="-2"/>
                <w:sz w:val="24"/>
                <w:szCs w:val="24"/>
              </w:rPr>
              <w:t>不合格品</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S</w:t>
            </w:r>
            <w:r>
              <w:rPr>
                <w:rFonts w:hint="eastAsia" w:ascii="Times New Roman" w:hAnsi="Times New Roman" w:cs="Times New Roman"/>
                <w:color w:val="auto"/>
                <w:spacing w:val="-2"/>
                <w:sz w:val="24"/>
                <w:szCs w:val="24"/>
                <w:lang w:val="en-US" w:eastAsia="zh-CN"/>
              </w:rPr>
              <w:t>3</w:t>
            </w:r>
            <w:r>
              <w:rPr>
                <w:rFonts w:hint="eastAsia" w:ascii="Times New Roman" w:hAnsi="Times New Roman" w:eastAsia="宋体" w:cs="Times New Roman"/>
                <w:color w:val="auto"/>
                <w:spacing w:val="-2"/>
                <w:sz w:val="24"/>
                <w:szCs w:val="24"/>
                <w:lang w:val="en-US" w:eastAsia="zh-CN"/>
              </w:rPr>
              <w:t>-</w:t>
            </w:r>
            <w:r>
              <w:rPr>
                <w:rFonts w:hint="eastAsia" w:ascii="Times New Roman" w:hAnsi="Times New Roman" w:cs="Times New Roman"/>
                <w:color w:val="auto"/>
                <w:spacing w:val="-2"/>
                <w:sz w:val="24"/>
                <w:szCs w:val="24"/>
                <w:lang w:val="en-US" w:eastAsia="zh-CN"/>
              </w:rPr>
              <w:t>1</w:t>
            </w:r>
            <w:r>
              <w:rPr>
                <w:rFonts w:hint="eastAsia" w:ascii="Times New Roman" w:hAnsi="Times New Roman" w:eastAsia="宋体" w:cs="Times New Roman"/>
                <w:color w:val="auto"/>
                <w:spacing w:val="-2"/>
                <w:sz w:val="24"/>
                <w:szCs w:val="24"/>
                <w:lang w:eastAsia="zh-CN"/>
              </w:rPr>
              <w:t>）</w:t>
            </w:r>
            <w:r>
              <w:rPr>
                <w:rFonts w:hint="default" w:ascii="Times New Roman" w:hAnsi="Times New Roman" w:cs="Times New Roman"/>
                <w:color w:val="auto"/>
                <w:spacing w:val="-5"/>
              </w:rPr>
              <w:t>。</w:t>
            </w:r>
          </w:p>
          <w:p w14:paraId="12C3CF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lang w:val="en-US" w:eastAsia="zh-CN"/>
              </w:rPr>
              <w:t>、端子箱</w:t>
            </w:r>
          </w:p>
          <w:p w14:paraId="59BC7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端子箱生产工艺见图2-3。</w:t>
            </w:r>
          </w:p>
          <w:p w14:paraId="7D859DF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5293995" cy="1877695"/>
                  <wp:effectExtent l="0" t="0" r="0" b="0"/>
                  <wp:docPr id="9" name="图片 9" descr="端子箱-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端子箱-生产工艺"/>
                          <pic:cNvPicPr>
                            <a:picLocks noChangeAspect="1"/>
                          </pic:cNvPicPr>
                        </pic:nvPicPr>
                        <pic:blipFill>
                          <a:blip r:embed="rId23"/>
                          <a:stretch>
                            <a:fillRect/>
                          </a:stretch>
                        </pic:blipFill>
                        <pic:spPr>
                          <a:xfrm>
                            <a:off x="0" y="0"/>
                            <a:ext cx="5293995" cy="1877695"/>
                          </a:xfrm>
                          <a:prstGeom prst="rect">
                            <a:avLst/>
                          </a:prstGeom>
                        </pic:spPr>
                      </pic:pic>
                    </a:graphicData>
                  </a:graphic>
                </wp:inline>
              </w:drawing>
            </w:r>
          </w:p>
          <w:p w14:paraId="49A75EE2">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val="0"/>
                <w:color w:val="auto"/>
                <w:sz w:val="24"/>
                <w:lang w:val="en-US" w:eastAsia="zh-CN"/>
              </w:rPr>
              <w:t>端子箱</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4D7517D5">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rPr>
              <w:t>生产工艺简述：</w:t>
            </w:r>
          </w:p>
          <w:p w14:paraId="605F54E8">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3"/>
                <w:sz w:val="24"/>
                <w:szCs w:val="24"/>
              </w:rPr>
              <w:t>手工插件：</w:t>
            </w:r>
            <w:r>
              <w:rPr>
                <w:rFonts w:hint="default" w:ascii="Times New Roman" w:hAnsi="Times New Roman" w:cs="Times New Roman"/>
                <w:color w:val="auto"/>
                <w:spacing w:val="3"/>
                <w:sz w:val="24"/>
                <w:szCs w:val="24"/>
              </w:rPr>
              <w:t>人工将外购电子元器件安</w:t>
            </w:r>
            <w:r>
              <w:rPr>
                <w:rFonts w:hint="default" w:ascii="Times New Roman" w:hAnsi="Times New Roman" w:cs="Times New Roman"/>
                <w:color w:val="auto"/>
                <w:spacing w:val="2"/>
                <w:sz w:val="24"/>
                <w:szCs w:val="24"/>
              </w:rPr>
              <w:t>装在外购线路板相应位置，此工</w:t>
            </w:r>
            <w:r>
              <w:rPr>
                <w:rFonts w:hint="default" w:ascii="Times New Roman" w:hAnsi="Times New Roman" w:cs="Times New Roman"/>
                <w:color w:val="auto"/>
                <w:spacing w:val="-5"/>
                <w:sz w:val="24"/>
                <w:szCs w:val="24"/>
              </w:rPr>
              <w:t>序无污染物产生。</w:t>
            </w:r>
          </w:p>
          <w:p w14:paraId="5E87895E">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86"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1"/>
                <w:sz w:val="24"/>
                <w:szCs w:val="24"/>
              </w:rPr>
              <w:t>电烙铁焊接：</w:t>
            </w:r>
            <w:r>
              <w:rPr>
                <w:rFonts w:hint="default" w:ascii="Times New Roman" w:hAnsi="Times New Roman" w:cs="Times New Roman"/>
                <w:color w:val="auto"/>
                <w:spacing w:val="1"/>
                <w:sz w:val="24"/>
                <w:szCs w:val="24"/>
              </w:rPr>
              <w:t>采用电烙铁对上述工序线路板需要固定位置进行焊接，</w:t>
            </w:r>
            <w:r>
              <w:rPr>
                <w:rFonts w:hint="default" w:ascii="Times New Roman" w:hAnsi="Times New Roman" w:cs="Times New Roman"/>
                <w:color w:val="auto"/>
                <w:spacing w:val="-2"/>
                <w:sz w:val="24"/>
                <w:szCs w:val="24"/>
              </w:rPr>
              <w:t>焊接过程中有少量焊接烟尘（G</w:t>
            </w:r>
            <w:r>
              <w:rPr>
                <w:rFonts w:hint="eastAsia" w:ascii="Times New Roman" w:hAnsi="Times New Roman" w:cs="Times New Roman"/>
                <w:color w:val="auto"/>
                <w:spacing w:val="-2"/>
                <w:sz w:val="24"/>
                <w:szCs w:val="24"/>
                <w:lang w:val="en-US" w:eastAsia="zh-CN"/>
              </w:rPr>
              <w:t>4-1</w:t>
            </w:r>
            <w:r>
              <w:rPr>
                <w:rFonts w:hint="default" w:ascii="Times New Roman" w:hAnsi="Times New Roman" w:cs="Times New Roman"/>
                <w:color w:val="auto"/>
                <w:spacing w:val="-2"/>
                <w:sz w:val="24"/>
                <w:szCs w:val="24"/>
              </w:rPr>
              <w:t>）</w:t>
            </w:r>
            <w:r>
              <w:rPr>
                <w:rFonts w:hint="eastAsia" w:ascii="Times New Roman" w:hAnsi="Times New Roman" w:cs="Times New Roman"/>
                <w:color w:val="auto"/>
                <w:spacing w:val="-2"/>
                <w:sz w:val="24"/>
                <w:szCs w:val="24"/>
                <w:lang w:val="en-US" w:eastAsia="zh-CN"/>
              </w:rPr>
              <w:t>和噪声</w:t>
            </w:r>
            <w:r>
              <w:rPr>
                <w:rFonts w:hint="default" w:ascii="Times New Roman" w:hAnsi="Times New Roman" w:eastAsia="宋体" w:cs="Times New Roman"/>
                <w:color w:val="auto"/>
                <w:spacing w:val="-2"/>
                <w:sz w:val="24"/>
                <w:szCs w:val="24"/>
              </w:rPr>
              <w:t>（N）</w:t>
            </w:r>
            <w:r>
              <w:rPr>
                <w:rFonts w:hint="default" w:ascii="Times New Roman" w:hAnsi="Times New Roman" w:cs="Times New Roman"/>
                <w:color w:val="auto"/>
                <w:spacing w:val="-2"/>
                <w:sz w:val="24"/>
                <w:szCs w:val="24"/>
              </w:rPr>
              <w:t>产生。</w:t>
            </w:r>
          </w:p>
          <w:p w14:paraId="71AC6BB8">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pacing w:val="3"/>
                <w:sz w:val="24"/>
                <w:szCs w:val="24"/>
              </w:rPr>
              <w:t>组装：</w:t>
            </w:r>
            <w:r>
              <w:rPr>
                <w:rFonts w:hint="default" w:ascii="Times New Roman" w:hAnsi="Times New Roman" w:cs="Times New Roman"/>
                <w:color w:val="auto"/>
                <w:spacing w:val="3"/>
                <w:sz w:val="24"/>
                <w:szCs w:val="24"/>
              </w:rPr>
              <w:t>将外购外壳与经电烙铁焊接后的线路板组装在一起，此工序无</w:t>
            </w:r>
            <w:r>
              <w:rPr>
                <w:rFonts w:hint="default" w:ascii="Times New Roman" w:hAnsi="Times New Roman" w:cs="Times New Roman"/>
                <w:color w:val="auto"/>
                <w:spacing w:val="-7"/>
                <w:sz w:val="24"/>
                <w:szCs w:val="24"/>
              </w:rPr>
              <w:t>污染物产生。</w:t>
            </w:r>
          </w:p>
          <w:p w14:paraId="23952982">
            <w:pPr>
              <w:pStyle w:val="73"/>
              <w:keepNext w:val="0"/>
              <w:keepLines w:val="0"/>
              <w:pageBreakBefore w:val="0"/>
              <w:widowControl/>
              <w:kinsoku w:val="0"/>
              <w:wordWrap/>
              <w:overflowPunct/>
              <w:topLinePunct w:val="0"/>
              <w:autoSpaceDE w:val="0"/>
              <w:autoSpaceDN w:val="0"/>
              <w:bidi w:val="0"/>
              <w:adjustRightInd/>
              <w:snapToGrid/>
              <w:spacing w:line="360" w:lineRule="auto"/>
              <w:ind w:left="0" w:right="0" w:firstLine="494" w:firstLineChars="200"/>
              <w:textAlignment w:val="baseline"/>
              <w:rPr>
                <w:rFonts w:hint="eastAsia" w:ascii="Times New Roman" w:hAnsi="Times New Roman" w:eastAsia="宋体" w:cs="Times New Roman"/>
                <w:b/>
                <w:bCs w:val="0"/>
                <w:color w:val="auto"/>
                <w:sz w:val="24"/>
                <w:lang w:val="en-US" w:eastAsia="zh-CN"/>
              </w:rPr>
            </w:pPr>
            <w:r>
              <w:rPr>
                <w:rFonts w:hint="default" w:ascii="Times New Roman" w:hAnsi="Times New Roman" w:cs="Times New Roman"/>
                <w:b/>
                <w:bCs/>
                <w:color w:val="auto"/>
                <w:spacing w:val="3"/>
                <w:sz w:val="24"/>
                <w:szCs w:val="24"/>
              </w:rPr>
              <w:t>测试：</w:t>
            </w:r>
            <w:r>
              <w:rPr>
                <w:rFonts w:hint="default" w:ascii="Times New Roman" w:hAnsi="Times New Roman" w:cs="Times New Roman"/>
                <w:color w:val="auto"/>
                <w:spacing w:val="3"/>
                <w:sz w:val="24"/>
                <w:szCs w:val="24"/>
              </w:rPr>
              <w:t>上述工序组装件需进行电路测试，测试</w:t>
            </w:r>
            <w:r>
              <w:rPr>
                <w:rFonts w:hint="default" w:ascii="Times New Roman" w:hAnsi="Times New Roman" w:cs="Times New Roman"/>
                <w:color w:val="auto"/>
                <w:spacing w:val="2"/>
                <w:sz w:val="24"/>
                <w:szCs w:val="24"/>
              </w:rPr>
              <w:t>合格品为本项目端子箱</w:t>
            </w:r>
            <w:r>
              <w:rPr>
                <w:rFonts w:hint="default" w:ascii="Times New Roman" w:hAnsi="Times New Roman" w:cs="Times New Roman"/>
                <w:color w:val="auto"/>
                <w:spacing w:val="-3"/>
                <w:sz w:val="24"/>
                <w:szCs w:val="24"/>
              </w:rPr>
              <w:t>产品，</w:t>
            </w:r>
            <w:r>
              <w:rPr>
                <w:rFonts w:hint="eastAsia" w:ascii="Times New Roman" w:hAnsi="Times New Roman" w:cs="Times New Roman"/>
                <w:color w:val="auto"/>
                <w:spacing w:val="-5"/>
                <w:lang w:val="en-US" w:eastAsia="zh-CN"/>
              </w:rPr>
              <w:t>该工序产生</w:t>
            </w:r>
            <w:r>
              <w:rPr>
                <w:rFonts w:hint="default" w:ascii="Times New Roman" w:hAnsi="Times New Roman" w:cs="Times New Roman"/>
                <w:color w:val="auto"/>
                <w:spacing w:val="-3"/>
                <w:sz w:val="24"/>
                <w:szCs w:val="24"/>
              </w:rPr>
              <w:t>不合格品</w:t>
            </w:r>
            <w:r>
              <w:rPr>
                <w:rFonts w:hint="eastAsia" w:ascii="Times New Roman" w:hAnsi="Times New Roman" w:cs="Times New Roman"/>
                <w:color w:val="auto"/>
                <w:spacing w:val="-3"/>
                <w:sz w:val="24"/>
                <w:szCs w:val="24"/>
                <w:lang w:eastAsia="zh-CN"/>
              </w:rPr>
              <w:t>（</w:t>
            </w:r>
            <w:r>
              <w:rPr>
                <w:rFonts w:hint="eastAsia" w:ascii="Times New Roman" w:hAnsi="Times New Roman" w:cs="Times New Roman"/>
                <w:color w:val="auto"/>
                <w:spacing w:val="-3"/>
                <w:sz w:val="24"/>
                <w:szCs w:val="24"/>
                <w:lang w:val="en-US" w:eastAsia="zh-CN"/>
              </w:rPr>
              <w:t>S4-1</w:t>
            </w:r>
            <w:r>
              <w:rPr>
                <w:rFonts w:hint="eastAsia" w:ascii="Times New Roman" w:hAnsi="Times New Roman" w:cs="Times New Roman"/>
                <w:color w:val="auto"/>
                <w:spacing w:val="-3"/>
                <w:sz w:val="24"/>
                <w:szCs w:val="24"/>
                <w:lang w:eastAsia="zh-CN"/>
              </w:rPr>
              <w:t>）</w:t>
            </w:r>
            <w:r>
              <w:rPr>
                <w:rFonts w:hint="default" w:ascii="Times New Roman" w:hAnsi="Times New Roman" w:cs="Times New Roman"/>
                <w:color w:val="auto"/>
                <w:spacing w:val="-3"/>
                <w:sz w:val="24"/>
                <w:szCs w:val="24"/>
              </w:rPr>
              <w:t>。</w:t>
            </w:r>
          </w:p>
          <w:p w14:paraId="7EBD7C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5</w:t>
            </w:r>
            <w:r>
              <w:rPr>
                <w:rFonts w:hint="default" w:ascii="Times New Roman" w:hAnsi="Times New Roman" w:eastAsia="宋体" w:cs="Times New Roman"/>
                <w:b/>
                <w:bCs w:val="0"/>
                <w:color w:val="auto"/>
                <w:sz w:val="24"/>
                <w:lang w:val="en-US" w:eastAsia="zh-CN"/>
              </w:rPr>
              <w:t>、阀芯</w:t>
            </w:r>
          </w:p>
          <w:p w14:paraId="66284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阀芯生产工艺见图2-3。</w:t>
            </w:r>
          </w:p>
          <w:p w14:paraId="13AA69D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5293995" cy="1896110"/>
                  <wp:effectExtent l="0" t="0" r="0" b="0"/>
                  <wp:docPr id="10" name="图片 10" descr="阀芯-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阀芯-生产工艺"/>
                          <pic:cNvPicPr>
                            <a:picLocks noChangeAspect="1"/>
                          </pic:cNvPicPr>
                        </pic:nvPicPr>
                        <pic:blipFill>
                          <a:blip r:embed="rId24"/>
                          <a:stretch>
                            <a:fillRect/>
                          </a:stretch>
                        </pic:blipFill>
                        <pic:spPr>
                          <a:xfrm>
                            <a:off x="0" y="0"/>
                            <a:ext cx="5293995" cy="1896110"/>
                          </a:xfrm>
                          <a:prstGeom prst="rect">
                            <a:avLst/>
                          </a:prstGeom>
                        </pic:spPr>
                      </pic:pic>
                    </a:graphicData>
                  </a:graphic>
                </wp:inline>
              </w:drawing>
            </w:r>
          </w:p>
          <w:p w14:paraId="5C0D34B5">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val="0"/>
                <w:color w:val="auto"/>
                <w:sz w:val="24"/>
                <w:lang w:val="en-US" w:eastAsia="zh-CN"/>
              </w:rPr>
              <w:t>阀芯</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7A8C9404">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rPr>
              <w:t>生产工艺简述：</w:t>
            </w:r>
          </w:p>
          <w:p w14:paraId="5F968602">
            <w:pPr>
              <w:pStyle w:val="73"/>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90" w:firstLineChars="200"/>
              <w:jc w:val="both"/>
              <w:textAlignment w:val="baseline"/>
              <w:rPr>
                <w:rFonts w:hint="default" w:ascii="Times New Roman" w:hAnsi="Times New Roman" w:cs="Times New Roman"/>
                <w:color w:val="auto"/>
                <w:spacing w:val="-11"/>
              </w:rPr>
            </w:pPr>
            <w:r>
              <w:rPr>
                <w:rFonts w:hint="default" w:ascii="Times New Roman" w:hAnsi="Times New Roman" w:cs="Times New Roman"/>
                <w:b/>
                <w:bCs/>
                <w:color w:val="auto"/>
                <w:spacing w:val="2"/>
              </w:rPr>
              <w:t>机加工：</w:t>
            </w:r>
            <w:r>
              <w:rPr>
                <w:rFonts w:hint="default" w:ascii="Times New Roman" w:hAnsi="Times New Roman" w:cs="Times New Roman"/>
                <w:color w:val="auto"/>
                <w:spacing w:val="2"/>
              </w:rPr>
              <w:t>根据产品需要，采用自动锯床、自动削角机</w:t>
            </w:r>
            <w:r>
              <w:rPr>
                <w:rFonts w:hint="eastAsia" w:ascii="Times New Roman" w:hAnsi="Times New Roman" w:cs="Times New Roman"/>
                <w:color w:val="auto"/>
                <w:spacing w:val="2"/>
                <w:lang w:val="en-US" w:eastAsia="zh-CN"/>
              </w:rPr>
              <w:t>CNC数控车床</w:t>
            </w:r>
            <w:r>
              <w:rPr>
                <w:rFonts w:hint="default" w:ascii="Times New Roman" w:hAnsi="Times New Roman" w:cs="Times New Roman"/>
                <w:color w:val="auto"/>
                <w:spacing w:val="2"/>
              </w:rPr>
              <w:t>等设备对外购钢</w:t>
            </w:r>
            <w:r>
              <w:rPr>
                <w:rFonts w:hint="default" w:ascii="Times New Roman" w:hAnsi="Times New Roman" w:cs="Times New Roman"/>
                <w:color w:val="auto"/>
                <w:spacing w:val="-1"/>
              </w:rPr>
              <w:t>材进行机加工，</w:t>
            </w:r>
            <w:r>
              <w:rPr>
                <w:rFonts w:hint="eastAsia" w:ascii="Times New Roman" w:hAnsi="Times New Roman" w:cs="Times New Roman"/>
                <w:color w:val="auto"/>
                <w:spacing w:val="-1"/>
                <w:lang w:val="en-US" w:eastAsia="zh-CN"/>
              </w:rPr>
              <w:t>锯床切割过程使用乳化液，基本不会产生切割粉尘；</w:t>
            </w:r>
            <w:r>
              <w:rPr>
                <w:rFonts w:hint="default" w:ascii="Times New Roman" w:hAnsi="Times New Roman" w:cs="Times New Roman"/>
                <w:color w:val="auto"/>
                <w:spacing w:val="-1"/>
              </w:rPr>
              <w:t>自动锯床等设备平时需用润滑油保养和维护，润滑油循环使用，</w:t>
            </w:r>
            <w:r>
              <w:rPr>
                <w:rFonts w:hint="default" w:ascii="Times New Roman" w:hAnsi="Times New Roman" w:cs="Times New Roman"/>
                <w:color w:val="auto"/>
                <w:spacing w:val="-2"/>
              </w:rPr>
              <w:t>定期更换、补充</w:t>
            </w:r>
            <w:r>
              <w:rPr>
                <w:rFonts w:hint="eastAsia" w:ascii="Times New Roman" w:hAnsi="Times New Roman" w:cs="Times New Roman"/>
                <w:color w:val="auto"/>
                <w:spacing w:val="-2"/>
                <w:lang w:eastAsia="zh-CN"/>
              </w:rPr>
              <w:t>；</w:t>
            </w:r>
            <w:r>
              <w:rPr>
                <w:rFonts w:hint="eastAsia" w:ascii="Times New Roman" w:hAnsi="Times New Roman" w:cs="Times New Roman"/>
                <w:color w:val="auto"/>
                <w:spacing w:val="-2"/>
                <w:lang w:val="en-US" w:eastAsia="zh-CN"/>
              </w:rPr>
              <w:t>该过程使用自动脱油机将车床加工的铁屑与乳化液分离；</w:t>
            </w:r>
            <w:r>
              <w:rPr>
                <w:rFonts w:hint="default" w:ascii="Times New Roman" w:hAnsi="Times New Roman" w:cs="Times New Roman"/>
                <w:color w:val="auto"/>
                <w:spacing w:val="-2"/>
              </w:rPr>
              <w:t>此工序有钢材边角料（S</w:t>
            </w:r>
            <w:r>
              <w:rPr>
                <w:rFonts w:hint="default" w:ascii="Times New Roman" w:hAnsi="Times New Roman" w:cs="Times New Roman"/>
                <w:color w:val="auto"/>
                <w:spacing w:val="-2"/>
                <w:lang w:val="en-US" w:eastAsia="zh-CN"/>
              </w:rPr>
              <w:t>5-1</w:t>
            </w:r>
            <w:r>
              <w:rPr>
                <w:rFonts w:hint="default" w:ascii="Times New Roman" w:hAnsi="Times New Roman" w:cs="Times New Roman"/>
                <w:color w:val="auto"/>
                <w:spacing w:val="-2"/>
              </w:rPr>
              <w:t>）、</w:t>
            </w:r>
            <w:r>
              <w:rPr>
                <w:rFonts w:hint="eastAsia" w:ascii="Times New Roman" w:hAnsi="Times New Roman" w:cs="Times New Roman"/>
                <w:color w:val="auto"/>
                <w:spacing w:val="-2"/>
                <w:lang w:val="en-US" w:eastAsia="zh-CN"/>
              </w:rPr>
              <w:t>废乳化液（S5-2）、</w:t>
            </w:r>
            <w:r>
              <w:rPr>
                <w:rFonts w:hint="default" w:ascii="Times New Roman" w:hAnsi="Times New Roman" w:cs="Times New Roman"/>
                <w:color w:val="auto"/>
                <w:spacing w:val="-2"/>
              </w:rPr>
              <w:t>废润滑油（S</w:t>
            </w:r>
            <w:r>
              <w:rPr>
                <w:rFonts w:hint="default" w:ascii="Times New Roman" w:hAnsi="Times New Roman" w:cs="Times New Roman"/>
                <w:color w:val="auto"/>
                <w:spacing w:val="-2"/>
                <w:lang w:val="en-US" w:eastAsia="zh-CN"/>
              </w:rPr>
              <w:t>5-</w:t>
            </w:r>
            <w:r>
              <w:rPr>
                <w:rFonts w:hint="eastAsia" w:ascii="Times New Roman" w:hAnsi="Times New Roman" w:cs="Times New Roman"/>
                <w:color w:val="auto"/>
                <w:spacing w:val="-2"/>
                <w:lang w:val="en-US" w:eastAsia="zh-CN"/>
              </w:rPr>
              <w:t>3</w:t>
            </w:r>
            <w:r>
              <w:rPr>
                <w:rFonts w:hint="default" w:ascii="Times New Roman" w:hAnsi="Times New Roman" w:cs="Times New Roman"/>
                <w:color w:val="auto"/>
                <w:spacing w:val="-2"/>
              </w:rPr>
              <w:t>）及噪声（N）产</w:t>
            </w:r>
            <w:r>
              <w:rPr>
                <w:rFonts w:hint="default" w:ascii="Times New Roman" w:hAnsi="Times New Roman" w:cs="Times New Roman"/>
                <w:color w:val="auto"/>
                <w:spacing w:val="-11"/>
              </w:rPr>
              <w:t>生。</w:t>
            </w:r>
          </w:p>
          <w:p w14:paraId="00A317CB">
            <w:pPr>
              <w:pStyle w:val="73"/>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94" w:firstLineChars="200"/>
              <w:jc w:val="both"/>
              <w:textAlignment w:val="baseline"/>
              <w:rPr>
                <w:rFonts w:hint="default" w:ascii="Times New Roman" w:hAnsi="Times New Roman" w:cs="Times New Roman"/>
                <w:color w:val="auto"/>
              </w:rPr>
            </w:pPr>
            <w:r>
              <w:rPr>
                <w:rFonts w:hint="default" w:ascii="Times New Roman" w:hAnsi="Times New Roman" w:cs="Times New Roman"/>
                <w:b/>
                <w:bCs/>
                <w:color w:val="auto"/>
                <w:spacing w:val="3"/>
              </w:rPr>
              <w:t>委外热处理：</w:t>
            </w:r>
            <w:r>
              <w:rPr>
                <w:rFonts w:hint="default" w:ascii="Times New Roman" w:hAnsi="Times New Roman" w:cs="Times New Roman"/>
                <w:color w:val="auto"/>
                <w:spacing w:val="3"/>
              </w:rPr>
              <w:t>上述工序加后的工件需根据需</w:t>
            </w:r>
            <w:r>
              <w:rPr>
                <w:rFonts w:hint="default" w:ascii="Times New Roman" w:hAnsi="Times New Roman" w:cs="Times New Roman"/>
                <w:color w:val="auto"/>
                <w:spacing w:val="2"/>
              </w:rPr>
              <w:t>要委外热处理，本项目无</w:t>
            </w:r>
            <w:r>
              <w:rPr>
                <w:rFonts w:hint="default" w:ascii="Times New Roman" w:hAnsi="Times New Roman" w:cs="Times New Roman"/>
                <w:color w:val="auto"/>
                <w:spacing w:val="-4"/>
              </w:rPr>
              <w:t>相关污染物产生及排放。</w:t>
            </w:r>
          </w:p>
          <w:p w14:paraId="2D551EB0">
            <w:pPr>
              <w:pStyle w:val="73"/>
              <w:keepNext w:val="0"/>
              <w:keepLines w:val="0"/>
              <w:pageBreakBefore w:val="0"/>
              <w:widowControl/>
              <w:kinsoku w:val="0"/>
              <w:wordWrap/>
              <w:overflowPunct/>
              <w:topLinePunct w:val="0"/>
              <w:autoSpaceDE w:val="0"/>
              <w:autoSpaceDN w:val="0"/>
              <w:bidi w:val="0"/>
              <w:adjustRightInd/>
              <w:snapToGrid/>
              <w:spacing w:line="360" w:lineRule="auto"/>
              <w:ind w:right="0" w:firstLine="494" w:firstLineChars="200"/>
              <w:jc w:val="both"/>
              <w:textAlignment w:val="baseline"/>
              <w:rPr>
                <w:rFonts w:hint="default" w:ascii="Times New Roman" w:hAnsi="Times New Roman" w:cs="Times New Roman"/>
                <w:color w:val="auto"/>
              </w:rPr>
            </w:pPr>
            <w:r>
              <w:rPr>
                <w:rFonts w:hint="default" w:ascii="Times New Roman" w:hAnsi="Times New Roman" w:cs="Times New Roman"/>
                <w:b/>
                <w:bCs/>
                <w:color w:val="auto"/>
                <w:spacing w:val="3"/>
              </w:rPr>
              <w:t>振动研磨：</w:t>
            </w:r>
            <w:r>
              <w:rPr>
                <w:rFonts w:hint="default" w:ascii="Times New Roman" w:hAnsi="Times New Roman" w:cs="Times New Roman"/>
                <w:color w:val="auto"/>
                <w:spacing w:val="3"/>
              </w:rPr>
              <w:t>采用振动研磨机对委外热处理后</w:t>
            </w:r>
            <w:r>
              <w:rPr>
                <w:rFonts w:hint="default" w:ascii="Times New Roman" w:hAnsi="Times New Roman" w:cs="Times New Roman"/>
                <w:color w:val="auto"/>
                <w:spacing w:val="2"/>
              </w:rPr>
              <w:t>的工件进行粗磨，研磨过</w:t>
            </w:r>
            <w:r>
              <w:rPr>
                <w:rFonts w:hint="default" w:ascii="Times New Roman" w:hAnsi="Times New Roman" w:cs="Times New Roman"/>
                <w:color w:val="auto"/>
              </w:rPr>
              <w:t>程在常温下进行，时间约40min。本项目研磨料主</w:t>
            </w:r>
            <w:r>
              <w:rPr>
                <w:rFonts w:hint="default" w:ascii="Times New Roman" w:hAnsi="Times New Roman" w:cs="Times New Roman"/>
                <w:color w:val="auto"/>
                <w:spacing w:val="-1"/>
              </w:rPr>
              <w:t>要为金刚砂，研磨过程中需使</w:t>
            </w:r>
            <w:r>
              <w:rPr>
                <w:rFonts w:hint="default" w:ascii="Times New Roman" w:hAnsi="Times New Roman" w:cs="Times New Roman"/>
                <w:color w:val="auto"/>
              </w:rPr>
              <w:t>用到</w:t>
            </w:r>
            <w:r>
              <w:rPr>
                <w:rFonts w:hint="eastAsia" w:ascii="Times New Roman" w:hAnsi="Times New Roman" w:cs="Times New Roman"/>
                <w:color w:val="auto"/>
                <w:lang w:val="en-US" w:eastAsia="zh-CN"/>
              </w:rPr>
              <w:t>乳化液</w:t>
            </w:r>
            <w:r>
              <w:rPr>
                <w:rFonts w:hint="default" w:ascii="Times New Roman" w:hAnsi="Times New Roman" w:cs="Times New Roman"/>
                <w:color w:val="auto"/>
              </w:rPr>
              <w:t>（由</w:t>
            </w:r>
            <w:r>
              <w:rPr>
                <w:rFonts w:hint="eastAsia" w:ascii="Times New Roman" w:hAnsi="Times New Roman" w:cs="Times New Roman"/>
                <w:color w:val="auto"/>
                <w:lang w:val="en-US" w:eastAsia="zh-CN"/>
              </w:rPr>
              <w:t>乳化液</w:t>
            </w:r>
            <w:r>
              <w:rPr>
                <w:rFonts w:hint="default" w:ascii="Times New Roman" w:hAnsi="Times New Roman" w:cs="Times New Roman"/>
                <w:color w:val="auto"/>
              </w:rPr>
              <w:t>与自来水按照1:10的比</w:t>
            </w:r>
            <w:r>
              <w:rPr>
                <w:rFonts w:hint="default" w:ascii="Times New Roman" w:hAnsi="Times New Roman" w:cs="Times New Roman"/>
                <w:color w:val="auto"/>
                <w:spacing w:val="-1"/>
              </w:rPr>
              <w:t>例混合而成）作为助剂，</w:t>
            </w:r>
            <w:r>
              <w:rPr>
                <w:rFonts w:hint="eastAsia" w:ascii="Times New Roman" w:hAnsi="Times New Roman" w:cs="Times New Roman"/>
                <w:color w:val="auto"/>
                <w:lang w:val="en-US" w:eastAsia="zh-CN"/>
              </w:rPr>
              <w:t>乳化液</w:t>
            </w:r>
            <w:r>
              <w:rPr>
                <w:rFonts w:hint="default" w:ascii="Times New Roman" w:hAnsi="Times New Roman" w:cs="Times New Roman"/>
                <w:color w:val="auto"/>
                <w:spacing w:val="-1"/>
              </w:rPr>
              <w:t>定期更换补充。此工序有</w:t>
            </w:r>
            <w:r>
              <w:rPr>
                <w:rFonts w:hint="eastAsia" w:ascii="Times New Roman" w:hAnsi="Times New Roman" w:cs="Times New Roman"/>
                <w:color w:val="auto"/>
                <w:spacing w:val="-2"/>
                <w:lang w:val="en-US" w:eastAsia="zh-CN"/>
              </w:rPr>
              <w:t>废乳化液（S5-4）、</w:t>
            </w:r>
            <w:r>
              <w:rPr>
                <w:rFonts w:hint="default" w:ascii="Times New Roman" w:hAnsi="Times New Roman" w:cs="Times New Roman"/>
                <w:color w:val="auto"/>
                <w:spacing w:val="-1"/>
              </w:rPr>
              <w:t>研磨废</w:t>
            </w:r>
            <w:r>
              <w:rPr>
                <w:rFonts w:hint="eastAsia" w:ascii="Times New Roman" w:hAnsi="Times New Roman" w:cs="Times New Roman"/>
                <w:color w:val="auto"/>
                <w:spacing w:val="-1"/>
                <w:lang w:val="en-US" w:eastAsia="zh-CN"/>
              </w:rPr>
              <w:t>渣</w:t>
            </w:r>
            <w:r>
              <w:rPr>
                <w:rFonts w:hint="default" w:ascii="Times New Roman" w:hAnsi="Times New Roman" w:cs="Times New Roman"/>
                <w:color w:val="auto"/>
                <w:spacing w:val="-1"/>
              </w:rPr>
              <w:t>（S</w:t>
            </w:r>
            <w:r>
              <w:rPr>
                <w:rFonts w:hint="default" w:ascii="Times New Roman" w:hAnsi="Times New Roman" w:cs="Times New Roman"/>
                <w:color w:val="auto"/>
                <w:spacing w:val="-1"/>
                <w:lang w:val="en-US" w:eastAsia="zh-CN"/>
              </w:rPr>
              <w:t>5-</w:t>
            </w:r>
            <w:r>
              <w:rPr>
                <w:rFonts w:hint="eastAsia" w:ascii="Times New Roman" w:hAnsi="Times New Roman" w:cs="Times New Roman"/>
                <w:color w:val="auto"/>
                <w:spacing w:val="-1"/>
                <w:lang w:val="en-US" w:eastAsia="zh-CN"/>
              </w:rPr>
              <w:t>5</w:t>
            </w:r>
            <w:r>
              <w:rPr>
                <w:rFonts w:hint="default" w:ascii="Times New Roman" w:hAnsi="Times New Roman" w:cs="Times New Roman"/>
                <w:color w:val="auto"/>
                <w:spacing w:val="-1"/>
              </w:rPr>
              <w:t>）及</w:t>
            </w:r>
            <w:r>
              <w:rPr>
                <w:rFonts w:hint="default" w:ascii="Times New Roman" w:hAnsi="Times New Roman" w:cs="Times New Roman"/>
                <w:color w:val="auto"/>
                <w:spacing w:val="-2"/>
              </w:rPr>
              <w:t>噪声（N）产生。</w:t>
            </w:r>
          </w:p>
          <w:p w14:paraId="040AF7FF">
            <w:pPr>
              <w:pStyle w:val="73"/>
              <w:keepNext w:val="0"/>
              <w:keepLines w:val="0"/>
              <w:pageBreakBefore w:val="0"/>
              <w:widowControl/>
              <w:kinsoku w:val="0"/>
              <w:wordWrap/>
              <w:overflowPunct/>
              <w:topLinePunct w:val="0"/>
              <w:autoSpaceDE w:val="0"/>
              <w:autoSpaceDN w:val="0"/>
              <w:bidi w:val="0"/>
              <w:adjustRightInd/>
              <w:snapToGrid/>
              <w:spacing w:line="360" w:lineRule="auto"/>
              <w:ind w:right="0" w:firstLine="478" w:firstLineChars="200"/>
              <w:jc w:val="both"/>
              <w:textAlignment w:val="baseline"/>
              <w:rPr>
                <w:rFonts w:hint="default" w:ascii="Times New Roman" w:hAnsi="Times New Roman" w:eastAsia="宋体" w:cs="Times New Roman"/>
                <w:b/>
                <w:color w:val="auto"/>
                <w:sz w:val="24"/>
                <w:lang w:val="en-US" w:eastAsia="zh-CN"/>
              </w:rPr>
            </w:pPr>
            <w:r>
              <w:rPr>
                <w:rFonts w:hint="default" w:ascii="Times New Roman" w:hAnsi="Times New Roman" w:cs="Times New Roman"/>
                <w:b/>
                <w:bCs/>
                <w:color w:val="auto"/>
                <w:spacing w:val="-1"/>
              </w:rPr>
              <w:t>外径研磨：</w:t>
            </w:r>
            <w:r>
              <w:rPr>
                <w:rFonts w:hint="default" w:ascii="Times New Roman" w:hAnsi="Times New Roman" w:cs="Times New Roman"/>
                <w:color w:val="auto"/>
                <w:spacing w:val="-1"/>
              </w:rPr>
              <w:t>采用精密CNC数控顶针式磨床对经振动研磨后的工件进行</w:t>
            </w:r>
            <w:r>
              <w:rPr>
                <w:rFonts w:hint="default" w:ascii="Times New Roman" w:hAnsi="Times New Roman" w:cs="Times New Roman"/>
                <w:color w:val="auto"/>
              </w:rPr>
              <w:t>精磨，研磨过程中需使用乳化液冷却、润滑</w:t>
            </w:r>
            <w:r>
              <w:rPr>
                <w:rFonts w:hint="default" w:ascii="Times New Roman" w:hAnsi="Times New Roman" w:cs="Times New Roman"/>
                <w:color w:val="auto"/>
                <w:spacing w:val="-1"/>
              </w:rPr>
              <w:t>加工表面，乳化液循环使用，定期更</w:t>
            </w:r>
            <w:r>
              <w:rPr>
                <w:rFonts w:hint="default" w:ascii="Times New Roman" w:hAnsi="Times New Roman" w:cs="Times New Roman"/>
                <w:color w:val="auto"/>
                <w:spacing w:val="-2"/>
              </w:rPr>
              <w:t>换补充。此工序有废乳化液（S</w:t>
            </w:r>
            <w:r>
              <w:rPr>
                <w:rFonts w:hint="default" w:ascii="Times New Roman" w:hAnsi="Times New Roman" w:cs="Times New Roman"/>
                <w:color w:val="auto"/>
                <w:spacing w:val="-2"/>
                <w:lang w:val="en-US" w:eastAsia="zh-CN"/>
              </w:rPr>
              <w:t>5-</w:t>
            </w:r>
            <w:r>
              <w:rPr>
                <w:rFonts w:hint="eastAsia" w:ascii="Times New Roman" w:hAnsi="Times New Roman" w:cs="Times New Roman"/>
                <w:color w:val="auto"/>
                <w:spacing w:val="-2"/>
                <w:lang w:val="en-US" w:eastAsia="zh-CN"/>
              </w:rPr>
              <w:t>6</w:t>
            </w:r>
            <w:r>
              <w:rPr>
                <w:rFonts w:hint="default" w:ascii="Times New Roman" w:hAnsi="Times New Roman" w:cs="Times New Roman"/>
                <w:color w:val="auto"/>
                <w:spacing w:val="-2"/>
              </w:rPr>
              <w:t>）</w:t>
            </w:r>
            <w:r>
              <w:rPr>
                <w:rFonts w:hint="eastAsia" w:ascii="Times New Roman" w:hAnsi="Times New Roman" w:cs="Times New Roman"/>
                <w:color w:val="auto"/>
                <w:spacing w:val="-2"/>
                <w:lang w:val="en-US" w:eastAsia="zh-CN"/>
              </w:rPr>
              <w:t>、</w:t>
            </w:r>
            <w:r>
              <w:rPr>
                <w:rFonts w:hint="default" w:ascii="Times New Roman" w:hAnsi="Times New Roman" w:cs="Times New Roman"/>
                <w:color w:val="auto"/>
                <w:spacing w:val="-1"/>
              </w:rPr>
              <w:t>研磨废</w:t>
            </w:r>
            <w:r>
              <w:rPr>
                <w:rFonts w:hint="eastAsia" w:ascii="Times New Roman" w:hAnsi="Times New Roman" w:cs="Times New Roman"/>
                <w:color w:val="auto"/>
                <w:spacing w:val="-1"/>
                <w:lang w:val="en-US" w:eastAsia="zh-CN"/>
              </w:rPr>
              <w:t>渣</w:t>
            </w:r>
            <w:r>
              <w:rPr>
                <w:rFonts w:hint="default" w:ascii="Times New Roman" w:hAnsi="Times New Roman" w:cs="Times New Roman"/>
                <w:color w:val="auto"/>
                <w:spacing w:val="-1"/>
              </w:rPr>
              <w:t>（S</w:t>
            </w:r>
            <w:r>
              <w:rPr>
                <w:rFonts w:hint="default" w:ascii="Times New Roman" w:hAnsi="Times New Roman" w:cs="Times New Roman"/>
                <w:color w:val="auto"/>
                <w:spacing w:val="-1"/>
                <w:lang w:val="en-US" w:eastAsia="zh-CN"/>
              </w:rPr>
              <w:t>5-</w:t>
            </w:r>
            <w:r>
              <w:rPr>
                <w:rFonts w:hint="eastAsia" w:ascii="Times New Roman" w:hAnsi="Times New Roman" w:cs="Times New Roman"/>
                <w:color w:val="auto"/>
                <w:spacing w:val="-1"/>
                <w:lang w:val="en-US" w:eastAsia="zh-CN"/>
              </w:rPr>
              <w:t>7</w:t>
            </w:r>
            <w:r>
              <w:rPr>
                <w:rFonts w:hint="default" w:ascii="Times New Roman" w:hAnsi="Times New Roman" w:cs="Times New Roman"/>
                <w:color w:val="auto"/>
                <w:spacing w:val="-1"/>
              </w:rPr>
              <w:t>）</w:t>
            </w:r>
            <w:r>
              <w:rPr>
                <w:rFonts w:hint="default" w:ascii="Times New Roman" w:hAnsi="Times New Roman" w:cs="Times New Roman"/>
                <w:color w:val="auto"/>
                <w:spacing w:val="-2"/>
              </w:rPr>
              <w:t>及噪声（N）产生。</w:t>
            </w:r>
          </w:p>
          <w:p w14:paraId="54BF6EB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二、</w:t>
            </w:r>
            <w:r>
              <w:rPr>
                <w:rFonts w:hint="default" w:ascii="Times New Roman" w:hAnsi="Times New Roman" w:eastAsia="宋体" w:cs="Times New Roman"/>
                <w:b/>
                <w:color w:val="auto"/>
                <w:sz w:val="24"/>
              </w:rPr>
              <w:t>产污环节分析</w:t>
            </w:r>
          </w:p>
          <w:p w14:paraId="7D7C100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表2-6  污染物产生情况分析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534"/>
              <w:gridCol w:w="1510"/>
              <w:gridCol w:w="1313"/>
              <w:gridCol w:w="2960"/>
            </w:tblGrid>
            <w:tr w14:paraId="018F9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vAlign w:val="center"/>
                </w:tcPr>
                <w:p w14:paraId="7B50A72C">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废物类别</w:t>
                  </w:r>
                </w:p>
              </w:tc>
              <w:tc>
                <w:tcPr>
                  <w:tcW w:w="916" w:type="pct"/>
                  <w:tcBorders>
                    <w:tl2br w:val="nil"/>
                    <w:tr2bl w:val="nil"/>
                  </w:tcBorders>
                  <w:vAlign w:val="center"/>
                </w:tcPr>
                <w:p w14:paraId="0BBC18E1">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编号</w:t>
                  </w:r>
                </w:p>
              </w:tc>
              <w:tc>
                <w:tcPr>
                  <w:tcW w:w="902" w:type="pct"/>
                  <w:tcBorders>
                    <w:tl2br w:val="nil"/>
                    <w:tr2bl w:val="nil"/>
                  </w:tcBorders>
                  <w:vAlign w:val="center"/>
                </w:tcPr>
                <w:p w14:paraId="574DD38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产生环节</w:t>
                  </w:r>
                </w:p>
              </w:tc>
              <w:tc>
                <w:tcPr>
                  <w:tcW w:w="784" w:type="pct"/>
                  <w:tcBorders>
                    <w:tl2br w:val="nil"/>
                    <w:tr2bl w:val="nil"/>
                  </w:tcBorders>
                  <w:vAlign w:val="center"/>
                </w:tcPr>
                <w:p w14:paraId="45A7D29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1768" w:type="pct"/>
                  <w:tcBorders>
                    <w:tl2br w:val="nil"/>
                    <w:tr2bl w:val="nil"/>
                  </w:tcBorders>
                  <w:shd w:val="clear" w:color="auto" w:fill="auto"/>
                  <w:vAlign w:val="center"/>
                </w:tcPr>
                <w:p w14:paraId="72AD3E4E">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处置措施</w:t>
                  </w:r>
                </w:p>
              </w:tc>
            </w:tr>
            <w:tr w14:paraId="04C66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vMerge w:val="restart"/>
                  <w:tcBorders>
                    <w:tl2br w:val="nil"/>
                    <w:tr2bl w:val="nil"/>
                  </w:tcBorders>
                  <w:vAlign w:val="center"/>
                </w:tcPr>
                <w:p w14:paraId="3B753A6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16" w:type="pct"/>
                  <w:tcBorders>
                    <w:tl2br w:val="nil"/>
                    <w:tr2bl w:val="nil"/>
                  </w:tcBorders>
                  <w:vAlign w:val="center"/>
                </w:tcPr>
                <w:p w14:paraId="48157C5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G1</w:t>
                  </w:r>
                  <w:r>
                    <w:rPr>
                      <w:rFonts w:hint="default" w:ascii="Times New Roman" w:hAnsi="Times New Roman" w:eastAsia="宋体" w:cs="Times New Roman"/>
                      <w:color w:val="auto"/>
                      <w:szCs w:val="21"/>
                      <w:lang w:val="en-US" w:eastAsia="zh-CN"/>
                    </w:rPr>
                    <w:t>-1</w:t>
                  </w:r>
                </w:p>
              </w:tc>
              <w:tc>
                <w:tcPr>
                  <w:tcW w:w="902" w:type="pct"/>
                  <w:tcBorders>
                    <w:tl2br w:val="nil"/>
                    <w:tr2bl w:val="nil"/>
                  </w:tcBorders>
                  <w:vAlign w:val="center"/>
                </w:tcPr>
                <w:p w14:paraId="659D749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配线组装</w:t>
                  </w:r>
                </w:p>
              </w:tc>
              <w:tc>
                <w:tcPr>
                  <w:tcW w:w="784" w:type="pct"/>
                  <w:tcBorders>
                    <w:tl2br w:val="nil"/>
                    <w:tr2bl w:val="nil"/>
                  </w:tcBorders>
                  <w:vAlign w:val="center"/>
                </w:tcPr>
                <w:p w14:paraId="0BD743E8">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颗粒物、有机废气</w:t>
                  </w:r>
                </w:p>
              </w:tc>
              <w:tc>
                <w:tcPr>
                  <w:tcW w:w="1768" w:type="pct"/>
                  <w:tcBorders>
                    <w:tl2br w:val="nil"/>
                    <w:tr2bl w:val="nil"/>
                  </w:tcBorders>
                  <w:shd w:val="clear" w:color="auto" w:fill="auto"/>
                  <w:vAlign w:val="center"/>
                </w:tcPr>
                <w:p w14:paraId="1864350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经集气罩+布袋除尘收集处理后通过15m排气筒DA002排放</w:t>
                  </w:r>
                </w:p>
              </w:tc>
            </w:tr>
            <w:tr w14:paraId="030C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vMerge w:val="continue"/>
                  <w:tcBorders>
                    <w:tl2br w:val="nil"/>
                    <w:tr2bl w:val="nil"/>
                  </w:tcBorders>
                  <w:vAlign w:val="center"/>
                </w:tcPr>
                <w:p w14:paraId="1A4193B2">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C1FF57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G</w:t>
                  </w:r>
                  <w:r>
                    <w:rPr>
                      <w:rFonts w:hint="eastAsia" w:ascii="Times New Roman" w:hAnsi="Times New Roman" w:eastAsia="宋体" w:cs="Times New Roman"/>
                      <w:color w:val="auto"/>
                      <w:szCs w:val="21"/>
                      <w:lang w:val="en-US" w:eastAsia="zh-CN"/>
                    </w:rPr>
                    <w:t>1-2</w:t>
                  </w:r>
                </w:p>
              </w:tc>
              <w:tc>
                <w:tcPr>
                  <w:tcW w:w="902" w:type="pct"/>
                  <w:tcBorders>
                    <w:tl2br w:val="nil"/>
                    <w:tr2bl w:val="nil"/>
                  </w:tcBorders>
                  <w:vAlign w:val="center"/>
                </w:tcPr>
                <w:p w14:paraId="661C285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成型封装</w:t>
                  </w:r>
                </w:p>
              </w:tc>
              <w:tc>
                <w:tcPr>
                  <w:tcW w:w="784" w:type="pct"/>
                  <w:tcBorders>
                    <w:tl2br w:val="nil"/>
                    <w:tr2bl w:val="nil"/>
                  </w:tcBorders>
                  <w:vAlign w:val="center"/>
                </w:tcPr>
                <w:p w14:paraId="7B9ADE54">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有机废气、苯乙烯</w:t>
                  </w:r>
                </w:p>
              </w:tc>
              <w:tc>
                <w:tcPr>
                  <w:tcW w:w="1768" w:type="pct"/>
                  <w:tcBorders>
                    <w:tl2br w:val="nil"/>
                    <w:tr2bl w:val="nil"/>
                  </w:tcBorders>
                  <w:shd w:val="clear" w:color="auto" w:fill="auto"/>
                  <w:vAlign w:val="center"/>
                </w:tcPr>
                <w:p w14:paraId="1F1C9CC6">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经集气罩+二级活性炭吸附装置收集处理后通过15m排气筒DA001排放</w:t>
                  </w:r>
                </w:p>
              </w:tc>
            </w:tr>
            <w:tr w14:paraId="0A815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vMerge w:val="continue"/>
                  <w:tcBorders>
                    <w:tl2br w:val="nil"/>
                    <w:tr2bl w:val="nil"/>
                  </w:tcBorders>
                  <w:vAlign w:val="center"/>
                </w:tcPr>
                <w:p w14:paraId="5315CA4B">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04E969E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G2-</w:t>
                  </w:r>
                  <w:r>
                    <w:rPr>
                      <w:rFonts w:hint="eastAsia" w:ascii="Times New Roman" w:hAnsi="Times New Roman" w:eastAsia="宋体" w:cs="Times New Roman"/>
                      <w:color w:val="auto"/>
                      <w:szCs w:val="21"/>
                      <w:lang w:val="en-US" w:eastAsia="zh-CN"/>
                    </w:rPr>
                    <w:t>1</w:t>
                  </w:r>
                </w:p>
              </w:tc>
              <w:tc>
                <w:tcPr>
                  <w:tcW w:w="902" w:type="pct"/>
                  <w:tcBorders>
                    <w:tl2br w:val="nil"/>
                    <w:tr2bl w:val="nil"/>
                  </w:tcBorders>
                  <w:vAlign w:val="center"/>
                </w:tcPr>
                <w:p w14:paraId="03ECA77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w:t>
                  </w:r>
                  <w:r>
                    <w:rPr>
                      <w:rFonts w:hint="default" w:ascii="Times New Roman" w:hAnsi="Times New Roman" w:eastAsia="宋体" w:cs="Times New Roman"/>
                      <w:color w:val="auto"/>
                      <w:szCs w:val="21"/>
                      <w:lang w:val="en-US" w:eastAsia="zh-CN"/>
                    </w:rPr>
                    <w:t>、烘干</w:t>
                  </w:r>
                </w:p>
              </w:tc>
              <w:tc>
                <w:tcPr>
                  <w:tcW w:w="784" w:type="pct"/>
                  <w:tcBorders>
                    <w:tl2br w:val="nil"/>
                    <w:tr2bl w:val="nil"/>
                  </w:tcBorders>
                  <w:vAlign w:val="center"/>
                </w:tcPr>
                <w:p w14:paraId="4C7C14AE">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有机废气</w:t>
                  </w:r>
                </w:p>
              </w:tc>
              <w:tc>
                <w:tcPr>
                  <w:tcW w:w="1768" w:type="pct"/>
                  <w:tcBorders>
                    <w:tl2br w:val="nil"/>
                    <w:tr2bl w:val="nil"/>
                  </w:tcBorders>
                  <w:shd w:val="clear" w:color="auto" w:fill="auto"/>
                  <w:vAlign w:val="center"/>
                </w:tcPr>
                <w:p w14:paraId="5A93B1F3">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无组织排放</w:t>
                  </w:r>
                </w:p>
              </w:tc>
            </w:tr>
            <w:tr w14:paraId="4F473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vMerge w:val="continue"/>
                  <w:tcBorders>
                    <w:tl2br w:val="nil"/>
                    <w:tr2bl w:val="nil"/>
                  </w:tcBorders>
                  <w:vAlign w:val="center"/>
                </w:tcPr>
                <w:p w14:paraId="571FD0E7">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2E93533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G2-</w:t>
                  </w:r>
                  <w:r>
                    <w:rPr>
                      <w:rFonts w:hint="eastAsia" w:ascii="Times New Roman" w:hAnsi="Times New Roman" w:eastAsia="宋体" w:cs="Times New Roman"/>
                      <w:color w:val="auto"/>
                      <w:szCs w:val="21"/>
                      <w:lang w:val="en-US" w:eastAsia="zh-CN"/>
                    </w:rPr>
                    <w:t>2、G4-1</w:t>
                  </w:r>
                </w:p>
              </w:tc>
              <w:tc>
                <w:tcPr>
                  <w:tcW w:w="902" w:type="pct"/>
                  <w:tcBorders>
                    <w:tl2br w:val="nil"/>
                    <w:tr2bl w:val="nil"/>
                  </w:tcBorders>
                  <w:vAlign w:val="center"/>
                </w:tcPr>
                <w:p w14:paraId="0714BB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焊接</w:t>
                  </w:r>
                </w:p>
              </w:tc>
              <w:tc>
                <w:tcPr>
                  <w:tcW w:w="784" w:type="pct"/>
                  <w:tcBorders>
                    <w:tl2br w:val="nil"/>
                    <w:tr2bl w:val="nil"/>
                  </w:tcBorders>
                  <w:vAlign w:val="center"/>
                </w:tcPr>
                <w:p w14:paraId="2401223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8" w:type="pct"/>
                  <w:tcBorders>
                    <w:tl2br w:val="nil"/>
                    <w:tr2bl w:val="nil"/>
                  </w:tcBorders>
                  <w:shd w:val="clear" w:color="auto" w:fill="auto"/>
                  <w:vAlign w:val="center"/>
                </w:tcPr>
                <w:p w14:paraId="1288C12C">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经集气罩+布袋除尘收集处理后通过15m排气筒DA002排放</w:t>
                  </w:r>
                </w:p>
              </w:tc>
            </w:tr>
            <w:tr w14:paraId="2751B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tcBorders>
                    <w:tl2br w:val="nil"/>
                    <w:tr2bl w:val="nil"/>
                  </w:tcBorders>
                  <w:vAlign w:val="center"/>
                </w:tcPr>
                <w:p w14:paraId="6738E04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916" w:type="pct"/>
                  <w:tcBorders>
                    <w:tl2br w:val="nil"/>
                    <w:tr2bl w:val="nil"/>
                  </w:tcBorders>
                  <w:vAlign w:val="center"/>
                </w:tcPr>
                <w:p w14:paraId="3A2E696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zCs w:val="21"/>
                      <w:lang w:val="en-US" w:eastAsia="zh-CN"/>
                    </w:rPr>
                    <w:t>1</w:t>
                  </w:r>
                </w:p>
              </w:tc>
              <w:tc>
                <w:tcPr>
                  <w:tcW w:w="902" w:type="pct"/>
                  <w:tcBorders>
                    <w:tl2br w:val="nil"/>
                    <w:tr2bl w:val="nil"/>
                  </w:tcBorders>
                  <w:vAlign w:val="center"/>
                </w:tcPr>
                <w:p w14:paraId="6FD9DF1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p>
              </w:tc>
              <w:tc>
                <w:tcPr>
                  <w:tcW w:w="784" w:type="pct"/>
                  <w:tcBorders>
                    <w:tl2br w:val="nil"/>
                    <w:tr2bl w:val="nil"/>
                  </w:tcBorders>
                  <w:vAlign w:val="center"/>
                </w:tcPr>
                <w:p w14:paraId="526C7D4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w:t>
                  </w:r>
                </w:p>
              </w:tc>
              <w:tc>
                <w:tcPr>
                  <w:tcW w:w="1768" w:type="pct"/>
                  <w:tcBorders>
                    <w:tl2br w:val="nil"/>
                    <w:tr2bl w:val="nil"/>
                  </w:tcBorders>
                  <w:shd w:val="clear" w:color="auto" w:fill="auto"/>
                  <w:vAlign w:val="center"/>
                </w:tcPr>
                <w:p w14:paraId="0F810B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接管至常州市金坛区第二污水处理厂集中处理</w:t>
                  </w:r>
                </w:p>
              </w:tc>
            </w:tr>
            <w:tr w14:paraId="64E85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vAlign w:val="center"/>
                </w:tcPr>
                <w:p w14:paraId="0B7B4D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916" w:type="pct"/>
                  <w:tcBorders>
                    <w:tl2br w:val="nil"/>
                    <w:tr2bl w:val="nil"/>
                  </w:tcBorders>
                  <w:vAlign w:val="center"/>
                </w:tcPr>
                <w:p w14:paraId="10EECB2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S1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1</w:t>
                  </w:r>
                </w:p>
              </w:tc>
              <w:tc>
                <w:tcPr>
                  <w:tcW w:w="902" w:type="pct"/>
                  <w:tcBorders>
                    <w:tl2br w:val="nil"/>
                    <w:tr2bl w:val="nil"/>
                  </w:tcBorders>
                  <w:vAlign w:val="center"/>
                </w:tcPr>
                <w:p w14:paraId="10D48AD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机加工</w:t>
                  </w:r>
                </w:p>
              </w:tc>
              <w:tc>
                <w:tcPr>
                  <w:tcW w:w="784" w:type="pct"/>
                  <w:tcBorders>
                    <w:tl2br w:val="nil"/>
                    <w:tr2bl w:val="nil"/>
                  </w:tcBorders>
                  <w:vAlign w:val="center"/>
                </w:tcPr>
                <w:p w14:paraId="4666354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硅钢片边角料</w:t>
                  </w:r>
                </w:p>
              </w:tc>
              <w:tc>
                <w:tcPr>
                  <w:tcW w:w="1768" w:type="pct"/>
                  <w:tcBorders>
                    <w:tl2br w:val="nil"/>
                    <w:tr2bl w:val="nil"/>
                  </w:tcBorders>
                  <w:shd w:val="clear" w:color="auto" w:fill="auto"/>
                  <w:vAlign w:val="center"/>
                </w:tcPr>
                <w:p w14:paraId="55344CA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收集后外售</w:t>
                  </w:r>
                </w:p>
              </w:tc>
            </w:tr>
            <w:tr w14:paraId="45533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3CCC3454">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406892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w:t>
                  </w:r>
                  <w:r>
                    <w:rPr>
                      <w:rFonts w:hint="default"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val="en-US" w:eastAsia="zh-CN"/>
                    </w:rPr>
                    <w:t>2</w:t>
                  </w:r>
                </w:p>
              </w:tc>
              <w:tc>
                <w:tcPr>
                  <w:tcW w:w="902" w:type="pct"/>
                  <w:tcBorders>
                    <w:tl2br w:val="nil"/>
                    <w:tr2bl w:val="nil"/>
                  </w:tcBorders>
                  <w:vAlign w:val="center"/>
                </w:tcPr>
                <w:p w14:paraId="449FF55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机加工</w:t>
                  </w:r>
                </w:p>
              </w:tc>
              <w:tc>
                <w:tcPr>
                  <w:tcW w:w="784" w:type="pct"/>
                  <w:tcBorders>
                    <w:tl2br w:val="nil"/>
                    <w:tr2bl w:val="nil"/>
                  </w:tcBorders>
                  <w:vAlign w:val="center"/>
                </w:tcPr>
                <w:p w14:paraId="621BE86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废润滑油</w:t>
                  </w:r>
                </w:p>
              </w:tc>
              <w:tc>
                <w:tcPr>
                  <w:tcW w:w="1768" w:type="pct"/>
                  <w:tcBorders>
                    <w:tl2br w:val="nil"/>
                    <w:tr2bl w:val="nil"/>
                  </w:tcBorders>
                  <w:shd w:val="clear" w:color="auto" w:fill="auto"/>
                  <w:vAlign w:val="center"/>
                </w:tcPr>
                <w:p w14:paraId="6FC4B8A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481EB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7490A2A4">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47162A7B">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S1-3</w:t>
                  </w:r>
                </w:p>
              </w:tc>
              <w:tc>
                <w:tcPr>
                  <w:tcW w:w="902" w:type="pct"/>
                  <w:tcBorders>
                    <w:tl2br w:val="nil"/>
                    <w:tr2bl w:val="nil"/>
                  </w:tcBorders>
                  <w:vAlign w:val="center"/>
                </w:tcPr>
                <w:p w14:paraId="4123422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成型封装</w:t>
                  </w:r>
                </w:p>
              </w:tc>
              <w:tc>
                <w:tcPr>
                  <w:tcW w:w="784" w:type="pct"/>
                  <w:tcBorders>
                    <w:tl2br w:val="nil"/>
                    <w:tr2bl w:val="nil"/>
                  </w:tcBorders>
                  <w:vAlign w:val="center"/>
                </w:tcPr>
                <w:p w14:paraId="54AAEBF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BMC</w:t>
                  </w:r>
                  <w:r>
                    <w:rPr>
                      <w:rFonts w:hint="default" w:ascii="Times New Roman" w:hAnsi="Times New Roman" w:eastAsia="宋体" w:cs="Times New Roman"/>
                      <w:color w:val="auto"/>
                      <w:szCs w:val="21"/>
                    </w:rPr>
                    <w:t>边角料</w:t>
                  </w:r>
                </w:p>
              </w:tc>
              <w:tc>
                <w:tcPr>
                  <w:tcW w:w="1768" w:type="pct"/>
                  <w:tcBorders>
                    <w:tl2br w:val="nil"/>
                    <w:tr2bl w:val="nil"/>
                  </w:tcBorders>
                  <w:shd w:val="clear" w:color="auto" w:fill="auto"/>
                  <w:vAlign w:val="center"/>
                </w:tcPr>
                <w:p w14:paraId="1C2099B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收集后外售</w:t>
                  </w:r>
                </w:p>
              </w:tc>
            </w:tr>
            <w:tr w14:paraId="2C30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4E690FC8">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20F1155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S1-</w:t>
                  </w:r>
                  <w:r>
                    <w:rPr>
                      <w:rFonts w:hint="eastAsia" w:ascii="Times New Roman" w:hAnsi="Times New Roman" w:eastAsia="宋体" w:cs="Times New Roman"/>
                      <w:color w:val="auto"/>
                      <w:szCs w:val="21"/>
                      <w:lang w:val="en-US" w:eastAsia="zh-CN"/>
                    </w:rPr>
                    <w:t>4、S2-5、S3-1、S4-1</w:t>
                  </w:r>
                </w:p>
              </w:tc>
              <w:tc>
                <w:tcPr>
                  <w:tcW w:w="902" w:type="pct"/>
                  <w:tcBorders>
                    <w:tl2br w:val="nil"/>
                    <w:tr2bl w:val="nil"/>
                  </w:tcBorders>
                  <w:vAlign w:val="center"/>
                </w:tcPr>
                <w:p w14:paraId="47664C9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测试</w:t>
                  </w:r>
                </w:p>
              </w:tc>
              <w:tc>
                <w:tcPr>
                  <w:tcW w:w="784" w:type="pct"/>
                  <w:tcBorders>
                    <w:tl2br w:val="nil"/>
                    <w:tr2bl w:val="nil"/>
                  </w:tcBorders>
                  <w:vAlign w:val="center"/>
                </w:tcPr>
                <w:p w14:paraId="784F754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不合格品</w:t>
                  </w:r>
                </w:p>
              </w:tc>
              <w:tc>
                <w:tcPr>
                  <w:tcW w:w="1768" w:type="pct"/>
                  <w:vMerge w:val="restart"/>
                  <w:tcBorders>
                    <w:tl2br w:val="nil"/>
                    <w:tr2bl w:val="nil"/>
                  </w:tcBorders>
                  <w:shd w:val="clear" w:color="auto" w:fill="auto"/>
                  <w:vAlign w:val="center"/>
                </w:tcPr>
                <w:p w14:paraId="3454AF2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收集后外售</w:t>
                  </w:r>
                </w:p>
              </w:tc>
            </w:tr>
            <w:tr w14:paraId="2147A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48EE100F">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4A6284C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S2-1、S5-1</w:t>
                  </w:r>
                </w:p>
              </w:tc>
              <w:tc>
                <w:tcPr>
                  <w:tcW w:w="902" w:type="pct"/>
                  <w:tcBorders>
                    <w:tl2br w:val="nil"/>
                    <w:tr2bl w:val="nil"/>
                  </w:tcBorders>
                  <w:vAlign w:val="center"/>
                </w:tcPr>
                <w:p w14:paraId="3D82288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机加工</w:t>
                  </w:r>
                </w:p>
              </w:tc>
              <w:tc>
                <w:tcPr>
                  <w:tcW w:w="784" w:type="pct"/>
                  <w:tcBorders>
                    <w:tl2br w:val="nil"/>
                    <w:tr2bl w:val="nil"/>
                  </w:tcBorders>
                  <w:vAlign w:val="center"/>
                </w:tcPr>
                <w:p w14:paraId="22049C9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钢材</w:t>
                  </w:r>
                  <w:r>
                    <w:rPr>
                      <w:rFonts w:hint="default" w:ascii="Times New Roman" w:hAnsi="Times New Roman" w:eastAsia="宋体" w:cs="Times New Roman"/>
                      <w:color w:val="auto"/>
                      <w:szCs w:val="21"/>
                    </w:rPr>
                    <w:t>边角料</w:t>
                  </w:r>
                </w:p>
              </w:tc>
              <w:tc>
                <w:tcPr>
                  <w:tcW w:w="1768" w:type="pct"/>
                  <w:vMerge w:val="continue"/>
                  <w:tcBorders>
                    <w:tl2br w:val="nil"/>
                    <w:tr2bl w:val="nil"/>
                  </w:tcBorders>
                  <w:shd w:val="clear" w:color="auto" w:fill="auto"/>
                  <w:vAlign w:val="center"/>
                </w:tcPr>
                <w:p w14:paraId="3F0A3F09">
                  <w:pPr>
                    <w:jc w:val="center"/>
                    <w:rPr>
                      <w:rFonts w:hint="default" w:ascii="Times New Roman" w:hAnsi="Times New Roman" w:eastAsia="宋体" w:cs="Times New Roman"/>
                      <w:color w:val="auto"/>
                      <w:szCs w:val="21"/>
                      <w:lang w:val="en-US" w:eastAsia="zh-CN"/>
                    </w:rPr>
                  </w:pPr>
                </w:p>
              </w:tc>
            </w:tr>
            <w:tr w14:paraId="42219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vMerge w:val="continue"/>
                  <w:tcBorders>
                    <w:tl2br w:val="nil"/>
                    <w:tr2bl w:val="nil"/>
                  </w:tcBorders>
                  <w:vAlign w:val="center"/>
                </w:tcPr>
                <w:p w14:paraId="6090FC2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56130DC3">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S2-2</w:t>
                  </w:r>
                </w:p>
              </w:tc>
              <w:tc>
                <w:tcPr>
                  <w:tcW w:w="902" w:type="pct"/>
                  <w:tcBorders>
                    <w:tl2br w:val="nil"/>
                    <w:tr2bl w:val="nil"/>
                  </w:tcBorders>
                  <w:vAlign w:val="center"/>
                </w:tcPr>
                <w:p w14:paraId="7525C83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机加工</w:t>
                  </w:r>
                </w:p>
              </w:tc>
              <w:tc>
                <w:tcPr>
                  <w:tcW w:w="784" w:type="pct"/>
                  <w:tcBorders>
                    <w:tl2br w:val="nil"/>
                    <w:tr2bl w:val="nil"/>
                  </w:tcBorders>
                  <w:vAlign w:val="center"/>
                </w:tcPr>
                <w:p w14:paraId="51B9785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废乳化液</w:t>
                  </w:r>
                </w:p>
              </w:tc>
              <w:tc>
                <w:tcPr>
                  <w:tcW w:w="1768" w:type="pct"/>
                  <w:vMerge w:val="restart"/>
                  <w:tcBorders>
                    <w:tl2br w:val="nil"/>
                    <w:tr2bl w:val="nil"/>
                  </w:tcBorders>
                  <w:shd w:val="clear" w:color="auto" w:fill="auto"/>
                  <w:vAlign w:val="center"/>
                </w:tcPr>
                <w:p w14:paraId="3F253A7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01ADA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758F4EB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D2189EA">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S2-3</w:t>
                  </w:r>
                </w:p>
              </w:tc>
              <w:tc>
                <w:tcPr>
                  <w:tcW w:w="902" w:type="pct"/>
                  <w:tcBorders>
                    <w:tl2br w:val="nil"/>
                    <w:tr2bl w:val="nil"/>
                  </w:tcBorders>
                  <w:vAlign w:val="center"/>
                </w:tcPr>
                <w:p w14:paraId="496F17C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机加工</w:t>
                  </w:r>
                </w:p>
              </w:tc>
              <w:tc>
                <w:tcPr>
                  <w:tcW w:w="784" w:type="pct"/>
                  <w:tcBorders>
                    <w:tl2br w:val="nil"/>
                    <w:tr2bl w:val="nil"/>
                  </w:tcBorders>
                  <w:vAlign w:val="center"/>
                </w:tcPr>
                <w:p w14:paraId="4FB82E8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废润滑油</w:t>
                  </w:r>
                </w:p>
              </w:tc>
              <w:tc>
                <w:tcPr>
                  <w:tcW w:w="1768" w:type="pct"/>
                  <w:vMerge w:val="continue"/>
                  <w:tcBorders>
                    <w:tl2br w:val="nil"/>
                    <w:tr2bl w:val="nil"/>
                  </w:tcBorders>
                  <w:shd w:val="clear" w:color="auto" w:fill="auto"/>
                  <w:vAlign w:val="center"/>
                </w:tcPr>
                <w:p w14:paraId="7408B3AB">
                  <w:pPr>
                    <w:jc w:val="center"/>
                    <w:rPr>
                      <w:rFonts w:hint="default" w:ascii="Times New Roman" w:hAnsi="Times New Roman" w:eastAsia="宋体" w:cs="Times New Roman"/>
                      <w:color w:val="auto"/>
                      <w:szCs w:val="21"/>
                      <w:lang w:val="en-US" w:eastAsia="zh-CN"/>
                    </w:rPr>
                  </w:pPr>
                </w:p>
              </w:tc>
            </w:tr>
            <w:tr w14:paraId="52DB5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2630419F">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24218B4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S2-4</w:t>
                  </w:r>
                </w:p>
              </w:tc>
              <w:tc>
                <w:tcPr>
                  <w:tcW w:w="902" w:type="pct"/>
                  <w:tcBorders>
                    <w:tl2br w:val="nil"/>
                    <w:tr2bl w:val="nil"/>
                  </w:tcBorders>
                  <w:vAlign w:val="center"/>
                </w:tcPr>
                <w:p w14:paraId="25C74EE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w:t>
                  </w:r>
                </w:p>
              </w:tc>
              <w:tc>
                <w:tcPr>
                  <w:tcW w:w="784" w:type="pct"/>
                  <w:tcBorders>
                    <w:tl2br w:val="nil"/>
                    <w:tr2bl w:val="nil"/>
                  </w:tcBorders>
                  <w:vAlign w:val="center"/>
                </w:tcPr>
                <w:p w14:paraId="7C8B02B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清洗废液</w:t>
                  </w:r>
                </w:p>
              </w:tc>
              <w:tc>
                <w:tcPr>
                  <w:tcW w:w="1768" w:type="pct"/>
                  <w:vMerge w:val="continue"/>
                  <w:tcBorders>
                    <w:tl2br w:val="nil"/>
                    <w:tr2bl w:val="nil"/>
                  </w:tcBorders>
                  <w:shd w:val="clear" w:color="auto" w:fill="auto"/>
                  <w:vAlign w:val="center"/>
                </w:tcPr>
                <w:p w14:paraId="3D3DE42D">
                  <w:pPr>
                    <w:jc w:val="center"/>
                    <w:rPr>
                      <w:rFonts w:hint="default" w:ascii="Times New Roman" w:hAnsi="Times New Roman" w:eastAsia="宋体" w:cs="Times New Roman"/>
                      <w:color w:val="auto"/>
                      <w:szCs w:val="21"/>
                    </w:rPr>
                  </w:pPr>
                </w:p>
              </w:tc>
            </w:tr>
            <w:tr w14:paraId="6E609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52B021B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250D9C8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S5-2</w:t>
                  </w:r>
                </w:p>
              </w:tc>
              <w:tc>
                <w:tcPr>
                  <w:tcW w:w="902" w:type="pct"/>
                  <w:tcBorders>
                    <w:tl2br w:val="nil"/>
                    <w:tr2bl w:val="nil"/>
                  </w:tcBorders>
                  <w:shd w:val="clear" w:color="auto" w:fill="auto"/>
                  <w:vAlign w:val="center"/>
                </w:tcPr>
                <w:p w14:paraId="1F47D80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机加工</w:t>
                  </w:r>
                </w:p>
              </w:tc>
              <w:tc>
                <w:tcPr>
                  <w:tcW w:w="784" w:type="pct"/>
                  <w:tcBorders>
                    <w:tl2br w:val="nil"/>
                    <w:tr2bl w:val="nil"/>
                  </w:tcBorders>
                  <w:shd w:val="clear" w:color="auto" w:fill="auto"/>
                  <w:vAlign w:val="center"/>
                </w:tcPr>
                <w:p w14:paraId="3C3294B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废乳化液</w:t>
                  </w:r>
                </w:p>
              </w:tc>
              <w:tc>
                <w:tcPr>
                  <w:tcW w:w="1768" w:type="pct"/>
                  <w:vMerge w:val="continue"/>
                  <w:tcBorders>
                    <w:tl2br w:val="nil"/>
                    <w:tr2bl w:val="nil"/>
                  </w:tcBorders>
                  <w:shd w:val="clear" w:color="auto" w:fill="auto"/>
                  <w:vAlign w:val="center"/>
                </w:tcPr>
                <w:p w14:paraId="2426033F">
                  <w:pPr>
                    <w:jc w:val="center"/>
                    <w:rPr>
                      <w:rFonts w:hint="default" w:ascii="Times New Roman" w:hAnsi="Times New Roman" w:eastAsia="宋体" w:cs="Times New Roman"/>
                      <w:color w:val="auto"/>
                      <w:szCs w:val="21"/>
                    </w:rPr>
                  </w:pPr>
                </w:p>
              </w:tc>
            </w:tr>
            <w:tr w14:paraId="73A8B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14348722">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7FF907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S5-3</w:t>
                  </w:r>
                </w:p>
              </w:tc>
              <w:tc>
                <w:tcPr>
                  <w:tcW w:w="902" w:type="pct"/>
                  <w:tcBorders>
                    <w:tl2br w:val="nil"/>
                    <w:tr2bl w:val="nil"/>
                  </w:tcBorders>
                  <w:shd w:val="clear" w:color="auto" w:fill="auto"/>
                  <w:vAlign w:val="center"/>
                </w:tcPr>
                <w:p w14:paraId="26E4436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机加工</w:t>
                  </w:r>
                </w:p>
              </w:tc>
              <w:tc>
                <w:tcPr>
                  <w:tcW w:w="784" w:type="pct"/>
                  <w:tcBorders>
                    <w:tl2br w:val="nil"/>
                    <w:tr2bl w:val="nil"/>
                  </w:tcBorders>
                  <w:shd w:val="clear" w:color="auto" w:fill="auto"/>
                  <w:vAlign w:val="center"/>
                </w:tcPr>
                <w:p w14:paraId="06E70EE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废润滑油</w:t>
                  </w:r>
                </w:p>
              </w:tc>
              <w:tc>
                <w:tcPr>
                  <w:tcW w:w="1768" w:type="pct"/>
                  <w:vMerge w:val="continue"/>
                  <w:tcBorders>
                    <w:tl2br w:val="nil"/>
                    <w:tr2bl w:val="nil"/>
                  </w:tcBorders>
                  <w:shd w:val="clear" w:color="auto" w:fill="auto"/>
                  <w:vAlign w:val="center"/>
                </w:tcPr>
                <w:p w14:paraId="4ECEFC46">
                  <w:pPr>
                    <w:jc w:val="center"/>
                    <w:rPr>
                      <w:rFonts w:hint="default" w:ascii="Times New Roman" w:hAnsi="Times New Roman" w:eastAsia="宋体" w:cs="Times New Roman"/>
                      <w:color w:val="auto"/>
                      <w:szCs w:val="21"/>
                    </w:rPr>
                  </w:pPr>
                </w:p>
              </w:tc>
            </w:tr>
            <w:tr w14:paraId="32B5A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13C504FE">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535F8DB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S5-4</w:t>
                  </w:r>
                </w:p>
              </w:tc>
              <w:tc>
                <w:tcPr>
                  <w:tcW w:w="902" w:type="pct"/>
                  <w:tcBorders>
                    <w:tl2br w:val="nil"/>
                    <w:tr2bl w:val="nil"/>
                  </w:tcBorders>
                  <w:shd w:val="clear" w:color="auto" w:fill="auto"/>
                  <w:vAlign w:val="center"/>
                </w:tcPr>
                <w:p w14:paraId="1872D9C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振动研磨</w:t>
                  </w:r>
                </w:p>
              </w:tc>
              <w:tc>
                <w:tcPr>
                  <w:tcW w:w="784" w:type="pct"/>
                  <w:tcBorders>
                    <w:tl2br w:val="nil"/>
                    <w:tr2bl w:val="nil"/>
                  </w:tcBorders>
                  <w:shd w:val="clear" w:color="auto" w:fill="auto"/>
                  <w:vAlign w:val="center"/>
                </w:tcPr>
                <w:p w14:paraId="738CC6F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废乳化液</w:t>
                  </w:r>
                </w:p>
              </w:tc>
              <w:tc>
                <w:tcPr>
                  <w:tcW w:w="1768" w:type="pct"/>
                  <w:vMerge w:val="continue"/>
                  <w:tcBorders>
                    <w:tl2br w:val="nil"/>
                    <w:tr2bl w:val="nil"/>
                  </w:tcBorders>
                  <w:shd w:val="clear" w:color="auto" w:fill="auto"/>
                  <w:vAlign w:val="center"/>
                </w:tcPr>
                <w:p w14:paraId="21A048C0">
                  <w:pPr>
                    <w:jc w:val="center"/>
                    <w:rPr>
                      <w:rFonts w:hint="default" w:ascii="Times New Roman" w:hAnsi="Times New Roman" w:eastAsia="宋体" w:cs="Times New Roman"/>
                      <w:color w:val="auto"/>
                      <w:szCs w:val="21"/>
                    </w:rPr>
                  </w:pPr>
                </w:p>
              </w:tc>
            </w:tr>
            <w:tr w14:paraId="491DC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6B0029D9">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28F3D7C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S5-5</w:t>
                  </w:r>
                </w:p>
              </w:tc>
              <w:tc>
                <w:tcPr>
                  <w:tcW w:w="902" w:type="pct"/>
                  <w:tcBorders>
                    <w:tl2br w:val="nil"/>
                    <w:tr2bl w:val="nil"/>
                  </w:tcBorders>
                  <w:shd w:val="clear" w:color="auto" w:fill="auto"/>
                  <w:vAlign w:val="center"/>
                </w:tcPr>
                <w:p w14:paraId="48A7BB8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振动研磨</w:t>
                  </w:r>
                </w:p>
              </w:tc>
              <w:tc>
                <w:tcPr>
                  <w:tcW w:w="784" w:type="pct"/>
                  <w:tcBorders>
                    <w:tl2br w:val="nil"/>
                    <w:tr2bl w:val="nil"/>
                  </w:tcBorders>
                  <w:shd w:val="clear" w:color="auto" w:fill="auto"/>
                  <w:vAlign w:val="center"/>
                </w:tcPr>
                <w:p w14:paraId="7934CED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研磨废渣</w:t>
                  </w:r>
                </w:p>
              </w:tc>
              <w:tc>
                <w:tcPr>
                  <w:tcW w:w="1768" w:type="pct"/>
                  <w:vMerge w:val="continue"/>
                  <w:tcBorders>
                    <w:tl2br w:val="nil"/>
                    <w:tr2bl w:val="nil"/>
                  </w:tcBorders>
                  <w:shd w:val="clear" w:color="auto" w:fill="auto"/>
                  <w:vAlign w:val="center"/>
                </w:tcPr>
                <w:p w14:paraId="417B71BC">
                  <w:pPr>
                    <w:jc w:val="center"/>
                    <w:rPr>
                      <w:rFonts w:hint="default" w:ascii="Times New Roman" w:hAnsi="Times New Roman" w:eastAsia="宋体" w:cs="Times New Roman"/>
                      <w:color w:val="auto"/>
                      <w:szCs w:val="21"/>
                    </w:rPr>
                  </w:pPr>
                </w:p>
              </w:tc>
            </w:tr>
            <w:tr w14:paraId="22539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791555E6">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5FA8518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S5-6</w:t>
                  </w:r>
                </w:p>
              </w:tc>
              <w:tc>
                <w:tcPr>
                  <w:tcW w:w="902" w:type="pct"/>
                  <w:tcBorders>
                    <w:tl2br w:val="nil"/>
                    <w:tr2bl w:val="nil"/>
                  </w:tcBorders>
                  <w:shd w:val="clear" w:color="auto" w:fill="auto"/>
                  <w:vAlign w:val="center"/>
                </w:tcPr>
                <w:p w14:paraId="6DE282D7">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外径研磨</w:t>
                  </w:r>
                </w:p>
              </w:tc>
              <w:tc>
                <w:tcPr>
                  <w:tcW w:w="784" w:type="pct"/>
                  <w:tcBorders>
                    <w:tl2br w:val="nil"/>
                    <w:tr2bl w:val="nil"/>
                  </w:tcBorders>
                  <w:shd w:val="clear" w:color="auto" w:fill="auto"/>
                  <w:vAlign w:val="center"/>
                </w:tcPr>
                <w:p w14:paraId="139B318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废乳化液</w:t>
                  </w:r>
                </w:p>
              </w:tc>
              <w:tc>
                <w:tcPr>
                  <w:tcW w:w="1768" w:type="pct"/>
                  <w:vMerge w:val="continue"/>
                  <w:tcBorders>
                    <w:tl2br w:val="nil"/>
                    <w:tr2bl w:val="nil"/>
                  </w:tcBorders>
                  <w:shd w:val="clear" w:color="auto" w:fill="auto"/>
                  <w:vAlign w:val="center"/>
                </w:tcPr>
                <w:p w14:paraId="217BBD02">
                  <w:pPr>
                    <w:jc w:val="center"/>
                    <w:rPr>
                      <w:rFonts w:hint="default" w:ascii="Times New Roman" w:hAnsi="Times New Roman" w:eastAsia="宋体" w:cs="Times New Roman"/>
                      <w:color w:val="auto"/>
                      <w:szCs w:val="21"/>
                    </w:rPr>
                  </w:pPr>
                </w:p>
              </w:tc>
            </w:tr>
            <w:tr w14:paraId="022CE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32954D8C">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54C7FD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S5-7</w:t>
                  </w:r>
                </w:p>
              </w:tc>
              <w:tc>
                <w:tcPr>
                  <w:tcW w:w="902" w:type="pct"/>
                  <w:tcBorders>
                    <w:tl2br w:val="nil"/>
                    <w:tr2bl w:val="nil"/>
                  </w:tcBorders>
                  <w:shd w:val="clear" w:color="auto" w:fill="auto"/>
                  <w:vAlign w:val="center"/>
                </w:tcPr>
                <w:p w14:paraId="59CC4AE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外径研磨</w:t>
                  </w:r>
                </w:p>
              </w:tc>
              <w:tc>
                <w:tcPr>
                  <w:tcW w:w="784" w:type="pct"/>
                  <w:tcBorders>
                    <w:tl2br w:val="nil"/>
                    <w:tr2bl w:val="nil"/>
                  </w:tcBorders>
                  <w:shd w:val="clear" w:color="auto" w:fill="auto"/>
                  <w:vAlign w:val="center"/>
                </w:tcPr>
                <w:p w14:paraId="2FE1CAC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研磨废渣</w:t>
                  </w:r>
                </w:p>
              </w:tc>
              <w:tc>
                <w:tcPr>
                  <w:tcW w:w="1768" w:type="pct"/>
                  <w:vMerge w:val="continue"/>
                  <w:tcBorders>
                    <w:tl2br w:val="nil"/>
                    <w:tr2bl w:val="nil"/>
                  </w:tcBorders>
                  <w:shd w:val="clear" w:color="auto" w:fill="auto"/>
                  <w:vAlign w:val="center"/>
                </w:tcPr>
                <w:p w14:paraId="29FFC36D">
                  <w:pPr>
                    <w:jc w:val="center"/>
                    <w:rPr>
                      <w:rFonts w:hint="default" w:ascii="Times New Roman" w:hAnsi="Times New Roman" w:eastAsia="宋体" w:cs="Times New Roman"/>
                      <w:color w:val="auto"/>
                      <w:szCs w:val="21"/>
                    </w:rPr>
                  </w:pPr>
                </w:p>
              </w:tc>
            </w:tr>
            <w:tr w14:paraId="0A78F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6740CCAB">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0324D7E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02" w:type="pct"/>
                  <w:tcBorders>
                    <w:tl2br w:val="nil"/>
                    <w:tr2bl w:val="nil"/>
                  </w:tcBorders>
                  <w:vAlign w:val="center"/>
                </w:tcPr>
                <w:p w14:paraId="4320200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员工生活、办公</w:t>
                  </w:r>
                </w:p>
              </w:tc>
              <w:tc>
                <w:tcPr>
                  <w:tcW w:w="784" w:type="pct"/>
                  <w:tcBorders>
                    <w:tl2br w:val="nil"/>
                    <w:tr2bl w:val="nil"/>
                  </w:tcBorders>
                  <w:vAlign w:val="center"/>
                </w:tcPr>
                <w:p w14:paraId="1DB114C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768" w:type="pct"/>
                  <w:tcBorders>
                    <w:tl2br w:val="nil"/>
                    <w:tr2bl w:val="nil"/>
                  </w:tcBorders>
                  <w:shd w:val="clear" w:color="auto" w:fill="auto"/>
                  <w:vAlign w:val="center"/>
                </w:tcPr>
                <w:p w14:paraId="76F9AF8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由环卫部门统一清运</w:t>
                  </w:r>
                </w:p>
              </w:tc>
            </w:tr>
          </w:tbl>
          <w:p w14:paraId="4A835175">
            <w:pPr>
              <w:spacing w:line="360" w:lineRule="auto"/>
              <w:rPr>
                <w:rFonts w:hint="default" w:ascii="Times New Roman" w:hAnsi="Times New Roman" w:eastAsia="宋体" w:cs="Times New Roman"/>
                <w:color w:val="auto"/>
                <w:kern w:val="2"/>
                <w:sz w:val="24"/>
                <w:szCs w:val="22"/>
                <w:lang w:val="en-US" w:eastAsia="zh-CN" w:bidi="ar-SA"/>
              </w:rPr>
            </w:pPr>
          </w:p>
        </w:tc>
      </w:tr>
      <w:tr w14:paraId="4C2B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7A0D48CE">
            <w:pPr>
              <w:jc w:val="center"/>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与项目有关的原有环境污染问题</w:t>
            </w:r>
          </w:p>
        </w:tc>
        <w:tc>
          <w:tcPr>
            <w:tcW w:w="4622" w:type="pct"/>
            <w:vAlign w:val="top"/>
          </w:tcPr>
          <w:p w14:paraId="3B602E9F">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一、本项目有关的原有污染情况及主要环境问题</w:t>
            </w:r>
          </w:p>
          <w:p w14:paraId="5B1A7307">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司达磁电科技（常州）有限公司</w:t>
            </w:r>
            <w:r>
              <w:rPr>
                <w:rFonts w:hint="default" w:ascii="Times New Roman" w:hAnsi="Times New Roman" w:eastAsia="宋体" w:cs="Times New Roman"/>
                <w:color w:val="auto"/>
                <w:sz w:val="24"/>
              </w:rPr>
              <w:t>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4月租赁常州尼莫海洋科技有限公司位于</w:t>
            </w:r>
            <w:r>
              <w:rPr>
                <w:rFonts w:hint="default"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lang w:val="en-US" w:eastAsia="zh-CN"/>
              </w:rPr>
              <w:t>内的现有空置厂房</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空置</w:t>
            </w:r>
            <w:r>
              <w:rPr>
                <w:rFonts w:hint="default" w:ascii="Times New Roman" w:hAnsi="Times New Roman" w:eastAsia="宋体" w:cs="Times New Roman"/>
                <w:color w:val="auto"/>
                <w:sz w:val="24"/>
              </w:rPr>
              <w:t>厂房，因此不存在原有污染源和遗留环境问题</w:t>
            </w:r>
            <w:r>
              <w:rPr>
                <w:rFonts w:hint="default" w:ascii="Times New Roman" w:hAnsi="Times New Roman" w:eastAsia="宋体" w:cs="Times New Roman"/>
                <w:color w:val="auto"/>
                <w:sz w:val="24"/>
                <w:lang w:val="en-US" w:eastAsia="zh-CN"/>
              </w:rPr>
              <w:t>。</w:t>
            </w:r>
          </w:p>
          <w:p w14:paraId="7ACC28C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二、本项目与</w:t>
            </w:r>
            <w:r>
              <w:rPr>
                <w:rFonts w:hint="default" w:ascii="Times New Roman" w:hAnsi="Times New Roman" w:eastAsia="宋体" w:cs="Times New Roman"/>
                <w:b/>
                <w:color w:val="auto"/>
                <w:sz w:val="24"/>
                <w:lang w:val="en-US" w:eastAsia="zh-CN"/>
              </w:rPr>
              <w:t>常州尼莫海洋科技有限公司</w:t>
            </w:r>
            <w:r>
              <w:rPr>
                <w:rFonts w:hint="default" w:ascii="Times New Roman" w:hAnsi="Times New Roman" w:eastAsia="宋体" w:cs="Times New Roman"/>
                <w:b/>
                <w:color w:val="auto"/>
                <w:sz w:val="24"/>
              </w:rPr>
              <w:t>依托关系：</w:t>
            </w:r>
          </w:p>
          <w:p w14:paraId="50A20CA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本项目租赁</w:t>
            </w:r>
            <w:r>
              <w:rPr>
                <w:rFonts w:hint="default" w:ascii="Times New Roman" w:hAnsi="Times New Roman" w:eastAsia="宋体" w:cs="Times New Roman"/>
                <w:color w:val="auto"/>
                <w:sz w:val="24"/>
                <w:lang w:val="en-US" w:eastAsia="zh-CN"/>
              </w:rPr>
              <w:t>常州尼莫海洋科技有限公司位于</w:t>
            </w:r>
            <w:r>
              <w:rPr>
                <w:rFonts w:hint="default" w:ascii="Times New Roman" w:hAnsi="Times New Roman" w:eastAsia="宋体" w:cs="Times New Roman"/>
                <w:color w:val="auto"/>
                <w:sz w:val="24"/>
                <w:lang w:eastAsia="zh-CN"/>
              </w:rPr>
              <w:t>常州市金坛区华丰路6号</w:t>
            </w:r>
            <w:r>
              <w:rPr>
                <w:rFonts w:hint="default" w:ascii="Times New Roman" w:hAnsi="Times New Roman" w:eastAsia="宋体" w:cs="Times New Roman"/>
                <w:color w:val="auto"/>
                <w:sz w:val="24"/>
                <w:lang w:val="en-US" w:eastAsia="zh-CN"/>
              </w:rPr>
              <w:t>内的现有空置厂房</w:t>
            </w:r>
            <w:r>
              <w:rPr>
                <w:rFonts w:hint="default" w:ascii="Times New Roman" w:hAnsi="Times New Roman" w:eastAsia="宋体" w:cs="Times New Roman"/>
                <w:b w:val="0"/>
                <w:bCs/>
                <w:color w:val="auto"/>
                <w:sz w:val="24"/>
              </w:rPr>
              <w:t>进行生产，厂区已按照“雨污分流”的原则进行建设。经与建设单位核实，本项目与其依托关系如下：</w:t>
            </w:r>
          </w:p>
          <w:p w14:paraId="2B852D2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1、本项目废水依托厂区内现有污水管网和排污口接入区域污水管网，进常州金坛区第二污水处理有限公司处理。</w:t>
            </w:r>
          </w:p>
          <w:p w14:paraId="7EEC65E5">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w:t>
            </w:r>
            <w:r>
              <w:rPr>
                <w:rFonts w:hint="eastAsia" w:ascii="Times New Roman" w:hAnsi="Times New Roman" w:eastAsia="宋体" w:cs="Times New Roman"/>
                <w:b w:val="0"/>
                <w:bCs/>
                <w:color w:val="auto"/>
                <w:sz w:val="24"/>
                <w:lang w:eastAsia="zh-CN"/>
              </w:rPr>
              <w:t>司达磁电科技（常州）有限公司</w:t>
            </w:r>
            <w:r>
              <w:rPr>
                <w:rFonts w:hint="default" w:ascii="Times New Roman" w:hAnsi="Times New Roman" w:eastAsia="宋体" w:cs="Times New Roman"/>
                <w:b w:val="0"/>
                <w:bCs/>
                <w:color w:val="auto"/>
                <w:sz w:val="24"/>
              </w:rPr>
              <w:t>应确保本项目仅排放员工的生活污水，严禁向排污口倾倒其他废水、废液等。</w:t>
            </w:r>
          </w:p>
          <w:p w14:paraId="538E0EF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w:t>
            </w:r>
            <w:r>
              <w:rPr>
                <w:rFonts w:hint="eastAsia" w:ascii="Times New Roman" w:hAnsi="Times New Roman" w:eastAsia="宋体" w:cs="Times New Roman"/>
                <w:b w:val="0"/>
                <w:bCs/>
                <w:color w:val="auto"/>
                <w:sz w:val="24"/>
                <w:lang w:eastAsia="zh-CN"/>
              </w:rPr>
              <w:t>司达磁电科技（常州）有限公司</w:t>
            </w:r>
            <w:r>
              <w:rPr>
                <w:rFonts w:hint="default" w:ascii="Times New Roman" w:hAnsi="Times New Roman" w:eastAsia="宋体" w:cs="Times New Roman"/>
                <w:b w:val="0"/>
                <w:bCs/>
                <w:color w:val="auto"/>
                <w:sz w:val="24"/>
              </w:rPr>
              <w:t>在接入厂区的接管口前单独设置采样井及环境保护提示牌。</w:t>
            </w:r>
          </w:p>
          <w:p w14:paraId="025BEEA4">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、本项目供水管网、供电管网、雨水管网及雨水排口等基础设施均依托</w:t>
            </w:r>
            <w:r>
              <w:rPr>
                <w:rFonts w:hint="default" w:ascii="Times New Roman" w:hAnsi="Times New Roman" w:eastAsia="宋体" w:cs="Times New Roman"/>
                <w:color w:val="auto"/>
                <w:sz w:val="24"/>
                <w:lang w:val="en-US" w:eastAsia="zh-CN"/>
              </w:rPr>
              <w:t>常州尼莫海洋科技有限公司</w:t>
            </w:r>
            <w:r>
              <w:rPr>
                <w:rFonts w:hint="default" w:ascii="Times New Roman" w:hAnsi="Times New Roman" w:eastAsia="宋体" w:cs="Times New Roman"/>
                <w:b w:val="0"/>
                <w:bCs/>
                <w:color w:val="auto"/>
                <w:sz w:val="24"/>
              </w:rPr>
              <w:t>。</w:t>
            </w:r>
          </w:p>
          <w:p w14:paraId="0FADF241">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三</w:t>
            </w:r>
            <w:r>
              <w:rPr>
                <w:rFonts w:hint="default" w:ascii="Times New Roman" w:hAnsi="Times New Roman" w:eastAsia="宋体" w:cs="Times New Roman"/>
                <w:b/>
                <w:color w:val="auto"/>
                <w:sz w:val="24"/>
              </w:rPr>
              <w:t>、责任主体</w:t>
            </w:r>
          </w:p>
          <w:p w14:paraId="292D8386">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color w:val="auto"/>
                <w:sz w:val="24"/>
                <w:lang w:val="en-US" w:eastAsia="zh-CN"/>
              </w:rPr>
              <w:t>常州尼莫海洋科技有限公司</w:t>
            </w:r>
            <w:r>
              <w:rPr>
                <w:rFonts w:hint="default" w:ascii="Times New Roman" w:hAnsi="Times New Roman" w:eastAsia="宋体" w:cs="Times New Roman"/>
                <w:b w:val="0"/>
                <w:bCs/>
                <w:color w:val="auto"/>
                <w:sz w:val="24"/>
              </w:rPr>
              <w:t>应加强管理，确保厂区内废水总排污口各因子可达常州金坛区第二污水处理有限公司接管标准要求。若厂区接管口的采样井出现超标排放，由</w:t>
            </w:r>
            <w:r>
              <w:rPr>
                <w:rFonts w:hint="default" w:ascii="Times New Roman" w:hAnsi="Times New Roman" w:eastAsia="宋体" w:cs="Times New Roman"/>
                <w:color w:val="auto"/>
                <w:sz w:val="24"/>
                <w:lang w:val="en-US" w:eastAsia="zh-CN"/>
              </w:rPr>
              <w:t>常州尼莫海洋科技有限公司</w:t>
            </w:r>
            <w:r>
              <w:rPr>
                <w:rFonts w:hint="default" w:ascii="Times New Roman" w:hAnsi="Times New Roman" w:eastAsia="宋体" w:cs="Times New Roman"/>
                <w:b w:val="0"/>
                <w:bCs/>
                <w:color w:val="auto"/>
                <w:sz w:val="24"/>
              </w:rPr>
              <w:t>承担相关责任。若</w:t>
            </w:r>
            <w:r>
              <w:rPr>
                <w:rFonts w:hint="eastAsia" w:ascii="Times New Roman" w:hAnsi="Times New Roman" w:eastAsia="宋体" w:cs="Times New Roman"/>
                <w:b w:val="0"/>
                <w:bCs/>
                <w:color w:val="auto"/>
                <w:sz w:val="24"/>
                <w:lang w:eastAsia="zh-CN"/>
              </w:rPr>
              <w:t>司达磁电科技（常州）有限公司</w:t>
            </w:r>
            <w:r>
              <w:rPr>
                <w:rFonts w:hint="default" w:ascii="Times New Roman" w:hAnsi="Times New Roman" w:eastAsia="宋体" w:cs="Times New Roman"/>
                <w:b w:val="0"/>
                <w:bCs/>
                <w:color w:val="auto"/>
                <w:sz w:val="24"/>
              </w:rPr>
              <w:t>设置的单独接管口的采样井出现超标排放，废气排放口出现超标排放，固废未按要求收集及处理</w:t>
            </w:r>
            <w:r>
              <w:rPr>
                <w:rFonts w:hint="default" w:ascii="Times New Roman" w:hAnsi="Times New Roman" w:eastAsia="宋体" w:cs="Times New Roman"/>
                <w:b w:val="0"/>
                <w:bCs/>
                <w:color w:val="auto"/>
                <w:sz w:val="24"/>
                <w:lang w:val="en-US" w:eastAsia="zh-CN"/>
              </w:rPr>
              <w:t>等</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由</w:t>
            </w:r>
            <w:r>
              <w:rPr>
                <w:rFonts w:hint="eastAsia" w:ascii="Times New Roman" w:hAnsi="Times New Roman" w:eastAsia="宋体" w:cs="Times New Roman"/>
                <w:b w:val="0"/>
                <w:bCs/>
                <w:color w:val="auto"/>
                <w:sz w:val="24"/>
                <w:lang w:eastAsia="zh-CN"/>
              </w:rPr>
              <w:t>司达磁电科技（常州）有限公司</w:t>
            </w:r>
            <w:r>
              <w:rPr>
                <w:rFonts w:hint="default" w:ascii="Times New Roman" w:hAnsi="Times New Roman" w:eastAsia="宋体" w:cs="Times New Roman"/>
                <w:b w:val="0"/>
                <w:bCs/>
                <w:color w:val="auto"/>
                <w:sz w:val="24"/>
              </w:rPr>
              <w:t>承担相关责任。厂界噪声出现超标排放</w:t>
            </w:r>
            <w:r>
              <w:rPr>
                <w:rFonts w:hint="default" w:ascii="Times New Roman" w:hAnsi="Times New Roman" w:eastAsia="宋体" w:cs="Times New Roman"/>
                <w:b w:val="0"/>
                <w:bCs/>
                <w:color w:val="auto"/>
                <w:sz w:val="24"/>
                <w:lang w:val="en-US" w:eastAsia="zh-CN"/>
              </w:rPr>
              <w:t>时，相关监管部门关停厂区其他厂并进行厂界噪声监测，若检测数据超标，由</w:t>
            </w:r>
            <w:r>
              <w:rPr>
                <w:rFonts w:hint="eastAsia" w:ascii="Times New Roman" w:hAnsi="Times New Roman" w:eastAsia="宋体" w:cs="Times New Roman"/>
                <w:b w:val="0"/>
                <w:bCs/>
                <w:color w:val="auto"/>
                <w:sz w:val="24"/>
                <w:lang w:eastAsia="zh-CN"/>
              </w:rPr>
              <w:t>司达磁电科技（常州）有限公司</w:t>
            </w:r>
            <w:r>
              <w:rPr>
                <w:rFonts w:hint="default" w:ascii="Times New Roman" w:hAnsi="Times New Roman" w:eastAsia="宋体" w:cs="Times New Roman"/>
                <w:b w:val="0"/>
                <w:bCs/>
                <w:color w:val="auto"/>
                <w:sz w:val="24"/>
              </w:rPr>
              <w:t>承担相关责任</w:t>
            </w:r>
            <w:r>
              <w:rPr>
                <w:rFonts w:hint="default" w:ascii="Times New Roman" w:hAnsi="Times New Roman" w:eastAsia="宋体" w:cs="Times New Roman"/>
                <w:b w:val="0"/>
                <w:bCs/>
                <w:color w:val="auto"/>
                <w:sz w:val="24"/>
                <w:lang w:eastAsia="zh-CN"/>
              </w:rPr>
              <w:t>。</w:t>
            </w:r>
          </w:p>
          <w:p w14:paraId="536B8775">
            <w:pPr>
              <w:spacing w:line="360" w:lineRule="auto"/>
              <w:ind w:firstLine="482" w:firstLineChars="200"/>
              <w:rPr>
                <w:rFonts w:hint="default" w:ascii="Times New Roman" w:hAnsi="Times New Roman" w:eastAsia="宋体" w:cs="Times New Roman"/>
                <w:b/>
                <w:color w:val="auto"/>
                <w:sz w:val="24"/>
              </w:rPr>
            </w:pPr>
          </w:p>
          <w:p w14:paraId="07D92902">
            <w:pPr>
              <w:spacing w:line="360" w:lineRule="auto"/>
              <w:ind w:firstLine="482" w:firstLineChars="200"/>
              <w:rPr>
                <w:rFonts w:hint="default" w:ascii="Times New Roman" w:hAnsi="Times New Roman" w:eastAsia="宋体" w:cs="Times New Roman"/>
                <w:b/>
                <w:color w:val="auto"/>
                <w:sz w:val="24"/>
              </w:rPr>
            </w:pPr>
          </w:p>
          <w:p w14:paraId="56420BCA">
            <w:pPr>
              <w:spacing w:line="360" w:lineRule="auto"/>
              <w:ind w:firstLine="482" w:firstLineChars="200"/>
              <w:rPr>
                <w:rFonts w:hint="default" w:ascii="Times New Roman" w:hAnsi="Times New Roman" w:eastAsia="宋体" w:cs="Times New Roman"/>
                <w:b/>
                <w:color w:val="auto"/>
                <w:sz w:val="24"/>
              </w:rPr>
            </w:pPr>
          </w:p>
          <w:p w14:paraId="0B1767A2">
            <w:pPr>
              <w:spacing w:line="360" w:lineRule="auto"/>
              <w:ind w:firstLine="482" w:firstLineChars="200"/>
              <w:rPr>
                <w:rFonts w:hint="default" w:ascii="Times New Roman" w:hAnsi="Times New Roman" w:eastAsia="宋体" w:cs="Times New Roman"/>
                <w:b/>
                <w:color w:val="auto"/>
                <w:sz w:val="24"/>
              </w:rPr>
            </w:pPr>
          </w:p>
          <w:p w14:paraId="466DE457">
            <w:pPr>
              <w:spacing w:line="360" w:lineRule="auto"/>
              <w:ind w:firstLine="480" w:firstLineChars="200"/>
              <w:rPr>
                <w:rFonts w:hint="default" w:ascii="Times New Roman" w:hAnsi="Times New Roman" w:eastAsia="宋体" w:cs="Times New Roman"/>
                <w:color w:val="auto"/>
                <w:sz w:val="24"/>
              </w:rPr>
            </w:pPr>
          </w:p>
          <w:p w14:paraId="63EBF963">
            <w:pPr>
              <w:spacing w:line="360" w:lineRule="auto"/>
              <w:ind w:firstLine="480" w:firstLineChars="200"/>
              <w:rPr>
                <w:rFonts w:hint="default" w:ascii="Times New Roman" w:hAnsi="Times New Roman" w:eastAsia="宋体" w:cs="Times New Roman"/>
                <w:color w:val="auto"/>
                <w:sz w:val="24"/>
              </w:rPr>
            </w:pPr>
          </w:p>
          <w:p w14:paraId="31445C41">
            <w:pPr>
              <w:spacing w:line="360" w:lineRule="auto"/>
              <w:ind w:firstLine="480" w:firstLineChars="200"/>
              <w:rPr>
                <w:rFonts w:hint="default" w:ascii="Times New Roman" w:hAnsi="Times New Roman" w:eastAsia="宋体" w:cs="Times New Roman"/>
                <w:color w:val="auto"/>
                <w:sz w:val="24"/>
              </w:rPr>
            </w:pPr>
          </w:p>
          <w:p w14:paraId="0FA90D05">
            <w:pPr>
              <w:spacing w:line="360" w:lineRule="auto"/>
              <w:ind w:firstLine="480" w:firstLineChars="200"/>
              <w:rPr>
                <w:rFonts w:hint="default" w:ascii="Times New Roman" w:hAnsi="Times New Roman" w:eastAsia="宋体" w:cs="Times New Roman"/>
                <w:color w:val="auto"/>
                <w:sz w:val="24"/>
              </w:rPr>
            </w:pPr>
          </w:p>
          <w:p w14:paraId="56014564">
            <w:pPr>
              <w:spacing w:line="360" w:lineRule="auto"/>
              <w:ind w:firstLine="480" w:firstLineChars="200"/>
              <w:rPr>
                <w:rFonts w:hint="default" w:ascii="Times New Roman" w:hAnsi="Times New Roman" w:eastAsia="宋体" w:cs="Times New Roman"/>
                <w:color w:val="auto"/>
                <w:sz w:val="24"/>
              </w:rPr>
            </w:pPr>
          </w:p>
          <w:p w14:paraId="421DB274">
            <w:pPr>
              <w:spacing w:line="360" w:lineRule="auto"/>
              <w:rPr>
                <w:rFonts w:hint="default" w:ascii="Times New Roman" w:hAnsi="Times New Roman" w:eastAsia="宋体" w:cs="Times New Roman"/>
                <w:color w:val="auto"/>
                <w:kern w:val="2"/>
                <w:sz w:val="24"/>
                <w:szCs w:val="22"/>
                <w:lang w:val="en-US" w:eastAsia="zh-CN" w:bidi="ar-SA"/>
              </w:rPr>
            </w:pPr>
          </w:p>
        </w:tc>
      </w:tr>
    </w:tbl>
    <w:p w14:paraId="29D637F1">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6CB36419">
      <w:pPr>
        <w:pStyle w:val="4"/>
        <w:rPr>
          <w:rFonts w:hint="default" w:ascii="Times New Roman" w:hAnsi="Times New Roman" w:cs="Times New Roman"/>
          <w:color w:val="auto"/>
        </w:rPr>
      </w:pPr>
      <w:r>
        <w:rPr>
          <w:rFonts w:hint="default" w:ascii="Times New Roman" w:hAnsi="Times New Roman" w:cs="Times New Roman"/>
          <w:color w:val="auto"/>
        </w:rPr>
        <w:t>三、区域环境现状、环境保护目标及评价标准</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510"/>
      </w:tblGrid>
      <w:tr w14:paraId="0C2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5AA08CAC">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区域环境质量现状</w:t>
            </w:r>
          </w:p>
        </w:tc>
        <w:tc>
          <w:tcPr>
            <w:tcW w:w="4581" w:type="pct"/>
          </w:tcPr>
          <w:p w14:paraId="724F23E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1、大气环境</w:t>
            </w:r>
          </w:p>
          <w:p w14:paraId="3DD7823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（1）大气基准污染物环境质量现状</w:t>
            </w:r>
          </w:p>
          <w:p w14:paraId="39D78AA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4150E97">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本次评价选取202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年作为评价基准年，根据《202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lang w:val="en-US" w:eastAsia="zh-CN"/>
              </w:rPr>
              <w:t>3-5</w:t>
            </w:r>
            <w:r>
              <w:rPr>
                <w:rFonts w:hint="default" w:ascii="Times New Roman" w:hAnsi="Times New Roman" w:eastAsia="宋体" w:cs="Times New Roman"/>
                <w:caps w:val="0"/>
                <w:smallCaps w:val="0"/>
                <w:color w:val="auto"/>
                <w:spacing w:val="0"/>
                <w:sz w:val="24"/>
                <w:szCs w:val="24"/>
                <w:highlight w:val="none"/>
              </w:rPr>
              <w:t>。</w:t>
            </w:r>
          </w:p>
          <w:p w14:paraId="5AADB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表</w:t>
            </w:r>
            <w:r>
              <w:rPr>
                <w:rFonts w:hint="default" w:ascii="Times New Roman" w:hAnsi="Times New Roman" w:eastAsia="宋体" w:cs="Times New Roman"/>
                <w:b/>
                <w:bCs/>
                <w:caps w:val="0"/>
                <w:smallCaps w:val="0"/>
                <w:color w:val="auto"/>
                <w:spacing w:val="0"/>
                <w:sz w:val="24"/>
                <w:szCs w:val="24"/>
                <w:highlight w:val="none"/>
                <w:lang w:val="en-US" w:eastAsia="zh-CN"/>
              </w:rPr>
              <w:t xml:space="preserve">3-5 </w:t>
            </w:r>
            <w:r>
              <w:rPr>
                <w:rFonts w:hint="default" w:ascii="Times New Roman" w:hAnsi="Times New Roman" w:eastAsia="宋体" w:cs="Times New Roman"/>
                <w:b/>
                <w:bCs/>
                <w:caps w:val="0"/>
                <w:smallCaps w:val="0"/>
                <w:color w:val="auto"/>
                <w:spacing w:val="0"/>
                <w:sz w:val="24"/>
                <w:szCs w:val="24"/>
                <w:highlight w:val="none"/>
              </w:rPr>
              <w:t>大气基本污染物环境质量现状</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
              <w:gridCol w:w="722"/>
              <w:gridCol w:w="2138"/>
              <w:gridCol w:w="1038"/>
              <w:gridCol w:w="960"/>
              <w:gridCol w:w="1100"/>
              <w:gridCol w:w="914"/>
              <w:gridCol w:w="919"/>
            </w:tblGrid>
            <w:tr w14:paraId="59730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620F3E15">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区域</w:t>
                  </w:r>
                </w:p>
              </w:tc>
              <w:tc>
                <w:tcPr>
                  <w:tcW w:w="435" w:type="pct"/>
                  <w:noWrap w:val="0"/>
                  <w:vAlign w:val="center"/>
                </w:tcPr>
                <w:p w14:paraId="5958A7FF">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污染物</w:t>
                  </w:r>
                </w:p>
              </w:tc>
              <w:tc>
                <w:tcPr>
                  <w:tcW w:w="1289" w:type="pct"/>
                  <w:noWrap w:val="0"/>
                  <w:vAlign w:val="center"/>
                </w:tcPr>
                <w:p w14:paraId="27F2F174">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年评价指标</w:t>
                  </w:r>
                </w:p>
              </w:tc>
              <w:tc>
                <w:tcPr>
                  <w:tcW w:w="626" w:type="pct"/>
                  <w:noWrap w:val="0"/>
                  <w:vAlign w:val="center"/>
                </w:tcPr>
                <w:p w14:paraId="2BED1A13">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现状浓度</w:t>
                  </w:r>
                </w:p>
                <w:p w14:paraId="7C1A7C91">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579" w:type="pct"/>
                  <w:noWrap w:val="0"/>
                  <w:vAlign w:val="center"/>
                </w:tcPr>
                <w:p w14:paraId="21EF2624">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标准值</w:t>
                  </w:r>
                </w:p>
                <w:p w14:paraId="6A56A7FA">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663" w:type="pct"/>
                  <w:noWrap w:val="0"/>
                  <w:vAlign w:val="center"/>
                </w:tcPr>
                <w:p w14:paraId="785C8AB7">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占标率（%）</w:t>
                  </w:r>
                </w:p>
              </w:tc>
              <w:tc>
                <w:tcPr>
                  <w:tcW w:w="551" w:type="pct"/>
                  <w:noWrap w:val="0"/>
                  <w:vAlign w:val="center"/>
                </w:tcPr>
                <w:p w14:paraId="51FB8787">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达标情况</w:t>
                  </w:r>
                </w:p>
              </w:tc>
              <w:tc>
                <w:tcPr>
                  <w:tcW w:w="554" w:type="pct"/>
                  <w:noWrap w:val="0"/>
                  <w:vAlign w:val="center"/>
                </w:tcPr>
                <w:p w14:paraId="321ED9A2">
                  <w:pPr>
                    <w:spacing w:line="240" w:lineRule="auto"/>
                    <w:jc w:val="center"/>
                    <w:rPr>
                      <w:rFonts w:hint="default" w:ascii="Times New Roman" w:hAnsi="Times New Roman" w:eastAsia="宋体" w:cs="Times New Roman"/>
                      <w:b/>
                      <w:bCs/>
                      <w:caps w:val="0"/>
                      <w:smallCaps w:val="0"/>
                      <w:color w:val="auto"/>
                      <w:spacing w:val="0"/>
                      <w:lang w:val="en-US" w:eastAsia="zh-CN"/>
                    </w:rPr>
                  </w:pPr>
                  <w:r>
                    <w:rPr>
                      <w:rFonts w:hint="default" w:ascii="Times New Roman" w:hAnsi="Times New Roman" w:eastAsia="宋体" w:cs="Times New Roman"/>
                      <w:b/>
                      <w:bCs/>
                      <w:caps w:val="0"/>
                      <w:smallCaps w:val="0"/>
                      <w:color w:val="auto"/>
                      <w:spacing w:val="0"/>
                      <w:lang w:val="en-US" w:eastAsia="zh-CN"/>
                    </w:rPr>
                    <w:t>超标率（%）</w:t>
                  </w:r>
                </w:p>
              </w:tc>
            </w:tr>
            <w:tr w14:paraId="575C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15B98675">
                  <w:pPr>
                    <w:spacing w:line="240" w:lineRule="auto"/>
                    <w:jc w:val="center"/>
                    <w:rPr>
                      <w:rFonts w:hint="default" w:ascii="Times New Roman" w:hAnsi="Times New Roman" w:eastAsia="宋体" w:cs="Times New Roman"/>
                      <w:caps w:val="0"/>
                      <w:smallCaps w:val="0"/>
                      <w:color w:val="auto"/>
                      <w:spacing w:val="0"/>
                    </w:rPr>
                  </w:pPr>
                  <w:r>
                    <w:rPr>
                      <w:rFonts w:hint="default" w:ascii="Times New Roman" w:hAnsi="Times New Roman" w:eastAsia="宋体" w:cs="Times New Roman"/>
                      <w:caps w:val="0"/>
                      <w:smallCaps w:val="0"/>
                      <w:color w:val="auto"/>
                      <w:spacing w:val="0"/>
                    </w:rPr>
                    <w:t>常州全市</w:t>
                  </w:r>
                </w:p>
              </w:tc>
              <w:tc>
                <w:tcPr>
                  <w:tcW w:w="435" w:type="pct"/>
                  <w:vMerge w:val="restart"/>
                  <w:noWrap w:val="0"/>
                  <w:vAlign w:val="center"/>
                </w:tcPr>
                <w:p w14:paraId="460B65F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SO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567606A8">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年平均质量浓度</w:t>
                  </w:r>
                </w:p>
              </w:tc>
              <w:tc>
                <w:tcPr>
                  <w:tcW w:w="626" w:type="pct"/>
                  <w:noWrap w:val="0"/>
                  <w:vAlign w:val="center"/>
                </w:tcPr>
                <w:p w14:paraId="6A024994">
                  <w:pPr>
                    <w:spacing w:line="240" w:lineRule="auto"/>
                    <w:jc w:val="center"/>
                    <w:rPr>
                      <w:rFonts w:hint="default" w:ascii="Times New Roman" w:hAnsi="Times New Roman" w:eastAsia="宋体" w:cs="Times New Roman"/>
                      <w:caps w:val="0"/>
                      <w:smallCaps w:val="0"/>
                      <w:color w:val="auto"/>
                      <w:spacing w:val="0"/>
                      <w:highlight w:val="none"/>
                      <w:lang w:eastAsia="zh-CN"/>
                    </w:rPr>
                  </w:pPr>
                  <w:r>
                    <w:rPr>
                      <w:rFonts w:hint="default" w:ascii="Times New Roman" w:hAnsi="Times New Roman" w:eastAsia="宋体" w:cs="Times New Roman"/>
                      <w:caps w:val="0"/>
                      <w:smallCaps w:val="0"/>
                      <w:color w:val="auto"/>
                      <w:spacing w:val="0"/>
                      <w:kern w:val="0"/>
                      <w:szCs w:val="21"/>
                      <w:highlight w:val="none"/>
                      <w:lang w:val="en-US" w:eastAsia="zh-CN"/>
                    </w:rPr>
                    <w:t>8</w:t>
                  </w:r>
                </w:p>
              </w:tc>
              <w:tc>
                <w:tcPr>
                  <w:tcW w:w="579" w:type="pct"/>
                  <w:noWrap w:val="0"/>
                  <w:vAlign w:val="center"/>
                </w:tcPr>
                <w:p w14:paraId="4A3A14A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60</w:t>
                  </w:r>
                </w:p>
              </w:tc>
              <w:tc>
                <w:tcPr>
                  <w:tcW w:w="663" w:type="pct"/>
                  <w:noWrap w:val="0"/>
                  <w:vAlign w:val="center"/>
                </w:tcPr>
                <w:p w14:paraId="5EA9A435">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13.33</w:t>
                  </w:r>
                </w:p>
              </w:tc>
              <w:tc>
                <w:tcPr>
                  <w:tcW w:w="551" w:type="pct"/>
                  <w:vMerge w:val="restart"/>
                  <w:noWrap w:val="0"/>
                  <w:vAlign w:val="center"/>
                </w:tcPr>
                <w:p w14:paraId="70F80FE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7554975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461B9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281A001C">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5215BBF9">
                  <w:pPr>
                    <w:spacing w:line="240" w:lineRule="auto"/>
                    <w:jc w:val="center"/>
                    <w:rPr>
                      <w:rFonts w:hint="default" w:ascii="Times New Roman" w:hAnsi="Times New Roman" w:eastAsia="宋体" w:cs="Times New Roman"/>
                      <w:caps w:val="0"/>
                      <w:smallCaps w:val="0"/>
                      <w:color w:val="auto"/>
                      <w:spacing w:val="0"/>
                      <w:highlight w:val="yellow"/>
                    </w:rPr>
                  </w:pPr>
                </w:p>
              </w:tc>
              <w:tc>
                <w:tcPr>
                  <w:tcW w:w="1289" w:type="pct"/>
                  <w:noWrap w:val="0"/>
                  <w:vAlign w:val="center"/>
                </w:tcPr>
                <w:p w14:paraId="175D974C">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4AD3B7C4">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4~17</w:t>
                  </w:r>
                </w:p>
              </w:tc>
              <w:tc>
                <w:tcPr>
                  <w:tcW w:w="579" w:type="pct"/>
                  <w:noWrap w:val="0"/>
                  <w:vAlign w:val="center"/>
                </w:tcPr>
                <w:p w14:paraId="2BAD0605">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852C46A">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2.67~11.33</w:t>
                  </w:r>
                </w:p>
              </w:tc>
              <w:tc>
                <w:tcPr>
                  <w:tcW w:w="551" w:type="pct"/>
                  <w:vMerge w:val="continue"/>
                  <w:noWrap w:val="0"/>
                  <w:vAlign w:val="center"/>
                </w:tcPr>
                <w:p w14:paraId="14893D8D">
                  <w:pPr>
                    <w:spacing w:line="240" w:lineRule="auto"/>
                    <w:jc w:val="center"/>
                    <w:rPr>
                      <w:rFonts w:hint="default" w:ascii="Times New Roman" w:hAnsi="Times New Roman" w:eastAsia="宋体" w:cs="Times New Roman"/>
                      <w:caps w:val="0"/>
                      <w:smallCaps w:val="0"/>
                      <w:color w:val="auto"/>
                      <w:spacing w:val="0"/>
                      <w:highlight w:val="none"/>
                      <w:lang w:val="en-US" w:eastAsia="zh-CN"/>
                    </w:rPr>
                  </w:pPr>
                </w:p>
              </w:tc>
              <w:tc>
                <w:tcPr>
                  <w:tcW w:w="554" w:type="pct"/>
                  <w:vMerge w:val="continue"/>
                  <w:noWrap w:val="0"/>
                  <w:vAlign w:val="center"/>
                </w:tcPr>
                <w:p w14:paraId="2AD5505B">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p>
              </w:tc>
            </w:tr>
            <w:tr w14:paraId="04393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0A988BCB">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088A4FB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NO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708EF30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1FCB828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30</w:t>
                  </w:r>
                </w:p>
              </w:tc>
              <w:tc>
                <w:tcPr>
                  <w:tcW w:w="579" w:type="pct"/>
                  <w:noWrap w:val="0"/>
                  <w:vAlign w:val="center"/>
                </w:tcPr>
                <w:p w14:paraId="09C1697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w:t>
                  </w:r>
                </w:p>
              </w:tc>
              <w:tc>
                <w:tcPr>
                  <w:tcW w:w="663" w:type="pct"/>
                  <w:noWrap w:val="0"/>
                  <w:vAlign w:val="center"/>
                </w:tcPr>
                <w:p w14:paraId="66A3CA7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75</w:t>
                  </w:r>
                </w:p>
              </w:tc>
              <w:tc>
                <w:tcPr>
                  <w:tcW w:w="551" w:type="pct"/>
                  <w:noWrap w:val="0"/>
                  <w:vAlign w:val="center"/>
                </w:tcPr>
                <w:p w14:paraId="15D4997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5BAA1B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24D0E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1307929">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17C788D2">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2BD312F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A531BA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6~106</w:t>
                  </w:r>
                </w:p>
              </w:tc>
              <w:tc>
                <w:tcPr>
                  <w:tcW w:w="579" w:type="pct"/>
                  <w:noWrap w:val="0"/>
                  <w:vAlign w:val="center"/>
                </w:tcPr>
                <w:p w14:paraId="770A91E5">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80</w:t>
                  </w:r>
                </w:p>
              </w:tc>
              <w:tc>
                <w:tcPr>
                  <w:tcW w:w="663" w:type="pct"/>
                  <w:noWrap w:val="0"/>
                  <w:vAlign w:val="center"/>
                </w:tcPr>
                <w:p w14:paraId="73F092D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7.5~132.5</w:t>
                  </w:r>
                </w:p>
              </w:tc>
              <w:tc>
                <w:tcPr>
                  <w:tcW w:w="551" w:type="pct"/>
                  <w:noWrap w:val="0"/>
                  <w:vAlign w:val="center"/>
                </w:tcPr>
                <w:p w14:paraId="6BBEFF4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①</w:t>
                  </w:r>
                </w:p>
              </w:tc>
              <w:tc>
                <w:tcPr>
                  <w:tcW w:w="554" w:type="pct"/>
                  <w:noWrap w:val="0"/>
                  <w:vAlign w:val="center"/>
                </w:tcPr>
                <w:p w14:paraId="4D801D4F">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1.9</w:t>
                  </w:r>
                </w:p>
              </w:tc>
            </w:tr>
            <w:tr w14:paraId="2E89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E75096D">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0542C02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10</w:t>
                  </w:r>
                </w:p>
              </w:tc>
              <w:tc>
                <w:tcPr>
                  <w:tcW w:w="1289" w:type="pct"/>
                  <w:noWrap w:val="0"/>
                  <w:vAlign w:val="center"/>
                </w:tcPr>
                <w:p w14:paraId="7B227D9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06A367AF">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57</w:t>
                  </w:r>
                </w:p>
              </w:tc>
              <w:tc>
                <w:tcPr>
                  <w:tcW w:w="579" w:type="pct"/>
                  <w:noWrap w:val="0"/>
                  <w:vAlign w:val="center"/>
                </w:tcPr>
                <w:p w14:paraId="4275339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70</w:t>
                  </w:r>
                </w:p>
              </w:tc>
              <w:tc>
                <w:tcPr>
                  <w:tcW w:w="663" w:type="pct"/>
                  <w:noWrap w:val="0"/>
                  <w:vAlign w:val="center"/>
                </w:tcPr>
                <w:p w14:paraId="6D839C0F">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81.43</w:t>
                  </w:r>
                </w:p>
              </w:tc>
              <w:tc>
                <w:tcPr>
                  <w:tcW w:w="551" w:type="pct"/>
                  <w:noWrap w:val="0"/>
                  <w:vAlign w:val="center"/>
                </w:tcPr>
                <w:p w14:paraId="5D1954D9">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7452B7BB">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567D0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EB29CEF">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5590F53C">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54FE58EA">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C2AF6E8">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12~188</w:t>
                  </w:r>
                </w:p>
              </w:tc>
              <w:tc>
                <w:tcPr>
                  <w:tcW w:w="579" w:type="pct"/>
                  <w:noWrap w:val="0"/>
                  <w:vAlign w:val="center"/>
                </w:tcPr>
                <w:p w14:paraId="30BD7A7E">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0BAACAB">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8~125.33</w:t>
                  </w:r>
                </w:p>
              </w:tc>
              <w:tc>
                <w:tcPr>
                  <w:tcW w:w="551" w:type="pct"/>
                  <w:noWrap w:val="0"/>
                  <w:vAlign w:val="center"/>
                </w:tcPr>
                <w:p w14:paraId="29C7ED5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②</w:t>
                  </w:r>
                </w:p>
              </w:tc>
              <w:tc>
                <w:tcPr>
                  <w:tcW w:w="554" w:type="pct"/>
                  <w:noWrap w:val="0"/>
                  <w:vAlign w:val="center"/>
                </w:tcPr>
                <w:p w14:paraId="3F32D7CD">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1.2</w:t>
                  </w:r>
                </w:p>
              </w:tc>
            </w:tr>
            <w:tr w14:paraId="1D3F5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C50FDEE">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2798A04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2.5</w:t>
                  </w:r>
                </w:p>
              </w:tc>
              <w:tc>
                <w:tcPr>
                  <w:tcW w:w="1289" w:type="pct"/>
                  <w:noWrap w:val="0"/>
                  <w:vAlign w:val="center"/>
                </w:tcPr>
                <w:p w14:paraId="7939D6D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43CE9865">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34</w:t>
                  </w:r>
                </w:p>
              </w:tc>
              <w:tc>
                <w:tcPr>
                  <w:tcW w:w="579" w:type="pct"/>
                  <w:noWrap w:val="0"/>
                  <w:vAlign w:val="center"/>
                </w:tcPr>
                <w:p w14:paraId="4158A06D">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35</w:t>
                  </w:r>
                </w:p>
              </w:tc>
              <w:tc>
                <w:tcPr>
                  <w:tcW w:w="663" w:type="pct"/>
                  <w:noWrap w:val="0"/>
                  <w:vAlign w:val="center"/>
                </w:tcPr>
                <w:p w14:paraId="1E44BA0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97.14</w:t>
                  </w:r>
                </w:p>
              </w:tc>
              <w:tc>
                <w:tcPr>
                  <w:tcW w:w="551" w:type="pct"/>
                  <w:noWrap w:val="0"/>
                  <w:vAlign w:val="center"/>
                </w:tcPr>
                <w:p w14:paraId="2572ABDB">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CB1AB64">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D5D2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D6CB269">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7AFDD3C2">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39E15C4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21A612A9">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6~151</w:t>
                  </w:r>
                </w:p>
              </w:tc>
              <w:tc>
                <w:tcPr>
                  <w:tcW w:w="579" w:type="pct"/>
                  <w:noWrap w:val="0"/>
                  <w:vAlign w:val="center"/>
                </w:tcPr>
                <w:p w14:paraId="542A5397">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75</w:t>
                  </w:r>
                </w:p>
              </w:tc>
              <w:tc>
                <w:tcPr>
                  <w:tcW w:w="663" w:type="pct"/>
                  <w:noWrap w:val="0"/>
                  <w:vAlign w:val="center"/>
                </w:tcPr>
                <w:p w14:paraId="3550555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8~201.33</w:t>
                  </w:r>
                </w:p>
              </w:tc>
              <w:tc>
                <w:tcPr>
                  <w:tcW w:w="551" w:type="pct"/>
                  <w:noWrap w:val="0"/>
                  <w:vAlign w:val="center"/>
                </w:tcPr>
                <w:p w14:paraId="796037F7">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超标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③</w:t>
                  </w:r>
                </w:p>
              </w:tc>
              <w:tc>
                <w:tcPr>
                  <w:tcW w:w="554" w:type="pct"/>
                  <w:noWrap w:val="0"/>
                  <w:vAlign w:val="center"/>
                </w:tcPr>
                <w:p w14:paraId="02745113">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6.4</w:t>
                  </w:r>
                </w:p>
              </w:tc>
            </w:tr>
            <w:tr w14:paraId="06E3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0F634A78">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542263B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CO</w:t>
                  </w:r>
                </w:p>
              </w:tc>
              <w:tc>
                <w:tcPr>
                  <w:tcW w:w="1289" w:type="pct"/>
                  <w:noWrap w:val="0"/>
                  <w:tcMar>
                    <w:top w:w="0" w:type="dxa"/>
                    <w:left w:w="0" w:type="dxa"/>
                    <w:bottom w:w="0" w:type="dxa"/>
                    <w:right w:w="0" w:type="dxa"/>
                  </w:tcMar>
                  <w:vAlign w:val="center"/>
                </w:tcPr>
                <w:p w14:paraId="16F2F6B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日平均第95百分位数</w:t>
                  </w:r>
                </w:p>
              </w:tc>
              <w:tc>
                <w:tcPr>
                  <w:tcW w:w="626" w:type="pct"/>
                  <w:noWrap w:val="0"/>
                  <w:vAlign w:val="center"/>
                </w:tcPr>
                <w:p w14:paraId="50E6E2F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w:t>
                  </w:r>
                  <w:r>
                    <w:rPr>
                      <w:rFonts w:hint="default" w:ascii="Times New Roman" w:hAnsi="Times New Roman" w:eastAsia="宋体" w:cs="Times New Roman"/>
                      <w:caps w:val="0"/>
                      <w:smallCaps w:val="0"/>
                      <w:color w:val="auto"/>
                      <w:spacing w:val="0"/>
                      <w:kern w:val="0"/>
                      <w:szCs w:val="21"/>
                      <w:highlight w:val="none"/>
                      <w:lang w:val="en-US" w:eastAsia="zh-CN"/>
                    </w:rPr>
                    <w:t>100</w:t>
                  </w:r>
                </w:p>
              </w:tc>
              <w:tc>
                <w:tcPr>
                  <w:tcW w:w="579" w:type="pct"/>
                  <w:vMerge w:val="restart"/>
                  <w:noWrap w:val="0"/>
                  <w:vAlign w:val="center"/>
                </w:tcPr>
                <w:p w14:paraId="4FE9CB9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4000</w:t>
                  </w:r>
                </w:p>
              </w:tc>
              <w:tc>
                <w:tcPr>
                  <w:tcW w:w="663" w:type="pct"/>
                  <w:noWrap w:val="0"/>
                  <w:vAlign w:val="center"/>
                </w:tcPr>
                <w:p w14:paraId="1E4B0EB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2</w:t>
                  </w:r>
                  <w:r>
                    <w:rPr>
                      <w:rFonts w:hint="default" w:ascii="Times New Roman" w:hAnsi="Times New Roman" w:eastAsia="宋体" w:cs="Times New Roman"/>
                      <w:caps w:val="0"/>
                      <w:smallCaps w:val="0"/>
                      <w:color w:val="auto"/>
                      <w:spacing w:val="0"/>
                      <w:highlight w:val="none"/>
                      <w:lang w:val="en-US" w:eastAsia="zh-CN"/>
                    </w:rPr>
                    <w:t>7.</w:t>
                  </w:r>
                  <w:r>
                    <w:rPr>
                      <w:rFonts w:hint="default" w:ascii="Times New Roman" w:hAnsi="Times New Roman" w:eastAsia="宋体" w:cs="Times New Roman"/>
                      <w:caps w:val="0"/>
                      <w:smallCaps w:val="0"/>
                      <w:color w:val="auto"/>
                      <w:spacing w:val="0"/>
                      <w:highlight w:val="none"/>
                    </w:rPr>
                    <w:t>5</w:t>
                  </w:r>
                </w:p>
              </w:tc>
              <w:tc>
                <w:tcPr>
                  <w:tcW w:w="551" w:type="pct"/>
                  <w:vMerge w:val="restart"/>
                  <w:noWrap w:val="0"/>
                  <w:vAlign w:val="center"/>
                </w:tcPr>
                <w:p w14:paraId="4E898EF2">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24864F8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489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286208A4">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22C81637">
                  <w:pPr>
                    <w:spacing w:line="240" w:lineRule="auto"/>
                    <w:jc w:val="center"/>
                    <w:rPr>
                      <w:rFonts w:hint="default" w:ascii="Times New Roman" w:hAnsi="Times New Roman" w:eastAsia="宋体" w:cs="Times New Roman"/>
                      <w:caps w:val="0"/>
                      <w:smallCaps w:val="0"/>
                      <w:color w:val="auto"/>
                      <w:spacing w:val="0"/>
                      <w:highlight w:val="yellow"/>
                    </w:rPr>
                  </w:pPr>
                </w:p>
              </w:tc>
              <w:tc>
                <w:tcPr>
                  <w:tcW w:w="1289" w:type="pct"/>
                  <w:noWrap w:val="0"/>
                  <w:tcMar>
                    <w:top w:w="0" w:type="dxa"/>
                    <w:left w:w="0" w:type="dxa"/>
                    <w:bottom w:w="0" w:type="dxa"/>
                    <w:right w:w="0" w:type="dxa"/>
                  </w:tcMar>
                  <w:vAlign w:val="center"/>
                </w:tcPr>
                <w:p w14:paraId="4D80EBD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日均值浓度</w:t>
                  </w:r>
                </w:p>
              </w:tc>
              <w:tc>
                <w:tcPr>
                  <w:tcW w:w="626" w:type="pct"/>
                  <w:noWrap w:val="0"/>
                  <w:vAlign w:val="center"/>
                </w:tcPr>
                <w:p w14:paraId="1E55C5C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400~1500</w:t>
                  </w:r>
                </w:p>
              </w:tc>
              <w:tc>
                <w:tcPr>
                  <w:tcW w:w="579" w:type="pct"/>
                  <w:vMerge w:val="continue"/>
                  <w:noWrap w:val="0"/>
                  <w:vAlign w:val="center"/>
                </w:tcPr>
                <w:p w14:paraId="3DECB49A">
                  <w:pPr>
                    <w:spacing w:line="240" w:lineRule="auto"/>
                    <w:jc w:val="center"/>
                    <w:rPr>
                      <w:rFonts w:hint="default" w:ascii="Times New Roman" w:hAnsi="Times New Roman" w:eastAsia="宋体" w:cs="Times New Roman"/>
                      <w:caps w:val="0"/>
                      <w:smallCaps w:val="0"/>
                      <w:color w:val="auto"/>
                      <w:spacing w:val="0"/>
                      <w:highlight w:val="none"/>
                    </w:rPr>
                  </w:pPr>
                </w:p>
              </w:tc>
              <w:tc>
                <w:tcPr>
                  <w:tcW w:w="663" w:type="pct"/>
                  <w:noWrap w:val="0"/>
                  <w:vAlign w:val="center"/>
                </w:tcPr>
                <w:p w14:paraId="223AAC0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10~37.5</w:t>
                  </w:r>
                </w:p>
              </w:tc>
              <w:tc>
                <w:tcPr>
                  <w:tcW w:w="551" w:type="pct"/>
                  <w:vMerge w:val="continue"/>
                  <w:noWrap w:val="0"/>
                  <w:vAlign w:val="center"/>
                </w:tcPr>
                <w:p w14:paraId="2BC6DD13">
                  <w:pPr>
                    <w:spacing w:line="240" w:lineRule="auto"/>
                    <w:jc w:val="center"/>
                    <w:rPr>
                      <w:rFonts w:hint="default" w:ascii="Times New Roman" w:hAnsi="Times New Roman" w:eastAsia="宋体" w:cs="Times New Roman"/>
                      <w:caps w:val="0"/>
                      <w:smallCaps w:val="0"/>
                      <w:color w:val="auto"/>
                      <w:spacing w:val="0"/>
                      <w:highlight w:val="none"/>
                    </w:rPr>
                  </w:pPr>
                </w:p>
              </w:tc>
              <w:tc>
                <w:tcPr>
                  <w:tcW w:w="554" w:type="pct"/>
                  <w:vMerge w:val="continue"/>
                  <w:noWrap w:val="0"/>
                  <w:vAlign w:val="center"/>
                </w:tcPr>
                <w:p w14:paraId="518A4A3B">
                  <w:pPr>
                    <w:spacing w:line="240" w:lineRule="auto"/>
                    <w:jc w:val="center"/>
                    <w:rPr>
                      <w:rFonts w:hint="default" w:ascii="Times New Roman" w:hAnsi="Times New Roman" w:eastAsia="宋体" w:cs="Times New Roman"/>
                      <w:caps w:val="0"/>
                      <w:smallCaps w:val="0"/>
                      <w:color w:val="auto"/>
                      <w:spacing w:val="0"/>
                      <w:highlight w:val="yellow"/>
                    </w:rPr>
                  </w:pPr>
                </w:p>
              </w:tc>
            </w:tr>
            <w:tr w14:paraId="0F881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FAB971F">
                  <w:pPr>
                    <w:spacing w:line="240" w:lineRule="auto"/>
                    <w:jc w:val="center"/>
                    <w:rPr>
                      <w:rFonts w:hint="default" w:ascii="Times New Roman" w:hAnsi="Times New Roman" w:eastAsia="宋体" w:cs="Times New Roman"/>
                      <w:caps w:val="0"/>
                      <w:smallCaps w:val="0"/>
                      <w:color w:val="auto"/>
                      <w:spacing w:val="0"/>
                    </w:rPr>
                  </w:pPr>
                </w:p>
              </w:tc>
              <w:tc>
                <w:tcPr>
                  <w:tcW w:w="435" w:type="pct"/>
                  <w:noWrap w:val="0"/>
                  <w:vAlign w:val="center"/>
                </w:tcPr>
                <w:p w14:paraId="0C2C8D0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O</w:t>
                  </w:r>
                  <w:r>
                    <w:rPr>
                      <w:rFonts w:hint="default" w:ascii="Times New Roman" w:hAnsi="Times New Roman" w:eastAsia="宋体" w:cs="Times New Roman"/>
                      <w:caps w:val="0"/>
                      <w:smallCaps w:val="0"/>
                      <w:color w:val="auto"/>
                      <w:spacing w:val="0"/>
                      <w:highlight w:val="none"/>
                      <w:vertAlign w:val="subscript"/>
                    </w:rPr>
                    <w:t>3</w:t>
                  </w:r>
                </w:p>
              </w:tc>
              <w:tc>
                <w:tcPr>
                  <w:tcW w:w="1289" w:type="pct"/>
                  <w:noWrap w:val="0"/>
                  <w:tcMar>
                    <w:top w:w="0" w:type="dxa"/>
                    <w:left w:w="0" w:type="dxa"/>
                    <w:bottom w:w="0" w:type="dxa"/>
                    <w:right w:w="0" w:type="dxa"/>
                  </w:tcMar>
                  <w:vAlign w:val="center"/>
                </w:tcPr>
                <w:p w14:paraId="56EAC345">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日最大8h滑动平均值第90百分位数</w:t>
                  </w:r>
                </w:p>
              </w:tc>
              <w:tc>
                <w:tcPr>
                  <w:tcW w:w="626" w:type="pct"/>
                  <w:noWrap w:val="0"/>
                  <w:vAlign w:val="center"/>
                </w:tcPr>
                <w:p w14:paraId="6B83D3B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17</w:t>
                  </w:r>
                  <w:r>
                    <w:rPr>
                      <w:rFonts w:hint="default" w:ascii="Times New Roman" w:hAnsi="Times New Roman" w:eastAsia="宋体" w:cs="Times New Roman"/>
                      <w:caps w:val="0"/>
                      <w:smallCaps w:val="0"/>
                      <w:color w:val="auto"/>
                      <w:spacing w:val="0"/>
                      <w:kern w:val="0"/>
                      <w:szCs w:val="21"/>
                      <w:highlight w:val="none"/>
                      <w:lang w:val="en-US" w:eastAsia="zh-CN"/>
                    </w:rPr>
                    <w:t>4</w:t>
                  </w:r>
                </w:p>
              </w:tc>
              <w:tc>
                <w:tcPr>
                  <w:tcW w:w="579" w:type="pct"/>
                  <w:noWrap w:val="0"/>
                  <w:vAlign w:val="center"/>
                </w:tcPr>
                <w:p w14:paraId="2CC7099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160</w:t>
                  </w:r>
                </w:p>
              </w:tc>
              <w:tc>
                <w:tcPr>
                  <w:tcW w:w="663" w:type="pct"/>
                  <w:noWrap w:val="0"/>
                  <w:vAlign w:val="center"/>
                </w:tcPr>
                <w:p w14:paraId="06D0926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10</w:t>
                  </w:r>
                  <w:r>
                    <w:rPr>
                      <w:rFonts w:hint="default" w:ascii="Times New Roman" w:hAnsi="Times New Roman" w:eastAsia="宋体" w:cs="Times New Roman"/>
                      <w:caps w:val="0"/>
                      <w:smallCaps w:val="0"/>
                      <w:color w:val="auto"/>
                      <w:spacing w:val="0"/>
                      <w:kern w:val="0"/>
                      <w:szCs w:val="21"/>
                      <w:highlight w:val="none"/>
                      <w:lang w:val="en-US" w:eastAsia="zh-CN"/>
                    </w:rPr>
                    <w:t>8.75</w:t>
                  </w:r>
                </w:p>
              </w:tc>
              <w:tc>
                <w:tcPr>
                  <w:tcW w:w="551" w:type="pct"/>
                  <w:noWrap w:val="0"/>
                  <w:vAlign w:val="center"/>
                </w:tcPr>
                <w:p w14:paraId="306F569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超标</w:t>
                  </w:r>
                </w:p>
              </w:tc>
              <w:tc>
                <w:tcPr>
                  <w:tcW w:w="554" w:type="pct"/>
                  <w:noWrap w:val="0"/>
                  <w:vAlign w:val="center"/>
                </w:tcPr>
                <w:p w14:paraId="57B11B6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14.5</w:t>
                  </w:r>
                </w:p>
              </w:tc>
            </w:tr>
          </w:tbl>
          <w:p w14:paraId="58159384">
            <w:pPr>
              <w:spacing w:line="240" w:lineRule="auto"/>
              <w:ind w:firstLine="422" w:firstLineChars="20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lang w:val="en-US" w:eastAsia="zh-CN"/>
              </w:rPr>
              <w:t>注：</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lang w:val="en-US" w:eastAsia="zh-CN"/>
              </w:rPr>
              <w:t>NO</w:t>
            </w:r>
            <w:r>
              <w:rPr>
                <w:rFonts w:hint="default" w:ascii="Times New Roman" w:hAnsi="Times New Roman" w:eastAsia="宋体" w:cs="Times New Roman"/>
                <w:b w:val="0"/>
                <w:bCs w:val="0"/>
                <w:caps w:val="0"/>
                <w:smallCaps w:val="0"/>
                <w:color w:val="auto"/>
                <w:spacing w:val="0"/>
                <w:sz w:val="21"/>
                <w:szCs w:val="21"/>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10</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2.5</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日平均第95百分位数超标。</w:t>
            </w:r>
          </w:p>
          <w:p w14:paraId="36DD054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rPr>
            </w:pPr>
            <w:r>
              <w:rPr>
                <w:rFonts w:hint="default" w:ascii="Times New Roman" w:hAnsi="Times New Roman" w:eastAsia="宋体" w:cs="Times New Roman"/>
                <w:caps w:val="0"/>
                <w:smallCaps w:val="0"/>
                <w:color w:val="auto"/>
                <w:spacing w:val="0"/>
                <w:sz w:val="24"/>
                <w:szCs w:val="24"/>
              </w:rPr>
              <w:t>202</w:t>
            </w:r>
            <w:r>
              <w:rPr>
                <w:rFonts w:hint="default" w:ascii="Times New Roman" w:hAnsi="Times New Roman" w:eastAsia="宋体" w:cs="Times New Roman"/>
                <w:caps w:val="0"/>
                <w:smallCaps w:val="0"/>
                <w:color w:val="auto"/>
                <w:spacing w:val="0"/>
                <w:sz w:val="24"/>
                <w:szCs w:val="24"/>
                <w:lang w:val="en-US" w:eastAsia="zh-CN"/>
              </w:rPr>
              <w:t>3</w:t>
            </w:r>
            <w:r>
              <w:rPr>
                <w:rFonts w:hint="default" w:ascii="Times New Roman" w:hAnsi="Times New Roman" w:eastAsia="宋体" w:cs="Times New Roman"/>
                <w:caps w:val="0"/>
                <w:smallCaps w:val="0"/>
                <w:color w:val="auto"/>
                <w:spacing w:val="0"/>
                <w:sz w:val="24"/>
                <w:szCs w:val="24"/>
              </w:rPr>
              <w:t>年</w:t>
            </w:r>
            <w:r>
              <w:rPr>
                <w:rFonts w:hint="default" w:ascii="Times New Roman" w:hAnsi="Times New Roman" w:eastAsia="宋体" w:cs="Times New Roman"/>
                <w:caps w:val="0"/>
                <w:smallCaps w:val="0"/>
                <w:color w:val="auto"/>
                <w:spacing w:val="0"/>
                <w:sz w:val="24"/>
                <w:szCs w:val="24"/>
                <w:highlight w:val="none"/>
              </w:rPr>
              <w:t>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日大8小时滑动平均值第90百分位数超过《环境空气质量标准》（GB3095-2012）表1中二级浓度限值。项目所在区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rPr>
              <w:t>因此判定为不达标区。</w:t>
            </w:r>
          </w:p>
          <w:p w14:paraId="41CACCD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3）区域削减</w:t>
            </w:r>
          </w:p>
          <w:p w14:paraId="5D0BC9A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为加快改善环境空气质量，常州市人民政府发布了</w:t>
            </w:r>
            <w:r>
              <w:rPr>
                <w:rFonts w:hint="default" w:ascii="Times New Roman" w:hAnsi="Times New Roman" w:eastAsia="宋体" w:cs="Times New Roman"/>
                <w:color w:val="auto"/>
                <w:sz w:val="24"/>
                <w:lang w:val="en-US" w:eastAsia="zh-CN"/>
              </w:rPr>
              <w:t>《常州市空气质量持续改善行动计划实施方案》（常政发〔2024〕51号）</w:t>
            </w:r>
            <w:r>
              <w:rPr>
                <w:rFonts w:hint="default" w:ascii="Times New Roman" w:hAnsi="Times New Roman" w:eastAsia="宋体" w:cs="Times New Roman"/>
                <w:color w:val="auto"/>
                <w:sz w:val="24"/>
              </w:rPr>
              <w:t>，进一步提出如下大气污染防治工作计划：</w:t>
            </w:r>
          </w:p>
          <w:p w14:paraId="6D9FB39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主要目标是：到2025年，全市PM2.5浓度总体达标，PM2.5浓度比2020年下降10%，基本消除重度及以上污染天气，空气质量持续改善；氮氧化物和VOCs排放总量比2020年分别下降10%以上，完成省下达的减排目标。</w:t>
            </w:r>
          </w:p>
          <w:p w14:paraId="4474C12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重点任务：</w:t>
            </w:r>
          </w:p>
          <w:p w14:paraId="24E316C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7620AA1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（二）加快退出重点行业落后产能。落实《产业结构调整指导目录》，依法依规逐步退出限制类涉气行业工艺和装备、逐步淘汰步进式烧结机和球团竖炉以及半封闭式硅锰合金、镍铁、高碳铬铁、高碳锰铁电炉。</w:t>
            </w:r>
          </w:p>
          <w:p w14:paraId="49E6A446">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01078B5B">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496E338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1C731A0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4919234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0AA65B2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71698BA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（九）持续优化货物运输结构。到2025年，水路、铁路货运量比2020年分别增长12%和10%左右，铁路集装箱多式联运量年均增长10%以上。全市采取公铁联运等“外集内配”物流方式。</w:t>
            </w:r>
          </w:p>
          <w:p w14:paraId="3ADF75F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4E093A2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174ED4D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182FBC9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（十三）推进矿山生态环境综合整治。新建矿山原则上要同步建设专用廊道或采用其他清洁运输方式。对限期整改仍不达标的矿山，根据安全生产、水土保持、生态环境等要求依法关闭或停止生产。</w:t>
            </w:r>
          </w:p>
          <w:p w14:paraId="264DA08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（十四）加强秸秆禁烧和综合利用。到2025年，全市农作物秸秆综合利用率稳定达95%以上。禁止露天焚烧秸秆。综合运用卫星遥感、高清视频监控、无人机等手段，提高秸秆焚烧火点监测及巡查精准度。</w:t>
            </w:r>
          </w:p>
          <w:p w14:paraId="70DE7D4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3675382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5C0F51A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01ADDEF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0C723474">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（十九）开展区域联防联控和城市空气质量达标管理。积极推进大气污染联防联控机制建设。空气质量未达标的地区编制实施大气环境质量限期达标规划，明确达标路线图及重点任务，并向社会公开。</w:t>
            </w:r>
          </w:p>
          <w:p w14:paraId="7BB103D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77D39CC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4AA1E1E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（二十二）加强决策科技支撑。持续开展PM2.5和臭氧协同控制科技攻关。推进致臭物质识别、恶臭污染评估和溯源技术方法研究。到2025年，完成排放清单编制并实现逐年更新。推进“一地一策”驻点跟踪研究。</w:t>
            </w:r>
          </w:p>
          <w:p w14:paraId="618FA4B5">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2D2EBAE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009D528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75AFACC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3FFFBC8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7F379A7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通过上述工作的不断推进实施，本项目所在</w:t>
            </w:r>
            <w:r>
              <w:rPr>
                <w:rFonts w:hint="default" w:ascii="Times New Roman" w:hAnsi="Times New Roman" w:eastAsia="宋体" w:cs="Times New Roman"/>
                <w:color w:val="auto"/>
                <w:sz w:val="24"/>
                <w:lang w:val="en-US" w:eastAsia="zh-CN"/>
              </w:rPr>
              <w:t>区域</w:t>
            </w:r>
            <w:r>
              <w:rPr>
                <w:rFonts w:hint="default" w:ascii="Times New Roman" w:hAnsi="Times New Roman" w:eastAsia="宋体" w:cs="Times New Roman"/>
                <w:color w:val="auto"/>
                <w:sz w:val="24"/>
              </w:rPr>
              <w:t>空气环境质量将得到持续改善。</w:t>
            </w:r>
          </w:p>
          <w:p w14:paraId="35859EF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（3）其他污染物环境质量现状评价</w:t>
            </w:r>
          </w:p>
          <w:p w14:paraId="5D71D9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本项目特征因子非甲烷总烃环境质量现状监测数据引用</w:t>
            </w:r>
            <w:r>
              <w:rPr>
                <w:rFonts w:hint="default" w:ascii="Times New Roman" w:hAnsi="Times New Roman" w:eastAsia="宋体" w:cs="Times New Roman"/>
                <w:color w:val="auto"/>
                <w:sz w:val="24"/>
                <w:lang w:val="en-US" w:eastAsia="zh-CN"/>
              </w:rPr>
              <w:t>TST202411058特斯特(江苏)检测科技有限公司于2024.11.11-2024.11.17对〇2项目所在地</w:t>
            </w:r>
            <w:r>
              <w:rPr>
                <w:rFonts w:hint="eastAsia" w:ascii="Times New Roman" w:hAnsi="Times New Roman" w:eastAsia="宋体" w:cs="Times New Roman"/>
                <w:color w:val="auto"/>
                <w:sz w:val="24"/>
                <w:lang w:val="en-US" w:eastAsia="zh-CN"/>
              </w:rPr>
              <w:t>（常州市金坛区金东环保工程有限公司东侧）</w:t>
            </w:r>
            <w:r>
              <w:rPr>
                <w:rFonts w:hint="default" w:ascii="Times New Roman" w:hAnsi="Times New Roman" w:eastAsia="宋体" w:cs="Times New Roman"/>
                <w:color w:val="auto"/>
                <w:sz w:val="24"/>
                <w:lang w:val="en-US" w:eastAsia="zh-CN"/>
              </w:rPr>
              <w:t>连续7天的检测数据，引用因子为非甲烷总烃</w:t>
            </w:r>
            <w:r>
              <w:rPr>
                <w:rFonts w:hint="default" w:ascii="Times New Roman" w:hAnsi="Times New Roman" w:eastAsia="宋体" w:cs="Times New Roman"/>
                <w:color w:val="auto"/>
                <w:sz w:val="24"/>
              </w:rPr>
              <w:t>。</w:t>
            </w:r>
          </w:p>
          <w:p w14:paraId="601629E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引用数据有效性：①引用</w:t>
            </w:r>
            <w:r>
              <w:rPr>
                <w:rFonts w:hint="default" w:ascii="Times New Roman" w:hAnsi="Times New Roman" w:eastAsia="宋体" w:cs="Times New Roman"/>
                <w:color w:val="auto"/>
                <w:sz w:val="24"/>
                <w:lang w:val="en-US" w:eastAsia="zh-CN"/>
              </w:rPr>
              <w:t>2024.11.11-2024.11.17</w:t>
            </w:r>
            <w:r>
              <w:rPr>
                <w:rFonts w:hint="default" w:ascii="Times New Roman" w:hAnsi="Times New Roman" w:eastAsia="宋体" w:cs="Times New Roman"/>
                <w:color w:val="auto"/>
                <w:sz w:val="24"/>
              </w:rPr>
              <w:t>非甲烷总烃连续</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天历史监测数据，引用时间不超过3年，引用时间有效；②项目所在区域内污染源未发生重大变化，可引用3年内大气的检测数据；③引用点位在项目相关评价范围内，则大气引用点位有效。</w:t>
            </w:r>
          </w:p>
          <w:p w14:paraId="26558EF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本项目环境空气质量现状具体引用位置见表3-2，大气环境现状引用结果见表3-3。</w:t>
            </w:r>
          </w:p>
          <w:p w14:paraId="364D03A4">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表3-2  大气环境质量引用点位一览表</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30" w:type="dxa"/>
                <w:bottom w:w="0" w:type="dxa"/>
                <w:right w:w="30" w:type="dxa"/>
              </w:tblCellMar>
            </w:tblPr>
            <w:tblGrid>
              <w:gridCol w:w="565"/>
              <w:gridCol w:w="1803"/>
              <w:gridCol w:w="1047"/>
              <w:gridCol w:w="1349"/>
              <w:gridCol w:w="1347"/>
              <w:gridCol w:w="2183"/>
            </w:tblGrid>
            <w:tr w14:paraId="06E5B9C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17" w:hRule="atLeast"/>
                <w:jc w:val="center"/>
              </w:trPr>
              <w:tc>
                <w:tcPr>
                  <w:tcW w:w="341" w:type="pct"/>
                  <w:vMerge w:val="restart"/>
                  <w:vAlign w:val="center"/>
                </w:tcPr>
                <w:p w14:paraId="36E1F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w:t>
                  </w:r>
                </w:p>
                <w:p w14:paraId="36B90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087" w:type="pct"/>
                  <w:vMerge w:val="restart"/>
                  <w:vAlign w:val="center"/>
                </w:tcPr>
                <w:p w14:paraId="7399C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测点名称</w:t>
                  </w:r>
                </w:p>
              </w:tc>
              <w:tc>
                <w:tcPr>
                  <w:tcW w:w="1444" w:type="pct"/>
                  <w:gridSpan w:val="2"/>
                  <w:vAlign w:val="center"/>
                </w:tcPr>
                <w:p w14:paraId="67FBC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测点位置</w:t>
                  </w:r>
                </w:p>
              </w:tc>
              <w:tc>
                <w:tcPr>
                  <w:tcW w:w="812" w:type="pct"/>
                  <w:vMerge w:val="restart"/>
                  <w:vAlign w:val="center"/>
                </w:tcPr>
                <w:p w14:paraId="38810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引用项目</w:t>
                  </w:r>
                </w:p>
              </w:tc>
              <w:tc>
                <w:tcPr>
                  <w:tcW w:w="1316" w:type="pct"/>
                  <w:vMerge w:val="restart"/>
                  <w:vAlign w:val="center"/>
                </w:tcPr>
                <w:p w14:paraId="1D2F1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引用频次</w:t>
                  </w:r>
                </w:p>
              </w:tc>
            </w:tr>
            <w:tr w14:paraId="0FFEA52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415" w:hRule="atLeast"/>
                <w:jc w:val="center"/>
              </w:trPr>
              <w:tc>
                <w:tcPr>
                  <w:tcW w:w="341" w:type="pct"/>
                  <w:vMerge w:val="continue"/>
                  <w:vAlign w:val="center"/>
                </w:tcPr>
                <w:p w14:paraId="3E381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7" w:type="pct"/>
                  <w:vMerge w:val="continue"/>
                  <w:vAlign w:val="center"/>
                </w:tcPr>
                <w:p w14:paraId="090D4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31" w:type="pct"/>
                  <w:vAlign w:val="center"/>
                </w:tcPr>
                <w:p w14:paraId="0D6D8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813" w:type="pct"/>
                  <w:vAlign w:val="center"/>
                </w:tcPr>
                <w:p w14:paraId="1E7C8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距离（m）</w:t>
                  </w:r>
                </w:p>
              </w:tc>
              <w:tc>
                <w:tcPr>
                  <w:tcW w:w="812" w:type="pct"/>
                  <w:vMerge w:val="continue"/>
                  <w:vAlign w:val="center"/>
                </w:tcPr>
                <w:p w14:paraId="0B25D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16" w:type="pct"/>
                  <w:vMerge w:val="continue"/>
                  <w:vAlign w:val="center"/>
                </w:tcPr>
                <w:p w14:paraId="3514D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13ED86D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97" w:hRule="atLeast"/>
                <w:jc w:val="center"/>
              </w:trPr>
              <w:tc>
                <w:tcPr>
                  <w:tcW w:w="341" w:type="pct"/>
                  <w:vAlign w:val="center"/>
                </w:tcPr>
                <w:p w14:paraId="02B20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G</w:t>
                  </w:r>
                  <w:r>
                    <w:rPr>
                      <w:rFonts w:hint="eastAsia" w:ascii="Times New Roman" w:hAnsi="Times New Roman" w:eastAsia="宋体" w:cs="Times New Roman"/>
                      <w:color w:val="auto"/>
                      <w:sz w:val="21"/>
                      <w:szCs w:val="21"/>
                      <w:lang w:val="en-US" w:eastAsia="zh-CN"/>
                    </w:rPr>
                    <w:t>2</w:t>
                  </w:r>
                </w:p>
              </w:tc>
              <w:tc>
                <w:tcPr>
                  <w:tcW w:w="1087" w:type="pct"/>
                  <w:vAlign w:val="center"/>
                </w:tcPr>
                <w:p w14:paraId="355EC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常州市金坛区金东环保工程有限公司东侧</w:t>
                  </w:r>
                </w:p>
              </w:tc>
              <w:tc>
                <w:tcPr>
                  <w:tcW w:w="631" w:type="pct"/>
                  <w:vAlign w:val="center"/>
                </w:tcPr>
                <w:p w14:paraId="2BF34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813" w:type="pct"/>
                  <w:vAlign w:val="center"/>
                </w:tcPr>
                <w:p w14:paraId="36269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530</w:t>
                  </w:r>
                </w:p>
              </w:tc>
              <w:tc>
                <w:tcPr>
                  <w:tcW w:w="812" w:type="pct"/>
                  <w:vAlign w:val="center"/>
                </w:tcPr>
                <w:p w14:paraId="0FEC8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1316" w:type="pct"/>
                  <w:vAlign w:val="center"/>
                </w:tcPr>
                <w:p w14:paraId="32A45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连续引用</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天</w:t>
                  </w:r>
                </w:p>
              </w:tc>
            </w:tr>
          </w:tbl>
          <w:p w14:paraId="7A0B5B18">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表3-3  大气环境现状引用结果（mg/m</w:t>
            </w:r>
            <w:r>
              <w:rPr>
                <w:rFonts w:hint="default" w:ascii="Times New Roman" w:hAnsi="Times New Roman" w:eastAsia="宋体" w:cs="Times New Roman"/>
                <w:b/>
                <w:bCs/>
                <w:color w:val="auto"/>
                <w:sz w:val="24"/>
                <w:vertAlign w:val="superscript"/>
              </w:rPr>
              <w:t>3</w:t>
            </w:r>
            <w:r>
              <w:rPr>
                <w:rFonts w:hint="default" w:ascii="Times New Roman" w:hAnsi="Times New Roman" w:eastAsia="宋体" w:cs="Times New Roman"/>
                <w:b/>
                <w:bCs/>
                <w:color w:val="auto"/>
                <w:sz w:val="24"/>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60"/>
              <w:gridCol w:w="1238"/>
              <w:gridCol w:w="1062"/>
              <w:gridCol w:w="1232"/>
              <w:gridCol w:w="1232"/>
              <w:gridCol w:w="1185"/>
              <w:gridCol w:w="747"/>
              <w:gridCol w:w="838"/>
            </w:tblGrid>
            <w:tr w14:paraId="1805F7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52163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746" w:type="pct"/>
                  <w:vAlign w:val="center"/>
                </w:tcPr>
                <w:p w14:paraId="587C5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40" w:type="pct"/>
                  <w:vAlign w:val="center"/>
                </w:tcPr>
                <w:p w14:paraId="6CDEC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评价指标</w:t>
                  </w:r>
                </w:p>
              </w:tc>
              <w:tc>
                <w:tcPr>
                  <w:tcW w:w="742" w:type="pct"/>
                  <w:vAlign w:val="center"/>
                </w:tcPr>
                <w:p w14:paraId="05152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w:t>
                  </w:r>
                  <w:r>
                    <w:rPr>
                      <w:rFonts w:hint="eastAsia"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42" w:type="pct"/>
                  <w:vAlign w:val="center"/>
                </w:tcPr>
                <w:p w14:paraId="74D2D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r>
                    <w:rPr>
                      <w:rFonts w:hint="eastAsia"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14" w:type="pct"/>
                  <w:vAlign w:val="center"/>
                </w:tcPr>
                <w:p w14:paraId="1C43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450" w:type="pct"/>
                  <w:vAlign w:val="center"/>
                </w:tcPr>
                <w:p w14:paraId="08B3A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505" w:type="pct"/>
                  <w:vAlign w:val="center"/>
                </w:tcPr>
                <w:p w14:paraId="2A378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23524C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7EC73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4</w:t>
                  </w:r>
                </w:p>
              </w:tc>
              <w:tc>
                <w:tcPr>
                  <w:tcW w:w="746" w:type="pct"/>
                  <w:vAlign w:val="center"/>
                </w:tcPr>
                <w:p w14:paraId="34261D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78B17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一次值</w:t>
                  </w:r>
                </w:p>
              </w:tc>
              <w:tc>
                <w:tcPr>
                  <w:tcW w:w="742" w:type="pct"/>
                  <w:vAlign w:val="center"/>
                </w:tcPr>
                <w:p w14:paraId="60136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2" w:type="pct"/>
                  <w:vAlign w:val="center"/>
                </w:tcPr>
                <w:p w14:paraId="1D38E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0.63</w:t>
                  </w:r>
                </w:p>
              </w:tc>
              <w:tc>
                <w:tcPr>
                  <w:tcW w:w="714" w:type="pct"/>
                  <w:vAlign w:val="center"/>
                </w:tcPr>
                <w:p w14:paraId="64C6F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450" w:type="pct"/>
                  <w:vAlign w:val="center"/>
                </w:tcPr>
                <w:p w14:paraId="54035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05" w:type="pct"/>
                  <w:vAlign w:val="center"/>
                </w:tcPr>
                <w:p w14:paraId="67586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0505FC18">
            <w:pPr>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eastAsia="宋体" w:cs="Times New Roman"/>
                <w:color w:val="auto"/>
                <w:sz w:val="24"/>
              </w:rPr>
              <w:t>由上表可知，项目所在地附近周围环境空气中非甲烷总烃满足《大气污染物综合排放标准详解》标准。</w:t>
            </w:r>
          </w:p>
          <w:p w14:paraId="3C1E253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2、地表水环境</w:t>
            </w:r>
          </w:p>
          <w:p w14:paraId="7D39A65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（1）区域水环境状况</w:t>
            </w:r>
          </w:p>
          <w:p w14:paraId="3E92878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年常州市生态环境质量状况公报》中相关内容，202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年常州市纳入“十四五”国家地表水环境质量考核的20个断面，年均水质达到或好于《地表水环境质量标准》（GB 3838—2002）Ⅲ类标准的断面比例为85%（年度考核目标80%），无劣Ⅴ类断面。纳入江苏省“十四五”水环境质量目标考核的51个断面，年均水质达到或好于Ⅲ类的比例为94.1%（年度考核目标92.2%），无劣Ⅴ类断面。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60287BF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1979C37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持续打好长江保护修复攻坚战，到2025年长江干流水质稳定达到Ⅱ类；持续打好太湖流域综合整治攻坚战，坚决守住</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确保饮用水安全，确保不发生大面积湖泛</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污水处理提质增效达标区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；着力打好海洋生态环境综合治理攻坚战，推进重点河口海湾综合治理，深入开展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美丽海湾</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建设；强化陆域水域污染协同治理，到2025年，全面完成骨干河道和重点湖泊排污口排查整治。</w:t>
            </w:r>
          </w:p>
          <w:p w14:paraId="63DEC56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（2）地表水环境质量现状引用</w:t>
            </w:r>
          </w:p>
          <w:p w14:paraId="6072ED9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为了解</w:t>
            </w:r>
            <w:r>
              <w:rPr>
                <w:rFonts w:hint="default" w:ascii="Times New Roman" w:hAnsi="Times New Roman" w:eastAsia="宋体" w:cs="Times New Roman"/>
                <w:color w:val="auto"/>
                <w:sz w:val="24"/>
                <w:lang w:eastAsia="zh-CN"/>
              </w:rPr>
              <w:t>金坛第二污水处理厂</w:t>
            </w:r>
            <w:r>
              <w:rPr>
                <w:rFonts w:hint="default" w:ascii="Times New Roman" w:hAnsi="Times New Roman" w:eastAsia="宋体" w:cs="Times New Roman"/>
                <w:color w:val="auto"/>
                <w:sz w:val="24"/>
              </w:rPr>
              <w:t>排口上</w:t>
            </w:r>
            <w:r>
              <w:rPr>
                <w:rFonts w:hint="default" w:ascii="Times New Roman" w:hAnsi="Times New Roman" w:eastAsia="宋体" w:cs="Times New Roman"/>
                <w:color w:val="auto"/>
                <w:sz w:val="24"/>
                <w:lang w:val="en-US" w:eastAsia="zh-CN"/>
              </w:rPr>
              <w:t>下游</w:t>
            </w:r>
            <w:r>
              <w:rPr>
                <w:rFonts w:hint="default" w:ascii="Times New Roman" w:hAnsi="Times New Roman" w:eastAsia="宋体" w:cs="Times New Roman"/>
                <w:color w:val="auto"/>
                <w:sz w:val="24"/>
              </w:rPr>
              <w:t>水质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尧塘河</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现状，本次评价引用引用引用</w:t>
            </w:r>
            <w:r>
              <w:rPr>
                <w:rFonts w:hint="default" w:ascii="Times New Roman" w:hAnsi="Times New Roman" w:eastAsia="宋体" w:cs="Times New Roman"/>
                <w:color w:val="auto"/>
                <w:sz w:val="24"/>
                <w:lang w:val="en-US" w:eastAsia="zh-CN"/>
              </w:rPr>
              <w:t>TST202501015在金坛第二污水处理厂排口上游500米处和金坛第二污水处理厂排口下游2000米处点位地表水对 pH</w:t>
            </w:r>
            <w:r>
              <w:rPr>
                <w:rFonts w:hint="default" w:ascii="Times New Roman" w:hAnsi="Times New Roman" w:eastAsia="宋体" w:cs="Times New Roman"/>
                <w:color w:val="auto"/>
                <w:sz w:val="24"/>
              </w:rPr>
              <w:t xml:space="preserve"> 值、化学需氧量、氨氮、总磷的检测数据。</w:t>
            </w:r>
          </w:p>
          <w:p w14:paraId="6160F61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引用数据有效性分析：①本项目地表水质量现状引用202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31</w:t>
            </w:r>
            <w:r>
              <w:rPr>
                <w:rFonts w:hint="default" w:ascii="Times New Roman" w:hAnsi="Times New Roman" w:eastAsia="宋体" w:cs="Times New Roman"/>
                <w:color w:val="auto"/>
                <w:sz w:val="24"/>
              </w:rPr>
              <w:t>日</w:t>
            </w:r>
            <w:r>
              <w:rPr>
                <w:rFonts w:hint="default" w:ascii="Times New Roman" w:hAnsi="Times New Roman" w:eastAsia="宋体" w:cs="Times New Roman"/>
                <w:color w:val="auto"/>
                <w:sz w:val="24"/>
                <w:lang w:val="en-US" w:eastAsia="zh-CN"/>
              </w:rPr>
              <w:t>、6月1日、6月3日</w:t>
            </w:r>
            <w:r>
              <w:rPr>
                <w:rFonts w:hint="default" w:ascii="Times New Roman" w:hAnsi="Times New Roman" w:eastAsia="宋体" w:cs="Times New Roman"/>
                <w:color w:val="auto"/>
                <w:sz w:val="24"/>
              </w:rPr>
              <w:t>监测数据，引用时间不超过3年，且项目所在区域内污染源未发生重大变化，地表水引用时间有效；②引用点位在项目相关评价范围内，则地表水引用点位有效。</w:t>
            </w:r>
          </w:p>
          <w:p w14:paraId="1121FEA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监测数据统计结果见下表：</w:t>
            </w:r>
          </w:p>
          <w:p w14:paraId="1BF46036">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表3-2  地表水断面现状监测数据  单位：mg/L</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29"/>
              <w:gridCol w:w="1890"/>
              <w:gridCol w:w="1327"/>
              <w:gridCol w:w="1327"/>
              <w:gridCol w:w="1485"/>
              <w:gridCol w:w="1331"/>
            </w:tblGrid>
            <w:tr w14:paraId="3ABE49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7" w:hRule="atLeast"/>
                <w:jc w:val="center"/>
              </w:trPr>
              <w:tc>
                <w:tcPr>
                  <w:tcW w:w="560" w:type="pct"/>
                  <w:tcMar>
                    <w:left w:w="20" w:type="dxa"/>
                    <w:right w:w="20" w:type="dxa"/>
                  </w:tcMar>
                  <w:vAlign w:val="center"/>
                </w:tcPr>
                <w:p w14:paraId="32507374">
                  <w:pPr>
                    <w:snapToGrid w:val="0"/>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lang w:bidi="ar"/>
                    </w:rPr>
                    <w:t>断面</w:t>
                  </w:r>
                </w:p>
              </w:tc>
              <w:tc>
                <w:tcPr>
                  <w:tcW w:w="1139" w:type="pct"/>
                  <w:tcMar>
                    <w:left w:w="108" w:type="dxa"/>
                    <w:right w:w="108" w:type="dxa"/>
                  </w:tcMar>
                  <w:vAlign w:val="center"/>
                </w:tcPr>
                <w:p w14:paraId="1A5B6AF5">
                  <w:pPr>
                    <w:snapToGrid w:val="0"/>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lang w:bidi="ar"/>
                    </w:rPr>
                    <w:t>项目</w:t>
                  </w:r>
                </w:p>
              </w:tc>
              <w:tc>
                <w:tcPr>
                  <w:tcW w:w="800" w:type="pct"/>
                  <w:tcMar>
                    <w:left w:w="20" w:type="dxa"/>
                    <w:right w:w="20" w:type="dxa"/>
                  </w:tcMar>
                  <w:vAlign w:val="center"/>
                </w:tcPr>
                <w:p w14:paraId="122F4B26">
                  <w:pPr>
                    <w:snapToGrid w:val="0"/>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lang w:bidi="ar"/>
                    </w:rPr>
                    <w:t>pH</w:t>
                  </w:r>
                </w:p>
              </w:tc>
              <w:tc>
                <w:tcPr>
                  <w:tcW w:w="800" w:type="pct"/>
                  <w:tcMar>
                    <w:left w:w="20" w:type="dxa"/>
                    <w:right w:w="20" w:type="dxa"/>
                  </w:tcMar>
                  <w:vAlign w:val="center"/>
                </w:tcPr>
                <w:p w14:paraId="0597DF0F">
                  <w:pPr>
                    <w:snapToGrid w:val="0"/>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lang w:bidi="ar"/>
                    </w:rPr>
                    <w:t>COD</w:t>
                  </w:r>
                </w:p>
              </w:tc>
              <w:tc>
                <w:tcPr>
                  <w:tcW w:w="895" w:type="pct"/>
                  <w:tcMar>
                    <w:left w:w="20" w:type="dxa"/>
                    <w:right w:w="20" w:type="dxa"/>
                  </w:tcMar>
                  <w:vAlign w:val="center"/>
                </w:tcPr>
                <w:p w14:paraId="50D5460D">
                  <w:pPr>
                    <w:snapToGrid w:val="0"/>
                    <w:spacing w:line="30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0"/>
                      <w:szCs w:val="21"/>
                      <w:lang w:bidi="ar"/>
                    </w:rPr>
                    <w:t>NH</w:t>
                  </w:r>
                  <w:r>
                    <w:rPr>
                      <w:rFonts w:hint="default" w:ascii="Times New Roman" w:hAnsi="Times New Roman" w:eastAsia="宋体" w:cs="Times New Roman"/>
                      <w:b/>
                      <w:color w:val="auto"/>
                      <w:kern w:val="0"/>
                      <w:szCs w:val="21"/>
                      <w:vertAlign w:val="subscript"/>
                      <w:lang w:bidi="ar"/>
                    </w:rPr>
                    <w:t>3</w:t>
                  </w:r>
                  <w:r>
                    <w:rPr>
                      <w:rFonts w:hint="default" w:ascii="Times New Roman" w:hAnsi="Times New Roman" w:eastAsia="宋体" w:cs="Times New Roman"/>
                      <w:b/>
                      <w:color w:val="auto"/>
                      <w:kern w:val="0"/>
                      <w:szCs w:val="21"/>
                      <w:lang w:bidi="ar"/>
                    </w:rPr>
                    <w:t>-N</w:t>
                  </w:r>
                </w:p>
              </w:tc>
              <w:tc>
                <w:tcPr>
                  <w:tcW w:w="802" w:type="pct"/>
                  <w:tcMar>
                    <w:left w:w="20" w:type="dxa"/>
                    <w:right w:w="20" w:type="dxa"/>
                  </w:tcMar>
                  <w:vAlign w:val="center"/>
                </w:tcPr>
                <w:p w14:paraId="677D0C79">
                  <w:pPr>
                    <w:snapToGrid w:val="0"/>
                    <w:spacing w:line="30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0"/>
                      <w:szCs w:val="21"/>
                      <w:lang w:bidi="ar"/>
                    </w:rPr>
                    <w:t>TP</w:t>
                  </w:r>
                </w:p>
              </w:tc>
            </w:tr>
            <w:tr w14:paraId="4504DA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restart"/>
                  <w:tcMar>
                    <w:left w:w="20" w:type="dxa"/>
                    <w:right w:w="20" w:type="dxa"/>
                  </w:tcMar>
                  <w:vAlign w:val="center"/>
                </w:tcPr>
                <w:p w14:paraId="78DD5ECE">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金坛第二污水处理厂排口上游500米处</w:t>
                  </w:r>
                </w:p>
              </w:tc>
              <w:tc>
                <w:tcPr>
                  <w:tcW w:w="1139" w:type="pct"/>
                  <w:tcMar>
                    <w:left w:w="108" w:type="dxa"/>
                    <w:right w:w="108" w:type="dxa"/>
                  </w:tcMar>
                  <w:vAlign w:val="center"/>
                </w:tcPr>
                <w:p w14:paraId="3860E566">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浓度范围</w:t>
                  </w:r>
                </w:p>
              </w:tc>
              <w:tc>
                <w:tcPr>
                  <w:tcW w:w="800" w:type="pct"/>
                  <w:tcMar>
                    <w:left w:w="20" w:type="dxa"/>
                    <w:right w:w="20" w:type="dxa"/>
                  </w:tcMar>
                  <w:vAlign w:val="center"/>
                </w:tcPr>
                <w:p w14:paraId="2DAE8EA6">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7.</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lang w:val="en-US" w:eastAsia="zh-CN"/>
                    </w:rPr>
                    <w:t>.1</w:t>
                  </w:r>
                </w:p>
              </w:tc>
              <w:tc>
                <w:tcPr>
                  <w:tcW w:w="800" w:type="pct"/>
                  <w:tcMar>
                    <w:left w:w="20" w:type="dxa"/>
                    <w:right w:w="20" w:type="dxa"/>
                  </w:tcMar>
                  <w:vAlign w:val="center"/>
                </w:tcPr>
                <w:p w14:paraId="011CFD32">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9</w:t>
                  </w:r>
                </w:p>
              </w:tc>
              <w:tc>
                <w:tcPr>
                  <w:tcW w:w="895" w:type="pct"/>
                  <w:tcMar>
                    <w:left w:w="20" w:type="dxa"/>
                    <w:right w:w="20" w:type="dxa"/>
                  </w:tcMar>
                  <w:vAlign w:val="center"/>
                </w:tcPr>
                <w:p w14:paraId="1D1F4328">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r>
                    <w:rPr>
                      <w:rFonts w:hint="eastAsia" w:ascii="Times New Roman" w:hAnsi="Times New Roman" w:cs="Times New Roman"/>
                      <w:color w:val="auto"/>
                      <w:kern w:val="2"/>
                      <w:sz w:val="21"/>
                      <w:szCs w:val="21"/>
                      <w:lang w:val="en-US" w:eastAsia="zh-CN" w:bidi="ar-SA"/>
                    </w:rPr>
                    <w:t>149</w:t>
                  </w:r>
                  <w:r>
                    <w:rPr>
                      <w:rFonts w:hint="default" w:ascii="Times New Roman" w:hAnsi="Times New Roman" w:cs="Times New Roman"/>
                      <w:color w:val="auto"/>
                      <w:kern w:val="2"/>
                      <w:sz w:val="21"/>
                      <w:szCs w:val="21"/>
                      <w:lang w:val="en-US" w:eastAsia="zh-CN" w:bidi="ar-SA"/>
                    </w:rPr>
                    <w:t>-0.</w:t>
                  </w:r>
                  <w:r>
                    <w:rPr>
                      <w:rFonts w:hint="eastAsia" w:ascii="Times New Roman" w:hAnsi="Times New Roman" w:cs="Times New Roman"/>
                      <w:color w:val="auto"/>
                      <w:kern w:val="2"/>
                      <w:sz w:val="21"/>
                      <w:szCs w:val="21"/>
                      <w:lang w:val="en-US" w:eastAsia="zh-CN" w:bidi="ar-SA"/>
                    </w:rPr>
                    <w:t>350</w:t>
                  </w:r>
                </w:p>
              </w:tc>
              <w:tc>
                <w:tcPr>
                  <w:tcW w:w="802" w:type="pct"/>
                  <w:tcMar>
                    <w:left w:w="20" w:type="dxa"/>
                    <w:right w:w="20" w:type="dxa"/>
                  </w:tcMar>
                  <w:vAlign w:val="center"/>
                </w:tcPr>
                <w:p w14:paraId="5A7555C2">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0.</w:t>
                  </w:r>
                  <w:r>
                    <w:rPr>
                      <w:rFonts w:hint="eastAsia" w:ascii="Times New Roman" w:hAnsi="Times New Roman" w:cs="Times New Roman"/>
                      <w:color w:val="auto"/>
                      <w:kern w:val="2"/>
                      <w:sz w:val="21"/>
                      <w:szCs w:val="22"/>
                      <w:lang w:val="en-US" w:eastAsia="zh-CN" w:bidi="ar-SA"/>
                    </w:rPr>
                    <w:t>08</w:t>
                  </w:r>
                  <w:r>
                    <w:rPr>
                      <w:rFonts w:hint="default" w:ascii="Times New Roman" w:hAnsi="Times New Roman" w:cs="Times New Roman"/>
                      <w:color w:val="auto"/>
                      <w:kern w:val="2"/>
                      <w:sz w:val="21"/>
                      <w:szCs w:val="22"/>
                      <w:lang w:val="en-US" w:eastAsia="zh-CN" w:bidi="ar-SA"/>
                    </w:rPr>
                    <w:t>-0.</w:t>
                  </w:r>
                  <w:r>
                    <w:rPr>
                      <w:rFonts w:hint="eastAsia" w:ascii="Times New Roman" w:hAnsi="Times New Roman" w:cs="Times New Roman"/>
                      <w:color w:val="auto"/>
                      <w:kern w:val="2"/>
                      <w:sz w:val="21"/>
                      <w:szCs w:val="22"/>
                      <w:lang w:val="en-US" w:eastAsia="zh-CN" w:bidi="ar-SA"/>
                    </w:rPr>
                    <w:t>0</w:t>
                  </w:r>
                  <w:r>
                    <w:rPr>
                      <w:rFonts w:hint="default" w:ascii="Times New Roman" w:hAnsi="Times New Roman" w:cs="Times New Roman"/>
                      <w:color w:val="auto"/>
                      <w:kern w:val="2"/>
                      <w:sz w:val="21"/>
                      <w:szCs w:val="22"/>
                      <w:lang w:val="en-US" w:eastAsia="zh-CN" w:bidi="ar-SA"/>
                    </w:rPr>
                    <w:t>9</w:t>
                  </w:r>
                </w:p>
              </w:tc>
            </w:tr>
            <w:tr w14:paraId="73245F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56352663">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36876117">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标准限值</w:t>
                  </w:r>
                </w:p>
              </w:tc>
              <w:tc>
                <w:tcPr>
                  <w:tcW w:w="800" w:type="pct"/>
                  <w:tcMar>
                    <w:left w:w="20" w:type="dxa"/>
                    <w:right w:w="20" w:type="dxa"/>
                  </w:tcMar>
                  <w:vAlign w:val="center"/>
                </w:tcPr>
                <w:p w14:paraId="4C25CF95">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6~9</w:t>
                  </w:r>
                </w:p>
              </w:tc>
              <w:tc>
                <w:tcPr>
                  <w:tcW w:w="800" w:type="pct"/>
                  <w:tcMar>
                    <w:left w:w="20" w:type="dxa"/>
                    <w:right w:w="20" w:type="dxa"/>
                  </w:tcMar>
                  <w:vAlign w:val="center"/>
                </w:tcPr>
                <w:p w14:paraId="7C993ED2">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20</w:t>
                  </w:r>
                </w:p>
              </w:tc>
              <w:tc>
                <w:tcPr>
                  <w:tcW w:w="895" w:type="pct"/>
                  <w:tcMar>
                    <w:left w:w="20" w:type="dxa"/>
                    <w:right w:w="20" w:type="dxa"/>
                  </w:tcMar>
                  <w:vAlign w:val="center"/>
                </w:tcPr>
                <w:p w14:paraId="39774E5C">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1.0</w:t>
                  </w:r>
                </w:p>
              </w:tc>
              <w:tc>
                <w:tcPr>
                  <w:tcW w:w="802" w:type="pct"/>
                  <w:tcMar>
                    <w:left w:w="20" w:type="dxa"/>
                    <w:right w:w="20" w:type="dxa"/>
                  </w:tcMar>
                  <w:vAlign w:val="center"/>
                </w:tcPr>
                <w:p w14:paraId="353FD02C">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0.2</w:t>
                  </w:r>
                </w:p>
              </w:tc>
            </w:tr>
            <w:tr w14:paraId="49FEEF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53059574">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263798AF">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超标率（%）</w:t>
                  </w:r>
                </w:p>
              </w:tc>
              <w:tc>
                <w:tcPr>
                  <w:tcW w:w="800" w:type="pct"/>
                  <w:tcMar>
                    <w:left w:w="20" w:type="dxa"/>
                    <w:right w:w="20" w:type="dxa"/>
                  </w:tcMar>
                  <w:vAlign w:val="center"/>
                </w:tcPr>
                <w:p w14:paraId="6F7B2893">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00" w:type="pct"/>
                  <w:tcMar>
                    <w:left w:w="20" w:type="dxa"/>
                    <w:right w:w="20" w:type="dxa"/>
                  </w:tcMar>
                  <w:vAlign w:val="center"/>
                </w:tcPr>
                <w:p w14:paraId="04CB1E2C">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95" w:type="pct"/>
                  <w:tcMar>
                    <w:left w:w="20" w:type="dxa"/>
                    <w:right w:w="20" w:type="dxa"/>
                  </w:tcMar>
                  <w:vAlign w:val="center"/>
                </w:tcPr>
                <w:p w14:paraId="14F70B8F">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c>
                <w:tcPr>
                  <w:tcW w:w="802" w:type="pct"/>
                  <w:tcMar>
                    <w:left w:w="20" w:type="dxa"/>
                    <w:right w:w="20" w:type="dxa"/>
                  </w:tcMar>
                  <w:vAlign w:val="center"/>
                </w:tcPr>
                <w:p w14:paraId="67B9E3BD">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r>
            <w:tr w14:paraId="0120FD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0FAF03BE">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4EED237A">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最大超标倍数</w:t>
                  </w:r>
                </w:p>
              </w:tc>
              <w:tc>
                <w:tcPr>
                  <w:tcW w:w="800" w:type="pct"/>
                  <w:tcMar>
                    <w:left w:w="20" w:type="dxa"/>
                    <w:right w:w="20" w:type="dxa"/>
                  </w:tcMar>
                  <w:vAlign w:val="center"/>
                </w:tcPr>
                <w:p w14:paraId="5BD5A864">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00" w:type="pct"/>
                  <w:tcMar>
                    <w:left w:w="20" w:type="dxa"/>
                    <w:right w:w="20" w:type="dxa"/>
                  </w:tcMar>
                  <w:vAlign w:val="center"/>
                </w:tcPr>
                <w:p w14:paraId="10E83BFA">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95" w:type="pct"/>
                  <w:tcMar>
                    <w:left w:w="20" w:type="dxa"/>
                    <w:right w:w="20" w:type="dxa"/>
                  </w:tcMar>
                  <w:vAlign w:val="center"/>
                </w:tcPr>
                <w:p w14:paraId="0630BBC1">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c>
                <w:tcPr>
                  <w:tcW w:w="802" w:type="pct"/>
                  <w:tcMar>
                    <w:left w:w="20" w:type="dxa"/>
                    <w:right w:w="20" w:type="dxa"/>
                  </w:tcMar>
                  <w:vAlign w:val="center"/>
                </w:tcPr>
                <w:p w14:paraId="406FBB83">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r>
            <w:tr w14:paraId="00BEA8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restart"/>
                  <w:tcMar>
                    <w:left w:w="20" w:type="dxa"/>
                    <w:right w:w="20" w:type="dxa"/>
                  </w:tcMar>
                  <w:vAlign w:val="center"/>
                </w:tcPr>
                <w:p w14:paraId="7758E9D0">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金坛第二污水处理厂排口下游2000米处</w:t>
                  </w:r>
                </w:p>
              </w:tc>
              <w:tc>
                <w:tcPr>
                  <w:tcW w:w="1139" w:type="pct"/>
                  <w:tcMar>
                    <w:left w:w="108" w:type="dxa"/>
                    <w:right w:w="108" w:type="dxa"/>
                  </w:tcMar>
                  <w:vAlign w:val="center"/>
                </w:tcPr>
                <w:p w14:paraId="3901B1A2">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浓度范围</w:t>
                  </w:r>
                </w:p>
              </w:tc>
              <w:tc>
                <w:tcPr>
                  <w:tcW w:w="800" w:type="pct"/>
                  <w:tcMar>
                    <w:left w:w="20" w:type="dxa"/>
                    <w:right w:w="20" w:type="dxa"/>
                  </w:tcMar>
                  <w:vAlign w:val="center"/>
                </w:tcPr>
                <w:p w14:paraId="695F1A98">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val="en-US" w:eastAsia="zh-CN"/>
                    </w:rPr>
                    <w:t>7.</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8.0</w:t>
                  </w:r>
                </w:p>
              </w:tc>
              <w:tc>
                <w:tcPr>
                  <w:tcW w:w="800" w:type="pct"/>
                  <w:tcMar>
                    <w:left w:w="20" w:type="dxa"/>
                    <w:right w:w="20" w:type="dxa"/>
                  </w:tcMar>
                  <w:vAlign w:val="center"/>
                </w:tcPr>
                <w:p w14:paraId="12690851">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7</w:t>
                  </w:r>
                </w:p>
              </w:tc>
              <w:tc>
                <w:tcPr>
                  <w:tcW w:w="895" w:type="pct"/>
                  <w:tcMar>
                    <w:left w:w="20" w:type="dxa"/>
                    <w:right w:w="20" w:type="dxa"/>
                  </w:tcMar>
                  <w:vAlign w:val="center"/>
                </w:tcPr>
                <w:p w14:paraId="700EB41C">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0.2</w:t>
                  </w:r>
                  <w:r>
                    <w:rPr>
                      <w:rFonts w:hint="eastAsia" w:ascii="Times New Roman" w:hAnsi="Times New Roman" w:cs="Times New Roman"/>
                      <w:color w:val="auto"/>
                      <w:kern w:val="2"/>
                      <w:sz w:val="21"/>
                      <w:szCs w:val="21"/>
                      <w:lang w:val="en-US" w:eastAsia="zh-CN" w:bidi="ar-SA"/>
                    </w:rPr>
                    <w:t>51</w:t>
                  </w:r>
                  <w:r>
                    <w:rPr>
                      <w:rFonts w:hint="default" w:ascii="Times New Roman" w:hAnsi="Times New Roman" w:cs="Times New Roman"/>
                      <w:color w:val="auto"/>
                      <w:kern w:val="2"/>
                      <w:sz w:val="21"/>
                      <w:szCs w:val="21"/>
                      <w:lang w:val="en-US" w:eastAsia="zh-CN" w:bidi="ar-SA"/>
                    </w:rPr>
                    <w:t>-0.</w:t>
                  </w:r>
                  <w:r>
                    <w:rPr>
                      <w:rFonts w:hint="eastAsia" w:ascii="Times New Roman" w:hAnsi="Times New Roman" w:cs="Times New Roman"/>
                      <w:color w:val="auto"/>
                      <w:kern w:val="2"/>
                      <w:sz w:val="21"/>
                      <w:szCs w:val="21"/>
                      <w:lang w:val="en-US" w:eastAsia="zh-CN" w:bidi="ar-SA"/>
                    </w:rPr>
                    <w:t>331</w:t>
                  </w:r>
                </w:p>
              </w:tc>
              <w:tc>
                <w:tcPr>
                  <w:tcW w:w="802" w:type="pct"/>
                  <w:tcMar>
                    <w:left w:w="20" w:type="dxa"/>
                    <w:right w:w="20" w:type="dxa"/>
                  </w:tcMar>
                  <w:vAlign w:val="center"/>
                </w:tcPr>
                <w:p w14:paraId="6C65AD21">
                  <w:pPr>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0.</w:t>
                  </w:r>
                  <w:r>
                    <w:rPr>
                      <w:rFonts w:hint="eastAsia" w:ascii="Times New Roman" w:hAnsi="Times New Roman" w:cs="Times New Roman"/>
                      <w:color w:val="auto"/>
                      <w:kern w:val="2"/>
                      <w:sz w:val="21"/>
                      <w:szCs w:val="22"/>
                      <w:lang w:val="en-US" w:eastAsia="zh-CN" w:bidi="ar-SA"/>
                    </w:rPr>
                    <w:t>08</w:t>
                  </w:r>
                  <w:r>
                    <w:rPr>
                      <w:rFonts w:hint="default" w:ascii="Times New Roman" w:hAnsi="Times New Roman" w:cs="Times New Roman"/>
                      <w:color w:val="auto"/>
                      <w:kern w:val="2"/>
                      <w:sz w:val="21"/>
                      <w:szCs w:val="22"/>
                      <w:lang w:val="en-US" w:eastAsia="zh-CN" w:bidi="ar-SA"/>
                    </w:rPr>
                    <w:t>-0.</w:t>
                  </w:r>
                  <w:r>
                    <w:rPr>
                      <w:rFonts w:hint="eastAsia" w:ascii="Times New Roman" w:hAnsi="Times New Roman" w:cs="Times New Roman"/>
                      <w:color w:val="auto"/>
                      <w:kern w:val="2"/>
                      <w:sz w:val="21"/>
                      <w:szCs w:val="22"/>
                      <w:lang w:val="en-US" w:eastAsia="zh-CN" w:bidi="ar-SA"/>
                    </w:rPr>
                    <w:t>0</w:t>
                  </w:r>
                  <w:r>
                    <w:rPr>
                      <w:rFonts w:hint="default" w:ascii="Times New Roman" w:hAnsi="Times New Roman" w:cs="Times New Roman"/>
                      <w:color w:val="auto"/>
                      <w:kern w:val="2"/>
                      <w:sz w:val="21"/>
                      <w:szCs w:val="22"/>
                      <w:lang w:val="en-US" w:eastAsia="zh-CN" w:bidi="ar-SA"/>
                    </w:rPr>
                    <w:t>9</w:t>
                  </w:r>
                </w:p>
              </w:tc>
            </w:tr>
            <w:tr w14:paraId="78DFFA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79097E28">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7C522874">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标准限值</w:t>
                  </w:r>
                </w:p>
              </w:tc>
              <w:tc>
                <w:tcPr>
                  <w:tcW w:w="800" w:type="pct"/>
                  <w:tcMar>
                    <w:left w:w="20" w:type="dxa"/>
                    <w:right w:w="20" w:type="dxa"/>
                  </w:tcMar>
                  <w:vAlign w:val="center"/>
                </w:tcPr>
                <w:p w14:paraId="3B1072E6">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6~9</w:t>
                  </w:r>
                </w:p>
              </w:tc>
              <w:tc>
                <w:tcPr>
                  <w:tcW w:w="800" w:type="pct"/>
                  <w:tcMar>
                    <w:left w:w="20" w:type="dxa"/>
                    <w:right w:w="20" w:type="dxa"/>
                  </w:tcMar>
                  <w:vAlign w:val="center"/>
                </w:tcPr>
                <w:p w14:paraId="56AC1EDD">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20</w:t>
                  </w:r>
                </w:p>
              </w:tc>
              <w:tc>
                <w:tcPr>
                  <w:tcW w:w="895" w:type="pct"/>
                  <w:tcMar>
                    <w:left w:w="20" w:type="dxa"/>
                    <w:right w:w="20" w:type="dxa"/>
                  </w:tcMar>
                  <w:vAlign w:val="center"/>
                </w:tcPr>
                <w:p w14:paraId="219F9FFA">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1.0</w:t>
                  </w:r>
                </w:p>
              </w:tc>
              <w:tc>
                <w:tcPr>
                  <w:tcW w:w="802" w:type="pct"/>
                  <w:tcMar>
                    <w:left w:w="20" w:type="dxa"/>
                    <w:right w:w="20" w:type="dxa"/>
                  </w:tcMar>
                  <w:vAlign w:val="center"/>
                </w:tcPr>
                <w:p w14:paraId="1A2FDC59">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0.2</w:t>
                  </w:r>
                </w:p>
              </w:tc>
            </w:tr>
            <w:tr w14:paraId="3F0A9F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733BA25A">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26F2C1E9">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超标率（%）</w:t>
                  </w:r>
                </w:p>
              </w:tc>
              <w:tc>
                <w:tcPr>
                  <w:tcW w:w="800" w:type="pct"/>
                  <w:tcMar>
                    <w:left w:w="20" w:type="dxa"/>
                    <w:right w:w="20" w:type="dxa"/>
                  </w:tcMar>
                  <w:vAlign w:val="center"/>
                </w:tcPr>
                <w:p w14:paraId="039D2078">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00" w:type="pct"/>
                  <w:tcMar>
                    <w:left w:w="20" w:type="dxa"/>
                    <w:right w:w="20" w:type="dxa"/>
                  </w:tcMar>
                  <w:vAlign w:val="center"/>
                </w:tcPr>
                <w:p w14:paraId="0B38CB5C">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95" w:type="pct"/>
                  <w:tcMar>
                    <w:left w:w="20" w:type="dxa"/>
                    <w:right w:w="20" w:type="dxa"/>
                  </w:tcMar>
                  <w:vAlign w:val="center"/>
                </w:tcPr>
                <w:p w14:paraId="2819BD95">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c>
                <w:tcPr>
                  <w:tcW w:w="802" w:type="pct"/>
                  <w:tcMar>
                    <w:left w:w="20" w:type="dxa"/>
                    <w:right w:w="20" w:type="dxa"/>
                  </w:tcMar>
                  <w:vAlign w:val="center"/>
                </w:tcPr>
                <w:p w14:paraId="4D935DAD">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r>
            <w:tr w14:paraId="3773EF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560" w:type="pct"/>
                  <w:vMerge w:val="continue"/>
                  <w:tcMar>
                    <w:left w:w="20" w:type="dxa"/>
                    <w:right w:w="20" w:type="dxa"/>
                  </w:tcMar>
                  <w:vAlign w:val="center"/>
                </w:tcPr>
                <w:p w14:paraId="09781E48">
                  <w:pPr>
                    <w:rPr>
                      <w:rFonts w:hint="default" w:ascii="Times New Roman" w:hAnsi="Times New Roman" w:eastAsia="宋体" w:cs="Times New Roman"/>
                      <w:color w:val="auto"/>
                      <w:szCs w:val="21"/>
                    </w:rPr>
                  </w:pPr>
                </w:p>
              </w:tc>
              <w:tc>
                <w:tcPr>
                  <w:tcW w:w="1139" w:type="pct"/>
                  <w:tcMar>
                    <w:left w:w="108" w:type="dxa"/>
                    <w:right w:w="108" w:type="dxa"/>
                  </w:tcMar>
                  <w:vAlign w:val="center"/>
                </w:tcPr>
                <w:p w14:paraId="108C9EB2">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最大超标倍数</w:t>
                  </w:r>
                </w:p>
              </w:tc>
              <w:tc>
                <w:tcPr>
                  <w:tcW w:w="800" w:type="pct"/>
                  <w:tcMar>
                    <w:left w:w="20" w:type="dxa"/>
                    <w:right w:w="20" w:type="dxa"/>
                  </w:tcMar>
                  <w:vAlign w:val="center"/>
                </w:tcPr>
                <w:p w14:paraId="77E71CFB">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00" w:type="pct"/>
                  <w:tcMar>
                    <w:left w:w="20" w:type="dxa"/>
                    <w:right w:w="20" w:type="dxa"/>
                  </w:tcMar>
                  <w:vAlign w:val="center"/>
                </w:tcPr>
                <w:p w14:paraId="1A60CC2F">
                  <w:pPr>
                    <w:snapToGrid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w:t>
                  </w:r>
                </w:p>
              </w:tc>
              <w:tc>
                <w:tcPr>
                  <w:tcW w:w="895" w:type="pct"/>
                  <w:tcMar>
                    <w:left w:w="20" w:type="dxa"/>
                    <w:right w:w="20" w:type="dxa"/>
                  </w:tcMar>
                  <w:vAlign w:val="center"/>
                </w:tcPr>
                <w:p w14:paraId="5BE720D3">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c>
                <w:tcPr>
                  <w:tcW w:w="802" w:type="pct"/>
                  <w:tcMar>
                    <w:left w:w="20" w:type="dxa"/>
                    <w:right w:w="20" w:type="dxa"/>
                  </w:tcMar>
                  <w:vAlign w:val="center"/>
                </w:tcPr>
                <w:p w14:paraId="0A3A9A8F">
                  <w:pPr>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lang w:bidi="ar"/>
                    </w:rPr>
                    <w:t>0</w:t>
                  </w:r>
                </w:p>
              </w:tc>
            </w:tr>
          </w:tbl>
          <w:p w14:paraId="36985E5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地表水水质现状监测及评价结果表明，尧塘河各引用断面中pH、COD</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-N、TP均能达到《地表水环境质量标准》（GB3838-2002）III类水质标准，说明当地水环境质量良好，具有一定的环境承载力。</w:t>
            </w:r>
          </w:p>
          <w:p w14:paraId="642BF65E">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3、声环境</w:t>
            </w:r>
          </w:p>
          <w:p w14:paraId="2B91712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1）声环境质量标准</w:t>
            </w:r>
          </w:p>
          <w:p w14:paraId="6EE3EDE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本项目周边50m范围内无敏感点，无需对厂界进行监测，根据声环境功能区规划图可知，本项目所在区域声环境质量现状划分为《声环境质量标准》（GB3096-2008）中</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w:t>
            </w:r>
          </w:p>
          <w:p w14:paraId="27A0C04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2）声环境现状评价</w:t>
            </w:r>
          </w:p>
          <w:p w14:paraId="77DF1FE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本项目周边50米范围内无敏感点，因此无需开展噪声现状调查。</w:t>
            </w:r>
          </w:p>
          <w:p w14:paraId="08F78F1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4、土壤、地下水环境质量现状</w:t>
            </w:r>
          </w:p>
          <w:p w14:paraId="56F1D752">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lang w:eastAsia="zh-CN"/>
              </w:rPr>
              <w:t>。</w:t>
            </w:r>
          </w:p>
          <w:p w14:paraId="2EF70BD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本项目运营期土壤环境影响识别主要针对本项目产生的废气和废水。本项目</w:t>
            </w:r>
            <w:r>
              <w:rPr>
                <w:rFonts w:hint="default" w:ascii="Times New Roman" w:hAnsi="Times New Roman" w:eastAsia="宋体" w:cs="Times New Roman"/>
                <w:color w:val="auto"/>
                <w:sz w:val="24"/>
                <w:lang w:val="en-US" w:eastAsia="zh-CN"/>
              </w:rPr>
              <w:t>冷却水循环使用，不外排；</w:t>
            </w:r>
            <w:r>
              <w:rPr>
                <w:rFonts w:hint="default" w:ascii="Times New Roman" w:hAnsi="Times New Roman" w:eastAsia="宋体" w:cs="Times New Roman"/>
                <w:color w:val="auto"/>
                <w:sz w:val="24"/>
              </w:rPr>
              <w:t>废水主要为生活污水，且水质简单，经管网接入</w:t>
            </w:r>
            <w:r>
              <w:rPr>
                <w:rFonts w:hint="default" w:ascii="Times New Roman" w:hAnsi="Times New Roman" w:eastAsia="宋体" w:cs="Times New Roman"/>
                <w:color w:val="auto"/>
                <w:sz w:val="24"/>
                <w:lang w:val="en-US" w:eastAsia="zh-CN"/>
              </w:rPr>
              <w:t>指前</w:t>
            </w:r>
            <w:r>
              <w:rPr>
                <w:rFonts w:hint="default" w:ascii="Times New Roman" w:hAnsi="Times New Roman" w:eastAsia="宋体" w:cs="Times New Roman"/>
                <w:color w:val="auto"/>
                <w:sz w:val="24"/>
              </w:rPr>
              <w:t>污水处理厂处理。废气中的主要污染物为颗粒物</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非甲烷总烃</w:t>
            </w:r>
            <w:r>
              <w:rPr>
                <w:rFonts w:hint="default" w:ascii="Times New Roman" w:hAnsi="Times New Roman" w:eastAsia="宋体" w:cs="Times New Roman"/>
                <w:color w:val="auto"/>
                <w:sz w:val="24"/>
              </w:rPr>
              <w:t>，拟建</w:t>
            </w:r>
            <w:r>
              <w:rPr>
                <w:rFonts w:hint="default" w:ascii="Times New Roman" w:hAnsi="Times New Roman" w:eastAsia="宋体" w:cs="Times New Roman"/>
                <w:color w:val="auto"/>
                <w:sz w:val="24"/>
                <w:lang w:val="en-US" w:eastAsia="zh-CN"/>
              </w:rPr>
              <w:t>胶水贮存库、</w:t>
            </w:r>
            <w:r>
              <w:rPr>
                <w:rFonts w:hint="default" w:ascii="Times New Roman" w:hAnsi="Times New Roman" w:eastAsia="宋体" w:cs="Times New Roman"/>
                <w:color w:val="auto"/>
                <w:sz w:val="24"/>
              </w:rPr>
              <w:t>拟建危废库为重点防渗区，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其余生产区为一般防渗区，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环氧地坪进行地面防渗处理，办公区、道路等均进行地面硬化处理，</w:t>
            </w:r>
            <w:r>
              <w:rPr>
                <w:rFonts w:hint="default"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rPr>
              <w:t>不存在土壤、地下水环境垂直入渗、漫流等污染途径，因此，可不开展地下水、土壤现状评价工作。</w:t>
            </w:r>
          </w:p>
          <w:p w14:paraId="30555761">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5、生态环境</w:t>
            </w:r>
          </w:p>
          <w:p w14:paraId="64A51A0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本项目用地范围内不涉及生态环境保护目标，因此本项目不</w:t>
            </w:r>
            <w:r>
              <w:rPr>
                <w:rFonts w:hint="default" w:ascii="Times New Roman" w:hAnsi="Times New Roman" w:eastAsia="宋体" w:cs="Times New Roman"/>
                <w:color w:val="auto"/>
                <w:sz w:val="24"/>
                <w:lang w:eastAsia="zh-CN"/>
              </w:rPr>
              <w:t>开展</w:t>
            </w:r>
            <w:r>
              <w:rPr>
                <w:rFonts w:hint="default" w:ascii="Times New Roman" w:hAnsi="Times New Roman" w:eastAsia="宋体" w:cs="Times New Roman"/>
                <w:color w:val="auto"/>
                <w:sz w:val="24"/>
              </w:rPr>
              <w:t>生态现状调查</w:t>
            </w:r>
            <w:r>
              <w:rPr>
                <w:rFonts w:hint="default" w:ascii="Times New Roman" w:hAnsi="Times New Roman" w:eastAsia="宋体" w:cs="Times New Roman"/>
                <w:color w:val="auto"/>
                <w:sz w:val="24"/>
                <w:lang w:val="en-US" w:eastAsia="zh-CN"/>
              </w:rPr>
              <w:t>。</w:t>
            </w:r>
          </w:p>
          <w:p w14:paraId="7186D37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6、电磁辐射</w:t>
            </w:r>
          </w:p>
          <w:p w14:paraId="0003A25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本项目不属于广播电台、差转台、电视塔台、卫星地球上行站、雷达等电磁辐射类项目。</w:t>
            </w:r>
          </w:p>
          <w:p w14:paraId="486B822F">
            <w:pPr>
              <w:spacing w:line="360" w:lineRule="auto"/>
              <w:ind w:firstLine="480" w:firstLineChars="200"/>
              <w:rPr>
                <w:rFonts w:hint="default" w:ascii="Times New Roman" w:hAnsi="Times New Roman" w:eastAsia="宋体" w:cs="Times New Roman"/>
                <w:color w:val="auto"/>
                <w:sz w:val="24"/>
              </w:rPr>
            </w:pPr>
          </w:p>
          <w:p w14:paraId="289E8D1D">
            <w:pPr>
              <w:spacing w:line="360" w:lineRule="auto"/>
              <w:rPr>
                <w:rFonts w:hint="default" w:ascii="Times New Roman" w:hAnsi="Times New Roman" w:eastAsia="宋体" w:cs="Times New Roman"/>
                <w:color w:val="auto"/>
                <w:sz w:val="24"/>
              </w:rPr>
            </w:pPr>
          </w:p>
        </w:tc>
      </w:tr>
      <w:tr w14:paraId="1CC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0412F49E">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环境保护目标</w:t>
            </w:r>
          </w:p>
        </w:tc>
        <w:tc>
          <w:tcPr>
            <w:tcW w:w="4581" w:type="pct"/>
          </w:tcPr>
          <w:p w14:paraId="595AC69C">
            <w:pPr>
              <w:adjustRightInd w:val="0"/>
              <w:snapToGrid w:val="0"/>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0"/>
                <w:sz w:val="24"/>
                <w:szCs w:val="24"/>
              </w:rPr>
              <w:t>项目位于</w:t>
            </w:r>
            <w:r>
              <w:rPr>
                <w:rFonts w:hint="eastAsia" w:ascii="Times New Roman" w:hAnsi="Times New Roman" w:eastAsia="宋体" w:cs="Times New Roman"/>
                <w:color w:val="auto"/>
                <w:kern w:val="0"/>
                <w:sz w:val="24"/>
                <w:szCs w:val="24"/>
                <w:lang w:eastAsia="zh-CN"/>
              </w:rPr>
              <w:t>常州市金坛区华丰路6号</w:t>
            </w:r>
            <w:r>
              <w:rPr>
                <w:rFonts w:hint="default" w:ascii="Times New Roman" w:hAnsi="Times New Roman" w:eastAsia="宋体" w:cs="Times New Roman"/>
                <w:color w:val="auto"/>
                <w:kern w:val="0"/>
                <w:sz w:val="24"/>
                <w:szCs w:val="24"/>
              </w:rPr>
              <w:t>，经实地勘查，确定建设项目主要环境保护目标见下表。</w:t>
            </w:r>
          </w:p>
          <w:p w14:paraId="090CE87C">
            <w:pPr>
              <w:tabs>
                <w:tab w:val="left" w:pos="6510"/>
              </w:tabs>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表3-4   主要环境保护目标一览表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73"/>
              <w:gridCol w:w="1009"/>
              <w:gridCol w:w="928"/>
              <w:gridCol w:w="733"/>
              <w:gridCol w:w="516"/>
              <w:gridCol w:w="461"/>
              <w:gridCol w:w="933"/>
              <w:gridCol w:w="2141"/>
            </w:tblGrid>
            <w:tr w14:paraId="59ADF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restart"/>
                  <w:tcBorders>
                    <w:tl2br w:val="nil"/>
                    <w:tr2bl w:val="nil"/>
                  </w:tcBorders>
                  <w:vAlign w:val="center"/>
                </w:tcPr>
                <w:p w14:paraId="5A2E72B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环境要素</w:t>
                  </w:r>
                </w:p>
              </w:tc>
              <w:tc>
                <w:tcPr>
                  <w:tcW w:w="526" w:type="pct"/>
                  <w:vMerge w:val="restart"/>
                  <w:tcBorders>
                    <w:tl2br w:val="nil"/>
                    <w:tr2bl w:val="nil"/>
                  </w:tcBorders>
                  <w:vAlign w:val="center"/>
                </w:tcPr>
                <w:p w14:paraId="42F2D4E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168" w:type="pct"/>
                  <w:gridSpan w:val="2"/>
                  <w:tcBorders>
                    <w:tl2br w:val="nil"/>
                    <w:tr2bl w:val="nil"/>
                  </w:tcBorders>
                  <w:vAlign w:val="center"/>
                </w:tcPr>
                <w:p w14:paraId="78DF862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经纬度（°）</w:t>
                  </w:r>
                </w:p>
              </w:tc>
              <w:tc>
                <w:tcPr>
                  <w:tcW w:w="442" w:type="pct"/>
                  <w:vMerge w:val="restart"/>
                  <w:tcBorders>
                    <w:tl2br w:val="nil"/>
                    <w:tr2bl w:val="nil"/>
                  </w:tcBorders>
                  <w:vAlign w:val="center"/>
                </w:tcPr>
                <w:p w14:paraId="3229676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保护对象</w:t>
                  </w:r>
                </w:p>
              </w:tc>
              <w:tc>
                <w:tcPr>
                  <w:tcW w:w="311" w:type="pct"/>
                  <w:vMerge w:val="restart"/>
                  <w:tcBorders>
                    <w:tl2br w:val="nil"/>
                    <w:tr2bl w:val="nil"/>
                  </w:tcBorders>
                  <w:vAlign w:val="center"/>
                </w:tcPr>
                <w:p w14:paraId="79706B9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规模</w:t>
                  </w:r>
                </w:p>
              </w:tc>
              <w:tc>
                <w:tcPr>
                  <w:tcW w:w="278" w:type="pct"/>
                  <w:vMerge w:val="restart"/>
                  <w:tcBorders>
                    <w:tl2br w:val="nil"/>
                    <w:tr2bl w:val="nil"/>
                  </w:tcBorders>
                  <w:vAlign w:val="center"/>
                </w:tcPr>
                <w:p w14:paraId="68DBD71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相对厂址方位</w:t>
                  </w:r>
                </w:p>
              </w:tc>
              <w:tc>
                <w:tcPr>
                  <w:tcW w:w="562" w:type="pct"/>
                  <w:vMerge w:val="restart"/>
                  <w:tcBorders>
                    <w:tl2br w:val="nil"/>
                    <w:tr2bl w:val="nil"/>
                  </w:tcBorders>
                  <w:vAlign w:val="center"/>
                </w:tcPr>
                <w:p w14:paraId="54D794C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相对厂界距离（m）</w:t>
                  </w:r>
                </w:p>
              </w:tc>
              <w:tc>
                <w:tcPr>
                  <w:tcW w:w="1291" w:type="pct"/>
                  <w:vMerge w:val="restart"/>
                  <w:tcBorders>
                    <w:tl2br w:val="nil"/>
                    <w:tr2bl w:val="nil"/>
                  </w:tcBorders>
                  <w:vAlign w:val="center"/>
                </w:tcPr>
                <w:p w14:paraId="6D726C34">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环境功能</w:t>
                  </w:r>
                </w:p>
              </w:tc>
            </w:tr>
            <w:tr w14:paraId="06728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tcBorders>
                    <w:tl2br w:val="nil"/>
                    <w:tr2bl w:val="nil"/>
                  </w:tcBorders>
                  <w:vAlign w:val="center"/>
                </w:tcPr>
                <w:p w14:paraId="0275CAF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526" w:type="pct"/>
                  <w:vMerge w:val="continue"/>
                  <w:tcBorders>
                    <w:tl2br w:val="nil"/>
                    <w:tr2bl w:val="nil"/>
                  </w:tcBorders>
                  <w:vAlign w:val="center"/>
                </w:tcPr>
                <w:p w14:paraId="7BF70CB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608" w:type="pct"/>
                  <w:tcBorders>
                    <w:tl2br w:val="nil"/>
                    <w:tr2bl w:val="nil"/>
                  </w:tcBorders>
                  <w:vAlign w:val="center"/>
                </w:tcPr>
                <w:p w14:paraId="4FB0874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经度</w:t>
                  </w:r>
                </w:p>
              </w:tc>
              <w:tc>
                <w:tcPr>
                  <w:tcW w:w="559" w:type="pct"/>
                  <w:tcBorders>
                    <w:tl2br w:val="nil"/>
                    <w:tr2bl w:val="nil"/>
                  </w:tcBorders>
                  <w:vAlign w:val="center"/>
                </w:tcPr>
                <w:p w14:paraId="4243813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纬度</w:t>
                  </w:r>
                </w:p>
              </w:tc>
              <w:tc>
                <w:tcPr>
                  <w:tcW w:w="442" w:type="pct"/>
                  <w:vMerge w:val="continue"/>
                  <w:tcBorders>
                    <w:tl2br w:val="nil"/>
                    <w:tr2bl w:val="nil"/>
                  </w:tcBorders>
                  <w:vAlign w:val="center"/>
                </w:tcPr>
                <w:p w14:paraId="32C2136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311" w:type="pct"/>
                  <w:vMerge w:val="continue"/>
                  <w:tcBorders>
                    <w:tl2br w:val="nil"/>
                    <w:tr2bl w:val="nil"/>
                  </w:tcBorders>
                  <w:vAlign w:val="center"/>
                </w:tcPr>
                <w:p w14:paraId="5A6FDF4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278" w:type="pct"/>
                  <w:vMerge w:val="continue"/>
                  <w:tcBorders>
                    <w:tl2br w:val="nil"/>
                    <w:tr2bl w:val="nil"/>
                  </w:tcBorders>
                  <w:vAlign w:val="center"/>
                </w:tcPr>
                <w:p w14:paraId="10D5F78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562" w:type="pct"/>
                  <w:vMerge w:val="continue"/>
                  <w:tcBorders>
                    <w:tl2br w:val="nil"/>
                    <w:tr2bl w:val="nil"/>
                  </w:tcBorders>
                  <w:vAlign w:val="center"/>
                </w:tcPr>
                <w:p w14:paraId="7B866B4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1291" w:type="pct"/>
                  <w:vMerge w:val="continue"/>
                  <w:tcBorders>
                    <w:tl2br w:val="nil"/>
                    <w:tr2bl w:val="nil"/>
                  </w:tcBorders>
                  <w:vAlign w:val="center"/>
                </w:tcPr>
                <w:p w14:paraId="6ECE968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r>
            <w:tr w14:paraId="060B0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tcBorders>
                    <w:tl2br w:val="nil"/>
                    <w:tr2bl w:val="nil"/>
                  </w:tcBorders>
                  <w:vAlign w:val="center"/>
                </w:tcPr>
                <w:p w14:paraId="71BA9FA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大气环境</w:t>
                  </w:r>
                </w:p>
              </w:tc>
              <w:tc>
                <w:tcPr>
                  <w:tcW w:w="526" w:type="pct"/>
                  <w:tcBorders>
                    <w:tl2br w:val="nil"/>
                    <w:tr2bl w:val="nil"/>
                  </w:tcBorders>
                  <w:vAlign w:val="center"/>
                </w:tcPr>
                <w:p w14:paraId="78E45E0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常州德理康医院</w:t>
                  </w:r>
                </w:p>
              </w:tc>
              <w:tc>
                <w:tcPr>
                  <w:tcW w:w="608" w:type="pct"/>
                  <w:tcBorders>
                    <w:tl2br w:val="nil"/>
                    <w:tr2bl w:val="nil"/>
                  </w:tcBorders>
                  <w:vAlign w:val="center"/>
                </w:tcPr>
                <w:p w14:paraId="04515F0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119.6244669</w:t>
                  </w:r>
                </w:p>
              </w:tc>
              <w:tc>
                <w:tcPr>
                  <w:tcW w:w="559" w:type="pct"/>
                  <w:tcBorders>
                    <w:tl2br w:val="nil"/>
                    <w:tr2bl w:val="nil"/>
                  </w:tcBorders>
                  <w:vAlign w:val="center"/>
                </w:tcPr>
                <w:p w14:paraId="21AD433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31.7587342</w:t>
                  </w:r>
                </w:p>
              </w:tc>
              <w:tc>
                <w:tcPr>
                  <w:tcW w:w="442" w:type="pct"/>
                  <w:tcBorders>
                    <w:tl2br w:val="nil"/>
                    <w:tr2bl w:val="nil"/>
                  </w:tcBorders>
                  <w:vAlign w:val="center"/>
                </w:tcPr>
                <w:p w14:paraId="22696484">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居民</w:t>
                  </w:r>
                </w:p>
              </w:tc>
              <w:tc>
                <w:tcPr>
                  <w:tcW w:w="311" w:type="pct"/>
                  <w:tcBorders>
                    <w:tl2br w:val="nil"/>
                    <w:tr2bl w:val="nil"/>
                  </w:tcBorders>
                  <w:vAlign w:val="center"/>
                </w:tcPr>
                <w:p w14:paraId="4EC6563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约500人</w:t>
                  </w:r>
                </w:p>
              </w:tc>
              <w:tc>
                <w:tcPr>
                  <w:tcW w:w="278" w:type="pct"/>
                  <w:tcBorders>
                    <w:tl2br w:val="nil"/>
                    <w:tr2bl w:val="nil"/>
                  </w:tcBorders>
                  <w:vAlign w:val="center"/>
                </w:tcPr>
                <w:p w14:paraId="2AD69B4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NW</w:t>
                  </w:r>
                </w:p>
              </w:tc>
              <w:tc>
                <w:tcPr>
                  <w:tcW w:w="562" w:type="pct"/>
                  <w:tcBorders>
                    <w:tl2br w:val="nil"/>
                    <w:tr2bl w:val="nil"/>
                  </w:tcBorders>
                  <w:vAlign w:val="center"/>
                </w:tcPr>
                <w:p w14:paraId="042557B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400</w:t>
                  </w:r>
                </w:p>
              </w:tc>
              <w:tc>
                <w:tcPr>
                  <w:tcW w:w="1291" w:type="pct"/>
                  <w:tcBorders>
                    <w:tl2br w:val="nil"/>
                    <w:tr2bl w:val="nil"/>
                  </w:tcBorders>
                  <w:vAlign w:val="center"/>
                </w:tcPr>
                <w:p w14:paraId="6BF7372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《环境空气质量标准》（GB3095-2012）二级标准</w:t>
                  </w:r>
                </w:p>
              </w:tc>
            </w:tr>
            <w:tr w14:paraId="5D375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restart"/>
                  <w:tcBorders>
                    <w:tl2br w:val="nil"/>
                    <w:tr2bl w:val="nil"/>
                  </w:tcBorders>
                  <w:vAlign w:val="center"/>
                </w:tcPr>
                <w:p w14:paraId="237C3E9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w:t>
                  </w:r>
                </w:p>
              </w:tc>
              <w:tc>
                <w:tcPr>
                  <w:tcW w:w="526" w:type="pct"/>
                  <w:tcBorders>
                    <w:tl2br w:val="nil"/>
                    <w:tr2bl w:val="nil"/>
                  </w:tcBorders>
                  <w:shd w:val="clear" w:color="auto" w:fill="auto"/>
                  <w:vAlign w:val="center"/>
                </w:tcPr>
                <w:p w14:paraId="7078F7E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金花河</w:t>
                  </w:r>
                </w:p>
              </w:tc>
              <w:tc>
                <w:tcPr>
                  <w:tcW w:w="608" w:type="pct"/>
                  <w:tcBorders>
                    <w:tl2br w:val="nil"/>
                    <w:tr2bl w:val="nil"/>
                  </w:tcBorders>
                  <w:shd w:val="clear" w:color="auto" w:fill="auto"/>
                  <w:vAlign w:val="center"/>
                </w:tcPr>
                <w:p w14:paraId="6BCB075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119.6285902</w:t>
                  </w:r>
                </w:p>
              </w:tc>
              <w:tc>
                <w:tcPr>
                  <w:tcW w:w="559" w:type="pct"/>
                  <w:tcBorders>
                    <w:tl2br w:val="nil"/>
                    <w:tr2bl w:val="nil"/>
                  </w:tcBorders>
                  <w:shd w:val="clear" w:color="auto" w:fill="auto"/>
                  <w:vAlign w:val="center"/>
                </w:tcPr>
                <w:p w14:paraId="66E6B90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31.7480644</w:t>
                  </w:r>
                </w:p>
              </w:tc>
              <w:tc>
                <w:tcPr>
                  <w:tcW w:w="442" w:type="pct"/>
                  <w:tcBorders>
                    <w:tl2br w:val="nil"/>
                    <w:tr2bl w:val="nil"/>
                  </w:tcBorders>
                  <w:shd w:val="clear" w:color="auto" w:fill="auto"/>
                  <w:vAlign w:val="center"/>
                </w:tcPr>
                <w:p w14:paraId="3C55229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河流</w:t>
                  </w:r>
                </w:p>
              </w:tc>
              <w:tc>
                <w:tcPr>
                  <w:tcW w:w="311" w:type="pct"/>
                  <w:tcBorders>
                    <w:tl2br w:val="nil"/>
                    <w:tr2bl w:val="nil"/>
                  </w:tcBorders>
                  <w:shd w:val="clear" w:color="auto" w:fill="auto"/>
                  <w:vAlign w:val="center"/>
                </w:tcPr>
                <w:p w14:paraId="291C43D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w:t>
                  </w:r>
                </w:p>
              </w:tc>
              <w:tc>
                <w:tcPr>
                  <w:tcW w:w="278" w:type="pct"/>
                  <w:tcBorders>
                    <w:tl2br w:val="nil"/>
                    <w:tr2bl w:val="nil"/>
                  </w:tcBorders>
                  <w:shd w:val="clear" w:color="auto" w:fill="auto"/>
                  <w:vAlign w:val="center"/>
                </w:tcPr>
                <w:p w14:paraId="3C641C5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侧</w:t>
                  </w:r>
                </w:p>
              </w:tc>
              <w:tc>
                <w:tcPr>
                  <w:tcW w:w="562" w:type="pct"/>
                  <w:tcBorders>
                    <w:tl2br w:val="nil"/>
                    <w:tr2bl w:val="nil"/>
                  </w:tcBorders>
                  <w:shd w:val="clear" w:color="auto" w:fill="auto"/>
                  <w:vAlign w:val="center"/>
                </w:tcPr>
                <w:p w14:paraId="679F67F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776</w:t>
                  </w:r>
                </w:p>
              </w:tc>
              <w:tc>
                <w:tcPr>
                  <w:tcW w:w="1291" w:type="pct"/>
                  <w:vMerge w:val="restart"/>
                  <w:tcBorders>
                    <w:tl2br w:val="nil"/>
                    <w:tr2bl w:val="nil"/>
                  </w:tcBorders>
                  <w:vAlign w:val="center"/>
                </w:tcPr>
                <w:p w14:paraId="6964DB2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《地表水环境质量标准》（GB3838-2002）Ⅲ类标准</w:t>
                  </w:r>
                </w:p>
              </w:tc>
            </w:tr>
            <w:tr w14:paraId="1E40E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tcBorders>
                    <w:tl2br w:val="nil"/>
                    <w:tr2bl w:val="nil"/>
                  </w:tcBorders>
                  <w:vAlign w:val="center"/>
                </w:tcPr>
                <w:p w14:paraId="034AF63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526" w:type="pct"/>
                  <w:tcBorders>
                    <w:tl2br w:val="nil"/>
                    <w:tr2bl w:val="nil"/>
                  </w:tcBorders>
                  <w:shd w:val="clear" w:color="auto" w:fill="auto"/>
                  <w:vAlign w:val="center"/>
                </w:tcPr>
                <w:p w14:paraId="4C696CE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尧塘河</w:t>
                  </w:r>
                </w:p>
              </w:tc>
              <w:tc>
                <w:tcPr>
                  <w:tcW w:w="608" w:type="pct"/>
                  <w:tcBorders>
                    <w:tl2br w:val="nil"/>
                    <w:tr2bl w:val="nil"/>
                  </w:tcBorders>
                  <w:shd w:val="clear" w:color="auto" w:fill="auto"/>
                  <w:vAlign w:val="center"/>
                </w:tcPr>
                <w:p w14:paraId="0BEFC43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119.6864860</w:t>
                  </w:r>
                </w:p>
              </w:tc>
              <w:tc>
                <w:tcPr>
                  <w:tcW w:w="559" w:type="pct"/>
                  <w:tcBorders>
                    <w:tl2br w:val="nil"/>
                    <w:tr2bl w:val="nil"/>
                  </w:tcBorders>
                  <w:shd w:val="clear" w:color="auto" w:fill="auto"/>
                  <w:vAlign w:val="center"/>
                </w:tcPr>
                <w:p w14:paraId="48C1E69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31.7256615</w:t>
                  </w:r>
                </w:p>
              </w:tc>
              <w:tc>
                <w:tcPr>
                  <w:tcW w:w="442" w:type="pct"/>
                  <w:tcBorders>
                    <w:tl2br w:val="nil"/>
                    <w:tr2bl w:val="nil"/>
                  </w:tcBorders>
                  <w:shd w:val="clear" w:color="auto" w:fill="auto"/>
                  <w:vAlign w:val="center"/>
                </w:tcPr>
                <w:p w14:paraId="1201D5B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河流</w:t>
                  </w:r>
                </w:p>
              </w:tc>
              <w:tc>
                <w:tcPr>
                  <w:tcW w:w="311" w:type="pct"/>
                  <w:tcBorders>
                    <w:tl2br w:val="nil"/>
                    <w:tr2bl w:val="nil"/>
                  </w:tcBorders>
                  <w:shd w:val="clear" w:color="auto" w:fill="auto"/>
                  <w:vAlign w:val="center"/>
                </w:tcPr>
                <w:p w14:paraId="4590352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w:t>
                  </w:r>
                </w:p>
              </w:tc>
              <w:tc>
                <w:tcPr>
                  <w:tcW w:w="278" w:type="pct"/>
                  <w:tcBorders>
                    <w:tl2br w:val="nil"/>
                    <w:tr2bl w:val="nil"/>
                  </w:tcBorders>
                  <w:shd w:val="clear" w:color="auto" w:fill="auto"/>
                  <w:vAlign w:val="center"/>
                </w:tcPr>
                <w:p w14:paraId="1F94575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东南侧</w:t>
                  </w:r>
                </w:p>
              </w:tc>
              <w:tc>
                <w:tcPr>
                  <w:tcW w:w="562" w:type="pct"/>
                  <w:tcBorders>
                    <w:tl2br w:val="nil"/>
                    <w:tr2bl w:val="nil"/>
                  </w:tcBorders>
                  <w:shd w:val="clear" w:color="auto" w:fill="auto"/>
                  <w:vAlign w:val="center"/>
                </w:tcPr>
                <w:p w14:paraId="4CD30AE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6400</w:t>
                  </w:r>
                </w:p>
              </w:tc>
              <w:tc>
                <w:tcPr>
                  <w:tcW w:w="1291" w:type="pct"/>
                  <w:vMerge w:val="continue"/>
                  <w:tcBorders>
                    <w:tl2br w:val="nil"/>
                    <w:tr2bl w:val="nil"/>
                  </w:tcBorders>
                  <w:vAlign w:val="center"/>
                </w:tcPr>
                <w:p w14:paraId="1442F3F9">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r>
            <w:tr w14:paraId="27119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tcBorders>
                    <w:tl2br w:val="nil"/>
                    <w:tr2bl w:val="nil"/>
                  </w:tcBorders>
                  <w:vAlign w:val="center"/>
                </w:tcPr>
                <w:p w14:paraId="301463A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w:t>
                  </w:r>
                </w:p>
              </w:tc>
              <w:tc>
                <w:tcPr>
                  <w:tcW w:w="3290" w:type="pct"/>
                  <w:gridSpan w:val="7"/>
                  <w:tcBorders>
                    <w:tl2br w:val="nil"/>
                    <w:tr2bl w:val="nil"/>
                  </w:tcBorders>
                  <w:vAlign w:val="center"/>
                </w:tcPr>
                <w:p w14:paraId="193F831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厂界外50米范围无敏感保护目标</w:t>
                  </w:r>
                </w:p>
              </w:tc>
              <w:tc>
                <w:tcPr>
                  <w:tcW w:w="1291" w:type="pct"/>
                  <w:tcBorders>
                    <w:tl2br w:val="nil"/>
                    <w:tr2bl w:val="nil"/>
                  </w:tcBorders>
                  <w:vAlign w:val="center"/>
                </w:tcPr>
                <w:p w14:paraId="3493D9A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《声环境质量标准》（GB3096-2008）3类标准</w:t>
                  </w:r>
                </w:p>
              </w:tc>
            </w:tr>
            <w:tr w14:paraId="3858C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tcBorders>
                    <w:tl2br w:val="nil"/>
                    <w:tr2bl w:val="nil"/>
                  </w:tcBorders>
                  <w:vAlign w:val="center"/>
                </w:tcPr>
                <w:p w14:paraId="67FAEC9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地下水环境</w:t>
                  </w:r>
                </w:p>
              </w:tc>
              <w:tc>
                <w:tcPr>
                  <w:tcW w:w="3290" w:type="pct"/>
                  <w:gridSpan w:val="7"/>
                  <w:tcBorders>
                    <w:tl2br w:val="nil"/>
                    <w:tr2bl w:val="nil"/>
                  </w:tcBorders>
                  <w:vAlign w:val="center"/>
                </w:tcPr>
                <w:p w14:paraId="20546CF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厂界外500米范围无地下水集中式饮用水水源和热水、矿泉水、温泉等特殊地下水资源</w:t>
                  </w:r>
                </w:p>
              </w:tc>
              <w:tc>
                <w:tcPr>
                  <w:tcW w:w="1291" w:type="pct"/>
                  <w:tcBorders>
                    <w:tl2br w:val="nil"/>
                    <w:tr2bl w:val="nil"/>
                  </w:tcBorders>
                  <w:vAlign w:val="center"/>
                </w:tcPr>
                <w:p w14:paraId="61E564C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bookmarkStart w:id="9" w:name="_Hlk131000124"/>
                  <w:r>
                    <w:rPr>
                      <w:rFonts w:hint="default" w:ascii="Times New Roman" w:hAnsi="Times New Roman" w:eastAsia="宋体" w:cs="Times New Roman"/>
                      <w:bCs/>
                      <w:color w:val="auto"/>
                      <w:sz w:val="21"/>
                      <w:szCs w:val="21"/>
                    </w:rPr>
                    <w:t>《地下水质量标准》（GB/T14848-2017）</w:t>
                  </w:r>
                  <w:bookmarkEnd w:id="9"/>
                </w:p>
              </w:tc>
            </w:tr>
            <w:tr w14:paraId="21863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tcBorders>
                    <w:tl2br w:val="nil"/>
                    <w:tr2bl w:val="nil"/>
                  </w:tcBorders>
                  <w:vAlign w:val="center"/>
                </w:tcPr>
                <w:p w14:paraId="40ABB4B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生态环境</w:t>
                  </w:r>
                </w:p>
              </w:tc>
              <w:tc>
                <w:tcPr>
                  <w:tcW w:w="3290" w:type="pct"/>
                  <w:gridSpan w:val="7"/>
                  <w:tcBorders>
                    <w:tl2br w:val="nil"/>
                    <w:tr2bl w:val="nil"/>
                  </w:tcBorders>
                  <w:vAlign w:val="center"/>
                </w:tcPr>
                <w:p w14:paraId="1641570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default" w:ascii="Times New Roman" w:hAnsi="Times New Roman" w:eastAsia="宋体" w:cs="Times New Roman"/>
                      <w:bCs/>
                      <w:color w:val="auto"/>
                      <w:sz w:val="21"/>
                      <w:szCs w:val="21"/>
                      <w:lang w:eastAsia="zh-CN"/>
                    </w:rPr>
                    <w:t>江苏省常州市金坛区华丰路6号</w:t>
                  </w:r>
                  <w:r>
                    <w:rPr>
                      <w:rFonts w:hint="default" w:ascii="Times New Roman" w:hAnsi="Times New Roman" w:eastAsia="宋体" w:cs="Times New Roman"/>
                      <w:bCs/>
                      <w:color w:val="auto"/>
                      <w:sz w:val="21"/>
                      <w:szCs w:val="21"/>
                    </w:rPr>
                    <w:t>，位于金坛经济开发区内，占地范围内无生态敏感目标。</w:t>
                  </w:r>
                </w:p>
              </w:tc>
              <w:tc>
                <w:tcPr>
                  <w:tcW w:w="1291" w:type="pct"/>
                  <w:tcBorders>
                    <w:tl2br w:val="nil"/>
                    <w:tr2bl w:val="nil"/>
                  </w:tcBorders>
                  <w:vAlign w:val="center"/>
                </w:tcPr>
                <w:p w14:paraId="63B4935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14:paraId="09970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9"/>
                  <w:tcBorders>
                    <w:tl2br w:val="nil"/>
                    <w:tr2bl w:val="nil"/>
                  </w:tcBorders>
                  <w:vAlign w:val="center"/>
                </w:tcPr>
                <w:p w14:paraId="375D211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lang w:val="en-US" w:eastAsia="zh-CN"/>
                    </w:rPr>
                    <w:t>注：项目距离国控站点（金坛城区）直线距离约</w:t>
                  </w:r>
                  <w:r>
                    <w:rPr>
                      <w:rFonts w:hint="eastAsia" w:ascii="Times New Roman" w:hAnsi="Times New Roman" w:eastAsia="宋体" w:cs="Times New Roman"/>
                      <w:b/>
                      <w:bCs/>
                      <w:color w:val="auto"/>
                      <w:sz w:val="21"/>
                      <w:szCs w:val="21"/>
                      <w:lang w:val="en-US" w:eastAsia="zh-CN"/>
                    </w:rPr>
                    <w:t>4.2</w:t>
                  </w:r>
                  <w:r>
                    <w:rPr>
                      <w:rFonts w:hint="default" w:ascii="Times New Roman" w:hAnsi="Times New Roman" w:eastAsia="宋体" w:cs="Times New Roman"/>
                      <w:b/>
                      <w:bCs/>
                      <w:color w:val="auto"/>
                      <w:sz w:val="21"/>
                      <w:szCs w:val="21"/>
                      <w:lang w:val="en-US" w:eastAsia="zh-CN"/>
                    </w:rPr>
                    <w:t>km，距离省控站点（金坛监测站）</w:t>
                  </w:r>
                  <w:r>
                    <w:rPr>
                      <w:rFonts w:hint="eastAsia" w:ascii="Times New Roman" w:hAnsi="Times New Roman" w:eastAsia="宋体" w:cs="Times New Roman"/>
                      <w:b/>
                      <w:bCs/>
                      <w:color w:val="auto"/>
                      <w:sz w:val="21"/>
                      <w:szCs w:val="21"/>
                      <w:lang w:val="en-US" w:eastAsia="zh-CN"/>
                    </w:rPr>
                    <w:t>3.5</w:t>
                  </w:r>
                  <w:r>
                    <w:rPr>
                      <w:rFonts w:hint="default" w:ascii="Times New Roman" w:hAnsi="Times New Roman" w:eastAsia="宋体" w:cs="Times New Roman"/>
                      <w:b/>
                      <w:bCs/>
                      <w:color w:val="auto"/>
                      <w:sz w:val="21"/>
                      <w:szCs w:val="21"/>
                      <w:lang w:val="en-US" w:eastAsia="zh-CN"/>
                    </w:rPr>
                    <w:t>km，不在常州市空气质量监测国控、省控站点位置信息。</w:t>
                  </w:r>
                </w:p>
              </w:tc>
            </w:tr>
          </w:tbl>
          <w:p w14:paraId="1D9A4BB9">
            <w:pPr>
              <w:spacing w:line="360" w:lineRule="auto"/>
              <w:ind w:firstLine="480" w:firstLineChars="200"/>
              <w:rPr>
                <w:rFonts w:hint="default" w:ascii="Times New Roman" w:hAnsi="Times New Roman" w:eastAsia="宋体" w:cs="Times New Roman"/>
                <w:color w:val="auto"/>
                <w:sz w:val="24"/>
              </w:rPr>
            </w:pPr>
          </w:p>
          <w:p w14:paraId="123F54CA">
            <w:pPr>
              <w:spacing w:line="360" w:lineRule="auto"/>
              <w:rPr>
                <w:rFonts w:hint="default" w:ascii="Times New Roman" w:hAnsi="Times New Roman" w:eastAsia="宋体" w:cs="Times New Roman"/>
                <w:color w:val="auto"/>
                <w:sz w:val="24"/>
              </w:rPr>
            </w:pPr>
          </w:p>
        </w:tc>
      </w:tr>
      <w:tr w14:paraId="18F5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5D74FA4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污染物排放控制标准</w:t>
            </w:r>
          </w:p>
        </w:tc>
        <w:tc>
          <w:tcPr>
            <w:tcW w:w="4581" w:type="pct"/>
          </w:tcPr>
          <w:p w14:paraId="13F619B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1、废气</w:t>
            </w:r>
          </w:p>
          <w:p w14:paraId="74BF595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运行过程中</w:t>
            </w:r>
            <w:r>
              <w:rPr>
                <w:rFonts w:hint="default" w:ascii="Times New Roman" w:hAnsi="Times New Roman" w:eastAsia="宋体" w:cs="Times New Roman"/>
                <w:color w:val="auto"/>
                <w:sz w:val="24"/>
                <w:lang w:val="en-US" w:eastAsia="zh-CN"/>
              </w:rPr>
              <w:t>产生的废气</w:t>
            </w:r>
            <w:r>
              <w:rPr>
                <w:rFonts w:hint="eastAsia" w:ascii="Times New Roman" w:hAnsi="Times New Roman" w:eastAsia="宋体" w:cs="Times New Roman"/>
                <w:color w:val="auto"/>
                <w:sz w:val="24"/>
                <w:lang w:val="en-US" w:eastAsia="zh-CN"/>
              </w:rPr>
              <w:t>（颗粒物、锡及其化合物、非甲烷总烃）</w:t>
            </w:r>
            <w:r>
              <w:rPr>
                <w:rFonts w:hint="default" w:ascii="Times New Roman" w:hAnsi="Times New Roman" w:eastAsia="宋体" w:cs="Times New Roman"/>
                <w:color w:val="auto"/>
                <w:sz w:val="24"/>
                <w:lang w:val="en-US" w:eastAsia="zh-CN"/>
              </w:rPr>
              <w:t>排放执行江苏省地标</w:t>
            </w:r>
            <w:r>
              <w:rPr>
                <w:rFonts w:hint="default" w:ascii="Times New Roman" w:hAnsi="Times New Roman" w:eastAsia="宋体" w:cs="Times New Roman"/>
                <w:color w:val="auto"/>
                <w:sz w:val="24"/>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DB32/4041-2021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中</w:t>
            </w:r>
            <w:r>
              <w:rPr>
                <w:rFonts w:hint="eastAsia" w:ascii="Times New Roman" w:hAnsi="Times New Roman" w:eastAsia="宋体" w:cs="Times New Roman"/>
                <w:color w:val="auto"/>
                <w:sz w:val="24"/>
                <w:lang w:val="en-US" w:eastAsia="zh-CN"/>
              </w:rPr>
              <w:t>表1、表3中</w:t>
            </w:r>
            <w:r>
              <w:rPr>
                <w:rFonts w:hint="default" w:ascii="Times New Roman" w:hAnsi="Times New Roman" w:eastAsia="宋体" w:cs="Times New Roman"/>
                <w:color w:val="auto"/>
                <w:sz w:val="24"/>
                <w:lang w:val="en-US" w:eastAsia="zh-CN"/>
              </w:rPr>
              <w:t>标准限值；厂区内</w:t>
            </w:r>
            <w:r>
              <w:rPr>
                <w:rFonts w:hint="default" w:ascii="Times New Roman" w:hAnsi="Times New Roman" w:eastAsia="宋体" w:cs="Times New Roman"/>
                <w:color w:val="auto"/>
                <w:sz w:val="24"/>
              </w:rPr>
              <w:t>非甲烷总烃无组织排放限值执行</w:t>
            </w:r>
            <w:r>
              <w:rPr>
                <w:rFonts w:hint="default" w:ascii="Times New Roman" w:hAnsi="Times New Roman" w:eastAsia="宋体" w:cs="Times New Roman"/>
                <w:color w:val="auto"/>
                <w:sz w:val="24"/>
                <w:lang w:val="en-US" w:eastAsia="zh-CN"/>
              </w:rPr>
              <w:t>江苏省地标</w:t>
            </w:r>
            <w:r>
              <w:rPr>
                <w:rFonts w:hint="default" w:ascii="Times New Roman" w:hAnsi="Times New Roman" w:eastAsia="宋体" w:cs="Times New Roman"/>
                <w:color w:val="auto"/>
                <w:sz w:val="24"/>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DB32/4041-2021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表2标准；</w:t>
            </w:r>
            <w:r>
              <w:rPr>
                <w:rFonts w:hint="eastAsia" w:ascii="Times New Roman" w:hAnsi="Times New Roman" w:eastAsia="宋体" w:cs="Times New Roman"/>
                <w:color w:val="auto"/>
                <w:sz w:val="24"/>
                <w:lang w:val="en-US" w:eastAsia="zh-CN"/>
              </w:rPr>
              <w:t>苯乙烯、</w:t>
            </w:r>
            <w:r>
              <w:rPr>
                <w:rFonts w:hint="default" w:ascii="Times New Roman" w:hAnsi="Times New Roman" w:eastAsia="宋体" w:cs="Times New Roman"/>
                <w:color w:val="auto"/>
                <w:sz w:val="24"/>
                <w:lang w:val="en-US" w:eastAsia="zh-CN"/>
              </w:rPr>
              <w:t>臭气浓度执行《恶臭污染物排放标准》（GB14554-93）</w:t>
            </w:r>
            <w:r>
              <w:rPr>
                <w:rFonts w:hint="eastAsia" w:ascii="Times New Roman" w:hAnsi="Times New Roman" w:eastAsia="宋体" w:cs="Times New Roman"/>
                <w:color w:val="auto"/>
                <w:sz w:val="24"/>
                <w:lang w:val="en-US" w:eastAsia="zh-CN"/>
              </w:rPr>
              <w:t>表1、表2</w:t>
            </w:r>
            <w:r>
              <w:rPr>
                <w:rFonts w:hint="default" w:ascii="Times New Roman" w:hAnsi="Times New Roman" w:eastAsia="宋体" w:cs="Times New Roman"/>
                <w:color w:val="auto"/>
                <w:sz w:val="24"/>
                <w:lang w:val="en-US" w:eastAsia="zh-CN"/>
              </w:rPr>
              <w:t>中标准；</w:t>
            </w:r>
            <w:r>
              <w:rPr>
                <w:rFonts w:hint="default" w:ascii="Times New Roman" w:hAnsi="Times New Roman" w:eastAsia="宋体" w:cs="Times New Roman"/>
                <w:color w:val="auto"/>
                <w:sz w:val="24"/>
              </w:rPr>
              <w:t>具体标准值见下表。</w:t>
            </w:r>
          </w:p>
          <w:p w14:paraId="2F6837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表3-6  大气污染物排放标准</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852"/>
              <w:gridCol w:w="1852"/>
              <w:gridCol w:w="1852"/>
              <w:gridCol w:w="1653"/>
            </w:tblGrid>
            <w:tr w14:paraId="2EC1D5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53" w:type="pct"/>
                  <w:tcBorders>
                    <w:tl2br w:val="nil"/>
                    <w:tr2bl w:val="nil"/>
                  </w:tcBorders>
                  <w:noWrap w:val="0"/>
                  <w:vAlign w:val="center"/>
                </w:tcPr>
                <w:p w14:paraId="5197D534">
                  <w:pPr>
                    <w:pStyle w:val="8"/>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116" w:type="pct"/>
                  <w:tcBorders>
                    <w:tl2br w:val="nil"/>
                    <w:tr2bl w:val="nil"/>
                  </w:tcBorders>
                  <w:noWrap w:val="0"/>
                  <w:vAlign w:val="center"/>
                </w:tcPr>
                <w:p w14:paraId="6EE7F69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2"/>
                      <w:sz w:val="21"/>
                      <w:szCs w:val="21"/>
                    </w:rPr>
                    <w:t>最高允许排放浓度</w:t>
                  </w:r>
                  <w:r>
                    <w:rPr>
                      <w:rFonts w:hint="eastAsia" w:ascii="Times New Roman" w:hAnsi="Times New Roman" w:eastAsia="宋体" w:cs="Times New Roman"/>
                      <w:b/>
                      <w:bCs/>
                      <w:color w:val="auto"/>
                      <w:kern w:val="2"/>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kern w:val="2"/>
                      <w:sz w:val="21"/>
                      <w:szCs w:val="21"/>
                      <w:lang w:eastAsia="zh-CN"/>
                    </w:rPr>
                    <w:t>）</w:t>
                  </w:r>
                </w:p>
              </w:tc>
              <w:tc>
                <w:tcPr>
                  <w:tcW w:w="1116" w:type="pct"/>
                  <w:tcBorders>
                    <w:tl2br w:val="nil"/>
                    <w:tr2bl w:val="nil"/>
                  </w:tcBorders>
                  <w:noWrap w:val="0"/>
                  <w:vAlign w:val="center"/>
                </w:tcPr>
                <w:p w14:paraId="5FA1103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2"/>
                      <w:sz w:val="21"/>
                      <w:szCs w:val="21"/>
                    </w:rPr>
                    <w:t>最高允许排放速率kg/h</w:t>
                  </w:r>
                </w:p>
              </w:tc>
              <w:tc>
                <w:tcPr>
                  <w:tcW w:w="1116" w:type="pct"/>
                  <w:tcBorders>
                    <w:tl2br w:val="nil"/>
                    <w:tr2bl w:val="nil"/>
                  </w:tcBorders>
                  <w:noWrap w:val="0"/>
                  <w:vAlign w:val="center"/>
                </w:tcPr>
                <w:p w14:paraId="406FAF9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w:t>
                  </w:r>
                  <w:r>
                    <w:rPr>
                      <w:rFonts w:hint="default" w:ascii="Times New Roman" w:hAnsi="Times New Roman" w:eastAsia="宋体" w:cs="Times New Roman"/>
                      <w:b/>
                      <w:bCs/>
                      <w:color w:val="auto"/>
                      <w:kern w:val="2"/>
                      <w:sz w:val="21"/>
                      <w:szCs w:val="21"/>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rPr>
                    <w:t>）</w:t>
                  </w:r>
                </w:p>
              </w:tc>
              <w:tc>
                <w:tcPr>
                  <w:tcW w:w="996" w:type="pct"/>
                  <w:tcBorders>
                    <w:tl2br w:val="nil"/>
                    <w:tr2bl w:val="nil"/>
                  </w:tcBorders>
                  <w:noWrap w:val="0"/>
                  <w:vAlign w:val="center"/>
                </w:tcPr>
                <w:p w14:paraId="4CA8EFE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1E549F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pct"/>
                  <w:tcBorders>
                    <w:tl2br w:val="nil"/>
                    <w:tr2bl w:val="nil"/>
                  </w:tcBorders>
                  <w:noWrap w:val="0"/>
                  <w:vAlign w:val="center"/>
                </w:tcPr>
                <w:p w14:paraId="7BF0F5F7">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kern w:val="2"/>
                      <w:sz w:val="21"/>
                      <w:szCs w:val="21"/>
                      <w:u w:val="none"/>
                      <w:shd w:val="clear" w:color="auto" w:fill="auto"/>
                      <w:lang w:val="en-US" w:eastAsia="zh-CN" w:bidi="ar-SA"/>
                    </w:rPr>
                    <w:t>非甲烷总烃</w:t>
                  </w:r>
                </w:p>
              </w:tc>
              <w:tc>
                <w:tcPr>
                  <w:tcW w:w="1116" w:type="pct"/>
                  <w:tcBorders>
                    <w:tl2br w:val="nil"/>
                    <w:tr2bl w:val="nil"/>
                  </w:tcBorders>
                  <w:noWrap w:val="0"/>
                  <w:vAlign w:val="center"/>
                </w:tcPr>
                <w:p w14:paraId="446972DE">
                  <w:pPr>
                    <w:widowControl/>
                    <w:adjustRightInd w:val="0"/>
                    <w:snapToGrid w:val="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60</w:t>
                  </w:r>
                </w:p>
              </w:tc>
              <w:tc>
                <w:tcPr>
                  <w:tcW w:w="1116" w:type="pct"/>
                  <w:tcBorders>
                    <w:tl2br w:val="nil"/>
                    <w:tr2bl w:val="nil"/>
                  </w:tcBorders>
                  <w:noWrap w:val="0"/>
                  <w:vAlign w:val="center"/>
                </w:tcPr>
                <w:p w14:paraId="468C2971">
                  <w:pPr>
                    <w:widowControl/>
                    <w:adjustRightInd w:val="0"/>
                    <w:snapToGrid w:val="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3</w:t>
                  </w:r>
                </w:p>
              </w:tc>
              <w:tc>
                <w:tcPr>
                  <w:tcW w:w="1116" w:type="pct"/>
                  <w:tcBorders>
                    <w:tl2br w:val="nil"/>
                    <w:tr2bl w:val="nil"/>
                  </w:tcBorders>
                  <w:noWrap w:val="0"/>
                  <w:vAlign w:val="center"/>
                </w:tcPr>
                <w:p w14:paraId="238EF01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w:t>
                  </w:r>
                </w:p>
              </w:tc>
              <w:tc>
                <w:tcPr>
                  <w:tcW w:w="996" w:type="pct"/>
                  <w:vMerge w:val="restart"/>
                  <w:tcBorders>
                    <w:tl2br w:val="nil"/>
                    <w:tr2bl w:val="nil"/>
                  </w:tcBorders>
                  <w:noWrap w:val="0"/>
                  <w:vAlign w:val="center"/>
                </w:tcPr>
                <w:p w14:paraId="48F69C3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江苏省地标《大气污染物综合排放标准》（DB32/4041-2021）</w:t>
                  </w:r>
                </w:p>
              </w:tc>
            </w:tr>
            <w:tr w14:paraId="0C18B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pct"/>
                  <w:tcBorders>
                    <w:tl2br w:val="nil"/>
                    <w:tr2bl w:val="nil"/>
                  </w:tcBorders>
                  <w:noWrap w:val="0"/>
                  <w:vAlign w:val="center"/>
                </w:tcPr>
                <w:p w14:paraId="1E6B1809">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颗粒物</w:t>
                  </w:r>
                </w:p>
              </w:tc>
              <w:tc>
                <w:tcPr>
                  <w:tcW w:w="1116" w:type="pct"/>
                  <w:tcBorders>
                    <w:tl2br w:val="nil"/>
                    <w:tr2bl w:val="nil"/>
                  </w:tcBorders>
                  <w:noWrap w:val="0"/>
                  <w:vAlign w:val="center"/>
                </w:tcPr>
                <w:p w14:paraId="3D67749B">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20</w:t>
                  </w:r>
                </w:p>
              </w:tc>
              <w:tc>
                <w:tcPr>
                  <w:tcW w:w="1116" w:type="pct"/>
                  <w:tcBorders>
                    <w:tl2br w:val="nil"/>
                    <w:tr2bl w:val="nil"/>
                  </w:tcBorders>
                  <w:noWrap w:val="0"/>
                  <w:vAlign w:val="center"/>
                </w:tcPr>
                <w:p w14:paraId="1F6327CD">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1</w:t>
                  </w:r>
                </w:p>
              </w:tc>
              <w:tc>
                <w:tcPr>
                  <w:tcW w:w="1116" w:type="pct"/>
                  <w:tcBorders>
                    <w:tl2br w:val="nil"/>
                    <w:tr2bl w:val="nil"/>
                  </w:tcBorders>
                  <w:noWrap w:val="0"/>
                  <w:vAlign w:val="center"/>
                </w:tcPr>
                <w:p w14:paraId="22C875A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0.5</w:t>
                  </w:r>
                </w:p>
              </w:tc>
              <w:tc>
                <w:tcPr>
                  <w:tcW w:w="996" w:type="pct"/>
                  <w:vMerge w:val="continue"/>
                  <w:tcBorders>
                    <w:tl2br w:val="nil"/>
                    <w:tr2bl w:val="nil"/>
                  </w:tcBorders>
                  <w:noWrap w:val="0"/>
                  <w:vAlign w:val="center"/>
                </w:tcPr>
                <w:p w14:paraId="759556F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r w14:paraId="3057A4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pct"/>
                  <w:tcBorders>
                    <w:tl2br w:val="nil"/>
                    <w:tr2bl w:val="nil"/>
                  </w:tcBorders>
                  <w:shd w:val="clear" w:color="auto" w:fill="auto"/>
                  <w:noWrap w:val="0"/>
                  <w:vAlign w:val="center"/>
                </w:tcPr>
                <w:p w14:paraId="29C949B1">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锡及其化合物</w:t>
                  </w:r>
                </w:p>
              </w:tc>
              <w:tc>
                <w:tcPr>
                  <w:tcW w:w="1116" w:type="pct"/>
                  <w:tcBorders>
                    <w:tl2br w:val="nil"/>
                    <w:tr2bl w:val="nil"/>
                  </w:tcBorders>
                  <w:shd w:val="clear" w:color="auto" w:fill="auto"/>
                  <w:noWrap w:val="0"/>
                  <w:vAlign w:val="center"/>
                </w:tcPr>
                <w:p w14:paraId="1F406CEE">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5</w:t>
                  </w:r>
                </w:p>
              </w:tc>
              <w:tc>
                <w:tcPr>
                  <w:tcW w:w="1116" w:type="pct"/>
                  <w:tcBorders>
                    <w:tl2br w:val="nil"/>
                    <w:tr2bl w:val="nil"/>
                  </w:tcBorders>
                  <w:shd w:val="clear" w:color="auto" w:fill="auto"/>
                  <w:noWrap w:val="0"/>
                  <w:vAlign w:val="center"/>
                </w:tcPr>
                <w:p w14:paraId="7E532AC6">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0.22</w:t>
                  </w:r>
                </w:p>
              </w:tc>
              <w:tc>
                <w:tcPr>
                  <w:tcW w:w="1116" w:type="pct"/>
                  <w:tcBorders>
                    <w:tl2br w:val="nil"/>
                    <w:tr2bl w:val="nil"/>
                  </w:tcBorders>
                  <w:shd w:val="clear" w:color="auto" w:fill="auto"/>
                  <w:noWrap w:val="0"/>
                  <w:vAlign w:val="center"/>
                </w:tcPr>
                <w:p w14:paraId="1912E62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0.06</w:t>
                  </w:r>
                </w:p>
              </w:tc>
              <w:tc>
                <w:tcPr>
                  <w:tcW w:w="996" w:type="pct"/>
                  <w:vMerge w:val="continue"/>
                  <w:tcBorders>
                    <w:tl2br w:val="nil"/>
                    <w:tr2bl w:val="nil"/>
                  </w:tcBorders>
                  <w:noWrap w:val="0"/>
                  <w:vAlign w:val="center"/>
                </w:tcPr>
                <w:p w14:paraId="3C9ED9D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r w14:paraId="193B13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pct"/>
                  <w:tcBorders>
                    <w:tl2br w:val="nil"/>
                    <w:tr2bl w:val="nil"/>
                  </w:tcBorders>
                  <w:noWrap w:val="0"/>
                  <w:vAlign w:val="center"/>
                </w:tcPr>
                <w:p w14:paraId="53281398">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苯乙烯</w:t>
                  </w:r>
                </w:p>
              </w:tc>
              <w:tc>
                <w:tcPr>
                  <w:tcW w:w="1116" w:type="pct"/>
                  <w:tcBorders>
                    <w:tl2br w:val="nil"/>
                    <w:tr2bl w:val="nil"/>
                  </w:tcBorders>
                  <w:noWrap w:val="0"/>
                  <w:vAlign w:val="center"/>
                </w:tcPr>
                <w:p w14:paraId="6F2107F6">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w:t>
                  </w:r>
                </w:p>
              </w:tc>
              <w:tc>
                <w:tcPr>
                  <w:tcW w:w="1116" w:type="pct"/>
                  <w:tcBorders>
                    <w:tl2br w:val="nil"/>
                    <w:tr2bl w:val="nil"/>
                  </w:tcBorders>
                  <w:noWrap w:val="0"/>
                  <w:vAlign w:val="center"/>
                </w:tcPr>
                <w:p w14:paraId="08C79715">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6.5（排气筒高度15m）</w:t>
                  </w:r>
                </w:p>
              </w:tc>
              <w:tc>
                <w:tcPr>
                  <w:tcW w:w="1116" w:type="pct"/>
                  <w:tcBorders>
                    <w:tl2br w:val="nil"/>
                    <w:tr2bl w:val="nil"/>
                  </w:tcBorders>
                  <w:noWrap w:val="0"/>
                  <w:vAlign w:val="center"/>
                </w:tcPr>
                <w:p w14:paraId="3AF89DB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5.0</w:t>
                  </w:r>
                </w:p>
              </w:tc>
              <w:tc>
                <w:tcPr>
                  <w:tcW w:w="996" w:type="pct"/>
                  <w:vMerge w:val="restart"/>
                  <w:tcBorders>
                    <w:tl2br w:val="nil"/>
                    <w:tr2bl w:val="nil"/>
                  </w:tcBorders>
                  <w:noWrap w:val="0"/>
                  <w:vAlign w:val="center"/>
                </w:tcPr>
                <w:p w14:paraId="67F319C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《恶臭污染物排放标准》（GB14554-93）</w:t>
                  </w:r>
                </w:p>
              </w:tc>
            </w:tr>
            <w:tr w14:paraId="773C41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3" w:type="pct"/>
                  <w:tcBorders>
                    <w:tl2br w:val="nil"/>
                    <w:tr2bl w:val="nil"/>
                  </w:tcBorders>
                  <w:noWrap w:val="0"/>
                  <w:vAlign w:val="center"/>
                </w:tcPr>
                <w:p w14:paraId="435A9F5D">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Cs w:val="21"/>
                    </w:rPr>
                    <w:t>臭气浓度</w:t>
                  </w:r>
                </w:p>
              </w:tc>
              <w:tc>
                <w:tcPr>
                  <w:tcW w:w="1116" w:type="pct"/>
                  <w:tcBorders>
                    <w:tl2br w:val="nil"/>
                    <w:tr2bl w:val="nil"/>
                  </w:tcBorders>
                  <w:noWrap w:val="0"/>
                  <w:vAlign w:val="center"/>
                </w:tcPr>
                <w:p w14:paraId="794AB8F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w:t>
                  </w:r>
                  <w:r>
                    <w:rPr>
                      <w:rFonts w:hint="default" w:ascii="Times New Roman" w:hAnsi="Times New Roman" w:eastAsia="宋体" w:cs="Times New Roman"/>
                      <w:color w:val="auto"/>
                      <w:szCs w:val="21"/>
                    </w:rPr>
                    <w:t>（无量纲）</w:t>
                  </w:r>
                </w:p>
              </w:tc>
              <w:tc>
                <w:tcPr>
                  <w:tcW w:w="1116" w:type="pct"/>
                  <w:tcBorders>
                    <w:tl2br w:val="nil"/>
                    <w:tr2bl w:val="nil"/>
                  </w:tcBorders>
                  <w:noWrap w:val="0"/>
                  <w:vAlign w:val="center"/>
                </w:tcPr>
                <w:p w14:paraId="4CADD52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6" w:type="pct"/>
                  <w:tcBorders>
                    <w:tl2br w:val="nil"/>
                    <w:tr2bl w:val="nil"/>
                  </w:tcBorders>
                  <w:noWrap w:val="0"/>
                  <w:vAlign w:val="center"/>
                </w:tcPr>
                <w:p w14:paraId="239D6BA7">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（无量纲）</w:t>
                  </w:r>
                </w:p>
              </w:tc>
              <w:tc>
                <w:tcPr>
                  <w:tcW w:w="996" w:type="pct"/>
                  <w:vMerge w:val="continue"/>
                  <w:tcBorders>
                    <w:tl2br w:val="nil"/>
                    <w:tr2bl w:val="nil"/>
                  </w:tcBorders>
                  <w:noWrap w:val="0"/>
                  <w:vAlign w:val="center"/>
                </w:tcPr>
                <w:p w14:paraId="400BEB1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rPr>
                  </w:pPr>
                </w:p>
              </w:tc>
            </w:tr>
          </w:tbl>
          <w:p w14:paraId="56A65B91">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表3-7  厂区内VOCs无组织排放限值</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316"/>
              <w:gridCol w:w="2214"/>
              <w:gridCol w:w="2621"/>
              <w:gridCol w:w="2140"/>
            </w:tblGrid>
            <w:tr w14:paraId="12562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noWrap w:val="0"/>
                  <w:vAlign w:val="center"/>
                </w:tcPr>
                <w:p w14:paraId="407833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335" w:type="pct"/>
                  <w:noWrap w:val="0"/>
                  <w:vAlign w:val="center"/>
                </w:tcPr>
                <w:p w14:paraId="50C38B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特别排放限值</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580" w:type="pct"/>
                  <w:noWrap w:val="0"/>
                  <w:vAlign w:val="center"/>
                </w:tcPr>
                <w:p w14:paraId="4AB3E6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1290" w:type="pct"/>
                  <w:noWrap w:val="0"/>
                  <w:vAlign w:val="center"/>
                </w:tcPr>
                <w:p w14:paraId="72589D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r>
            <w:tr w14:paraId="54B14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restart"/>
                  <w:noWrap w:val="0"/>
                  <w:vAlign w:val="center"/>
                </w:tcPr>
                <w:p w14:paraId="4F9D99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335" w:type="pct"/>
                  <w:noWrap w:val="0"/>
                  <w:vAlign w:val="center"/>
                </w:tcPr>
                <w:p w14:paraId="2FD57C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80" w:type="pct"/>
                  <w:noWrap w:val="0"/>
                  <w:vAlign w:val="center"/>
                </w:tcPr>
                <w:p w14:paraId="36A730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1290" w:type="pct"/>
                  <w:vMerge w:val="restart"/>
                  <w:noWrap w:val="0"/>
                  <w:vAlign w:val="center"/>
                </w:tcPr>
                <w:p w14:paraId="44A39F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72F6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continue"/>
                  <w:noWrap w:val="0"/>
                  <w:vAlign w:val="center"/>
                </w:tcPr>
                <w:p w14:paraId="7E562C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335" w:type="pct"/>
                  <w:noWrap w:val="0"/>
                  <w:vAlign w:val="center"/>
                </w:tcPr>
                <w:p w14:paraId="637534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580" w:type="pct"/>
                  <w:noWrap w:val="0"/>
                  <w:vAlign w:val="center"/>
                </w:tcPr>
                <w:p w14:paraId="5A3269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1290" w:type="pct"/>
                  <w:vMerge w:val="continue"/>
                  <w:noWrap w:val="0"/>
                  <w:vAlign w:val="center"/>
                </w:tcPr>
                <w:p w14:paraId="292E43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bl>
          <w:p w14:paraId="1F7E8606">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408566C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外排废水主要为生活污水，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color w:val="auto"/>
                <w:sz w:val="24"/>
              </w:rPr>
              <w:t>常州市金坛区第二污水处理厂</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至污水处理厂</w:t>
            </w:r>
            <w:r>
              <w:rPr>
                <w:rFonts w:hint="default" w:ascii="Times New Roman" w:hAnsi="Times New Roman" w:eastAsia="宋体" w:cs="Times New Roman"/>
                <w:color w:val="auto"/>
                <w:sz w:val="24"/>
              </w:rPr>
              <w:t>标准执行常州市金坛区第二污水处理厂</w:t>
            </w:r>
            <w:r>
              <w:rPr>
                <w:rFonts w:hint="eastAsia" w:ascii="Times New Roman" w:hAnsi="Times New Roman" w:eastAsia="宋体" w:cs="Times New Roman"/>
                <w:color w:val="auto"/>
                <w:sz w:val="24"/>
                <w:lang w:val="en-US" w:eastAsia="zh-CN"/>
              </w:rPr>
              <w:t>接管</w:t>
            </w:r>
            <w:r>
              <w:rPr>
                <w:rFonts w:hint="default" w:ascii="Times New Roman" w:hAnsi="Times New Roman" w:eastAsia="宋体" w:cs="Times New Roman"/>
                <w:color w:val="auto"/>
                <w:sz w:val="24"/>
              </w:rPr>
              <w:t>标准，常州市金坛区第二污水处理厂处理后尾水排入尧塘河，排放标准执行《城镇污水处理厂污染物排放标准》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GB18918-2002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中一级A标准以及《太湖地区城镇污水处理厂及重点行业主要水污染物排放限值》（DB32/T1072-2018）中表2城镇污水处理标准，标准值参见下表。</w:t>
            </w:r>
          </w:p>
          <w:p w14:paraId="790ED1C0">
            <w:pPr>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表3-6  废水排放标准 （单位：mg/L</w:t>
            </w:r>
            <w:r>
              <w:rPr>
                <w:rFonts w:hint="default" w:ascii="Times New Roman" w:hAnsi="Times New Roman" w:eastAsia="宋体" w:cs="Times New Roman"/>
                <w:b/>
                <w:color w:val="auto"/>
                <w:sz w:val="24"/>
                <w:lang w:eastAsia="zh-CN"/>
              </w:rPr>
              <w:t>）</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3512"/>
              <w:gridCol w:w="1000"/>
              <w:gridCol w:w="1281"/>
              <w:gridCol w:w="1314"/>
            </w:tblGrid>
            <w:tr w14:paraId="610B0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tcBorders>
                    <w:tl2br w:val="nil"/>
                    <w:tr2bl w:val="nil"/>
                  </w:tcBorders>
                  <w:tcMar>
                    <w:top w:w="0" w:type="dxa"/>
                    <w:left w:w="108" w:type="dxa"/>
                    <w:bottom w:w="0" w:type="dxa"/>
                    <w:right w:w="108" w:type="dxa"/>
                  </w:tcMar>
                  <w:vAlign w:val="center"/>
                </w:tcPr>
                <w:p w14:paraId="2E3A3DD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类别</w:t>
                  </w:r>
                </w:p>
              </w:tc>
              <w:tc>
                <w:tcPr>
                  <w:tcW w:w="2117" w:type="pct"/>
                  <w:tcBorders>
                    <w:tl2br w:val="nil"/>
                    <w:tr2bl w:val="nil"/>
                  </w:tcBorders>
                  <w:tcMar>
                    <w:top w:w="0" w:type="dxa"/>
                    <w:left w:w="108" w:type="dxa"/>
                    <w:bottom w:w="0" w:type="dxa"/>
                    <w:right w:w="108" w:type="dxa"/>
                  </w:tcMar>
                  <w:vAlign w:val="center"/>
                </w:tcPr>
                <w:p w14:paraId="5439158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执行标准</w:t>
                  </w:r>
                </w:p>
              </w:tc>
              <w:tc>
                <w:tcPr>
                  <w:tcW w:w="603" w:type="pct"/>
                  <w:tcBorders>
                    <w:tl2br w:val="nil"/>
                    <w:tr2bl w:val="nil"/>
                  </w:tcBorders>
                  <w:tcMar>
                    <w:top w:w="0" w:type="dxa"/>
                    <w:left w:w="108" w:type="dxa"/>
                    <w:bottom w:w="0" w:type="dxa"/>
                    <w:right w:w="108" w:type="dxa"/>
                  </w:tcMar>
                  <w:vAlign w:val="center"/>
                </w:tcPr>
                <w:p w14:paraId="7A270615">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标准</w:t>
                  </w:r>
                </w:p>
                <w:p w14:paraId="382EF65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级别</w:t>
                  </w:r>
                </w:p>
              </w:tc>
              <w:tc>
                <w:tcPr>
                  <w:tcW w:w="772" w:type="pct"/>
                  <w:tcBorders>
                    <w:tl2br w:val="nil"/>
                    <w:tr2bl w:val="nil"/>
                  </w:tcBorders>
                  <w:tcMar>
                    <w:top w:w="0" w:type="dxa"/>
                    <w:left w:w="108" w:type="dxa"/>
                    <w:bottom w:w="0" w:type="dxa"/>
                    <w:right w:w="108" w:type="dxa"/>
                  </w:tcMar>
                  <w:vAlign w:val="center"/>
                </w:tcPr>
                <w:p w14:paraId="3E7AAEB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指标</w:t>
                  </w:r>
                </w:p>
              </w:tc>
              <w:tc>
                <w:tcPr>
                  <w:tcW w:w="792" w:type="pct"/>
                  <w:tcBorders>
                    <w:tl2br w:val="nil"/>
                    <w:tr2bl w:val="nil"/>
                  </w:tcBorders>
                  <w:tcMar>
                    <w:top w:w="0" w:type="dxa"/>
                    <w:left w:w="108" w:type="dxa"/>
                    <w:bottom w:w="0" w:type="dxa"/>
                    <w:right w:w="108" w:type="dxa"/>
                  </w:tcMar>
                  <w:vAlign w:val="center"/>
                </w:tcPr>
                <w:p w14:paraId="4550BCD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标准限值</w:t>
                  </w:r>
                </w:p>
              </w:tc>
            </w:tr>
            <w:tr w14:paraId="0548E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2ECED8F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接管标准</w:t>
                  </w:r>
                </w:p>
              </w:tc>
              <w:tc>
                <w:tcPr>
                  <w:tcW w:w="2117" w:type="pct"/>
                  <w:vMerge w:val="restart"/>
                  <w:tcBorders>
                    <w:tl2br w:val="nil"/>
                    <w:tr2bl w:val="nil"/>
                  </w:tcBorders>
                  <w:tcMar>
                    <w:top w:w="0" w:type="dxa"/>
                    <w:left w:w="108" w:type="dxa"/>
                    <w:bottom w:w="0" w:type="dxa"/>
                    <w:right w:w="108" w:type="dxa"/>
                  </w:tcMar>
                  <w:vAlign w:val="center"/>
                </w:tcPr>
                <w:p w14:paraId="076214D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常州市金坛区第二污水处理厂</w:t>
                  </w:r>
                  <w:r>
                    <w:rPr>
                      <w:rFonts w:hint="default" w:ascii="Times New Roman" w:hAnsi="Times New Roman" w:eastAsia="宋体" w:cs="Times New Roman"/>
                      <w:color w:val="auto"/>
                      <w:lang w:val="en-US" w:eastAsia="zh-CN"/>
                    </w:rPr>
                    <w:t>接管</w:t>
                  </w:r>
                  <w:r>
                    <w:rPr>
                      <w:rFonts w:hint="default" w:ascii="Times New Roman" w:hAnsi="Times New Roman" w:eastAsia="宋体" w:cs="Times New Roman"/>
                      <w:color w:val="auto"/>
                    </w:rPr>
                    <w:t>标准</w:t>
                  </w:r>
                </w:p>
              </w:tc>
              <w:tc>
                <w:tcPr>
                  <w:tcW w:w="603" w:type="pct"/>
                  <w:vMerge w:val="restart"/>
                  <w:tcBorders>
                    <w:tl2br w:val="nil"/>
                    <w:tr2bl w:val="nil"/>
                  </w:tcBorders>
                  <w:tcMar>
                    <w:top w:w="0" w:type="dxa"/>
                    <w:left w:w="108" w:type="dxa"/>
                    <w:bottom w:w="0" w:type="dxa"/>
                    <w:right w:w="108" w:type="dxa"/>
                  </w:tcMar>
                  <w:vAlign w:val="center"/>
                </w:tcPr>
                <w:p w14:paraId="10D11A4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表1中B级</w:t>
                  </w:r>
                </w:p>
              </w:tc>
              <w:tc>
                <w:tcPr>
                  <w:tcW w:w="772" w:type="pct"/>
                  <w:tcBorders>
                    <w:tl2br w:val="nil"/>
                    <w:tr2bl w:val="nil"/>
                  </w:tcBorders>
                  <w:tcMar>
                    <w:top w:w="0" w:type="dxa"/>
                    <w:left w:w="108" w:type="dxa"/>
                    <w:bottom w:w="0" w:type="dxa"/>
                    <w:right w:w="108" w:type="dxa"/>
                  </w:tcMar>
                  <w:vAlign w:val="center"/>
                </w:tcPr>
                <w:p w14:paraId="04B79B1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792" w:type="pct"/>
                  <w:tcBorders>
                    <w:tl2br w:val="nil"/>
                    <w:tr2bl w:val="nil"/>
                  </w:tcBorders>
                  <w:tcMar>
                    <w:top w:w="0" w:type="dxa"/>
                    <w:left w:w="108" w:type="dxa"/>
                    <w:bottom w:w="0" w:type="dxa"/>
                    <w:right w:w="108" w:type="dxa"/>
                  </w:tcMar>
                  <w:vAlign w:val="center"/>
                </w:tcPr>
                <w:p w14:paraId="7F4FF13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6.5~9.5</w:t>
                  </w:r>
                </w:p>
              </w:tc>
            </w:tr>
            <w:tr w14:paraId="63EBC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13D90FF8">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2CD7C19E">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2274DB05">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5C1C414D">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COD</w:t>
                  </w:r>
                </w:p>
              </w:tc>
              <w:tc>
                <w:tcPr>
                  <w:tcW w:w="1314" w:type="dxa"/>
                  <w:tcBorders>
                    <w:tl2br w:val="nil"/>
                    <w:tr2bl w:val="nil"/>
                  </w:tcBorders>
                  <w:tcMar>
                    <w:top w:w="0" w:type="dxa"/>
                    <w:left w:w="108" w:type="dxa"/>
                    <w:bottom w:w="0" w:type="dxa"/>
                    <w:right w:w="108" w:type="dxa"/>
                  </w:tcMar>
                  <w:vAlign w:val="center"/>
                </w:tcPr>
                <w:p w14:paraId="383E8119">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500</w:t>
                  </w:r>
                </w:p>
              </w:tc>
            </w:tr>
            <w:tr w14:paraId="55468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DAF9146">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41EF5F5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15107756">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184E0A6D">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SS</w:t>
                  </w:r>
                </w:p>
              </w:tc>
              <w:tc>
                <w:tcPr>
                  <w:tcW w:w="1314" w:type="dxa"/>
                  <w:tcBorders>
                    <w:tl2br w:val="nil"/>
                    <w:tr2bl w:val="nil"/>
                  </w:tcBorders>
                  <w:tcMar>
                    <w:top w:w="0" w:type="dxa"/>
                    <w:left w:w="108" w:type="dxa"/>
                    <w:bottom w:w="0" w:type="dxa"/>
                    <w:right w:w="108" w:type="dxa"/>
                  </w:tcMar>
                  <w:vAlign w:val="center"/>
                </w:tcPr>
                <w:p w14:paraId="24697841">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250</w:t>
                  </w:r>
                </w:p>
              </w:tc>
            </w:tr>
            <w:tr w14:paraId="5DE4F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620A306">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645F5BD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29F7A3D6">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26E8B41C">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NH</w:t>
                  </w:r>
                  <w:r>
                    <w:rPr>
                      <w:rFonts w:hint="default" w:ascii="Times New Roman" w:hAnsi="Times New Roman" w:eastAsia="仿宋" w:cs="Times New Roman"/>
                      <w:bCs/>
                      <w:color w:val="auto"/>
                      <w:szCs w:val="21"/>
                      <w:vertAlign w:val="subscript"/>
                    </w:rPr>
                    <w:t>3</w:t>
                  </w:r>
                  <w:r>
                    <w:rPr>
                      <w:rFonts w:hint="default" w:ascii="Times New Roman" w:hAnsi="Times New Roman" w:eastAsia="仿宋" w:cs="Times New Roman"/>
                      <w:bCs/>
                      <w:color w:val="auto"/>
                      <w:szCs w:val="21"/>
                    </w:rPr>
                    <w:t>-N</w:t>
                  </w:r>
                </w:p>
              </w:tc>
              <w:tc>
                <w:tcPr>
                  <w:tcW w:w="1314" w:type="dxa"/>
                  <w:tcBorders>
                    <w:tl2br w:val="nil"/>
                    <w:tr2bl w:val="nil"/>
                  </w:tcBorders>
                  <w:tcMar>
                    <w:top w:w="0" w:type="dxa"/>
                    <w:left w:w="108" w:type="dxa"/>
                    <w:bottom w:w="0" w:type="dxa"/>
                    <w:right w:w="108" w:type="dxa"/>
                  </w:tcMar>
                  <w:vAlign w:val="center"/>
                </w:tcPr>
                <w:p w14:paraId="341EDA5F">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35</w:t>
                  </w:r>
                </w:p>
              </w:tc>
            </w:tr>
            <w:tr w14:paraId="1E7B1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4C68904">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1B8696D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557DFC83">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7238BCF6">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TP</w:t>
                  </w:r>
                </w:p>
              </w:tc>
              <w:tc>
                <w:tcPr>
                  <w:tcW w:w="1314" w:type="dxa"/>
                  <w:tcBorders>
                    <w:tl2br w:val="nil"/>
                    <w:tr2bl w:val="nil"/>
                  </w:tcBorders>
                  <w:tcMar>
                    <w:top w:w="0" w:type="dxa"/>
                    <w:left w:w="108" w:type="dxa"/>
                    <w:bottom w:w="0" w:type="dxa"/>
                    <w:right w:w="108" w:type="dxa"/>
                  </w:tcMar>
                  <w:vAlign w:val="center"/>
                </w:tcPr>
                <w:p w14:paraId="2922F45A">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3</w:t>
                  </w:r>
                </w:p>
              </w:tc>
            </w:tr>
            <w:tr w14:paraId="0781E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4BE78671">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18CDE6F0">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583E449E">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06620273">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TN</w:t>
                  </w:r>
                </w:p>
              </w:tc>
              <w:tc>
                <w:tcPr>
                  <w:tcW w:w="1314" w:type="dxa"/>
                  <w:tcBorders>
                    <w:tl2br w:val="nil"/>
                    <w:tr2bl w:val="nil"/>
                  </w:tcBorders>
                  <w:tcMar>
                    <w:top w:w="0" w:type="dxa"/>
                    <w:left w:w="108" w:type="dxa"/>
                    <w:bottom w:w="0" w:type="dxa"/>
                    <w:right w:w="108" w:type="dxa"/>
                  </w:tcMar>
                  <w:vAlign w:val="center"/>
                </w:tcPr>
                <w:p w14:paraId="6AB27BE6">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50</w:t>
                  </w:r>
                </w:p>
              </w:tc>
            </w:tr>
            <w:tr w14:paraId="199B5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6DC5FFC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常州市金坛区第二污水处理厂处理厂排口</w:t>
                  </w:r>
                </w:p>
              </w:tc>
              <w:tc>
                <w:tcPr>
                  <w:tcW w:w="2117" w:type="pct"/>
                  <w:vMerge w:val="restart"/>
                  <w:tcBorders>
                    <w:tl2br w:val="nil"/>
                    <w:tr2bl w:val="nil"/>
                  </w:tcBorders>
                  <w:tcMar>
                    <w:top w:w="0" w:type="dxa"/>
                    <w:left w:w="108" w:type="dxa"/>
                    <w:bottom w:w="0" w:type="dxa"/>
                    <w:right w:w="108" w:type="dxa"/>
                  </w:tcMar>
                  <w:vAlign w:val="center"/>
                </w:tcPr>
                <w:p w14:paraId="161C3DB6">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《城镇污水处理厂污染物排放标准》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 18918-2002</w:t>
                  </w:r>
                  <w:r>
                    <w:rPr>
                      <w:rFonts w:hint="default" w:ascii="Times New Roman" w:hAnsi="Times New Roman" w:eastAsia="宋体" w:cs="Times New Roman"/>
                      <w:color w:val="auto"/>
                      <w:lang w:eastAsia="zh-CN"/>
                    </w:rPr>
                    <w:t>）</w:t>
                  </w:r>
                </w:p>
              </w:tc>
              <w:tc>
                <w:tcPr>
                  <w:tcW w:w="603" w:type="pct"/>
                  <w:vMerge w:val="restart"/>
                  <w:tcBorders>
                    <w:tl2br w:val="nil"/>
                    <w:tr2bl w:val="nil"/>
                  </w:tcBorders>
                  <w:tcMar>
                    <w:top w:w="0" w:type="dxa"/>
                    <w:left w:w="108" w:type="dxa"/>
                    <w:bottom w:w="0" w:type="dxa"/>
                    <w:right w:w="108" w:type="dxa"/>
                  </w:tcMar>
                  <w:vAlign w:val="center"/>
                </w:tcPr>
                <w:p w14:paraId="11C773F8">
                  <w:pPr>
                    <w:rPr>
                      <w:rFonts w:hint="default" w:ascii="Times New Roman" w:hAnsi="Times New Roman" w:eastAsia="宋体" w:cs="Times New Roman"/>
                      <w:color w:val="auto"/>
                    </w:rPr>
                  </w:pPr>
                  <w:r>
                    <w:rPr>
                      <w:rFonts w:hint="default" w:ascii="Times New Roman" w:hAnsi="Times New Roman" w:eastAsia="宋体" w:cs="Times New Roman"/>
                      <w:color w:val="auto"/>
                    </w:rPr>
                    <w:t>一级A</w:t>
                  </w:r>
                </w:p>
              </w:tc>
              <w:tc>
                <w:tcPr>
                  <w:tcW w:w="772" w:type="pct"/>
                  <w:tcBorders>
                    <w:tl2br w:val="nil"/>
                    <w:tr2bl w:val="nil"/>
                  </w:tcBorders>
                  <w:tcMar>
                    <w:top w:w="0" w:type="dxa"/>
                    <w:left w:w="108" w:type="dxa"/>
                    <w:bottom w:w="0" w:type="dxa"/>
                    <w:right w:w="108" w:type="dxa"/>
                  </w:tcMar>
                  <w:vAlign w:val="center"/>
                </w:tcPr>
                <w:p w14:paraId="1BA9651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792" w:type="pct"/>
                  <w:tcBorders>
                    <w:tl2br w:val="nil"/>
                    <w:tr2bl w:val="nil"/>
                  </w:tcBorders>
                  <w:tcMar>
                    <w:top w:w="0" w:type="dxa"/>
                    <w:left w:w="108" w:type="dxa"/>
                    <w:bottom w:w="0" w:type="dxa"/>
                    <w:right w:w="108" w:type="dxa"/>
                  </w:tcMar>
                  <w:vAlign w:val="center"/>
                </w:tcPr>
                <w:p w14:paraId="5BB7ACAA">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r>
            <w:tr w14:paraId="2D459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1B3B9B3">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3ED8273C">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7E6D1C2A">
                  <w:pPr>
                    <w:rPr>
                      <w:rFonts w:hint="default" w:ascii="Times New Roman" w:hAnsi="Times New Roman" w:eastAsia="宋体" w:cs="Times New Roman"/>
                      <w:color w:val="auto"/>
                    </w:rPr>
                  </w:pPr>
                </w:p>
              </w:tc>
              <w:tc>
                <w:tcPr>
                  <w:tcW w:w="772" w:type="pct"/>
                  <w:tcBorders>
                    <w:tl2br w:val="nil"/>
                    <w:tr2bl w:val="nil"/>
                  </w:tcBorders>
                  <w:tcMar>
                    <w:top w:w="0" w:type="dxa"/>
                    <w:left w:w="108" w:type="dxa"/>
                    <w:bottom w:w="0" w:type="dxa"/>
                    <w:right w:w="108" w:type="dxa"/>
                  </w:tcMar>
                  <w:vAlign w:val="center"/>
                </w:tcPr>
                <w:p w14:paraId="0F864FED">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792" w:type="pct"/>
                  <w:tcBorders>
                    <w:tl2br w:val="nil"/>
                    <w:tr2bl w:val="nil"/>
                  </w:tcBorders>
                  <w:tcMar>
                    <w:top w:w="0" w:type="dxa"/>
                    <w:left w:w="108" w:type="dxa"/>
                    <w:bottom w:w="0" w:type="dxa"/>
                    <w:right w:w="108" w:type="dxa"/>
                  </w:tcMar>
                  <w:vAlign w:val="center"/>
                </w:tcPr>
                <w:p w14:paraId="67E6CB67">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08A9A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CE9BC1B">
                  <w:pPr>
                    <w:autoSpaceDE w:val="0"/>
                    <w:autoSpaceDN w:val="0"/>
                    <w:jc w:val="center"/>
                    <w:rPr>
                      <w:rFonts w:hint="default" w:ascii="Times New Roman" w:hAnsi="Times New Roman" w:eastAsia="宋体" w:cs="Times New Roman"/>
                      <w:color w:val="auto"/>
                    </w:rPr>
                  </w:pPr>
                </w:p>
              </w:tc>
              <w:tc>
                <w:tcPr>
                  <w:tcW w:w="2117" w:type="pct"/>
                  <w:vMerge w:val="restart"/>
                  <w:tcBorders>
                    <w:tl2br w:val="nil"/>
                    <w:tr2bl w:val="nil"/>
                  </w:tcBorders>
                  <w:vAlign w:val="center"/>
                </w:tcPr>
                <w:p w14:paraId="6191A5C2">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《太湖地区城镇污水处理厂及重点工业行业主要水污染物排放限值》（DB 32/1072-2018）</w:t>
                  </w:r>
                </w:p>
              </w:tc>
              <w:tc>
                <w:tcPr>
                  <w:tcW w:w="603" w:type="pct"/>
                  <w:vMerge w:val="restart"/>
                  <w:tcBorders>
                    <w:tl2br w:val="nil"/>
                    <w:tr2bl w:val="nil"/>
                  </w:tcBorders>
                  <w:vAlign w:val="center"/>
                </w:tcPr>
                <w:p w14:paraId="0114E81B">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表2</w:t>
                  </w:r>
                </w:p>
              </w:tc>
              <w:tc>
                <w:tcPr>
                  <w:tcW w:w="772" w:type="pct"/>
                  <w:tcBorders>
                    <w:tl2br w:val="nil"/>
                    <w:tr2bl w:val="nil"/>
                  </w:tcBorders>
                  <w:vAlign w:val="center"/>
                </w:tcPr>
                <w:p w14:paraId="0C7DA83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COD</w:t>
                  </w:r>
                </w:p>
              </w:tc>
              <w:tc>
                <w:tcPr>
                  <w:tcW w:w="792" w:type="pct"/>
                  <w:tcBorders>
                    <w:tl2br w:val="nil"/>
                    <w:tr2bl w:val="nil"/>
                  </w:tcBorders>
                  <w:vAlign w:val="center"/>
                </w:tcPr>
                <w:p w14:paraId="6B4CEBD4">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14:paraId="1A61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603302C">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1E73D973">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45E56E2C">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2A50E9F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792" w:type="pct"/>
                  <w:tcBorders>
                    <w:tl2br w:val="nil"/>
                    <w:tr2bl w:val="nil"/>
                  </w:tcBorders>
                  <w:vAlign w:val="center"/>
                </w:tcPr>
                <w:p w14:paraId="4126BDB2">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4（6）*</w:t>
                  </w:r>
                </w:p>
              </w:tc>
            </w:tr>
            <w:tr w14:paraId="499F5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7852B6C7">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03A4BBFD">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21AA28FA">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0D0EA221">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TP</w:t>
                  </w:r>
                </w:p>
              </w:tc>
              <w:tc>
                <w:tcPr>
                  <w:tcW w:w="792" w:type="pct"/>
                  <w:tcBorders>
                    <w:tl2br w:val="nil"/>
                    <w:tr2bl w:val="nil"/>
                  </w:tcBorders>
                  <w:vAlign w:val="center"/>
                </w:tcPr>
                <w:p w14:paraId="1B65EC3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r>
            <w:tr w14:paraId="4FF3B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13677EE0">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59C2ABB5">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5C61B1B0">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32018E5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TN</w:t>
                  </w:r>
                </w:p>
              </w:tc>
              <w:tc>
                <w:tcPr>
                  <w:tcW w:w="792" w:type="pct"/>
                  <w:tcBorders>
                    <w:tl2br w:val="nil"/>
                    <w:tr2bl w:val="nil"/>
                  </w:tcBorders>
                  <w:vAlign w:val="center"/>
                </w:tcPr>
                <w:p w14:paraId="39006BB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12（15）*</w:t>
                  </w:r>
                </w:p>
              </w:tc>
            </w:tr>
          </w:tbl>
          <w:p w14:paraId="46592FA0">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*注：括号外数值为水温＞12℃时的控制指标，括号内数值为水温≤12℃时的控制指标。</w:t>
            </w:r>
          </w:p>
          <w:p w14:paraId="5926986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4ADCA39A">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本项目营运期厂界噪声执行《工业企业厂界环境噪声排放标准》（GB12348-2008）3类功能区标准。</w:t>
            </w:r>
          </w:p>
          <w:p w14:paraId="671EE3A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表3-8  噪声排放标准限值</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20"/>
              <w:gridCol w:w="2817"/>
              <w:gridCol w:w="1400"/>
              <w:gridCol w:w="949"/>
              <w:gridCol w:w="997"/>
              <w:gridCol w:w="908"/>
            </w:tblGrid>
            <w:tr w14:paraId="1944D6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5" w:type="pct"/>
                  <w:vMerge w:val="restart"/>
                  <w:tcBorders>
                    <w:tl2br w:val="nil"/>
                    <w:tr2bl w:val="nil"/>
                  </w:tcBorders>
                  <w:vAlign w:val="center"/>
                </w:tcPr>
                <w:p w14:paraId="0CF2B79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厂界名</w:t>
                  </w:r>
                </w:p>
              </w:tc>
              <w:tc>
                <w:tcPr>
                  <w:tcW w:w="1698" w:type="pct"/>
                  <w:vMerge w:val="restart"/>
                  <w:tcBorders>
                    <w:tl2br w:val="nil"/>
                    <w:tr2bl w:val="nil"/>
                  </w:tcBorders>
                  <w:vAlign w:val="center"/>
                </w:tcPr>
                <w:p w14:paraId="1FC4F8A7">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执行标准</w:t>
                  </w:r>
                </w:p>
              </w:tc>
              <w:tc>
                <w:tcPr>
                  <w:tcW w:w="844" w:type="pct"/>
                  <w:vMerge w:val="restart"/>
                  <w:tcBorders>
                    <w:tl2br w:val="nil"/>
                    <w:tr2bl w:val="nil"/>
                  </w:tcBorders>
                  <w:vAlign w:val="center"/>
                </w:tcPr>
                <w:p w14:paraId="0B877497">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级别</w:t>
                  </w:r>
                </w:p>
              </w:tc>
              <w:tc>
                <w:tcPr>
                  <w:tcW w:w="572" w:type="pct"/>
                  <w:vMerge w:val="restart"/>
                  <w:tcBorders>
                    <w:tl2br w:val="nil"/>
                    <w:tr2bl w:val="nil"/>
                  </w:tcBorders>
                  <w:vAlign w:val="center"/>
                </w:tcPr>
                <w:p w14:paraId="1130DC61">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单位</w:t>
                  </w:r>
                </w:p>
              </w:tc>
              <w:tc>
                <w:tcPr>
                  <w:tcW w:w="1148" w:type="pct"/>
                  <w:gridSpan w:val="2"/>
                  <w:tcBorders>
                    <w:tl2br w:val="nil"/>
                    <w:tr2bl w:val="nil"/>
                  </w:tcBorders>
                  <w:vAlign w:val="center"/>
                </w:tcPr>
                <w:p w14:paraId="27B1E16E">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标准限值</w:t>
                  </w:r>
                </w:p>
              </w:tc>
            </w:tr>
            <w:tr w14:paraId="5461E1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5" w:type="pct"/>
                  <w:vMerge w:val="continue"/>
                  <w:tcBorders>
                    <w:tl2br w:val="nil"/>
                    <w:tr2bl w:val="nil"/>
                  </w:tcBorders>
                  <w:vAlign w:val="center"/>
                </w:tcPr>
                <w:p w14:paraId="20A4CEB2">
                  <w:pPr>
                    <w:widowControl/>
                    <w:jc w:val="center"/>
                    <w:rPr>
                      <w:rFonts w:hint="default" w:ascii="Times New Roman" w:hAnsi="Times New Roman" w:eastAsia="宋体" w:cs="Times New Roman"/>
                      <w:b/>
                      <w:color w:val="auto"/>
                      <w:szCs w:val="21"/>
                    </w:rPr>
                  </w:pPr>
                </w:p>
              </w:tc>
              <w:tc>
                <w:tcPr>
                  <w:tcW w:w="1698" w:type="pct"/>
                  <w:vMerge w:val="continue"/>
                  <w:tcBorders>
                    <w:tl2br w:val="nil"/>
                    <w:tr2bl w:val="nil"/>
                  </w:tcBorders>
                  <w:vAlign w:val="center"/>
                </w:tcPr>
                <w:p w14:paraId="03A68C9A">
                  <w:pPr>
                    <w:widowControl/>
                    <w:jc w:val="center"/>
                    <w:rPr>
                      <w:rFonts w:hint="default" w:ascii="Times New Roman" w:hAnsi="Times New Roman" w:eastAsia="宋体" w:cs="Times New Roman"/>
                      <w:b/>
                      <w:color w:val="auto"/>
                      <w:szCs w:val="21"/>
                    </w:rPr>
                  </w:pPr>
                </w:p>
              </w:tc>
              <w:tc>
                <w:tcPr>
                  <w:tcW w:w="844" w:type="pct"/>
                  <w:vMerge w:val="continue"/>
                  <w:tcBorders>
                    <w:tl2br w:val="nil"/>
                    <w:tr2bl w:val="nil"/>
                  </w:tcBorders>
                  <w:vAlign w:val="center"/>
                </w:tcPr>
                <w:p w14:paraId="6833468D">
                  <w:pPr>
                    <w:widowControl/>
                    <w:jc w:val="center"/>
                    <w:rPr>
                      <w:rFonts w:hint="default" w:ascii="Times New Roman" w:hAnsi="Times New Roman" w:eastAsia="宋体" w:cs="Times New Roman"/>
                      <w:b/>
                      <w:color w:val="auto"/>
                      <w:szCs w:val="21"/>
                    </w:rPr>
                  </w:pPr>
                </w:p>
              </w:tc>
              <w:tc>
                <w:tcPr>
                  <w:tcW w:w="572" w:type="pct"/>
                  <w:vMerge w:val="continue"/>
                  <w:tcBorders>
                    <w:tl2br w:val="nil"/>
                    <w:tr2bl w:val="nil"/>
                  </w:tcBorders>
                  <w:vAlign w:val="center"/>
                </w:tcPr>
                <w:p w14:paraId="4AC28982">
                  <w:pPr>
                    <w:widowControl/>
                    <w:jc w:val="center"/>
                    <w:rPr>
                      <w:rFonts w:hint="default" w:ascii="Times New Roman" w:hAnsi="Times New Roman" w:eastAsia="宋体" w:cs="Times New Roman"/>
                      <w:b/>
                      <w:color w:val="auto"/>
                      <w:szCs w:val="21"/>
                    </w:rPr>
                  </w:pPr>
                </w:p>
              </w:tc>
              <w:tc>
                <w:tcPr>
                  <w:tcW w:w="601" w:type="pct"/>
                  <w:tcBorders>
                    <w:tl2br w:val="nil"/>
                    <w:tr2bl w:val="nil"/>
                  </w:tcBorders>
                  <w:vAlign w:val="center"/>
                </w:tcPr>
                <w:p w14:paraId="49029FCE">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昼</w:t>
                  </w:r>
                </w:p>
              </w:tc>
              <w:tc>
                <w:tcPr>
                  <w:tcW w:w="547" w:type="pct"/>
                  <w:tcBorders>
                    <w:tl2br w:val="nil"/>
                    <w:tr2bl w:val="nil"/>
                  </w:tcBorders>
                  <w:vAlign w:val="center"/>
                </w:tcPr>
                <w:p w14:paraId="3A61F7AB">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夜</w:t>
                  </w:r>
                </w:p>
              </w:tc>
            </w:tr>
            <w:tr w14:paraId="6D94A6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5" w:type="pct"/>
                  <w:tcBorders>
                    <w:tl2br w:val="nil"/>
                    <w:tr2bl w:val="nil"/>
                  </w:tcBorders>
                  <w:vAlign w:val="center"/>
                </w:tcPr>
                <w:p w14:paraId="79E12B0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w:t>
                  </w:r>
                </w:p>
              </w:tc>
              <w:tc>
                <w:tcPr>
                  <w:tcW w:w="1698" w:type="pct"/>
                  <w:tcBorders>
                    <w:tl2br w:val="nil"/>
                    <w:tr2bl w:val="nil"/>
                  </w:tcBorders>
                  <w:vAlign w:val="center"/>
                </w:tcPr>
                <w:p w14:paraId="6E368CD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w:t>
                  </w:r>
                </w:p>
              </w:tc>
              <w:tc>
                <w:tcPr>
                  <w:tcW w:w="844" w:type="pct"/>
                  <w:tcBorders>
                    <w:tl2br w:val="nil"/>
                    <w:tr2bl w:val="nil"/>
                  </w:tcBorders>
                  <w:vAlign w:val="center"/>
                </w:tcPr>
                <w:p w14:paraId="6B6F40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3类功能区标准</w:t>
                  </w:r>
                </w:p>
              </w:tc>
              <w:tc>
                <w:tcPr>
                  <w:tcW w:w="572" w:type="pct"/>
                  <w:tcBorders>
                    <w:tl2br w:val="nil"/>
                    <w:tr2bl w:val="nil"/>
                  </w:tcBorders>
                  <w:vAlign w:val="center"/>
                </w:tcPr>
                <w:p w14:paraId="1D11653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dB（A）</w:t>
                  </w:r>
                </w:p>
              </w:tc>
              <w:tc>
                <w:tcPr>
                  <w:tcW w:w="601" w:type="pct"/>
                  <w:tcBorders>
                    <w:tl2br w:val="nil"/>
                    <w:tr2bl w:val="nil"/>
                  </w:tcBorders>
                  <w:vAlign w:val="center"/>
                </w:tcPr>
                <w:p w14:paraId="1F4B1F6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547" w:type="pct"/>
                  <w:tcBorders>
                    <w:tl2br w:val="nil"/>
                    <w:tr2bl w:val="nil"/>
                  </w:tcBorders>
                  <w:vAlign w:val="center"/>
                </w:tcPr>
                <w:p w14:paraId="1A9CE04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r>
          </w:tbl>
          <w:p w14:paraId="5A0007DE">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4、固体废物</w:t>
            </w:r>
          </w:p>
          <w:p w14:paraId="1A1EC0D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（1）一般固废</w:t>
            </w:r>
            <w:r>
              <w:rPr>
                <w:rFonts w:hint="default" w:ascii="Times New Roman" w:hAnsi="Times New Roman" w:eastAsia="宋体" w:cs="Times New Roman"/>
                <w:color w:val="auto"/>
                <w:sz w:val="24"/>
                <w:lang w:val="en-US" w:eastAsia="zh-CN"/>
              </w:rPr>
              <w:t>满足防渗漏、防雨淋、防扬尘的环境管理要求</w:t>
            </w:r>
            <w:r>
              <w:rPr>
                <w:rFonts w:hint="default" w:ascii="Times New Roman" w:hAnsi="Times New Roman" w:eastAsia="宋体" w:cs="Times New Roman"/>
                <w:color w:val="auto"/>
                <w:sz w:val="24"/>
              </w:rPr>
              <w:t>；</w:t>
            </w:r>
          </w:p>
          <w:p w14:paraId="55CA4B5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（2）危险废物执行《危险废物贮存污染控制标准》（GB18597-20</w:t>
            </w:r>
            <w:r>
              <w:rPr>
                <w:rFonts w:hint="default"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rPr>
              <w:t>），同时执行《省生态环境厅关于进一步加强危险废物环境管理工作的通知》（苏环办［2021］207号）的要求。</w:t>
            </w:r>
          </w:p>
          <w:p w14:paraId="35992E5C">
            <w:pPr>
              <w:spacing w:line="360" w:lineRule="auto"/>
              <w:ind w:firstLine="480" w:firstLineChars="200"/>
              <w:rPr>
                <w:rFonts w:hint="default" w:ascii="Times New Roman" w:hAnsi="Times New Roman" w:eastAsia="宋体" w:cs="Times New Roman"/>
                <w:color w:val="auto"/>
                <w:sz w:val="24"/>
              </w:rPr>
            </w:pPr>
          </w:p>
          <w:p w14:paraId="18D896B5">
            <w:pPr>
              <w:spacing w:line="360" w:lineRule="auto"/>
              <w:rPr>
                <w:rFonts w:hint="default" w:ascii="Times New Roman" w:hAnsi="Times New Roman" w:eastAsia="宋体" w:cs="Times New Roman"/>
                <w:color w:val="auto"/>
                <w:sz w:val="24"/>
              </w:rPr>
            </w:pPr>
          </w:p>
        </w:tc>
      </w:tr>
      <w:tr w14:paraId="4CD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4789BCF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总量控制指标</w:t>
            </w:r>
          </w:p>
        </w:tc>
        <w:tc>
          <w:tcPr>
            <w:tcW w:w="4581" w:type="pct"/>
          </w:tcPr>
          <w:p w14:paraId="18062DB7">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1、总量控制指标</w:t>
            </w:r>
          </w:p>
          <w:p w14:paraId="22982FC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本项目污染物总量控制指标及来源途径见下表。</w:t>
            </w:r>
          </w:p>
          <w:p w14:paraId="19CF025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表3-8  建设项目全厂污染物排放总量表（单位：t/a）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2"/>
              <w:gridCol w:w="532"/>
              <w:gridCol w:w="1156"/>
              <w:gridCol w:w="1151"/>
              <w:gridCol w:w="1143"/>
              <w:gridCol w:w="1276"/>
              <w:gridCol w:w="1221"/>
              <w:gridCol w:w="1140"/>
            </w:tblGrid>
            <w:tr w14:paraId="2136F4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restart"/>
                  <w:vAlign w:val="center"/>
                </w:tcPr>
                <w:p w14:paraId="035EF23D">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694" w:type="pct"/>
                  <w:vMerge w:val="restart"/>
                  <w:vAlign w:val="center"/>
                </w:tcPr>
                <w:p w14:paraId="29E16E9F">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本项目产生量</w:t>
                  </w:r>
                </w:p>
              </w:tc>
              <w:tc>
                <w:tcPr>
                  <w:tcW w:w="689" w:type="pct"/>
                  <w:vMerge w:val="restart"/>
                  <w:vAlign w:val="center"/>
                </w:tcPr>
                <w:p w14:paraId="696EBD94">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本项目排放量</w:t>
                  </w:r>
                </w:p>
              </w:tc>
              <w:tc>
                <w:tcPr>
                  <w:tcW w:w="1505" w:type="pct"/>
                  <w:gridSpan w:val="2"/>
                  <w:vAlign w:val="center"/>
                </w:tcPr>
                <w:p w14:paraId="6FA0F172">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接管申请量</w:t>
                  </w:r>
                </w:p>
              </w:tc>
              <w:tc>
                <w:tcPr>
                  <w:tcW w:w="687" w:type="pct"/>
                  <w:vMerge w:val="restart"/>
                  <w:vAlign w:val="center"/>
                </w:tcPr>
                <w:p w14:paraId="1495B569">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最终排入外环境量</w:t>
                  </w:r>
                </w:p>
              </w:tc>
            </w:tr>
            <w:tr w14:paraId="20432C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continue"/>
                  <w:vAlign w:val="center"/>
                </w:tcPr>
                <w:p w14:paraId="76A1E9B7">
                  <w:pPr>
                    <w:jc w:val="center"/>
                    <w:rPr>
                      <w:rFonts w:hint="default" w:ascii="Times New Roman" w:hAnsi="Times New Roman" w:eastAsia="宋体" w:cs="Times New Roman"/>
                      <w:b/>
                      <w:color w:val="auto"/>
                      <w:kern w:val="0"/>
                      <w:sz w:val="21"/>
                      <w:szCs w:val="21"/>
                    </w:rPr>
                  </w:pPr>
                </w:p>
              </w:tc>
              <w:tc>
                <w:tcPr>
                  <w:tcW w:w="694" w:type="pct"/>
                  <w:vMerge w:val="continue"/>
                  <w:vAlign w:val="center"/>
                </w:tcPr>
                <w:p w14:paraId="7C371A28">
                  <w:pPr>
                    <w:jc w:val="center"/>
                    <w:rPr>
                      <w:rFonts w:hint="default" w:ascii="Times New Roman" w:hAnsi="Times New Roman" w:eastAsia="宋体" w:cs="Times New Roman"/>
                      <w:b/>
                      <w:color w:val="auto"/>
                      <w:kern w:val="0"/>
                      <w:sz w:val="21"/>
                      <w:szCs w:val="21"/>
                    </w:rPr>
                  </w:pPr>
                </w:p>
              </w:tc>
              <w:tc>
                <w:tcPr>
                  <w:tcW w:w="689" w:type="pct"/>
                  <w:vMerge w:val="continue"/>
                  <w:vAlign w:val="center"/>
                </w:tcPr>
                <w:p w14:paraId="7A7D10A8">
                  <w:pPr>
                    <w:jc w:val="center"/>
                    <w:rPr>
                      <w:rFonts w:hint="default" w:ascii="Times New Roman" w:hAnsi="Times New Roman" w:eastAsia="宋体" w:cs="Times New Roman"/>
                      <w:b/>
                      <w:color w:val="auto"/>
                      <w:kern w:val="0"/>
                      <w:sz w:val="21"/>
                      <w:szCs w:val="21"/>
                    </w:rPr>
                  </w:pPr>
                </w:p>
              </w:tc>
              <w:tc>
                <w:tcPr>
                  <w:tcW w:w="769" w:type="pct"/>
                  <w:vAlign w:val="center"/>
                </w:tcPr>
                <w:p w14:paraId="72582BB7">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控制因子</w:t>
                  </w:r>
                </w:p>
              </w:tc>
              <w:tc>
                <w:tcPr>
                  <w:tcW w:w="736" w:type="pct"/>
                  <w:vAlign w:val="center"/>
                </w:tcPr>
                <w:p w14:paraId="2C50B216">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考核因子</w:t>
                  </w:r>
                </w:p>
              </w:tc>
              <w:tc>
                <w:tcPr>
                  <w:tcW w:w="687" w:type="pct"/>
                  <w:vMerge w:val="continue"/>
                  <w:vAlign w:val="center"/>
                </w:tcPr>
                <w:p w14:paraId="1BDA936D">
                  <w:pPr>
                    <w:jc w:val="center"/>
                    <w:rPr>
                      <w:rFonts w:hint="default" w:ascii="Times New Roman" w:hAnsi="Times New Roman" w:eastAsia="宋体" w:cs="Times New Roman"/>
                      <w:color w:val="auto"/>
                      <w:kern w:val="0"/>
                      <w:sz w:val="21"/>
                      <w:szCs w:val="21"/>
                    </w:rPr>
                  </w:pPr>
                </w:p>
              </w:tc>
            </w:tr>
            <w:tr w14:paraId="0ECC7B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6FF736F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w:t>
                  </w:r>
                </w:p>
              </w:tc>
              <w:tc>
                <w:tcPr>
                  <w:tcW w:w="697" w:type="pct"/>
                  <w:vAlign w:val="center"/>
                </w:tcPr>
                <w:p w14:paraId="5A8C1425">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水量</w:t>
                  </w:r>
                </w:p>
              </w:tc>
              <w:tc>
                <w:tcPr>
                  <w:tcW w:w="694" w:type="pct"/>
                  <w:vAlign w:val="center"/>
                </w:tcPr>
                <w:p w14:paraId="1B48237C">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1920</w:t>
                  </w:r>
                </w:p>
              </w:tc>
              <w:tc>
                <w:tcPr>
                  <w:tcW w:w="689" w:type="pct"/>
                  <w:shd w:val="clear" w:color="auto" w:fill="auto"/>
                  <w:vAlign w:val="center"/>
                </w:tcPr>
                <w:p w14:paraId="04FFFBD8">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1920</w:t>
                  </w:r>
                </w:p>
              </w:tc>
              <w:tc>
                <w:tcPr>
                  <w:tcW w:w="769" w:type="pct"/>
                  <w:vAlign w:val="center"/>
                </w:tcPr>
                <w:p w14:paraId="016E7FD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736" w:type="pct"/>
                  <w:vAlign w:val="center"/>
                </w:tcPr>
                <w:p w14:paraId="1C6BB15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5FB0C20C">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1920</w:t>
                  </w:r>
                </w:p>
              </w:tc>
            </w:tr>
            <w:tr w14:paraId="238F73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321E19F3">
                  <w:pPr>
                    <w:jc w:val="center"/>
                    <w:rPr>
                      <w:rFonts w:hint="default" w:ascii="Times New Roman" w:hAnsi="Times New Roman" w:eastAsia="宋体" w:cs="Times New Roman"/>
                      <w:color w:val="auto"/>
                      <w:kern w:val="0"/>
                      <w:sz w:val="21"/>
                      <w:szCs w:val="21"/>
                    </w:rPr>
                  </w:pPr>
                </w:p>
              </w:tc>
              <w:tc>
                <w:tcPr>
                  <w:tcW w:w="697" w:type="pct"/>
                  <w:vAlign w:val="center"/>
                </w:tcPr>
                <w:p w14:paraId="7F4DF50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94" w:type="pct"/>
                  <w:shd w:val="clear" w:color="auto" w:fill="auto"/>
                  <w:vAlign w:val="center"/>
                </w:tcPr>
                <w:p w14:paraId="135C33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0.768</w:t>
                  </w:r>
                </w:p>
              </w:tc>
              <w:tc>
                <w:tcPr>
                  <w:tcW w:w="689" w:type="pct"/>
                  <w:shd w:val="clear" w:color="auto" w:fill="auto"/>
                  <w:vAlign w:val="center"/>
                </w:tcPr>
                <w:p w14:paraId="0C1A04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0.768</w:t>
                  </w:r>
                </w:p>
              </w:tc>
              <w:tc>
                <w:tcPr>
                  <w:tcW w:w="769" w:type="pct"/>
                  <w:vAlign w:val="center"/>
                </w:tcPr>
                <w:p w14:paraId="2D9DA4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0.768</w:t>
                  </w:r>
                </w:p>
              </w:tc>
              <w:tc>
                <w:tcPr>
                  <w:tcW w:w="736" w:type="pct"/>
                  <w:vAlign w:val="center"/>
                </w:tcPr>
                <w:p w14:paraId="21E423F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13B5BC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0.096</w:t>
                  </w:r>
                </w:p>
              </w:tc>
            </w:tr>
            <w:tr w14:paraId="21C69B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756612D8">
                  <w:pPr>
                    <w:jc w:val="center"/>
                    <w:rPr>
                      <w:rFonts w:hint="default" w:ascii="Times New Roman" w:hAnsi="Times New Roman" w:eastAsia="宋体" w:cs="Times New Roman"/>
                      <w:color w:val="auto"/>
                      <w:kern w:val="0"/>
                      <w:sz w:val="21"/>
                      <w:szCs w:val="21"/>
                    </w:rPr>
                  </w:pPr>
                </w:p>
              </w:tc>
              <w:tc>
                <w:tcPr>
                  <w:tcW w:w="697" w:type="pct"/>
                  <w:vAlign w:val="center"/>
                </w:tcPr>
                <w:p w14:paraId="6CEABD1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94" w:type="pct"/>
                  <w:shd w:val="clear" w:color="auto" w:fill="auto"/>
                  <w:vAlign w:val="center"/>
                </w:tcPr>
                <w:p w14:paraId="0231B2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689" w:type="pct"/>
                  <w:shd w:val="clear" w:color="auto" w:fill="auto"/>
                  <w:vAlign w:val="center"/>
                </w:tcPr>
                <w:p w14:paraId="410AEE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769" w:type="pct"/>
                  <w:vAlign w:val="center"/>
                </w:tcPr>
                <w:p w14:paraId="09A2469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w:t>
                  </w:r>
                </w:p>
              </w:tc>
              <w:tc>
                <w:tcPr>
                  <w:tcW w:w="736" w:type="pct"/>
                  <w:vAlign w:val="center"/>
                </w:tcPr>
                <w:p w14:paraId="770BC03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687" w:type="pct"/>
                  <w:shd w:val="clear" w:color="auto" w:fill="auto"/>
                  <w:vAlign w:val="center"/>
                </w:tcPr>
                <w:p w14:paraId="439454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0.0192</w:t>
                  </w:r>
                </w:p>
              </w:tc>
            </w:tr>
            <w:tr w14:paraId="33E68A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01B99015">
                  <w:pPr>
                    <w:jc w:val="center"/>
                    <w:rPr>
                      <w:rFonts w:hint="default" w:ascii="Times New Roman" w:hAnsi="Times New Roman" w:eastAsia="宋体" w:cs="Times New Roman"/>
                      <w:color w:val="auto"/>
                      <w:kern w:val="0"/>
                      <w:sz w:val="21"/>
                      <w:szCs w:val="21"/>
                    </w:rPr>
                  </w:pPr>
                </w:p>
              </w:tc>
              <w:tc>
                <w:tcPr>
                  <w:tcW w:w="697" w:type="pct"/>
                  <w:vAlign w:val="center"/>
                </w:tcPr>
                <w:p w14:paraId="1DFDDEE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694" w:type="pct"/>
                  <w:shd w:val="clear" w:color="auto" w:fill="auto"/>
                  <w:vAlign w:val="center"/>
                </w:tcPr>
                <w:p w14:paraId="687952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689" w:type="pct"/>
                  <w:shd w:val="clear" w:color="auto" w:fill="auto"/>
                  <w:vAlign w:val="center"/>
                </w:tcPr>
                <w:p w14:paraId="461531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769" w:type="pct"/>
                  <w:shd w:val="clear" w:color="auto" w:fill="auto"/>
                  <w:vAlign w:val="center"/>
                </w:tcPr>
                <w:p w14:paraId="4512E2D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736" w:type="pct"/>
                  <w:vAlign w:val="center"/>
                </w:tcPr>
                <w:p w14:paraId="0E02EF7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6F9985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0.00768</w:t>
                  </w:r>
                </w:p>
              </w:tc>
            </w:tr>
            <w:tr w14:paraId="7E1271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4023D7D0">
                  <w:pPr>
                    <w:jc w:val="center"/>
                    <w:rPr>
                      <w:rFonts w:hint="default" w:ascii="Times New Roman" w:hAnsi="Times New Roman" w:eastAsia="宋体" w:cs="Times New Roman"/>
                      <w:color w:val="auto"/>
                      <w:kern w:val="0"/>
                      <w:sz w:val="21"/>
                      <w:szCs w:val="21"/>
                    </w:rPr>
                  </w:pPr>
                </w:p>
              </w:tc>
              <w:tc>
                <w:tcPr>
                  <w:tcW w:w="697" w:type="pct"/>
                  <w:vAlign w:val="center"/>
                </w:tcPr>
                <w:p w14:paraId="3624670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694" w:type="pct"/>
                  <w:shd w:val="clear" w:color="auto" w:fill="auto"/>
                  <w:vAlign w:val="center"/>
                </w:tcPr>
                <w:p w14:paraId="160D91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689" w:type="pct"/>
                  <w:shd w:val="clear" w:color="auto" w:fill="auto"/>
                  <w:vAlign w:val="center"/>
                </w:tcPr>
                <w:p w14:paraId="2F6D57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769" w:type="pct"/>
                  <w:shd w:val="clear" w:color="auto" w:fill="auto"/>
                  <w:vAlign w:val="center"/>
                </w:tcPr>
                <w:p w14:paraId="5DC2E1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736" w:type="pct"/>
                  <w:vAlign w:val="center"/>
                </w:tcPr>
                <w:p w14:paraId="44F43E3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7BD518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0.023</w:t>
                  </w:r>
                </w:p>
              </w:tc>
            </w:tr>
            <w:tr w14:paraId="190D7A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56B277B8">
                  <w:pPr>
                    <w:jc w:val="center"/>
                    <w:rPr>
                      <w:rFonts w:hint="default" w:ascii="Times New Roman" w:hAnsi="Times New Roman" w:eastAsia="宋体" w:cs="Times New Roman"/>
                      <w:color w:val="auto"/>
                      <w:kern w:val="0"/>
                      <w:sz w:val="21"/>
                      <w:szCs w:val="21"/>
                    </w:rPr>
                  </w:pPr>
                </w:p>
              </w:tc>
              <w:tc>
                <w:tcPr>
                  <w:tcW w:w="697" w:type="pct"/>
                  <w:vAlign w:val="center"/>
                </w:tcPr>
                <w:p w14:paraId="1EFE45D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694" w:type="pct"/>
                  <w:shd w:val="clear" w:color="auto" w:fill="auto"/>
                  <w:vAlign w:val="center"/>
                </w:tcPr>
                <w:p w14:paraId="248EB0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0.00384</w:t>
                  </w:r>
                </w:p>
              </w:tc>
              <w:tc>
                <w:tcPr>
                  <w:tcW w:w="689" w:type="pct"/>
                  <w:shd w:val="clear" w:color="auto" w:fill="auto"/>
                  <w:vAlign w:val="center"/>
                </w:tcPr>
                <w:p w14:paraId="6E4E5A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0.00384</w:t>
                  </w:r>
                </w:p>
              </w:tc>
              <w:tc>
                <w:tcPr>
                  <w:tcW w:w="769" w:type="pct"/>
                  <w:shd w:val="clear" w:color="auto" w:fill="auto"/>
                  <w:vAlign w:val="center"/>
                </w:tcPr>
                <w:p w14:paraId="799CD1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0.00384</w:t>
                  </w:r>
                </w:p>
              </w:tc>
              <w:tc>
                <w:tcPr>
                  <w:tcW w:w="736" w:type="pct"/>
                  <w:vAlign w:val="center"/>
                </w:tcPr>
                <w:p w14:paraId="59E8500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6FC9782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0.00096</w:t>
                  </w:r>
                </w:p>
              </w:tc>
            </w:tr>
            <w:tr w14:paraId="70AAB6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05" w:type="pct"/>
                  <w:vMerge w:val="restart"/>
                  <w:vAlign w:val="center"/>
                </w:tcPr>
                <w:p w14:paraId="6CA128E0">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大气污染物</w:t>
                  </w:r>
                </w:p>
              </w:tc>
              <w:tc>
                <w:tcPr>
                  <w:tcW w:w="320" w:type="pct"/>
                  <w:vMerge w:val="restart"/>
                  <w:vAlign w:val="center"/>
                </w:tcPr>
                <w:p w14:paraId="431CC27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w:t>
                  </w:r>
                </w:p>
              </w:tc>
              <w:tc>
                <w:tcPr>
                  <w:tcW w:w="697" w:type="pct"/>
                  <w:shd w:val="clear" w:color="auto" w:fill="auto"/>
                  <w:vAlign w:val="center"/>
                </w:tcPr>
                <w:p w14:paraId="65EDD1A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颗粒物（含锡及其化合物）</w:t>
                  </w:r>
                </w:p>
              </w:tc>
              <w:tc>
                <w:tcPr>
                  <w:tcW w:w="694" w:type="pct"/>
                  <w:vAlign w:val="center"/>
                </w:tcPr>
                <w:p w14:paraId="6200CF5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0.22</w:t>
                  </w:r>
                </w:p>
              </w:tc>
              <w:tc>
                <w:tcPr>
                  <w:tcW w:w="689" w:type="pct"/>
                  <w:shd w:val="clear" w:color="auto" w:fill="auto"/>
                  <w:vAlign w:val="center"/>
                </w:tcPr>
                <w:p w14:paraId="2C9CC7CC">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0.0219</w:t>
                  </w:r>
                </w:p>
              </w:tc>
              <w:tc>
                <w:tcPr>
                  <w:tcW w:w="769" w:type="pct"/>
                  <w:shd w:val="clear" w:color="auto" w:fill="auto"/>
                  <w:vAlign w:val="center"/>
                </w:tcPr>
                <w:p w14:paraId="0663612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0.0219</w:t>
                  </w:r>
                </w:p>
              </w:tc>
              <w:tc>
                <w:tcPr>
                  <w:tcW w:w="736" w:type="pct"/>
                  <w:vAlign w:val="center"/>
                </w:tcPr>
                <w:p w14:paraId="364C640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24A8394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0.0219</w:t>
                  </w:r>
                </w:p>
              </w:tc>
            </w:tr>
            <w:tr w14:paraId="6836D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05" w:type="pct"/>
                  <w:vMerge w:val="continue"/>
                  <w:vAlign w:val="center"/>
                </w:tcPr>
                <w:p w14:paraId="2B6F584A">
                  <w:pPr>
                    <w:jc w:val="center"/>
                    <w:rPr>
                      <w:rFonts w:hint="default" w:ascii="Times New Roman" w:hAnsi="Times New Roman" w:eastAsia="宋体" w:cs="Times New Roman"/>
                      <w:color w:val="auto"/>
                      <w:kern w:val="0"/>
                      <w:sz w:val="21"/>
                      <w:szCs w:val="21"/>
                    </w:rPr>
                  </w:pPr>
                </w:p>
              </w:tc>
              <w:tc>
                <w:tcPr>
                  <w:tcW w:w="320" w:type="pct"/>
                  <w:vMerge w:val="continue"/>
                  <w:vAlign w:val="center"/>
                </w:tcPr>
                <w:p w14:paraId="3862E506">
                  <w:pPr>
                    <w:jc w:val="center"/>
                    <w:rPr>
                      <w:rFonts w:hint="default" w:ascii="Times New Roman" w:hAnsi="Times New Roman" w:eastAsia="宋体" w:cs="Times New Roman"/>
                      <w:color w:val="auto"/>
                      <w:kern w:val="0"/>
                      <w:sz w:val="21"/>
                      <w:szCs w:val="21"/>
                    </w:rPr>
                  </w:pPr>
                </w:p>
              </w:tc>
              <w:tc>
                <w:tcPr>
                  <w:tcW w:w="697" w:type="pct"/>
                  <w:shd w:val="clear" w:color="auto" w:fill="auto"/>
                  <w:vAlign w:val="center"/>
                </w:tcPr>
                <w:p w14:paraId="2E2E74A0">
                  <w:pPr>
                    <w:contextualSpacing/>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非甲烷总烃（含苯乙烯）</w:t>
                  </w:r>
                </w:p>
              </w:tc>
              <w:tc>
                <w:tcPr>
                  <w:tcW w:w="694" w:type="pct"/>
                  <w:vAlign w:val="center"/>
                </w:tcPr>
                <w:p w14:paraId="387DFB5E">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0.829</w:t>
                  </w:r>
                </w:p>
              </w:tc>
              <w:tc>
                <w:tcPr>
                  <w:tcW w:w="689" w:type="pct"/>
                  <w:shd w:val="clear" w:color="auto" w:fill="auto"/>
                  <w:vAlign w:val="center"/>
                </w:tcPr>
                <w:p w14:paraId="227C90CD">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0.099</w:t>
                  </w:r>
                </w:p>
              </w:tc>
              <w:tc>
                <w:tcPr>
                  <w:tcW w:w="769" w:type="pct"/>
                  <w:shd w:val="clear" w:color="auto" w:fill="auto"/>
                  <w:vAlign w:val="center"/>
                </w:tcPr>
                <w:p w14:paraId="33B3BBF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0.099</w:t>
                  </w:r>
                </w:p>
              </w:tc>
              <w:tc>
                <w:tcPr>
                  <w:tcW w:w="736" w:type="pct"/>
                  <w:vAlign w:val="center"/>
                </w:tcPr>
                <w:p w14:paraId="446623A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3008509A">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0.099</w:t>
                  </w:r>
                </w:p>
              </w:tc>
            </w:tr>
            <w:tr w14:paraId="7D1810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05" w:type="pct"/>
                  <w:vMerge w:val="continue"/>
                  <w:vAlign w:val="center"/>
                </w:tcPr>
                <w:p w14:paraId="504361C7">
                  <w:pPr>
                    <w:jc w:val="center"/>
                    <w:rPr>
                      <w:rFonts w:hint="default" w:ascii="Times New Roman" w:hAnsi="Times New Roman" w:eastAsia="宋体" w:cs="Times New Roman"/>
                      <w:color w:val="auto"/>
                      <w:kern w:val="0"/>
                      <w:sz w:val="21"/>
                      <w:szCs w:val="21"/>
                    </w:rPr>
                  </w:pPr>
                </w:p>
              </w:tc>
              <w:tc>
                <w:tcPr>
                  <w:tcW w:w="320" w:type="pct"/>
                  <w:vMerge w:val="restart"/>
                  <w:vAlign w:val="center"/>
                </w:tcPr>
                <w:p w14:paraId="0EAFF56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w:t>
                  </w:r>
                </w:p>
              </w:tc>
              <w:tc>
                <w:tcPr>
                  <w:tcW w:w="697" w:type="pct"/>
                  <w:shd w:val="clear" w:color="auto" w:fill="auto"/>
                  <w:vAlign w:val="center"/>
                </w:tcPr>
                <w:p w14:paraId="461F8760">
                  <w:pPr>
                    <w:adjustRightInd w:val="0"/>
                    <w:snapToGrid w:val="0"/>
                    <w:spacing w:line="276" w:lineRule="auto"/>
                    <w:ind w:left="-105" w:leftChars="-50" w:right="-105" w:rightChars="-5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bCs/>
                      <w:color w:val="auto"/>
                      <w:sz w:val="21"/>
                      <w:szCs w:val="21"/>
                      <w:lang w:val="en-US" w:eastAsia="zh-CN"/>
                    </w:rPr>
                    <w:t>（含锡及其化合物）</w:t>
                  </w:r>
                </w:p>
              </w:tc>
              <w:tc>
                <w:tcPr>
                  <w:tcW w:w="694" w:type="pct"/>
                  <w:shd w:val="clear" w:color="auto" w:fill="auto"/>
                  <w:vAlign w:val="center"/>
                </w:tcPr>
                <w:p w14:paraId="0FE07919">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w:t>
                  </w:r>
                </w:p>
              </w:tc>
              <w:tc>
                <w:tcPr>
                  <w:tcW w:w="689" w:type="pct"/>
                  <w:shd w:val="clear" w:color="auto" w:fill="auto"/>
                  <w:vAlign w:val="center"/>
                </w:tcPr>
                <w:p w14:paraId="300995E1">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w:t>
                  </w:r>
                </w:p>
              </w:tc>
              <w:tc>
                <w:tcPr>
                  <w:tcW w:w="769" w:type="pct"/>
                  <w:shd w:val="clear" w:color="auto" w:fill="auto"/>
                  <w:vAlign w:val="center"/>
                </w:tcPr>
                <w:p w14:paraId="7867636E">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w:t>
                  </w:r>
                </w:p>
              </w:tc>
              <w:tc>
                <w:tcPr>
                  <w:tcW w:w="736" w:type="pct"/>
                  <w:vAlign w:val="center"/>
                </w:tcPr>
                <w:p w14:paraId="7D5DB84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5D50BAF1">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w:t>
                  </w:r>
                </w:p>
              </w:tc>
            </w:tr>
            <w:tr w14:paraId="571EBA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05" w:type="pct"/>
                  <w:vMerge w:val="continue"/>
                  <w:vAlign w:val="center"/>
                </w:tcPr>
                <w:p w14:paraId="2471A54D">
                  <w:pPr>
                    <w:jc w:val="center"/>
                    <w:rPr>
                      <w:rFonts w:hint="default" w:ascii="Times New Roman" w:hAnsi="Times New Roman" w:eastAsia="宋体" w:cs="Times New Roman"/>
                      <w:color w:val="auto"/>
                      <w:kern w:val="0"/>
                      <w:sz w:val="21"/>
                      <w:szCs w:val="21"/>
                    </w:rPr>
                  </w:pPr>
                </w:p>
              </w:tc>
              <w:tc>
                <w:tcPr>
                  <w:tcW w:w="320" w:type="pct"/>
                  <w:vMerge w:val="continue"/>
                  <w:vAlign w:val="center"/>
                </w:tcPr>
                <w:p w14:paraId="572123AB">
                  <w:pPr>
                    <w:jc w:val="center"/>
                    <w:rPr>
                      <w:rFonts w:hint="default" w:ascii="Times New Roman" w:hAnsi="Times New Roman" w:eastAsia="宋体" w:cs="Times New Roman"/>
                      <w:color w:val="auto"/>
                      <w:kern w:val="0"/>
                      <w:sz w:val="21"/>
                      <w:szCs w:val="21"/>
                    </w:rPr>
                  </w:pPr>
                </w:p>
              </w:tc>
              <w:tc>
                <w:tcPr>
                  <w:tcW w:w="697" w:type="pct"/>
                  <w:shd w:val="clear" w:color="auto" w:fill="auto"/>
                  <w:vAlign w:val="center"/>
                </w:tcPr>
                <w:p w14:paraId="05568EC9">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非甲烷总烃（含苯乙烯）</w:t>
                  </w:r>
                </w:p>
              </w:tc>
              <w:tc>
                <w:tcPr>
                  <w:tcW w:w="694" w:type="pct"/>
                  <w:shd w:val="clear" w:color="auto" w:fill="auto"/>
                  <w:vAlign w:val="center"/>
                </w:tcPr>
                <w:p w14:paraId="34B30B26">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0.097</w:t>
                  </w:r>
                </w:p>
              </w:tc>
              <w:tc>
                <w:tcPr>
                  <w:tcW w:w="689" w:type="pct"/>
                  <w:shd w:val="clear" w:color="auto" w:fill="auto"/>
                  <w:vAlign w:val="center"/>
                </w:tcPr>
                <w:p w14:paraId="349FB2B5">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0.097</w:t>
                  </w:r>
                </w:p>
              </w:tc>
              <w:tc>
                <w:tcPr>
                  <w:tcW w:w="769" w:type="pct"/>
                  <w:shd w:val="clear" w:color="auto" w:fill="auto"/>
                  <w:vAlign w:val="center"/>
                </w:tcPr>
                <w:p w14:paraId="54FACEDA">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0.097</w:t>
                  </w:r>
                </w:p>
              </w:tc>
              <w:tc>
                <w:tcPr>
                  <w:tcW w:w="736" w:type="pct"/>
                  <w:vAlign w:val="center"/>
                </w:tcPr>
                <w:p w14:paraId="17EAA69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53CCF2BF">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0.097</w:t>
                  </w:r>
                </w:p>
              </w:tc>
            </w:tr>
            <w:tr w14:paraId="5D0EB9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7D16585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697" w:type="pct"/>
                  <w:vAlign w:val="center"/>
                </w:tcPr>
                <w:p w14:paraId="58DB7A3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危险固废</w:t>
                  </w:r>
                </w:p>
              </w:tc>
              <w:tc>
                <w:tcPr>
                  <w:tcW w:w="694" w:type="pct"/>
                  <w:vAlign w:val="center"/>
                </w:tcPr>
                <w:p w14:paraId="05D22020">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13.226</w:t>
                  </w:r>
                </w:p>
              </w:tc>
              <w:tc>
                <w:tcPr>
                  <w:tcW w:w="689" w:type="pct"/>
                  <w:vAlign w:val="center"/>
                </w:tcPr>
                <w:p w14:paraId="2C319E3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2E3F1D27">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6F68FDA4">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57E7BD5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374401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0312C443">
                  <w:pPr>
                    <w:jc w:val="center"/>
                    <w:rPr>
                      <w:rFonts w:hint="default" w:ascii="Times New Roman" w:hAnsi="Times New Roman" w:eastAsia="宋体" w:cs="Times New Roman"/>
                      <w:color w:val="auto"/>
                      <w:kern w:val="0"/>
                      <w:sz w:val="21"/>
                      <w:szCs w:val="21"/>
                    </w:rPr>
                  </w:pPr>
                </w:p>
              </w:tc>
              <w:tc>
                <w:tcPr>
                  <w:tcW w:w="697" w:type="pct"/>
                  <w:vAlign w:val="center"/>
                </w:tcPr>
                <w:p w14:paraId="5DED7DF5">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694" w:type="pct"/>
                  <w:vAlign w:val="center"/>
                </w:tcPr>
                <w:p w14:paraId="5380AE2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66.3585</w:t>
                  </w:r>
                </w:p>
              </w:tc>
              <w:tc>
                <w:tcPr>
                  <w:tcW w:w="689" w:type="pct"/>
                  <w:vAlign w:val="center"/>
                </w:tcPr>
                <w:p w14:paraId="0CDB46B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75C5945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4AAD859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7B1AA30">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74DD1C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25188DBA">
                  <w:pPr>
                    <w:jc w:val="center"/>
                    <w:rPr>
                      <w:rFonts w:hint="default" w:ascii="Times New Roman" w:hAnsi="Times New Roman" w:eastAsia="宋体" w:cs="Times New Roman"/>
                      <w:color w:val="auto"/>
                      <w:kern w:val="0"/>
                      <w:sz w:val="21"/>
                      <w:szCs w:val="21"/>
                    </w:rPr>
                  </w:pPr>
                </w:p>
              </w:tc>
              <w:tc>
                <w:tcPr>
                  <w:tcW w:w="697" w:type="pct"/>
                  <w:vAlign w:val="center"/>
                </w:tcPr>
                <w:p w14:paraId="3AD1578A">
                  <w:pPr>
                    <w:ind w:left="-105" w:leftChars="-50" w:right="-105" w:rightChars="-5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694" w:type="pct"/>
                  <w:vAlign w:val="center"/>
                </w:tcPr>
                <w:p w14:paraId="055BF703">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w:t>
                  </w:r>
                </w:p>
              </w:tc>
              <w:tc>
                <w:tcPr>
                  <w:tcW w:w="689" w:type="pct"/>
                  <w:vAlign w:val="center"/>
                </w:tcPr>
                <w:p w14:paraId="12D7793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087C23D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35D4520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67E6E7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bl>
          <w:p w14:paraId="54445DF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、总量平衡方案</w:t>
            </w:r>
          </w:p>
          <w:p w14:paraId="2A42EEB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（1）大气污染物</w:t>
            </w:r>
          </w:p>
          <w:p w14:paraId="785DB48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气：根据《常州市建设项目主要污染物排放总量指标审核及管理实施细则》（常政办发(2015）104号)规定：“新、改、扩建排放烟粉尘、挥发性有机物的项目，实行现役源2倍削减量替代或关闭类项目1.5倍削减量替代”。</w:t>
            </w:r>
          </w:p>
          <w:p w14:paraId="5951919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大气污染物排放总量控制指标为：非甲烷总烃（含苯乙烯）：</w:t>
            </w:r>
            <w:r>
              <w:rPr>
                <w:rFonts w:hint="eastAsia" w:ascii="Times New Roman" w:hAnsi="Times New Roman" w:eastAsia="宋体" w:cs="Times New Roman"/>
                <w:color w:val="auto"/>
                <w:sz w:val="24"/>
                <w:lang w:val="en-US" w:eastAsia="zh-CN"/>
              </w:rPr>
              <w:t>0.196</w:t>
            </w:r>
            <w:r>
              <w:rPr>
                <w:rFonts w:hint="default" w:ascii="Times New Roman" w:hAnsi="Times New Roman" w:eastAsia="宋体" w:cs="Times New Roman"/>
                <w:color w:val="auto"/>
                <w:sz w:val="24"/>
                <w:lang w:val="en-US" w:eastAsia="zh-CN"/>
              </w:rPr>
              <w:t>t/a（其中，有组织排放</w:t>
            </w:r>
            <w:r>
              <w:rPr>
                <w:rFonts w:hint="eastAsia" w:ascii="Times New Roman" w:hAnsi="Times New Roman" w:eastAsia="宋体" w:cs="Times New Roman"/>
                <w:color w:val="auto"/>
                <w:sz w:val="24"/>
                <w:lang w:val="en-US" w:eastAsia="zh-CN"/>
              </w:rPr>
              <w:t>0.099</w:t>
            </w:r>
            <w:r>
              <w:rPr>
                <w:rFonts w:hint="default" w:ascii="Times New Roman" w:hAnsi="Times New Roman" w:eastAsia="宋体" w:cs="Times New Roman"/>
                <w:color w:val="auto"/>
                <w:sz w:val="24"/>
                <w:lang w:val="en-US" w:eastAsia="zh-CN"/>
              </w:rPr>
              <w:t>t/a、无组织排放</w:t>
            </w:r>
            <w:r>
              <w:rPr>
                <w:rFonts w:hint="eastAsia" w:ascii="Times New Roman" w:hAnsi="Times New Roman" w:eastAsia="宋体" w:cs="Times New Roman"/>
                <w:color w:val="auto"/>
                <w:sz w:val="24"/>
                <w:lang w:val="en-US" w:eastAsia="zh-CN"/>
              </w:rPr>
              <w:t>0.097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、颗粒物（含锡及其化合物）0.0459</w:t>
            </w:r>
            <w:r>
              <w:rPr>
                <w:rFonts w:hint="default" w:ascii="Times New Roman" w:hAnsi="Times New Roman" w:eastAsia="宋体" w:cs="Times New Roman"/>
                <w:color w:val="auto"/>
                <w:sz w:val="24"/>
                <w:lang w:val="en-US" w:eastAsia="zh-CN"/>
              </w:rPr>
              <w:t>t/a（其中，有组织排放</w:t>
            </w:r>
            <w:r>
              <w:rPr>
                <w:rFonts w:hint="eastAsia" w:ascii="Times New Roman" w:hAnsi="Times New Roman" w:eastAsia="宋体" w:cs="Times New Roman"/>
                <w:color w:val="auto"/>
                <w:sz w:val="24"/>
                <w:lang w:val="en-US" w:eastAsia="zh-CN"/>
              </w:rPr>
              <w:t>0.0219</w:t>
            </w:r>
            <w:r>
              <w:rPr>
                <w:rFonts w:hint="default" w:ascii="Times New Roman" w:hAnsi="Times New Roman" w:eastAsia="宋体" w:cs="Times New Roman"/>
                <w:color w:val="auto"/>
                <w:sz w:val="24"/>
                <w:lang w:val="en-US" w:eastAsia="zh-CN"/>
              </w:rPr>
              <w:t>t/a、无组织排放</w:t>
            </w:r>
            <w:r>
              <w:rPr>
                <w:rFonts w:hint="eastAsia" w:ascii="Times New Roman" w:hAnsi="Times New Roman" w:eastAsia="宋体" w:cs="Times New Roman"/>
                <w:color w:val="auto"/>
                <w:sz w:val="24"/>
                <w:lang w:val="en-US" w:eastAsia="zh-CN"/>
              </w:rPr>
              <w:t>0.024</w:t>
            </w:r>
            <w:r>
              <w:rPr>
                <w:rFonts w:hint="default" w:ascii="Times New Roman" w:hAnsi="Times New Roman" w:eastAsia="宋体" w:cs="Times New Roman"/>
                <w:color w:val="auto"/>
                <w:sz w:val="24"/>
                <w:lang w:val="en-US" w:eastAsia="zh-CN"/>
              </w:rPr>
              <w:t>t/a），故本项目需申请总量为：非甲烷总烃（含苯乙烯）：</w:t>
            </w:r>
            <w:r>
              <w:rPr>
                <w:rFonts w:hint="eastAsia" w:ascii="Times New Roman" w:hAnsi="Times New Roman" w:eastAsia="宋体" w:cs="Times New Roman"/>
                <w:color w:val="auto"/>
                <w:sz w:val="24"/>
                <w:lang w:val="en-US" w:eastAsia="zh-CN"/>
              </w:rPr>
              <w:t>0.196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、颗粒物（含锡及其化合物）0.0459</w:t>
            </w:r>
            <w:r>
              <w:rPr>
                <w:rFonts w:hint="default" w:ascii="Times New Roman" w:hAnsi="Times New Roman" w:eastAsia="宋体" w:cs="Times New Roman"/>
                <w:color w:val="auto"/>
                <w:sz w:val="24"/>
                <w:lang w:val="en-US" w:eastAsia="zh-CN"/>
              </w:rPr>
              <w:t>t/a，拟在金坛区内进行平衡。</w:t>
            </w:r>
          </w:p>
          <w:p w14:paraId="2F796D7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（2）水污染物</w:t>
            </w:r>
          </w:p>
          <w:p w14:paraId="6E44731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color w:val="auto"/>
                <w:sz w:val="24"/>
                <w:lang w:val="en-US" w:eastAsia="zh-CN"/>
              </w:rPr>
              <w:t>常州市金坛区第二污水厂集中处理。项目建成后全厂废水排放总量为</w:t>
            </w:r>
            <w:r>
              <w:rPr>
                <w:rFonts w:hint="eastAsia" w:ascii="Times New Roman" w:hAnsi="Times New Roman" w:eastAsia="宋体" w:cs="Times New Roman"/>
                <w:color w:val="auto"/>
                <w:sz w:val="24"/>
                <w:lang w:val="en-US" w:eastAsia="zh-CN"/>
              </w:rPr>
              <w:t>1920</w:t>
            </w:r>
            <w:r>
              <w:rPr>
                <w:rFonts w:hint="default" w:ascii="Times New Roman" w:hAnsi="Times New Roman" w:eastAsia="宋体" w:cs="Times New Roman"/>
                <w:color w:val="auto"/>
                <w:sz w:val="24"/>
                <w:lang w:val="en-US" w:eastAsia="zh-CN"/>
              </w:rPr>
              <w:t>t/a，水污染物排放总量在常州市金坛区第二污水厂内平衡。</w:t>
            </w:r>
          </w:p>
          <w:p w14:paraId="33B5A2F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（3）固体废弃物</w:t>
            </w:r>
          </w:p>
          <w:p w14:paraId="601C8AD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本项目固体废弃物全部“零”排放，不会产生二次污染，故不申请总量。</w:t>
            </w:r>
          </w:p>
        </w:tc>
      </w:tr>
    </w:tbl>
    <w:p w14:paraId="512C30B5">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5D31DA9">
      <w:pPr>
        <w:pStyle w:val="4"/>
        <w:numPr>
          <w:ilvl w:val="0"/>
          <w:numId w:val="8"/>
        </w:numPr>
        <w:ind w:left="420" w:leftChars="0" w:firstLineChars="0"/>
        <w:rPr>
          <w:rFonts w:hint="default" w:ascii="Times New Roman" w:hAnsi="Times New Roman" w:cs="Times New Roman"/>
          <w:color w:val="auto"/>
        </w:rPr>
      </w:pPr>
      <w:r>
        <w:rPr>
          <w:rFonts w:hint="default" w:ascii="Times New Roman" w:hAnsi="Times New Roman" w:cs="Times New Roman"/>
          <w:color w:val="auto"/>
        </w:rPr>
        <w:t>主要环境影响和保护措施</w:t>
      </w:r>
    </w:p>
    <w:tbl>
      <w:tblPr>
        <w:tblStyle w:val="26"/>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577"/>
      </w:tblGrid>
      <w:tr w14:paraId="1F04F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29" w:type="dxa"/>
            <w:noWrap w:val="0"/>
            <w:tcMar>
              <w:left w:w="28" w:type="dxa"/>
              <w:right w:w="28" w:type="dxa"/>
            </w:tcMar>
            <w:vAlign w:val="center"/>
          </w:tcPr>
          <w:p w14:paraId="32630439">
            <w:pPr>
              <w:pStyle w:val="22"/>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施工期环境保护措施</w:t>
            </w:r>
          </w:p>
        </w:tc>
        <w:tc>
          <w:tcPr>
            <w:tcW w:w="8577" w:type="dxa"/>
            <w:noWrap w:val="0"/>
            <w:vAlign w:val="center"/>
          </w:tcPr>
          <w:p w14:paraId="3A2AE5E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施工期环境影响简要分析：</w:t>
            </w:r>
          </w:p>
          <w:p w14:paraId="0A217FAA">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司达磁电科技（常州）有限公司</w:t>
            </w:r>
            <w:r>
              <w:rPr>
                <w:rFonts w:hint="default" w:ascii="Times New Roman" w:hAnsi="Times New Roman" w:eastAsia="宋体" w:cs="Times New Roman"/>
                <w:color w:val="auto"/>
                <w:sz w:val="24"/>
              </w:rPr>
              <w:t>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租赁常州尼莫海洋科技有限公司位于常州市金坛区华丰路6号的现有空置厂房</w:t>
            </w:r>
            <w:r>
              <w:rPr>
                <w:rFonts w:hint="default" w:ascii="Times New Roman" w:hAnsi="Times New Roman" w:eastAsia="宋体" w:cs="Times New Roman"/>
                <w:color w:val="auto"/>
                <w:sz w:val="24"/>
              </w:rPr>
              <w:t>，本项目在该车间内进行生产，施工期主要是在现有的生产车间内进行设备的安装和调试，不涉及厂房施工建设，所以无施工粉尘、噪声以及建筑垃圾产生。本项目施工期主要是运输设备的汽车进出产生少量的汽车尾气，不予考虑；管道敷设和设备安装产生的噪声，由于这些施工是在现有的生产车间内进行的，经过厂房的隔声后不会对附近产生噪声影响。</w:t>
            </w:r>
          </w:p>
          <w:p w14:paraId="011749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所以本项目的施工期过程简单，对周边环境影响较小。</w:t>
            </w:r>
          </w:p>
          <w:p w14:paraId="30193B4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以下就噪声及固废对环境的影响加以分析，并提出相应的防治措施。</w:t>
            </w:r>
          </w:p>
          <w:p w14:paraId="103015E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（1）施工期噪声影响分析及防治</w:t>
            </w:r>
          </w:p>
          <w:p w14:paraId="036AE36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由于安装设备一般于白天作业，应加强对设备安装的管理和操作人员的环境意识教育，严格控制设备运输及安装过程中噪声，降低对周围环境的噪声影响。</w:t>
            </w:r>
          </w:p>
          <w:p w14:paraId="3BCC35F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（2）施工期固废影响分析及防治对策</w:t>
            </w:r>
          </w:p>
          <w:p w14:paraId="12DC0F13">
            <w:pPr>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eastAsia="宋体" w:cs="Times New Roman"/>
                <w:color w:val="auto"/>
                <w:sz w:val="24"/>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62550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3" w:hRule="atLeast"/>
          <w:jc w:val="center"/>
        </w:trPr>
        <w:tc>
          <w:tcPr>
            <w:tcW w:w="629" w:type="dxa"/>
            <w:noWrap w:val="0"/>
            <w:tcMar>
              <w:left w:w="28" w:type="dxa"/>
              <w:right w:w="28" w:type="dxa"/>
            </w:tcMar>
            <w:vAlign w:val="center"/>
          </w:tcPr>
          <w:p w14:paraId="71AF62B5">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
                <w:bCs w:val="0"/>
                <w:color w:val="auto"/>
                <w:sz w:val="24"/>
              </w:rPr>
              <w:t>运营期环境影响和保护措施</w:t>
            </w:r>
          </w:p>
        </w:tc>
        <w:tc>
          <w:tcPr>
            <w:tcW w:w="8577" w:type="dxa"/>
            <w:noWrap w:val="0"/>
            <w:vAlign w:val="center"/>
          </w:tcPr>
          <w:p w14:paraId="2C533006">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一、废气</w:t>
            </w:r>
          </w:p>
          <w:p w14:paraId="4959CE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大气污染物产生情况</w:t>
            </w:r>
          </w:p>
          <w:p w14:paraId="694F4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本项目废气主要为</w:t>
            </w:r>
            <w:r>
              <w:rPr>
                <w:rFonts w:hint="eastAsia" w:ascii="Times New Roman" w:hAnsi="Times New Roman" w:eastAsia="宋体" w:cs="Times New Roman"/>
                <w:color w:val="auto"/>
                <w:sz w:val="24"/>
                <w:szCs w:val="24"/>
                <w:lang w:val="en-US" w:eastAsia="zh-CN"/>
              </w:rPr>
              <w:t>配线组装工序产生的焊棒焊接</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和焊锡膏挥发废气</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成型封装工序产生的封装废气，清洗烘干工序产生的有机废气，</w:t>
            </w:r>
            <w:r>
              <w:rPr>
                <w:rFonts w:hint="default" w:ascii="Times New Roman" w:hAnsi="Times New Roman" w:eastAsia="宋体" w:cs="Times New Roman"/>
                <w:color w:val="auto"/>
                <w:spacing w:val="-5"/>
                <w:sz w:val="24"/>
                <w:szCs w:val="24"/>
              </w:rPr>
              <w:t>等离子焊接</w:t>
            </w:r>
            <w:r>
              <w:rPr>
                <w:rFonts w:hint="eastAsia" w:ascii="Times New Roman" w:hAnsi="Times New Roman" w:eastAsia="宋体" w:cs="Times New Roman"/>
                <w:color w:val="auto"/>
                <w:sz w:val="24"/>
                <w:szCs w:val="24"/>
                <w:lang w:val="en-US" w:eastAsia="zh-CN"/>
              </w:rPr>
              <w:t>工序产生的焊接烟尘，电烙铁焊接工序产生的焊接烟尘</w:t>
            </w:r>
            <w:r>
              <w:rPr>
                <w:rFonts w:hint="default" w:ascii="Times New Roman" w:hAnsi="Times New Roman" w:eastAsia="宋体" w:cs="Times New Roman"/>
                <w:color w:val="auto"/>
                <w:sz w:val="24"/>
                <w:szCs w:val="24"/>
                <w:lang w:val="en-US" w:eastAsia="zh-CN"/>
              </w:rPr>
              <w:t>。</w:t>
            </w:r>
          </w:p>
          <w:p w14:paraId="10B94E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有组织废气</w:t>
            </w:r>
          </w:p>
          <w:p w14:paraId="1F2BE0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①成型封装工序产生的封装废气</w:t>
            </w:r>
          </w:p>
          <w:p w14:paraId="5EA31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本项目封装工序使用BMC（不饱和聚酯树脂成型材料），类比“司达磁电科技（常州）有限公司位于常州市金坛河山环路38号厂区现有新建生产电磁阀及配件产品项目例行检测报告（报告编号：LT23223），成型封装工序有机废气排放速率为0.121kg/h，项目BMC用量为90t/a，工作时间为7200h；有机废气产生量约占原料用量的1%”；本项目BMC用量为90t/a，则封装废气</w:t>
            </w:r>
            <w:r>
              <w:rPr>
                <w:rFonts w:hint="default" w:ascii="Times New Roman" w:hAnsi="Times New Roman" w:eastAsia="宋体" w:cs="Times New Roman"/>
                <w:b w:val="0"/>
                <w:bCs w:val="0"/>
                <w:color w:val="auto"/>
                <w:sz w:val="24"/>
                <w:szCs w:val="24"/>
                <w:lang w:val="en-US" w:eastAsia="zh-CN"/>
              </w:rPr>
              <w:t>产生量共</w:t>
            </w:r>
            <w:r>
              <w:rPr>
                <w:rFonts w:hint="eastAsia" w:ascii="Times New Roman" w:hAnsi="Times New Roman" w:eastAsia="宋体" w:cs="Times New Roman"/>
                <w:b w:val="0"/>
                <w:bCs w:val="0"/>
                <w:color w:val="auto"/>
                <w:sz w:val="24"/>
                <w:szCs w:val="24"/>
                <w:lang w:val="en-US" w:eastAsia="zh-CN"/>
              </w:rPr>
              <w:t>约</w:t>
            </w:r>
            <w:r>
              <w:rPr>
                <w:rFonts w:hint="default" w:ascii="Times New Roman" w:hAnsi="Times New Roman" w:eastAsia="宋体" w:cs="Times New Roman"/>
                <w:b w:val="0"/>
                <w:bCs w:val="0"/>
                <w:color w:val="auto"/>
                <w:sz w:val="24"/>
                <w:szCs w:val="24"/>
                <w:lang w:val="en-US" w:eastAsia="zh-CN"/>
              </w:rPr>
              <w:t>为</w:t>
            </w:r>
            <w:r>
              <w:rPr>
                <w:rFonts w:hint="eastAsia" w:ascii="Times New Roman" w:hAnsi="Times New Roman" w:eastAsia="宋体" w:cs="Times New Roman"/>
                <w:b w:val="0"/>
                <w:bCs w:val="0"/>
                <w:color w:val="auto"/>
                <w:sz w:val="24"/>
                <w:szCs w:val="24"/>
                <w:lang w:val="en-US" w:eastAsia="zh-CN"/>
              </w:rPr>
              <w:t>0.9</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根据BMC的成分报告，苯乙烯占比约为1-5%（本次按最大5%计），则封装工序苯乙烯产生量为0.045t/a，非甲烷总烃产生量为0.855t/a，经集气罩收集，废气捕集率以90%计，则有组织苯乙烯产生量约为0.041t/a，有组织非甲烷总烃产生量为0.77t/a。</w:t>
            </w:r>
          </w:p>
          <w:p w14:paraId="5EEBCD13">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②</w:t>
            </w:r>
            <w:r>
              <w:rPr>
                <w:rFonts w:hint="eastAsia" w:ascii="Times New Roman" w:hAnsi="Times New Roman" w:eastAsia="宋体" w:cs="Times New Roman"/>
                <w:b/>
                <w:bCs/>
                <w:color w:val="auto"/>
                <w:sz w:val="24"/>
                <w:szCs w:val="24"/>
                <w:lang w:val="en-US" w:eastAsia="zh-CN"/>
              </w:rPr>
              <w:t>焊接废气</w:t>
            </w:r>
          </w:p>
          <w:p w14:paraId="3AAD3436">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配线组装工序废气</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电磁线圈生产过程中，配线组装工序需要进行焊接，同时该过程使用焊锡膏</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该过程产生焊接废气（主要成分为锡及其化合物）和焊锡膏挥发废气。</w:t>
            </w:r>
          </w:p>
          <w:p w14:paraId="2AC7BB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焊接废气中锡及其化合物产污系数参考考《焊接技术手册》（河南科技技术出版社，2000出版王文瀚主编），回流焊废气中锡及其化合物的产生量为0.01kg/kg锡膏，</w:t>
            </w:r>
            <w:r>
              <w:rPr>
                <w:rFonts w:hint="default" w:ascii="Times New Roman" w:hAnsi="Times New Roman" w:eastAsia="宋体" w:cs="Times New Roman"/>
                <w:color w:val="auto"/>
                <w:sz w:val="24"/>
                <w:szCs w:val="24"/>
                <w:lang w:val="en-US" w:eastAsia="zh-CN"/>
              </w:rPr>
              <w:t>配线组装工序</w:t>
            </w:r>
            <w:r>
              <w:rPr>
                <w:rFonts w:hint="eastAsia" w:ascii="Times New Roman" w:hAnsi="Times New Roman" w:eastAsia="宋体" w:cs="Times New Roman"/>
                <w:color w:val="auto"/>
                <w:sz w:val="24"/>
                <w:szCs w:val="24"/>
                <w:lang w:val="en-US" w:eastAsia="zh-CN"/>
              </w:rPr>
              <w:t>焊棒用量为1t/a，</w:t>
            </w:r>
            <w:r>
              <w:rPr>
                <w:rFonts w:hint="default"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sz w:val="24"/>
                <w:szCs w:val="24"/>
                <w:lang w:val="en-US" w:eastAsia="zh-CN"/>
              </w:rPr>
              <w:t>锡及其化合物</w:t>
            </w:r>
            <w:r>
              <w:rPr>
                <w:rFonts w:hint="default" w:ascii="Times New Roman" w:hAnsi="Times New Roman" w:eastAsia="宋体" w:cs="Times New Roman"/>
                <w:color w:val="auto"/>
                <w:sz w:val="24"/>
                <w:szCs w:val="24"/>
                <w:lang w:val="en-US" w:eastAsia="zh-CN"/>
              </w:rPr>
              <w:t>的产生量约为</w:t>
            </w:r>
            <w:r>
              <w:rPr>
                <w:rFonts w:hint="eastAsia" w:ascii="Times New Roman" w:hAnsi="Times New Roman" w:eastAsia="宋体" w:cs="Times New Roman"/>
                <w:color w:val="auto"/>
                <w:sz w:val="24"/>
                <w:szCs w:val="24"/>
                <w:lang w:val="en-US" w:eastAsia="zh-CN"/>
              </w:rPr>
              <w:t>0.01</w:t>
            </w:r>
            <w:r>
              <w:rPr>
                <w:rFonts w:hint="default" w:ascii="Times New Roman" w:hAnsi="Times New Roman" w:eastAsia="宋体" w:cs="Times New Roman"/>
                <w:color w:val="auto"/>
                <w:sz w:val="24"/>
                <w:szCs w:val="24"/>
                <w:lang w:val="en-US" w:eastAsia="zh-CN"/>
              </w:rPr>
              <w:t>t/a</w:t>
            </w:r>
          </w:p>
          <w:p w14:paraId="702637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焊锡膏使用过程为高温过程，本次按焊锡膏全挥发计，则</w:t>
            </w:r>
            <w:r>
              <w:rPr>
                <w:rFonts w:hint="eastAsia" w:ascii="Times New Roman" w:hAnsi="Times New Roman" w:eastAsia="宋体" w:cs="Times New Roman"/>
                <w:color w:val="auto"/>
                <w:sz w:val="24"/>
                <w:szCs w:val="24"/>
                <w:lang w:val="en-US" w:eastAsia="zh-CN"/>
              </w:rPr>
              <w:t>焊锡膏挥发废气（以非甲烷总烃计）</w:t>
            </w:r>
            <w:r>
              <w:rPr>
                <w:rFonts w:hint="default" w:ascii="Times New Roman" w:hAnsi="Times New Roman" w:eastAsia="宋体" w:cs="Times New Roman"/>
                <w:color w:val="auto"/>
                <w:sz w:val="24"/>
                <w:szCs w:val="24"/>
                <w:lang w:val="en-US" w:eastAsia="zh-CN"/>
              </w:rPr>
              <w:t>的产生量约为</w:t>
            </w:r>
            <w:r>
              <w:rPr>
                <w:rFonts w:hint="eastAsia" w:ascii="Times New Roman" w:hAnsi="Times New Roman" w:eastAsia="宋体" w:cs="Times New Roman"/>
                <w:color w:val="auto"/>
                <w:sz w:val="24"/>
                <w:szCs w:val="24"/>
                <w:lang w:val="en-US" w:eastAsia="zh-CN"/>
              </w:rPr>
              <w:t>0.02</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kern w:val="0"/>
                <w:sz w:val="24"/>
                <w:szCs w:val="24"/>
                <w:lang w:eastAsia="zh-CN" w:bidi="ar"/>
              </w:rPr>
              <w:t>。</w:t>
            </w:r>
          </w:p>
          <w:p w14:paraId="2BA6E3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等离子焊接</w:t>
            </w:r>
            <w:r>
              <w:rPr>
                <w:rFonts w:hint="eastAsia" w:ascii="Times New Roman" w:hAnsi="Times New Roman" w:eastAsia="宋体" w:cs="Times New Roman"/>
                <w:color w:val="auto"/>
                <w:sz w:val="24"/>
                <w:szCs w:val="24"/>
                <w:lang w:val="en-US" w:eastAsia="zh-CN"/>
              </w:rPr>
              <w:t>：根据等离子焊接的原理，气体（氩气）通过高频电弧被电离成等离子体，然后电弧加热工件表面，使其熔化。熔化的金属在两个工件表面压在一起后冷却凝固，从而实现焊接。根据等离子焊接原料，该过程产生的颗粒物参考《排放源统计调查产排污核算方法和系数手册》中“33-37，41-434机械行业系数手册-01铸造-熔炼产污系数表”，颗粒物产污系数为0.479kg/t产品，电磁铁芯产能约为200t/a，则等离子焊接工序颗粒物产生量为0.096</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p>
          <w:p w14:paraId="06CE53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电烙铁焊接废气</w:t>
            </w:r>
            <w:r>
              <w:rPr>
                <w:rFonts w:hint="eastAsia" w:ascii="Times New Roman" w:hAnsi="Times New Roman" w:eastAsia="宋体" w:cs="Times New Roman"/>
                <w:color w:val="auto"/>
                <w:sz w:val="24"/>
                <w:szCs w:val="24"/>
                <w:lang w:val="en-US" w:eastAsia="zh-CN"/>
              </w:rPr>
              <w:t>：本项目端子箱生产过程中使用电烙铁焊接，该过程使用实芯焊丝进行焊接，根据</w:t>
            </w:r>
            <w:r>
              <w:rPr>
                <w:rFonts w:hint="default" w:ascii="Times New Roman" w:hAnsi="Times New Roman" w:eastAsia="宋体" w:cs="Times New Roman"/>
                <w:color w:val="auto"/>
                <w:sz w:val="24"/>
                <w:szCs w:val="24"/>
                <w:lang w:val="en-US" w:eastAsia="zh-CN"/>
              </w:rPr>
              <w:t>《排放源统计调查产排污核算方法和系数手册-33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w:t>
            </w:r>
            <w:r>
              <w:rPr>
                <w:rFonts w:hint="eastAsia" w:ascii="Times New Roman" w:hAnsi="Times New Roman" w:eastAsia="宋体" w:cs="Times New Roman"/>
                <w:color w:val="auto"/>
                <w:sz w:val="24"/>
                <w:szCs w:val="24"/>
                <w:lang w:val="en-US" w:eastAsia="zh-CN"/>
              </w:rPr>
              <w:t>实芯焊丝焊接过程颗粒物产物系数为9.19kg/t-原料，根据建设单位提供资料，实芯焊丝用量为15t/a，</w:t>
            </w:r>
            <w:r>
              <w:rPr>
                <w:rFonts w:hint="default"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的产生量约为</w:t>
            </w:r>
            <w:r>
              <w:rPr>
                <w:rFonts w:hint="eastAsia" w:ascii="Times New Roman" w:hAnsi="Times New Roman" w:eastAsia="宋体" w:cs="Times New Roman"/>
                <w:color w:val="auto"/>
                <w:sz w:val="24"/>
                <w:szCs w:val="24"/>
                <w:lang w:val="en-US" w:eastAsia="zh-CN"/>
              </w:rPr>
              <w:t>0.138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kern w:val="0"/>
                <w:sz w:val="24"/>
                <w:szCs w:val="24"/>
                <w:lang w:eastAsia="zh-CN" w:bidi="ar"/>
              </w:rPr>
              <w:t>。</w:t>
            </w:r>
          </w:p>
          <w:p w14:paraId="7FADA3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综上，焊接工序颗粒物产生量约为0.234</w:t>
            </w:r>
            <w:r>
              <w:rPr>
                <w:rFonts w:hint="eastAsia"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b w:val="0"/>
                <w:bCs w:val="0"/>
                <w:color w:val="auto"/>
                <w:sz w:val="24"/>
                <w:szCs w:val="24"/>
                <w:lang w:val="en-US" w:eastAsia="zh-CN"/>
              </w:rPr>
              <w:t>，锡及其化合物产生量约为0.01</w:t>
            </w:r>
            <w:r>
              <w:rPr>
                <w:rFonts w:hint="eastAsia"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b w:val="0"/>
                <w:bCs w:val="0"/>
                <w:color w:val="auto"/>
                <w:sz w:val="24"/>
                <w:szCs w:val="24"/>
                <w:lang w:val="en-US" w:eastAsia="zh-CN"/>
              </w:rPr>
              <w:t>，非甲烷总烃产生量为0.02</w:t>
            </w:r>
            <w:r>
              <w:rPr>
                <w:rFonts w:hint="eastAsia"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b w:val="0"/>
                <w:bCs w:val="0"/>
                <w:color w:val="auto"/>
                <w:sz w:val="24"/>
                <w:szCs w:val="24"/>
                <w:lang w:val="en-US" w:eastAsia="zh-CN"/>
              </w:rPr>
              <w:t>经集气罩收集，废气捕集率以90%计，则有组织颗粒物产生量约为0.211t/a，有组织锡及其化合物产生量约为0.009t/a，有组织非甲烷总烃产生量为0.018t/a；焊接工作时间为2400h/a。</w:t>
            </w:r>
          </w:p>
          <w:p w14:paraId="692A15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③乳化过程废气</w:t>
            </w:r>
          </w:p>
          <w:p w14:paraId="7DB9A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乳化液主要起到冷却、润滑、排屑和防锈的作用，乳化液的使用可有效减少加工过程中刀具与工件的摩擦，降低机加工的温度，对提高加工效率和加工质量有显著作用。乳化液在加工过程与高速旋转的刀具或工件激烈撞击和高温蒸发从而形成一种气溶胶物质，形成方式主要有两种：雾化和蒸发。雾化是机械能转化为液滴表面能的过程，主要是由于液体对机床系统内的固定及旋转单元的激烈撞击，被其打碎，形成细小液滴漂浮在工作环境中；蒸发的产生是由于切削区产生的热量传入切削液，使它的温度明显高于饱和温度，在固一液接触面上就发生沸腾并产生蒸汽这些蒸汽以空气中的小液滴为核心凝结，形成“油雾”，油雾成分较为复杂(含有烃类、脂肪酸类、醇、酯、内酯等)，本项目油雾污染物以非甲烷总烃来表征。本项目乳化液用量为0.2t/a，用量较少，油雾产生量较少，本次不进行定量分析。</w:t>
            </w:r>
          </w:p>
          <w:p w14:paraId="488F46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szCs w:val="24"/>
                <w:lang w:val="en-US" w:eastAsia="zh-CN"/>
              </w:rPr>
              <w:t>④</w:t>
            </w:r>
            <w:r>
              <w:rPr>
                <w:rFonts w:hint="default" w:ascii="Times New Roman" w:hAnsi="Times New Roman" w:eastAsia="宋体" w:cs="Times New Roman"/>
                <w:b/>
                <w:bCs/>
                <w:color w:val="auto"/>
                <w:sz w:val="24"/>
                <w:szCs w:val="24"/>
                <w:lang w:val="en-US" w:eastAsia="zh-CN"/>
              </w:rPr>
              <w:t>危废暂存间</w:t>
            </w:r>
            <w:r>
              <w:rPr>
                <w:rFonts w:hint="default" w:ascii="Times New Roman" w:hAnsi="Times New Roman" w:eastAsia="宋体" w:cs="Times New Roman"/>
                <w:b/>
                <w:bCs/>
                <w:color w:val="auto"/>
                <w:sz w:val="24"/>
                <w:lang w:val="en-US" w:eastAsia="zh-CN"/>
              </w:rPr>
              <w:t>废气</w:t>
            </w:r>
          </w:p>
          <w:p w14:paraId="584494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lang w:val="en-US" w:eastAsia="zh-CN"/>
              </w:rPr>
              <w:t>本项目危废主要包括废</w:t>
            </w:r>
            <w:r>
              <w:rPr>
                <w:rFonts w:hint="eastAsia" w:ascii="Times New Roman" w:hAnsi="Times New Roman" w:eastAsia="宋体" w:cs="Times New Roman"/>
                <w:b w:val="0"/>
                <w:bCs w:val="0"/>
                <w:color w:val="auto"/>
                <w:sz w:val="24"/>
                <w:lang w:val="en-US" w:eastAsia="zh-CN"/>
              </w:rPr>
              <w:t>润滑油、废桶</w:t>
            </w:r>
            <w:r>
              <w:rPr>
                <w:rFonts w:hint="default" w:ascii="Times New Roman" w:hAnsi="Times New Roman" w:eastAsia="宋体" w:cs="Times New Roman"/>
                <w:b w:val="0"/>
                <w:bCs w:val="0"/>
                <w:color w:val="auto"/>
                <w:sz w:val="24"/>
                <w:lang w:val="en-US" w:eastAsia="zh-CN"/>
              </w:rPr>
              <w:t>等，贮存过程中会产生少量的有机废气，本项目拟采用密闭桶或吨袋收集存放危废，因此贮存过程中有机废气产生量极少，不定量分析。</w:t>
            </w:r>
          </w:p>
          <w:p w14:paraId="71D98492">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⑤激光打标废气</w:t>
            </w:r>
          </w:p>
          <w:p w14:paraId="2F35CB87">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本项目需使用激光打标设备在成品上打标，该过程产生颗粒物，产生量较少，本次不定量分析。</w:t>
            </w:r>
          </w:p>
          <w:p w14:paraId="491FF8A1">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⑥加工中心油雾废气</w:t>
            </w:r>
          </w:p>
          <w:p w14:paraId="74A0D746">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本项目加工中心使用乳化液过程会产生油雾废气，根据建设单位提供资料，乳化液用量为0.2t/a，用量较少，油雾产生量较少，本次不定量分析。</w:t>
            </w:r>
          </w:p>
          <w:p w14:paraId="1F75C547">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（2）无组织废气</w:t>
            </w:r>
          </w:p>
          <w:p w14:paraId="20E3E936">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szCs w:val="24"/>
                <w:lang w:val="en-US" w:eastAsia="zh-CN"/>
              </w:rPr>
              <w:t>①</w:t>
            </w:r>
            <w:r>
              <w:rPr>
                <w:rFonts w:hint="eastAsia" w:ascii="Times New Roman" w:hAnsi="Times New Roman" w:eastAsia="宋体" w:cs="Times New Roman"/>
                <w:b/>
                <w:bCs/>
                <w:color w:val="auto"/>
                <w:sz w:val="24"/>
                <w:lang w:val="en-US" w:eastAsia="zh-CN"/>
              </w:rPr>
              <w:t>未捕集的封装废气</w:t>
            </w:r>
          </w:p>
          <w:p w14:paraId="7ECBE5BF">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%未捕集的</w:t>
            </w:r>
            <w:r>
              <w:rPr>
                <w:rFonts w:hint="eastAsia" w:ascii="Times New Roman" w:hAnsi="Times New Roman" w:eastAsia="宋体" w:cs="Times New Roman"/>
                <w:b w:val="0"/>
                <w:bCs w:val="0"/>
                <w:color w:val="auto"/>
                <w:sz w:val="24"/>
                <w:lang w:val="en-US" w:eastAsia="zh-CN"/>
              </w:rPr>
              <w:t>封装废气</w:t>
            </w:r>
            <w:r>
              <w:rPr>
                <w:rFonts w:hint="eastAsia" w:ascii="Times New Roman" w:hAnsi="Times New Roman" w:eastAsia="宋体" w:cs="Times New Roman"/>
                <w:color w:val="auto"/>
                <w:sz w:val="24"/>
                <w:lang w:val="en-US" w:eastAsia="zh-CN"/>
              </w:rPr>
              <w:t>（苯乙烯0.004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、非甲烷总烃0.085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在车间以无组织形式排放。</w:t>
            </w:r>
          </w:p>
          <w:p w14:paraId="2D1A493E">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szCs w:val="24"/>
                <w:lang w:val="en-US" w:eastAsia="zh-CN"/>
              </w:rPr>
              <w:t>②</w:t>
            </w:r>
            <w:r>
              <w:rPr>
                <w:rFonts w:hint="eastAsia" w:ascii="Times New Roman" w:hAnsi="Times New Roman" w:eastAsia="宋体" w:cs="Times New Roman"/>
                <w:b/>
                <w:bCs/>
                <w:color w:val="auto"/>
                <w:sz w:val="24"/>
                <w:lang w:val="en-US" w:eastAsia="zh-CN"/>
              </w:rPr>
              <w:t>未捕集的焊接废气</w:t>
            </w:r>
          </w:p>
          <w:p w14:paraId="0EDB56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%未捕集的</w:t>
            </w:r>
            <w:r>
              <w:rPr>
                <w:rFonts w:hint="default" w:ascii="Times New Roman" w:hAnsi="Times New Roman" w:eastAsia="宋体" w:cs="Times New Roman"/>
                <w:color w:val="auto"/>
                <w:sz w:val="24"/>
                <w:szCs w:val="24"/>
                <w:lang w:val="en-US" w:eastAsia="zh-CN"/>
              </w:rPr>
              <w:t>焊接</w:t>
            </w:r>
            <w:r>
              <w:rPr>
                <w:rFonts w:hint="eastAsia" w:ascii="Times New Roman" w:hAnsi="Times New Roman" w:eastAsia="宋体" w:cs="Times New Roman"/>
                <w:b w:val="0"/>
                <w:bCs w:val="0"/>
                <w:color w:val="auto"/>
                <w:sz w:val="24"/>
                <w:lang w:val="en-US" w:eastAsia="zh-CN"/>
              </w:rPr>
              <w:t>废气</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val="0"/>
                <w:color w:val="auto"/>
                <w:sz w:val="24"/>
                <w:szCs w:val="24"/>
                <w:lang w:val="en-US" w:eastAsia="zh-CN"/>
              </w:rPr>
              <w:t>颗粒物0.023t/a，锡及其化合物0.001t/a，非甲烷总烃0.002t/a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在车间以无组织形式排放。</w:t>
            </w:r>
          </w:p>
          <w:p w14:paraId="1CA2DB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③清洗烘干工序产生的废气</w:t>
            </w:r>
          </w:p>
          <w:p w14:paraId="7DC73B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本项目电磁铁芯生产过程中使用清洗剂清洗、烘干，该过程中会产生一定量的有机废气；</w:t>
            </w:r>
            <w:r>
              <w:rPr>
                <w:rFonts w:hint="default" w:ascii="Times New Roman" w:hAnsi="Times New Roman" w:eastAsia="宋体" w:cs="Times New Roman"/>
                <w:b w:val="0"/>
                <w:bCs w:val="0"/>
                <w:color w:val="auto"/>
                <w:sz w:val="24"/>
                <w:szCs w:val="24"/>
                <w:lang w:val="en-US" w:eastAsia="zh-CN"/>
              </w:rPr>
              <w:t>根据VOCs平衡（图2-1），清洗、烘干工序有机废气</w:t>
            </w:r>
            <w:r>
              <w:rPr>
                <w:rFonts w:hint="eastAsia" w:ascii="Times New Roman" w:hAnsi="Times New Roman" w:eastAsia="宋体" w:cs="Times New Roman"/>
                <w:color w:val="auto"/>
                <w:sz w:val="24"/>
                <w:szCs w:val="24"/>
                <w:lang w:val="en-US" w:eastAsia="zh-CN"/>
              </w:rPr>
              <w:t>（以非甲烷总烃计）</w:t>
            </w:r>
            <w:r>
              <w:rPr>
                <w:rFonts w:hint="default" w:ascii="Times New Roman" w:hAnsi="Times New Roman" w:eastAsia="宋体" w:cs="Times New Roman"/>
                <w:b w:val="0"/>
                <w:bCs w:val="0"/>
                <w:color w:val="auto"/>
                <w:sz w:val="24"/>
                <w:szCs w:val="24"/>
                <w:lang w:val="en-US" w:eastAsia="zh-CN"/>
              </w:rPr>
              <w:t>产生量共计为</w:t>
            </w:r>
            <w:r>
              <w:rPr>
                <w:rFonts w:hint="eastAsia" w:ascii="Times New Roman" w:hAnsi="Times New Roman" w:eastAsia="宋体" w:cs="Times New Roman"/>
                <w:b w:val="0"/>
                <w:bCs w:val="0"/>
                <w:color w:val="auto"/>
                <w:sz w:val="24"/>
                <w:szCs w:val="24"/>
                <w:lang w:val="en-US" w:eastAsia="zh-CN"/>
              </w:rPr>
              <w:t>0.006</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产生量较少，</w:t>
            </w:r>
            <w:r>
              <w:rPr>
                <w:rFonts w:hint="eastAsia" w:ascii="Times New Roman" w:hAnsi="Times New Roman" w:eastAsia="宋体" w:cs="Times New Roman"/>
                <w:color w:val="auto"/>
                <w:kern w:val="0"/>
                <w:sz w:val="24"/>
                <w:szCs w:val="24"/>
                <w:lang w:eastAsia="zh-CN" w:bidi="ar"/>
              </w:rPr>
              <w:t>在车间以无组织形式排放。</w:t>
            </w:r>
          </w:p>
          <w:p w14:paraId="5D5C8740">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废气治理措施</w:t>
            </w:r>
          </w:p>
          <w:p w14:paraId="63E704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（1）有组织废气</w:t>
            </w:r>
          </w:p>
          <w:p w14:paraId="519E41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①废气收集及治理方案</w:t>
            </w:r>
          </w:p>
          <w:p w14:paraId="3F23A34F">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b/>
                <w:bCs/>
                <w:color w:val="auto"/>
                <w:kern w:val="0"/>
                <w:sz w:val="24"/>
                <w:lang w:val="en-US" w:eastAsia="zh-CN"/>
              </w:rPr>
              <w:t>封装工序：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在自动封装成型机</w:t>
            </w:r>
            <w:r>
              <w:rPr>
                <w:rFonts w:hint="eastAsia" w:ascii="Times New Roman" w:hAnsi="Times New Roman" w:eastAsia="宋体" w:cs="Times New Roman"/>
                <w:color w:val="auto"/>
                <w:sz w:val="24"/>
                <w:szCs w:val="24"/>
                <w:lang w:val="en-US" w:eastAsia="zh-CN" w:bidi="ar"/>
              </w:rPr>
              <w:t>排气点</w:t>
            </w:r>
            <w:r>
              <w:rPr>
                <w:rFonts w:hint="default" w:ascii="Times New Roman" w:hAnsi="Times New Roman" w:eastAsia="宋体" w:cs="Times New Roman"/>
                <w:color w:val="auto"/>
                <w:sz w:val="24"/>
                <w:szCs w:val="24"/>
                <w:lang w:val="en-US" w:eastAsia="zh-CN" w:bidi="ar"/>
              </w:rPr>
              <w:t>上方设置集气罩，将</w:t>
            </w:r>
            <w:r>
              <w:rPr>
                <w:rFonts w:hint="eastAsia" w:ascii="Times New Roman" w:hAnsi="Times New Roman" w:eastAsia="宋体" w:cs="Times New Roman"/>
                <w:color w:val="auto"/>
                <w:sz w:val="24"/>
                <w:szCs w:val="24"/>
                <w:lang w:val="en-US" w:eastAsia="zh-CN" w:bidi="ar"/>
              </w:rPr>
              <w:t>封装</w:t>
            </w:r>
            <w:r>
              <w:rPr>
                <w:rFonts w:hint="default" w:ascii="Times New Roman" w:hAnsi="Times New Roman" w:eastAsia="宋体" w:cs="Times New Roman"/>
                <w:color w:val="auto"/>
                <w:sz w:val="24"/>
                <w:szCs w:val="24"/>
                <w:lang w:val="en-US" w:eastAsia="zh-CN" w:bidi="ar"/>
              </w:rPr>
              <w:t>工序产生的废气收集至</w:t>
            </w:r>
            <w:r>
              <w:rPr>
                <w:rFonts w:hint="eastAsia" w:ascii="Times New Roman" w:hAnsi="Times New Roman" w:eastAsia="宋体" w:cs="Times New Roman"/>
                <w:color w:val="auto"/>
                <w:sz w:val="24"/>
                <w:szCs w:val="24"/>
                <w:lang w:val="en-US" w:eastAsia="zh-CN" w:bidi="ar"/>
              </w:rPr>
              <w:t>二级活性炭吸附装置</w:t>
            </w:r>
            <w:r>
              <w:rPr>
                <w:rFonts w:hint="default" w:ascii="Times New Roman" w:hAnsi="Times New Roman" w:eastAsia="宋体" w:cs="Times New Roman"/>
                <w:color w:val="auto"/>
                <w:sz w:val="24"/>
                <w:szCs w:val="24"/>
                <w:lang w:val="en-US" w:eastAsia="zh-CN" w:bidi="ar"/>
              </w:rPr>
              <w:t>处理后通过</w:t>
            </w:r>
            <w:r>
              <w:rPr>
                <w:rFonts w:hint="eastAsia" w:ascii="Times New Roman" w:hAnsi="Times New Roman" w:eastAsia="宋体" w:cs="Times New Roman"/>
                <w:color w:val="auto"/>
                <w:sz w:val="24"/>
                <w:szCs w:val="24"/>
                <w:lang w:val="en-US" w:eastAsia="zh-CN" w:bidi="ar"/>
              </w:rPr>
              <w:t>15</w:t>
            </w:r>
            <w:r>
              <w:rPr>
                <w:rFonts w:hint="default" w:ascii="Times New Roman" w:hAnsi="Times New Roman" w:eastAsia="宋体" w:cs="Times New Roman"/>
                <w:color w:val="auto"/>
                <w:sz w:val="24"/>
                <w:szCs w:val="24"/>
                <w:lang w:bidi="ar"/>
              </w:rPr>
              <w:t>m高</w:t>
            </w:r>
            <w:r>
              <w:rPr>
                <w:rFonts w:hint="default" w:ascii="Times New Roman" w:hAnsi="Times New Roman" w:eastAsia="宋体" w:cs="Times New Roman"/>
                <w:color w:val="auto"/>
                <w:sz w:val="24"/>
                <w:szCs w:val="24"/>
                <w:lang w:val="en-US" w:eastAsia="zh-CN" w:bidi="ar"/>
              </w:rPr>
              <w:t>DA00</w:t>
            </w:r>
            <w:r>
              <w:rPr>
                <w:rFonts w:hint="eastAsia"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bidi="ar"/>
              </w:rPr>
              <w:t>排气筒排放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去除效率为90</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工作时7200h</w:t>
            </w:r>
            <w:r>
              <w:rPr>
                <w:rFonts w:hint="default" w:ascii="Times New Roman" w:hAnsi="Times New Roman" w:eastAsia="宋体" w:cs="Times New Roman"/>
                <w:color w:val="auto"/>
                <w:sz w:val="24"/>
                <w:szCs w:val="24"/>
                <w:lang w:bidi="ar"/>
              </w:rPr>
              <w:t>。</w:t>
            </w:r>
          </w:p>
          <w:p w14:paraId="3B9A42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sz w:val="24"/>
                <w:szCs w:val="24"/>
                <w:lang w:val="en-US" w:eastAsia="zh-CN" w:bidi="ar"/>
              </w:rPr>
              <w:t>焊接</w:t>
            </w:r>
            <w:r>
              <w:rPr>
                <w:rFonts w:hint="default" w:ascii="Times New Roman" w:hAnsi="Times New Roman" w:eastAsia="宋体" w:cs="Times New Roman"/>
                <w:b/>
                <w:bCs/>
                <w:color w:val="auto"/>
                <w:sz w:val="24"/>
                <w:szCs w:val="24"/>
                <w:lang w:val="en-US" w:eastAsia="zh-CN" w:bidi="ar"/>
              </w:rPr>
              <w:t>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在无铅电焊台、电烙铁、自动焊锡机、等离子焊接机等</w:t>
            </w:r>
            <w:r>
              <w:rPr>
                <w:rFonts w:hint="eastAsia" w:ascii="Times New Roman" w:hAnsi="Times New Roman" w:eastAsia="宋体" w:cs="Times New Roman"/>
                <w:color w:val="auto"/>
                <w:sz w:val="24"/>
                <w:szCs w:val="24"/>
                <w:lang w:val="en-US" w:eastAsia="zh-CN" w:bidi="ar"/>
              </w:rPr>
              <w:t>33台设备排气点</w:t>
            </w:r>
            <w:r>
              <w:rPr>
                <w:rFonts w:hint="default" w:ascii="Times New Roman" w:hAnsi="Times New Roman" w:eastAsia="宋体" w:cs="Times New Roman"/>
                <w:color w:val="auto"/>
                <w:sz w:val="24"/>
                <w:szCs w:val="24"/>
                <w:lang w:val="en-US" w:eastAsia="zh-CN" w:bidi="ar"/>
              </w:rPr>
              <w:t>上方设置集气罩，将</w:t>
            </w:r>
            <w:r>
              <w:rPr>
                <w:rFonts w:hint="eastAsia" w:ascii="Times New Roman" w:hAnsi="Times New Roman" w:eastAsia="宋体" w:cs="Times New Roman"/>
                <w:color w:val="auto"/>
                <w:sz w:val="24"/>
                <w:szCs w:val="24"/>
                <w:lang w:val="en-US" w:eastAsia="zh-CN" w:bidi="ar"/>
              </w:rPr>
              <w:t>焊接</w:t>
            </w:r>
            <w:r>
              <w:rPr>
                <w:rFonts w:hint="default" w:ascii="Times New Roman" w:hAnsi="Times New Roman" w:eastAsia="宋体" w:cs="Times New Roman"/>
                <w:color w:val="auto"/>
                <w:sz w:val="24"/>
                <w:szCs w:val="24"/>
                <w:lang w:val="en-US" w:eastAsia="zh-CN" w:bidi="ar"/>
              </w:rPr>
              <w:t>工序产生的废气收集至</w:t>
            </w:r>
            <w:r>
              <w:rPr>
                <w:rFonts w:hint="eastAsia" w:ascii="Times New Roman" w:hAnsi="Times New Roman" w:eastAsia="宋体" w:cs="Times New Roman"/>
                <w:color w:val="auto"/>
                <w:sz w:val="24"/>
                <w:szCs w:val="24"/>
                <w:lang w:val="en-US" w:eastAsia="zh-CN" w:bidi="ar"/>
              </w:rPr>
              <w:t>布袋除尘器</w:t>
            </w:r>
            <w:r>
              <w:rPr>
                <w:rFonts w:hint="default" w:ascii="Times New Roman" w:hAnsi="Times New Roman" w:eastAsia="宋体" w:cs="Times New Roman"/>
                <w:color w:val="auto"/>
                <w:sz w:val="24"/>
                <w:szCs w:val="24"/>
                <w:lang w:val="en-US" w:eastAsia="zh-CN" w:bidi="ar"/>
              </w:rPr>
              <w:t>处理后通过</w:t>
            </w:r>
            <w:r>
              <w:rPr>
                <w:rFonts w:hint="eastAsia" w:ascii="Times New Roman" w:hAnsi="Times New Roman" w:eastAsia="宋体" w:cs="Times New Roman"/>
                <w:color w:val="auto"/>
                <w:sz w:val="24"/>
                <w:szCs w:val="24"/>
                <w:lang w:val="en-US" w:eastAsia="zh-CN" w:bidi="ar"/>
              </w:rPr>
              <w:t>15</w:t>
            </w:r>
            <w:r>
              <w:rPr>
                <w:rFonts w:hint="default" w:ascii="Times New Roman" w:hAnsi="Times New Roman" w:eastAsia="宋体" w:cs="Times New Roman"/>
                <w:color w:val="auto"/>
                <w:sz w:val="24"/>
                <w:szCs w:val="24"/>
                <w:lang w:bidi="ar"/>
              </w:rPr>
              <w:t>m高</w:t>
            </w:r>
            <w:r>
              <w:rPr>
                <w:rFonts w:hint="default" w:ascii="Times New Roman" w:hAnsi="Times New Roman" w:eastAsia="宋体" w:cs="Times New Roman"/>
                <w:color w:val="auto"/>
                <w:sz w:val="24"/>
                <w:szCs w:val="24"/>
                <w:lang w:val="en-US" w:eastAsia="zh-CN" w:bidi="ar"/>
              </w:rPr>
              <w:t>DA00</w:t>
            </w:r>
            <w:r>
              <w:rPr>
                <w:rFonts w:hint="eastAsia" w:ascii="Times New Roman" w:hAnsi="Times New Roman" w:eastAsia="宋体" w:cs="Times New Roman"/>
                <w:color w:val="auto"/>
                <w:sz w:val="24"/>
                <w:szCs w:val="24"/>
                <w:lang w:val="en-US" w:eastAsia="zh-CN" w:bidi="ar"/>
              </w:rPr>
              <w:t>2</w:t>
            </w:r>
            <w:r>
              <w:rPr>
                <w:rFonts w:hint="default" w:ascii="Times New Roman" w:hAnsi="Times New Roman" w:eastAsia="宋体" w:cs="Times New Roman"/>
                <w:color w:val="auto"/>
                <w:sz w:val="24"/>
                <w:szCs w:val="24"/>
                <w:lang w:bidi="ar"/>
              </w:rPr>
              <w:t>排气筒排放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去除效率为9</w:t>
            </w:r>
            <w:r>
              <w:rPr>
                <w:rFonts w:hint="eastAsia" w:ascii="Times New Roman" w:hAnsi="Times New Roman" w:eastAsia="宋体" w:cs="Times New Roman"/>
                <w:color w:val="auto"/>
                <w:sz w:val="24"/>
                <w:szCs w:val="24"/>
                <w:lang w:val="en-US" w:eastAsia="zh-CN" w:bidi="ar"/>
              </w:rPr>
              <w:t>5</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工作时2400h</w:t>
            </w:r>
            <w:r>
              <w:rPr>
                <w:rFonts w:hint="default" w:ascii="Times New Roman" w:hAnsi="Times New Roman" w:eastAsia="宋体" w:cs="Times New Roman"/>
                <w:color w:val="auto"/>
                <w:sz w:val="24"/>
                <w:szCs w:val="24"/>
                <w:lang w:bidi="ar"/>
              </w:rPr>
              <w:t>。</w:t>
            </w:r>
          </w:p>
          <w:p w14:paraId="7DE2B009">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sz w:val="24"/>
              </w:rPr>
              <w:t>废气处理措施示意图见图4-</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14:paraId="19B8D6BD">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lang w:eastAsia="zh-CN"/>
              </w:rPr>
            </w:pPr>
            <w:r>
              <w:rPr>
                <w:rFonts w:hint="default" w:ascii="Times New Roman" w:hAnsi="Times New Roman" w:eastAsia="宋体" w:cs="Times New Roman"/>
                <w:b/>
                <w:bCs/>
                <w:color w:val="auto"/>
                <w:kern w:val="0"/>
                <w:sz w:val="24"/>
                <w:lang w:eastAsia="zh-CN"/>
              </w:rPr>
              <w:drawing>
                <wp:inline distT="0" distB="0" distL="114300" distR="114300">
                  <wp:extent cx="5304155" cy="2003425"/>
                  <wp:effectExtent l="0" t="0" r="0" b="0"/>
                  <wp:docPr id="5" name="图片 5" descr="废气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废气处理设施"/>
                          <pic:cNvPicPr>
                            <a:picLocks noChangeAspect="1"/>
                          </pic:cNvPicPr>
                        </pic:nvPicPr>
                        <pic:blipFill>
                          <a:blip r:embed="rId25"/>
                          <a:stretch>
                            <a:fillRect/>
                          </a:stretch>
                        </pic:blipFill>
                        <pic:spPr>
                          <a:xfrm>
                            <a:off x="0" y="0"/>
                            <a:ext cx="5304155" cy="2003425"/>
                          </a:xfrm>
                          <a:prstGeom prst="rect">
                            <a:avLst/>
                          </a:prstGeom>
                        </pic:spPr>
                      </pic:pic>
                    </a:graphicData>
                  </a:graphic>
                </wp:inline>
              </w:drawing>
            </w:r>
          </w:p>
          <w:p w14:paraId="112E2B4E">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图4-</w:t>
            </w:r>
            <w:r>
              <w:rPr>
                <w:rFonts w:hint="default" w:ascii="Times New Roman" w:hAnsi="Times New Roman" w:eastAsia="宋体" w:cs="Times New Roman"/>
                <w:b/>
                <w:bCs/>
                <w:color w:val="auto"/>
                <w:kern w:val="0"/>
                <w:sz w:val="24"/>
                <w:lang w:val="en-US" w:eastAsia="zh-CN"/>
              </w:rPr>
              <w:t>1</w:t>
            </w:r>
            <w:r>
              <w:rPr>
                <w:rFonts w:hint="default" w:ascii="Times New Roman" w:hAnsi="Times New Roman" w:eastAsia="宋体" w:cs="Times New Roman"/>
                <w:b/>
                <w:bCs/>
                <w:color w:val="auto"/>
                <w:kern w:val="0"/>
                <w:sz w:val="24"/>
              </w:rPr>
              <w:t xml:space="preserve"> </w:t>
            </w:r>
            <w:r>
              <w:rPr>
                <w:rFonts w:hint="default" w:ascii="Times New Roman" w:hAnsi="Times New Roman" w:eastAsia="宋体" w:cs="Times New Roman"/>
                <w:b/>
                <w:bCs/>
                <w:color w:val="auto"/>
                <w:kern w:val="0"/>
                <w:sz w:val="24"/>
                <w:lang w:val="en-US" w:eastAsia="zh-CN"/>
              </w:rPr>
              <w:t xml:space="preserve"> </w:t>
            </w:r>
            <w:r>
              <w:rPr>
                <w:rFonts w:hint="default" w:ascii="Times New Roman" w:hAnsi="Times New Roman" w:eastAsia="宋体" w:cs="Times New Roman"/>
                <w:b/>
                <w:bCs/>
                <w:color w:val="auto"/>
                <w:kern w:val="0"/>
                <w:sz w:val="24"/>
              </w:rPr>
              <w:t>废气处理工艺流程</w:t>
            </w:r>
          </w:p>
          <w:p w14:paraId="34504822">
            <w:pPr>
              <w:keepNext w:val="0"/>
              <w:keepLines w:val="0"/>
              <w:pageBreakBefore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lang w:eastAsia="zh-CN"/>
              </w:rPr>
              <w:t>废气</w:t>
            </w:r>
            <w:r>
              <w:rPr>
                <w:rFonts w:hint="default" w:ascii="Times New Roman" w:hAnsi="Times New Roman" w:eastAsia="宋体" w:cs="Times New Roman"/>
                <w:b/>
                <w:bCs/>
                <w:color w:val="auto"/>
                <w:sz w:val="24"/>
                <w:lang w:val="en-US" w:eastAsia="zh-CN"/>
              </w:rPr>
              <w:t>收集系统风量核算</w:t>
            </w:r>
          </w:p>
          <w:p w14:paraId="6A671C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bidi="en-US"/>
              </w:rPr>
            </w:pPr>
          </w:p>
          <w:p w14:paraId="52856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bidi="en-US"/>
              </w:rPr>
            </w:pPr>
          </w:p>
          <w:p w14:paraId="7496B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bidi="en-US"/>
              </w:rPr>
            </w:pPr>
          </w:p>
          <w:p w14:paraId="124E2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bidi="en-US"/>
              </w:rPr>
            </w:pPr>
          </w:p>
          <w:p w14:paraId="145D3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bidi="en-US"/>
              </w:rPr>
            </w:pPr>
            <w:r>
              <w:rPr>
                <w:rFonts w:hint="default" w:ascii="Times New Roman" w:hAnsi="Times New Roman" w:eastAsia="宋体" w:cs="Times New Roman"/>
                <w:b/>
                <w:color w:val="auto"/>
                <w:sz w:val="24"/>
                <w:szCs w:val="24"/>
                <w:lang w:val="en-US" w:eastAsia="zh-CN" w:bidi="en-US"/>
              </w:rPr>
              <w:t>表4-</w:t>
            </w:r>
            <w:r>
              <w:rPr>
                <w:rFonts w:hint="eastAsia" w:ascii="Times New Roman" w:hAnsi="Times New Roman" w:eastAsia="宋体" w:cs="Times New Roman"/>
                <w:b/>
                <w:color w:val="auto"/>
                <w:sz w:val="24"/>
                <w:szCs w:val="24"/>
                <w:lang w:val="en-US" w:eastAsia="zh-CN" w:bidi="en-US"/>
              </w:rPr>
              <w:t>1</w:t>
            </w:r>
            <w:r>
              <w:rPr>
                <w:rFonts w:hint="default" w:ascii="Times New Roman" w:hAnsi="Times New Roman" w:eastAsia="宋体" w:cs="Times New Roman"/>
                <w:b/>
                <w:color w:val="auto"/>
                <w:sz w:val="24"/>
                <w:szCs w:val="24"/>
                <w:lang w:val="en-US" w:eastAsia="zh-CN" w:bidi="en-US"/>
              </w:rPr>
              <w:t xml:space="preserve">  </w:t>
            </w:r>
            <w:r>
              <w:rPr>
                <w:rFonts w:hint="default" w:ascii="Times New Roman" w:hAnsi="Times New Roman" w:eastAsia="宋体" w:cs="Times New Roman"/>
                <w:b/>
                <w:color w:val="auto"/>
                <w:sz w:val="24"/>
                <w:szCs w:val="24"/>
                <w:lang w:bidi="en-US"/>
              </w:rPr>
              <w:t>本项目废气风量合理性核算表    单位：m</w:t>
            </w:r>
            <w:r>
              <w:rPr>
                <w:rFonts w:hint="default" w:ascii="Times New Roman" w:hAnsi="Times New Roman" w:eastAsia="宋体" w:cs="Times New Roman"/>
                <w:b/>
                <w:color w:val="auto"/>
                <w:sz w:val="24"/>
                <w:szCs w:val="24"/>
                <w:vertAlign w:val="superscript"/>
                <w:lang w:bidi="en-US"/>
              </w:rPr>
              <w:t>3</w:t>
            </w:r>
            <w:r>
              <w:rPr>
                <w:rFonts w:hint="default" w:ascii="Times New Roman" w:hAnsi="Times New Roman" w:eastAsia="宋体" w:cs="Times New Roman"/>
                <w:b/>
                <w:color w:val="auto"/>
                <w:sz w:val="24"/>
                <w:szCs w:val="24"/>
                <w:lang w:bidi="en-US"/>
              </w:rPr>
              <w:t>/h</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3"/>
              <w:gridCol w:w="1287"/>
              <w:gridCol w:w="2208"/>
              <w:gridCol w:w="1747"/>
              <w:gridCol w:w="1199"/>
              <w:gridCol w:w="952"/>
            </w:tblGrid>
            <w:tr w14:paraId="790D2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pct"/>
                  <w:tcBorders>
                    <w:tl2br w:val="nil"/>
                    <w:tr2bl w:val="nil"/>
                  </w:tcBorders>
                  <w:shd w:val="clear" w:color="auto" w:fill="auto"/>
                  <w:vAlign w:val="center"/>
                </w:tcPr>
                <w:p w14:paraId="5C0EF011">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废气来源</w:t>
                  </w:r>
                </w:p>
              </w:tc>
              <w:tc>
                <w:tcPr>
                  <w:tcW w:w="770" w:type="pct"/>
                  <w:tcBorders>
                    <w:tl2br w:val="nil"/>
                    <w:tr2bl w:val="nil"/>
                  </w:tcBorders>
                  <w:shd w:val="clear" w:color="auto" w:fill="auto"/>
                  <w:vAlign w:val="center"/>
                </w:tcPr>
                <w:p w14:paraId="6AAFCC79">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产污节点</w:t>
                  </w:r>
                </w:p>
              </w:tc>
              <w:tc>
                <w:tcPr>
                  <w:tcW w:w="1321" w:type="pct"/>
                  <w:tcBorders>
                    <w:tl2br w:val="nil"/>
                    <w:tr2bl w:val="nil"/>
                  </w:tcBorders>
                  <w:shd w:val="clear" w:color="auto" w:fill="auto"/>
                  <w:vAlign w:val="center"/>
                </w:tcPr>
                <w:p w14:paraId="4FE5647F">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收集方式</w:t>
                  </w:r>
                </w:p>
              </w:tc>
              <w:tc>
                <w:tcPr>
                  <w:tcW w:w="1045" w:type="pct"/>
                  <w:tcBorders>
                    <w:tl2br w:val="nil"/>
                    <w:tr2bl w:val="nil"/>
                  </w:tcBorders>
                  <w:shd w:val="clear" w:color="auto" w:fill="auto"/>
                  <w:vAlign w:val="center"/>
                </w:tcPr>
                <w:p w14:paraId="6A4CA172">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收集参数</w:t>
                  </w:r>
                </w:p>
              </w:tc>
              <w:tc>
                <w:tcPr>
                  <w:tcW w:w="717" w:type="pct"/>
                  <w:tcBorders>
                    <w:tl2br w:val="nil"/>
                    <w:tr2bl w:val="nil"/>
                  </w:tcBorders>
                  <w:shd w:val="clear" w:color="auto" w:fill="auto"/>
                  <w:vAlign w:val="center"/>
                </w:tcPr>
                <w:p w14:paraId="01A3FD3F">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w:t>
                  </w:r>
                </w:p>
              </w:tc>
              <w:tc>
                <w:tcPr>
                  <w:tcW w:w="569" w:type="pct"/>
                  <w:tcBorders>
                    <w:tl2br w:val="nil"/>
                    <w:tr2bl w:val="nil"/>
                  </w:tcBorders>
                  <w:shd w:val="clear" w:color="auto" w:fill="auto"/>
                  <w:vAlign w:val="center"/>
                </w:tcPr>
                <w:p w14:paraId="120C812D">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设计风量</w:t>
                  </w:r>
                </w:p>
              </w:tc>
            </w:tr>
            <w:tr w14:paraId="1D516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76" w:type="pct"/>
                  <w:tcBorders>
                    <w:tl2br w:val="nil"/>
                    <w:tr2bl w:val="nil"/>
                  </w:tcBorders>
                  <w:shd w:val="clear" w:color="auto" w:fill="auto"/>
                  <w:vAlign w:val="center"/>
                </w:tcPr>
                <w:p w14:paraId="6A45E5F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封装</w:t>
                  </w:r>
                  <w:r>
                    <w:rPr>
                      <w:rFonts w:hint="default" w:ascii="Times New Roman" w:hAnsi="Times New Roman" w:eastAsia="宋体" w:cs="Times New Roman"/>
                      <w:color w:val="auto"/>
                      <w:kern w:val="0"/>
                      <w:sz w:val="21"/>
                      <w:szCs w:val="21"/>
                      <w:lang w:val="en-US" w:eastAsia="zh-CN" w:bidi="ar"/>
                    </w:rPr>
                    <w:t>工序</w:t>
                  </w:r>
                </w:p>
              </w:tc>
              <w:tc>
                <w:tcPr>
                  <w:tcW w:w="770" w:type="pct"/>
                  <w:tcBorders>
                    <w:tl2br w:val="nil"/>
                    <w:tr2bl w:val="nil"/>
                  </w:tcBorders>
                  <w:shd w:val="clear" w:color="auto" w:fill="auto"/>
                  <w:vAlign w:val="center"/>
                </w:tcPr>
                <w:p w14:paraId="39B5338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成型封装</w:t>
                  </w:r>
                </w:p>
              </w:tc>
              <w:tc>
                <w:tcPr>
                  <w:tcW w:w="1321" w:type="pct"/>
                  <w:tcBorders>
                    <w:tl2br w:val="nil"/>
                    <w:tr2bl w:val="nil"/>
                  </w:tcBorders>
                  <w:shd w:val="clear" w:color="auto" w:fill="auto"/>
                  <w:vAlign w:val="center"/>
                </w:tcPr>
                <w:p w14:paraId="289C3208">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自动封装成型机排气点</w:t>
                  </w:r>
                  <w:r>
                    <w:rPr>
                      <w:rFonts w:hint="default" w:ascii="Times New Roman" w:hAnsi="Times New Roman" w:eastAsia="宋体" w:cs="Times New Roman"/>
                      <w:color w:val="auto"/>
                      <w:kern w:val="0"/>
                      <w:sz w:val="21"/>
                      <w:szCs w:val="21"/>
                      <w:lang w:val="en-US" w:eastAsia="zh-CN" w:bidi="ar"/>
                    </w:rPr>
                    <w:t>上方设置吸风罩</w:t>
                  </w:r>
                </w:p>
              </w:tc>
              <w:tc>
                <w:tcPr>
                  <w:tcW w:w="1045" w:type="pct"/>
                  <w:tcBorders>
                    <w:tl2br w:val="nil"/>
                    <w:tr2bl w:val="nil"/>
                  </w:tcBorders>
                  <w:shd w:val="clear" w:color="auto" w:fill="auto"/>
                  <w:vAlign w:val="center"/>
                </w:tcPr>
                <w:p w14:paraId="754E535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*8</w:t>
                  </w:r>
                </w:p>
              </w:tc>
              <w:tc>
                <w:tcPr>
                  <w:tcW w:w="717" w:type="pct"/>
                  <w:tcBorders>
                    <w:tl2br w:val="nil"/>
                    <w:tr2bl w:val="nil"/>
                  </w:tcBorders>
                  <w:shd w:val="clear" w:color="auto" w:fill="auto"/>
                  <w:vAlign w:val="center"/>
                </w:tcPr>
                <w:p w14:paraId="245E4D7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9072</w:t>
                  </w:r>
                </w:p>
              </w:tc>
              <w:tc>
                <w:tcPr>
                  <w:tcW w:w="569" w:type="pct"/>
                  <w:tcBorders>
                    <w:tl2br w:val="nil"/>
                    <w:tr2bl w:val="nil"/>
                  </w:tcBorders>
                  <w:shd w:val="clear" w:color="auto" w:fill="auto"/>
                  <w:vAlign w:val="center"/>
                </w:tcPr>
                <w:p w14:paraId="6E5CEBC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10000</w:t>
                  </w:r>
                </w:p>
              </w:tc>
            </w:tr>
            <w:tr w14:paraId="4DF92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76" w:type="pct"/>
                  <w:tcBorders>
                    <w:tl2br w:val="nil"/>
                    <w:tr2bl w:val="nil"/>
                  </w:tcBorders>
                  <w:shd w:val="clear" w:color="auto" w:fill="auto"/>
                  <w:vAlign w:val="center"/>
                </w:tcPr>
                <w:p w14:paraId="795B250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焊接</w:t>
                  </w:r>
                  <w:r>
                    <w:rPr>
                      <w:rFonts w:hint="default" w:ascii="Times New Roman" w:hAnsi="Times New Roman" w:eastAsia="宋体" w:cs="Times New Roman"/>
                      <w:color w:val="auto"/>
                      <w:kern w:val="0"/>
                      <w:sz w:val="21"/>
                      <w:szCs w:val="21"/>
                      <w:lang w:val="en-US" w:eastAsia="zh-CN" w:bidi="ar"/>
                    </w:rPr>
                    <w:t>工序</w:t>
                  </w:r>
                </w:p>
              </w:tc>
              <w:tc>
                <w:tcPr>
                  <w:tcW w:w="770" w:type="pct"/>
                  <w:tcBorders>
                    <w:tl2br w:val="nil"/>
                    <w:tr2bl w:val="nil"/>
                  </w:tcBorders>
                  <w:shd w:val="clear" w:color="auto" w:fill="auto"/>
                  <w:vAlign w:val="center"/>
                </w:tcPr>
                <w:p w14:paraId="52BD39A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配线组装、焊接</w:t>
                  </w:r>
                </w:p>
              </w:tc>
              <w:tc>
                <w:tcPr>
                  <w:tcW w:w="1321" w:type="pct"/>
                  <w:tcBorders>
                    <w:tl2br w:val="nil"/>
                    <w:tr2bl w:val="nil"/>
                  </w:tcBorders>
                  <w:shd w:val="clear" w:color="auto" w:fill="auto"/>
                  <w:vAlign w:val="center"/>
                </w:tcPr>
                <w:p w14:paraId="2A0C084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无铅电焊台、电烙铁、自动焊锡机、等离子焊接机等33台设备排气点</w:t>
                  </w:r>
                  <w:r>
                    <w:rPr>
                      <w:rFonts w:hint="default" w:ascii="Times New Roman" w:hAnsi="Times New Roman" w:eastAsia="宋体" w:cs="Times New Roman"/>
                      <w:color w:val="auto"/>
                      <w:kern w:val="0"/>
                      <w:sz w:val="21"/>
                      <w:szCs w:val="21"/>
                      <w:lang w:val="en-US" w:eastAsia="zh-CN" w:bidi="ar"/>
                    </w:rPr>
                    <w:t>上方设置吸风罩</w:t>
                  </w:r>
                </w:p>
              </w:tc>
              <w:tc>
                <w:tcPr>
                  <w:tcW w:w="1045" w:type="pct"/>
                  <w:tcBorders>
                    <w:tl2br w:val="nil"/>
                    <w:tr2bl w:val="nil"/>
                  </w:tcBorders>
                  <w:shd w:val="clear" w:color="auto" w:fill="auto"/>
                  <w:vAlign w:val="center"/>
                </w:tcPr>
                <w:p w14:paraId="5664BFC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0.3</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*33</w:t>
                  </w:r>
                </w:p>
              </w:tc>
              <w:tc>
                <w:tcPr>
                  <w:tcW w:w="717" w:type="pct"/>
                  <w:tcBorders>
                    <w:tl2br w:val="nil"/>
                    <w:tr2bl w:val="nil"/>
                  </w:tcBorders>
                  <w:shd w:val="clear" w:color="auto" w:fill="auto"/>
                  <w:vAlign w:val="center"/>
                </w:tcPr>
                <w:p w14:paraId="69F6E2C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2993.76</w:t>
                  </w:r>
                </w:p>
              </w:tc>
              <w:tc>
                <w:tcPr>
                  <w:tcW w:w="569" w:type="pct"/>
                  <w:tcBorders>
                    <w:tl2br w:val="nil"/>
                    <w:tr2bl w:val="nil"/>
                  </w:tcBorders>
                  <w:shd w:val="clear" w:color="auto" w:fill="auto"/>
                  <w:vAlign w:val="center"/>
                </w:tcPr>
                <w:p w14:paraId="10EC5AC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r>
                    <w:rPr>
                      <w:rFonts w:hint="default" w:ascii="Times New Roman" w:hAnsi="Times New Roman" w:eastAsia="宋体" w:cs="Times New Roman"/>
                      <w:color w:val="auto"/>
                      <w:kern w:val="0"/>
                      <w:sz w:val="21"/>
                      <w:szCs w:val="21"/>
                      <w:lang w:val="en-US" w:eastAsia="zh-CN" w:bidi="ar"/>
                    </w:rPr>
                    <w:t>00</w:t>
                  </w:r>
                </w:p>
              </w:tc>
            </w:tr>
          </w:tbl>
          <w:p w14:paraId="4045CCD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注：</w:t>
            </w:r>
            <w:r>
              <w:rPr>
                <w:rFonts w:hint="default" w:ascii="Times New Roman" w:hAnsi="Times New Roman" w:eastAsia="宋体" w:cs="Times New Roman"/>
                <w:color w:val="auto"/>
                <w:sz w:val="21"/>
                <w:szCs w:val="21"/>
              </w:rPr>
              <w:t>上吸风罩排风量L（m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/s）的计算公式为：</w:t>
            </w:r>
          </w:p>
          <w:p w14:paraId="0E7C30C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rPr>
            </w:pPr>
            <m:oMathPara>
              <m:oMath>
                <m:r>
                  <m:rPr>
                    <m:sty m:val="p"/>
                  </m:rPr>
                  <w:rPr>
                    <w:rFonts w:hint="default" w:ascii="Cambria Math" w:hAnsi="Cambria Math" w:eastAsia="宋体" w:cs="Times New Roman"/>
                    <w:color w:val="auto"/>
                    <w:kern w:val="2"/>
                    <w:sz w:val="21"/>
                    <w:szCs w:val="21"/>
                    <w:lang w:val="en-US" w:eastAsia="zh-CN" w:bidi="ar-SA"/>
                  </w:rPr>
                  <m:t>L=K∗P∗H∗</m:t>
                </m:r>
                <m:sSub>
                  <m:sSubPr>
                    <m:ctrlPr>
                      <w:rPr>
                        <w:rFonts w:hint="default" w:ascii="Cambria Math" w:hAnsi="Cambria Math" w:eastAsia="宋体" w:cs="Times New Roman"/>
                        <w:color w:val="auto"/>
                        <w:kern w:val="2"/>
                        <w:sz w:val="21"/>
                        <w:szCs w:val="21"/>
                        <w:lang w:val="en-US" w:eastAsia="zh-CN" w:bidi="ar-SA"/>
                      </w:rPr>
                    </m:ctrlPr>
                  </m:sSubPr>
                  <m:e>
                    <m:r>
                      <m:rPr>
                        <m:sty m:val="p"/>
                      </m:rPr>
                      <w:rPr>
                        <w:rFonts w:hint="default" w:ascii="Cambria Math" w:hAnsi="Cambria Math" w:eastAsia="宋体" w:cs="Times New Roman"/>
                        <w:color w:val="auto"/>
                        <w:kern w:val="2"/>
                        <w:sz w:val="21"/>
                        <w:szCs w:val="21"/>
                        <w:lang w:val="en-US" w:eastAsia="zh-CN" w:bidi="ar-SA"/>
                      </w:rPr>
                      <m:t>V</m:t>
                    </m:r>
                    <m:ctrlPr>
                      <w:rPr>
                        <w:rFonts w:hint="default" w:ascii="Cambria Math" w:hAnsi="Cambria Math" w:eastAsia="宋体" w:cs="Times New Roman"/>
                        <w:color w:val="auto"/>
                        <w:kern w:val="2"/>
                        <w:sz w:val="21"/>
                        <w:szCs w:val="21"/>
                        <w:lang w:val="en-US" w:eastAsia="zh-CN" w:bidi="ar-SA"/>
                      </w:rPr>
                    </m:ctrlPr>
                  </m:e>
                  <m:sub>
                    <m:r>
                      <m:rPr>
                        <m:sty m:val="p"/>
                      </m:rPr>
                      <w:rPr>
                        <w:rFonts w:hint="default" w:ascii="Cambria Math" w:hAnsi="Cambria Math" w:eastAsia="宋体" w:cs="Times New Roman"/>
                        <w:color w:val="auto"/>
                        <w:kern w:val="2"/>
                        <w:sz w:val="21"/>
                        <w:szCs w:val="21"/>
                        <w:lang w:val="en-US" w:eastAsia="zh-CN" w:bidi="ar-SA"/>
                      </w:rPr>
                      <m:t>x</m:t>
                    </m:r>
                    <m:ctrlPr>
                      <w:rPr>
                        <w:rFonts w:hint="default" w:ascii="Cambria Math" w:hAnsi="Cambria Math" w:eastAsia="宋体" w:cs="Times New Roman"/>
                        <w:color w:val="auto"/>
                        <w:kern w:val="2"/>
                        <w:sz w:val="21"/>
                        <w:szCs w:val="21"/>
                        <w:lang w:val="en-US" w:eastAsia="zh-CN" w:bidi="ar-SA"/>
                      </w:rPr>
                    </m:ctrlPr>
                  </m:sub>
                </m:sSub>
              </m:oMath>
            </m:oMathPara>
          </w:p>
          <w:p w14:paraId="020F7D0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——考虑沿高度分布不均匀的安全系数，通常取K=1.4</w:t>
            </w:r>
            <w:r>
              <w:rPr>
                <w:rFonts w:hint="default" w:ascii="Times New Roman" w:hAnsi="Times New Roman" w:eastAsia="宋体" w:cs="Times New Roman"/>
                <w:bCs/>
                <w:color w:val="auto"/>
                <w:sz w:val="21"/>
                <w:szCs w:val="21"/>
              </w:rPr>
              <w:t>；</w:t>
            </w:r>
          </w:p>
          <w:p w14:paraId="68D593F5">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——排风罩敞开面的周长，m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封装工序集气罩周长约</w:t>
            </w:r>
            <w:r>
              <w:rPr>
                <w:rFonts w:hint="default"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焊接工序集气罩周长约</w:t>
            </w:r>
            <w:r>
              <w:rPr>
                <w:rFonts w:hint="default"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0.3</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val="en-US" w:eastAsia="zh-CN"/>
              </w:rPr>
              <w:t>。</w:t>
            </w:r>
          </w:p>
          <w:p w14:paraId="17B9223F">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——罩口至有害物源的距离，m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本项目为</w:t>
            </w:r>
            <w:r>
              <w:rPr>
                <w:rFonts w:hint="eastAsia" w:ascii="Times New Roman" w:hAnsi="Times New Roman" w:eastAsia="宋体" w:cs="Times New Roman"/>
                <w:color w:val="auto"/>
                <w:sz w:val="21"/>
                <w:szCs w:val="21"/>
                <w:lang w:val="en-US" w:eastAsia="zh-CN"/>
              </w:rPr>
              <w:t>焊接</w:t>
            </w:r>
            <w:r>
              <w:rPr>
                <w:rFonts w:hint="default" w:ascii="Times New Roman" w:hAnsi="Times New Roman" w:eastAsia="宋体"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为0.2m，封装</w:t>
            </w:r>
            <w:r>
              <w:rPr>
                <w:rFonts w:hint="default" w:ascii="Times New Roman" w:hAnsi="Times New Roman" w:eastAsia="宋体"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为0.5m</w:t>
            </w:r>
            <w:r>
              <w:rPr>
                <w:rFonts w:hint="eastAsia" w:ascii="Times New Roman" w:hAnsi="Times New Roman" w:eastAsia="宋体" w:cs="Times New Roman"/>
                <w:color w:val="auto"/>
                <w:sz w:val="21"/>
                <w:szCs w:val="21"/>
                <w:lang w:eastAsia="zh-CN"/>
              </w:rPr>
              <w:t>；</w:t>
            </w:r>
          </w:p>
          <w:p w14:paraId="22223628">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——边缘控制点的控制风速，m/s；</w:t>
            </w:r>
            <w:r>
              <w:rPr>
                <w:rFonts w:hint="default" w:ascii="Times New Roman" w:hAnsi="Times New Roman" w:eastAsia="宋体" w:cs="Times New Roman"/>
                <w:color w:val="auto"/>
                <w:sz w:val="21"/>
                <w:szCs w:val="21"/>
                <w:lang w:val="en-US" w:eastAsia="zh-CN"/>
              </w:rPr>
              <w:t>本项目按0.3</w:t>
            </w:r>
            <w:r>
              <w:rPr>
                <w:rFonts w:hint="default" w:ascii="Times New Roman" w:hAnsi="Times New Roman" w:eastAsia="宋体" w:cs="Times New Roman"/>
                <w:color w:val="auto"/>
                <w:sz w:val="21"/>
                <w:szCs w:val="21"/>
              </w:rPr>
              <w:t>m/s</w:t>
            </w:r>
            <w:r>
              <w:rPr>
                <w:rFonts w:hint="default" w:ascii="Times New Roman" w:hAnsi="Times New Roman" w:eastAsia="宋体" w:cs="Times New Roman"/>
                <w:color w:val="auto"/>
                <w:sz w:val="21"/>
                <w:szCs w:val="21"/>
                <w:lang w:eastAsia="zh-CN"/>
              </w:rPr>
              <w:t>。</w:t>
            </w:r>
          </w:p>
          <w:p w14:paraId="2EBB6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
              </w:rPr>
            </w:pPr>
            <w:r>
              <w:rPr>
                <w:rFonts w:hint="default" w:ascii="Times New Roman" w:hAnsi="Times New Roman" w:eastAsia="宋体" w:cs="Times New Roman"/>
                <w:b w:val="0"/>
                <w:bCs w:val="0"/>
                <w:color w:val="auto"/>
                <w:sz w:val="24"/>
                <w:szCs w:val="24"/>
                <w:lang w:val="en-US" w:eastAsia="zh-CN" w:bidi="ar"/>
              </w:rPr>
              <w:t>参照《排风罩的分类及技术条件》（GB/T16758-2008）、《工业通风第四版》（中国建筑工业出版社）中对外部集气罩的技术要求，本项目适宜采用矩形集气罩（局部集气罩）及管道收集，扩张角a为45°，控制风速不低于0.3米/秒，按照“治理设施先启动</w:t>
            </w:r>
            <w:r>
              <w:rPr>
                <w:rFonts w:hint="eastAsia" w:ascii="Times New Roman" w:hAnsi="Times New Roman" w:eastAsia="宋体" w:cs="Times New Roman"/>
                <w:b w:val="0"/>
                <w:bCs w:val="0"/>
                <w:color w:val="auto"/>
                <w:sz w:val="24"/>
                <w:szCs w:val="24"/>
                <w:lang w:val="en-US" w:eastAsia="zh-CN" w:bidi="ar"/>
              </w:rPr>
              <w:t>，</w:t>
            </w:r>
            <w:r>
              <w:rPr>
                <w:rFonts w:hint="default" w:ascii="Times New Roman" w:hAnsi="Times New Roman" w:eastAsia="宋体" w:cs="Times New Roman"/>
                <w:b w:val="0"/>
                <w:bCs w:val="0"/>
                <w:color w:val="auto"/>
                <w:sz w:val="24"/>
                <w:szCs w:val="24"/>
                <w:lang w:val="en-US" w:eastAsia="zh-CN" w:bidi="ar"/>
              </w:rPr>
              <w:t>后停止”的原则提升治理设施运行率。本项目集气罩/集气管选取了最优化的设置方案，废气收集效率以90%计，符合《环境工程设计手册》(湖南科学技术出版社)中对集气罩的要求。</w:t>
            </w:r>
          </w:p>
          <w:p w14:paraId="714630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③废气处理装置运行原理</w:t>
            </w:r>
          </w:p>
          <w:p w14:paraId="74AD07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bidi="ar"/>
              </w:rPr>
            </w:pPr>
            <w:r>
              <w:rPr>
                <w:rFonts w:hint="eastAsia" w:ascii="Times New Roman" w:hAnsi="Times New Roman" w:eastAsia="宋体" w:cs="Times New Roman"/>
                <w:b/>
                <w:bCs/>
                <w:color w:val="auto"/>
                <w:sz w:val="24"/>
                <w:szCs w:val="24"/>
                <w:lang w:val="en-US" w:eastAsia="zh-CN" w:bidi="ar"/>
              </w:rPr>
              <w:t>脉冲布袋除尘：</w:t>
            </w:r>
          </w:p>
          <w:p w14:paraId="4117D4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bidi="ar"/>
              </w:rPr>
            </w:pPr>
            <w:r>
              <w:rPr>
                <w:rFonts w:hint="eastAsia" w:ascii="Times New Roman" w:hAnsi="Times New Roman" w:eastAsia="宋体" w:cs="Times New Roman"/>
                <w:b w:val="0"/>
                <w:bCs w:val="0"/>
                <w:color w:val="auto"/>
                <w:sz w:val="24"/>
                <w:szCs w:val="24"/>
                <w:lang w:val="en-US" w:eastAsia="zh-CN" w:bidi="ar"/>
              </w:rPr>
              <w:t>脉冲布袋除尘器是一种干式除尘装置，它适用于捕集细小、干燥非纤维性粉尘；脉冲布袋除尘器除尘效率高且稳定，本项目采用的除尘器效率可达99%以上，其附属设备少，投资省，性能稳定，适合生产全过程除尘。脉冲布袋除尘器工作原理：过滤式除尘器是指含尘烟气孔通过过滤层时，气流中的尘粒被滤层阻截捕集下来，从而实现气固分离的设备。过滤式除尘装置包括袋式除尘器和颗粒层除尘器，前者通常利用有机纤维或无机纤维织物做成的滤袋作过滤层，而后者的过滤层多采用不同粒径的颗粒，如石英砂、河砂、陶粒、矿渣等组成。伴着粉末重复的附着于滤袋外表面，粉末层不断的增厚，脉冲布袋除尘器阻力值也随之增大；脉冲阀膜片发出指令，左右淹没时脉冲阀开启，高压气包内的压缩空气通了，如果没有灰尘了或是小到一定的程度了，机械清灰工作会停止工作。袋式除尘器是一种干式滤尘装置。滤料使用一段时间后，由于筛滤、碰撞、滞留、袋式除尘器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14:paraId="0980A60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参照《排污许可证申请与核发技术规范 铁路、船舶、航空航天和其他运输设备制造业》</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HJ1124-2020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附录C，</w:t>
            </w:r>
            <w:r>
              <w:rPr>
                <w:rFonts w:hint="eastAsia" w:ascii="Times New Roman" w:hAnsi="Times New Roman" w:eastAsia="宋体" w:cs="Times New Roman"/>
                <w:color w:val="auto"/>
                <w:sz w:val="24"/>
                <w:lang w:val="en-US" w:eastAsia="zh-CN"/>
              </w:rPr>
              <w:t>切割废气采用袋式除尘</w:t>
            </w:r>
            <w:r>
              <w:rPr>
                <w:rFonts w:hint="default" w:ascii="Times New Roman" w:hAnsi="Times New Roman" w:eastAsia="宋体" w:cs="Times New Roman"/>
                <w:color w:val="auto"/>
                <w:sz w:val="24"/>
              </w:rPr>
              <w:t>为可行技术</w:t>
            </w:r>
            <w:r>
              <w:rPr>
                <w:rFonts w:hint="eastAsia" w:ascii="Times New Roman" w:hAnsi="Times New Roman" w:eastAsia="宋体" w:cs="Times New Roman"/>
                <w:color w:val="auto"/>
                <w:sz w:val="24"/>
                <w:lang w:eastAsia="zh-CN"/>
              </w:rPr>
              <w:t>。</w:t>
            </w:r>
          </w:p>
          <w:p w14:paraId="214C91A0">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z w:val="24"/>
                <w:lang w:val="en-US" w:eastAsia="zh-CN"/>
              </w:rPr>
              <w:t>二级活性炭装置</w:t>
            </w:r>
            <w:r>
              <w:rPr>
                <w:rFonts w:hint="eastAsia" w:ascii="Times New Roman" w:hAnsi="Times New Roman" w:eastAsia="宋体" w:cs="Times New Roman"/>
                <w:b/>
                <w:bCs/>
                <w:color w:val="auto"/>
                <w:sz w:val="24"/>
                <w:lang w:val="en-US" w:eastAsia="zh-CN"/>
              </w:rPr>
              <w:t>：</w:t>
            </w:r>
          </w:p>
          <w:p w14:paraId="76838BB4">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val="0"/>
                <w:bCs w:val="0"/>
                <w:color w:val="auto"/>
                <w:spacing w:val="0"/>
                <w:sz w:val="24"/>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的多孔结构为其提供了大量的表面积，能与气体</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杂质</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充分接触，从而赋予了</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磁力</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一样，所有的分子之间都具有相互引力。正因为如此，活性炭孔壁上的大量的分子可以产生强大的引力，从而达到将有害的杂质吸引到孔径中的目的。</w:t>
            </w:r>
          </w:p>
          <w:p w14:paraId="48DABE31">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bCs/>
                <w:color w:val="auto"/>
                <w:spacing w:val="0"/>
                <w:sz w:val="24"/>
                <w:lang w:val="en-US" w:eastAsia="zh-CN"/>
              </w:rPr>
              <w:t>处理可行性及达标分析：</w:t>
            </w:r>
            <w:r>
              <w:rPr>
                <w:rFonts w:hint="default" w:ascii="Times New Roman" w:hAnsi="Times New Roman" w:eastAsia="宋体" w:cs="Times New Roman"/>
                <w:b w:val="0"/>
                <w:bCs w:val="0"/>
                <w:color w:val="auto"/>
                <w:spacing w:val="0"/>
                <w:sz w:val="24"/>
                <w:lang w:val="en-US" w:eastAsia="zh-CN"/>
              </w:rPr>
              <w:t>根据《活性炭吸附操作》</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柳柱材编，石油工业出版社，1960年第1版</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二级活性炭吸附装置</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吸附有机废气，故有机废气处理效率保守取90%，具有可行性。</w:t>
            </w:r>
          </w:p>
          <w:p w14:paraId="391345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4"/>
                <w:szCs w:val="24"/>
                <w:highlight w:val="none"/>
              </w:rPr>
              <w:t>表4</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活性炭技术参数</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80"/>
              <w:gridCol w:w="1634"/>
              <w:gridCol w:w="1208"/>
              <w:gridCol w:w="1542"/>
              <w:gridCol w:w="2997"/>
            </w:tblGrid>
            <w:tr w14:paraId="78FC54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83702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699" w:type="pct"/>
                  <w:gridSpan w:val="2"/>
                  <w:tcBorders>
                    <w:tl2br w:val="nil"/>
                    <w:tr2bl w:val="nil"/>
                  </w:tcBorders>
                  <w:noWrap w:val="0"/>
                  <w:tcMar>
                    <w:top w:w="0" w:type="dxa"/>
                    <w:left w:w="0" w:type="dxa"/>
                    <w:bottom w:w="0" w:type="dxa"/>
                    <w:right w:w="0" w:type="dxa"/>
                  </w:tcMar>
                  <w:vAlign w:val="center"/>
                </w:tcPr>
                <w:p w14:paraId="7821ED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922" w:type="pct"/>
                  <w:tcBorders>
                    <w:tl2br w:val="nil"/>
                    <w:tr2bl w:val="nil"/>
                  </w:tcBorders>
                  <w:noWrap w:val="0"/>
                  <w:tcMar>
                    <w:top w:w="0" w:type="dxa"/>
                    <w:left w:w="0" w:type="dxa"/>
                    <w:bottom w:w="0" w:type="dxa"/>
                    <w:right w:w="0" w:type="dxa"/>
                  </w:tcMar>
                  <w:vAlign w:val="center"/>
                </w:tcPr>
                <w:p w14:paraId="553B3D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1791" w:type="pct"/>
                  <w:tcBorders>
                    <w:tl2br w:val="nil"/>
                    <w:tr2bl w:val="nil"/>
                  </w:tcBorders>
                  <w:noWrap w:val="0"/>
                  <w:tcMar>
                    <w:top w:w="0" w:type="dxa"/>
                    <w:left w:w="0" w:type="dxa"/>
                    <w:bottom w:w="0" w:type="dxa"/>
                    <w:right w:w="0" w:type="dxa"/>
                  </w:tcMar>
                  <w:vAlign w:val="center"/>
                </w:tcPr>
                <w:p w14:paraId="5EF3B88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rPr>
                    <w:t>技术指标</w:t>
                  </w:r>
                </w:p>
              </w:tc>
            </w:tr>
            <w:tr w14:paraId="0F65B8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54554A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99" w:type="pct"/>
                  <w:gridSpan w:val="2"/>
                  <w:tcBorders>
                    <w:tl2br w:val="nil"/>
                    <w:tr2bl w:val="nil"/>
                  </w:tcBorders>
                  <w:noWrap w:val="0"/>
                  <w:tcMar>
                    <w:top w:w="0" w:type="dxa"/>
                    <w:left w:w="0" w:type="dxa"/>
                    <w:bottom w:w="0" w:type="dxa"/>
                    <w:right w:w="0" w:type="dxa"/>
                  </w:tcMar>
                  <w:vAlign w:val="center"/>
                </w:tcPr>
                <w:p w14:paraId="213D82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单级活性炭吸附箱尺寸</w:t>
                  </w:r>
                </w:p>
              </w:tc>
              <w:tc>
                <w:tcPr>
                  <w:tcW w:w="922" w:type="pct"/>
                  <w:tcBorders>
                    <w:tl2br w:val="nil"/>
                    <w:tr2bl w:val="nil"/>
                  </w:tcBorders>
                  <w:noWrap w:val="0"/>
                  <w:tcMar>
                    <w:top w:w="0" w:type="dxa"/>
                    <w:left w:w="0" w:type="dxa"/>
                    <w:bottom w:w="0" w:type="dxa"/>
                    <w:right w:w="0" w:type="dxa"/>
                  </w:tcMar>
                  <w:vAlign w:val="center"/>
                </w:tcPr>
                <w:p w14:paraId="7F1B93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m</w:t>
                  </w:r>
                </w:p>
              </w:tc>
              <w:tc>
                <w:tcPr>
                  <w:tcW w:w="1791" w:type="pct"/>
                  <w:tcBorders>
                    <w:tl2br w:val="nil"/>
                    <w:tr2bl w:val="nil"/>
                  </w:tcBorders>
                  <w:noWrap w:val="0"/>
                  <w:tcMar>
                    <w:top w:w="0" w:type="dxa"/>
                    <w:left w:w="0" w:type="dxa"/>
                    <w:bottom w:w="0" w:type="dxa"/>
                    <w:right w:w="0" w:type="dxa"/>
                  </w:tcMar>
                  <w:vAlign w:val="center"/>
                </w:tcPr>
                <w:p w14:paraId="38C147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m</w:t>
                  </w:r>
                </w:p>
              </w:tc>
            </w:tr>
            <w:tr w14:paraId="6BAFCB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127DFD8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699" w:type="pct"/>
                  <w:gridSpan w:val="2"/>
                  <w:tcBorders>
                    <w:tl2br w:val="nil"/>
                    <w:tr2bl w:val="nil"/>
                  </w:tcBorders>
                  <w:noWrap w:val="0"/>
                  <w:tcMar>
                    <w:top w:w="0" w:type="dxa"/>
                    <w:left w:w="0" w:type="dxa"/>
                    <w:bottom w:w="0" w:type="dxa"/>
                    <w:right w:w="0" w:type="dxa"/>
                  </w:tcMar>
                  <w:vAlign w:val="center"/>
                </w:tcPr>
                <w:p w14:paraId="65E77B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填充物</w:t>
                  </w:r>
                </w:p>
              </w:tc>
              <w:tc>
                <w:tcPr>
                  <w:tcW w:w="922" w:type="pct"/>
                  <w:tcBorders>
                    <w:tl2br w:val="nil"/>
                    <w:tr2bl w:val="nil"/>
                  </w:tcBorders>
                  <w:noWrap w:val="0"/>
                  <w:tcMar>
                    <w:top w:w="0" w:type="dxa"/>
                    <w:left w:w="0" w:type="dxa"/>
                    <w:bottom w:w="0" w:type="dxa"/>
                    <w:right w:w="0" w:type="dxa"/>
                  </w:tcMar>
                  <w:vAlign w:val="center"/>
                </w:tcPr>
                <w:p w14:paraId="7BBD4D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w:t>
                  </w:r>
                </w:p>
              </w:tc>
              <w:tc>
                <w:tcPr>
                  <w:tcW w:w="1791" w:type="pct"/>
                  <w:tcBorders>
                    <w:tl2br w:val="nil"/>
                    <w:tr2bl w:val="nil"/>
                  </w:tcBorders>
                  <w:noWrap w:val="0"/>
                  <w:tcMar>
                    <w:top w:w="0" w:type="dxa"/>
                    <w:left w:w="0" w:type="dxa"/>
                    <w:bottom w:w="0" w:type="dxa"/>
                    <w:right w:w="0" w:type="dxa"/>
                  </w:tcMar>
                  <w:vAlign w:val="center"/>
                </w:tcPr>
                <w:p w14:paraId="5675A28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蜂窝式活性炭</w:t>
                  </w:r>
                </w:p>
              </w:tc>
            </w:tr>
            <w:tr w14:paraId="14C46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CDCA8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699" w:type="pct"/>
                  <w:gridSpan w:val="2"/>
                  <w:tcBorders>
                    <w:tl2br w:val="nil"/>
                    <w:tr2bl w:val="nil"/>
                  </w:tcBorders>
                  <w:noWrap w:val="0"/>
                  <w:tcMar>
                    <w:top w:w="0" w:type="dxa"/>
                    <w:left w:w="0" w:type="dxa"/>
                    <w:bottom w:w="0" w:type="dxa"/>
                    <w:right w:w="0" w:type="dxa"/>
                  </w:tcMar>
                  <w:vAlign w:val="center"/>
                </w:tcPr>
                <w:p w14:paraId="675CDA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活性炭</w:t>
                  </w:r>
                  <w:r>
                    <w:rPr>
                      <w:rFonts w:hint="default" w:ascii="Times New Roman" w:hAnsi="Times New Roman" w:eastAsia="宋体" w:cs="Times New Roman"/>
                      <w:color w:val="auto"/>
                      <w:szCs w:val="21"/>
                      <w:highlight w:val="none"/>
                    </w:rPr>
                    <w:t>碘值</w:t>
                  </w:r>
                </w:p>
              </w:tc>
              <w:tc>
                <w:tcPr>
                  <w:tcW w:w="922" w:type="pct"/>
                  <w:tcBorders>
                    <w:tl2br w:val="nil"/>
                    <w:tr2bl w:val="nil"/>
                  </w:tcBorders>
                  <w:noWrap w:val="0"/>
                  <w:tcMar>
                    <w:top w:w="0" w:type="dxa"/>
                    <w:left w:w="0" w:type="dxa"/>
                    <w:bottom w:w="0" w:type="dxa"/>
                    <w:right w:w="0" w:type="dxa"/>
                  </w:tcMar>
                  <w:vAlign w:val="center"/>
                </w:tcPr>
                <w:p w14:paraId="3F22EC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mg/g</w:t>
                  </w:r>
                </w:p>
              </w:tc>
              <w:tc>
                <w:tcPr>
                  <w:tcW w:w="1791" w:type="pct"/>
                  <w:tcBorders>
                    <w:tl2br w:val="nil"/>
                    <w:tr2bl w:val="nil"/>
                  </w:tcBorders>
                  <w:noWrap w:val="0"/>
                  <w:tcMar>
                    <w:top w:w="0" w:type="dxa"/>
                    <w:left w:w="0" w:type="dxa"/>
                    <w:bottom w:w="0" w:type="dxa"/>
                    <w:right w:w="0" w:type="dxa"/>
                  </w:tcMar>
                  <w:vAlign w:val="center"/>
                </w:tcPr>
                <w:p w14:paraId="5CFE368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650</w:t>
                  </w:r>
                </w:p>
              </w:tc>
            </w:tr>
            <w:tr w14:paraId="52FC7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F36CF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699" w:type="pct"/>
                  <w:gridSpan w:val="2"/>
                  <w:tcBorders>
                    <w:tl2br w:val="nil"/>
                    <w:tr2bl w:val="nil"/>
                  </w:tcBorders>
                  <w:noWrap w:val="0"/>
                  <w:tcMar>
                    <w:top w:w="0" w:type="dxa"/>
                    <w:left w:w="0" w:type="dxa"/>
                    <w:bottom w:w="0" w:type="dxa"/>
                    <w:right w:w="0" w:type="dxa"/>
                  </w:tcMar>
                  <w:vAlign w:val="center"/>
                </w:tcPr>
                <w:p w14:paraId="17BBD5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活性炭</w:t>
                  </w:r>
                  <w:r>
                    <w:rPr>
                      <w:rFonts w:hint="default" w:ascii="Times New Roman" w:hAnsi="Times New Roman" w:eastAsia="宋体" w:cs="Times New Roman"/>
                      <w:color w:val="auto"/>
                      <w:szCs w:val="21"/>
                      <w:highlight w:val="none"/>
                    </w:rPr>
                    <w:t>密度</w:t>
                  </w:r>
                </w:p>
              </w:tc>
              <w:tc>
                <w:tcPr>
                  <w:tcW w:w="922" w:type="pct"/>
                  <w:tcBorders>
                    <w:tl2br w:val="nil"/>
                    <w:tr2bl w:val="nil"/>
                  </w:tcBorders>
                  <w:noWrap w:val="0"/>
                  <w:tcMar>
                    <w:top w:w="0" w:type="dxa"/>
                    <w:left w:w="0" w:type="dxa"/>
                    <w:bottom w:w="0" w:type="dxa"/>
                    <w:right w:w="0" w:type="dxa"/>
                  </w:tcMar>
                  <w:vAlign w:val="center"/>
                </w:tcPr>
                <w:p w14:paraId="2132FA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g/cm</w:t>
                  </w:r>
                  <w:r>
                    <w:rPr>
                      <w:rFonts w:hint="default" w:ascii="Times New Roman" w:hAnsi="Times New Roman" w:eastAsia="宋体" w:cs="Times New Roman"/>
                      <w:color w:val="auto"/>
                      <w:szCs w:val="21"/>
                      <w:highlight w:val="none"/>
                      <w:vertAlign w:val="superscript"/>
                    </w:rPr>
                    <w:t>3</w:t>
                  </w:r>
                </w:p>
              </w:tc>
              <w:tc>
                <w:tcPr>
                  <w:tcW w:w="1791" w:type="pct"/>
                  <w:tcBorders>
                    <w:tl2br w:val="nil"/>
                    <w:tr2bl w:val="nil"/>
                  </w:tcBorders>
                  <w:noWrap w:val="0"/>
                  <w:tcMar>
                    <w:top w:w="0" w:type="dxa"/>
                    <w:left w:w="0" w:type="dxa"/>
                    <w:bottom w:w="0" w:type="dxa"/>
                    <w:right w:w="0" w:type="dxa"/>
                  </w:tcMar>
                  <w:vAlign w:val="center"/>
                </w:tcPr>
                <w:p w14:paraId="06CA927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0.4</w:t>
                  </w:r>
                </w:p>
              </w:tc>
            </w:tr>
            <w:tr w14:paraId="06111D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4ABB3A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699" w:type="pct"/>
                  <w:gridSpan w:val="2"/>
                  <w:tcBorders>
                    <w:tl2br w:val="nil"/>
                    <w:tr2bl w:val="nil"/>
                  </w:tcBorders>
                  <w:noWrap w:val="0"/>
                  <w:tcMar>
                    <w:top w:w="0" w:type="dxa"/>
                    <w:left w:w="0" w:type="dxa"/>
                    <w:bottom w:w="0" w:type="dxa"/>
                    <w:right w:w="0" w:type="dxa"/>
                  </w:tcMar>
                  <w:vAlign w:val="center"/>
                </w:tcPr>
                <w:p w14:paraId="0BAEE4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过滤风速</w:t>
                  </w:r>
                </w:p>
              </w:tc>
              <w:tc>
                <w:tcPr>
                  <w:tcW w:w="922" w:type="pct"/>
                  <w:tcBorders>
                    <w:tl2br w:val="nil"/>
                    <w:tr2bl w:val="nil"/>
                  </w:tcBorders>
                  <w:noWrap w:val="0"/>
                  <w:tcMar>
                    <w:top w:w="0" w:type="dxa"/>
                    <w:left w:w="0" w:type="dxa"/>
                    <w:bottom w:w="0" w:type="dxa"/>
                    <w:right w:w="0" w:type="dxa"/>
                  </w:tcMar>
                  <w:vAlign w:val="center"/>
                </w:tcPr>
                <w:p w14:paraId="795455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m/s</w:t>
                  </w:r>
                </w:p>
              </w:tc>
              <w:tc>
                <w:tcPr>
                  <w:tcW w:w="1791" w:type="pct"/>
                  <w:tcBorders>
                    <w:tl2br w:val="nil"/>
                    <w:tr2bl w:val="nil"/>
                  </w:tcBorders>
                  <w:noWrap w:val="0"/>
                  <w:tcMar>
                    <w:top w:w="0" w:type="dxa"/>
                    <w:left w:w="0" w:type="dxa"/>
                    <w:bottom w:w="0" w:type="dxa"/>
                    <w:right w:w="0" w:type="dxa"/>
                  </w:tcMar>
                  <w:vAlign w:val="center"/>
                </w:tcPr>
                <w:p w14:paraId="1208E5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1.11</w:t>
                  </w:r>
                </w:p>
              </w:tc>
            </w:tr>
            <w:tr w14:paraId="73B6E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001761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1699" w:type="pct"/>
                  <w:gridSpan w:val="2"/>
                  <w:tcBorders>
                    <w:tl2br w:val="nil"/>
                    <w:tr2bl w:val="nil"/>
                  </w:tcBorders>
                  <w:noWrap w:val="0"/>
                  <w:tcMar>
                    <w:top w:w="0" w:type="dxa"/>
                    <w:left w:w="0" w:type="dxa"/>
                    <w:bottom w:w="0" w:type="dxa"/>
                    <w:right w:w="0" w:type="dxa"/>
                  </w:tcMar>
                  <w:vAlign w:val="center"/>
                </w:tcPr>
                <w:p w14:paraId="24904E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设备数量</w:t>
                  </w:r>
                </w:p>
              </w:tc>
              <w:tc>
                <w:tcPr>
                  <w:tcW w:w="922" w:type="pct"/>
                  <w:tcBorders>
                    <w:tl2br w:val="nil"/>
                    <w:tr2bl w:val="nil"/>
                  </w:tcBorders>
                  <w:noWrap w:val="0"/>
                  <w:tcMar>
                    <w:top w:w="0" w:type="dxa"/>
                    <w:left w:w="0" w:type="dxa"/>
                    <w:bottom w:w="0" w:type="dxa"/>
                    <w:right w:w="0" w:type="dxa"/>
                  </w:tcMar>
                  <w:vAlign w:val="center"/>
                </w:tcPr>
                <w:p w14:paraId="4BBFF8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台</w:t>
                  </w:r>
                </w:p>
              </w:tc>
              <w:tc>
                <w:tcPr>
                  <w:tcW w:w="1791" w:type="pct"/>
                  <w:tcBorders>
                    <w:tl2br w:val="nil"/>
                    <w:tr2bl w:val="nil"/>
                  </w:tcBorders>
                  <w:noWrap w:val="0"/>
                  <w:tcMar>
                    <w:top w:w="0" w:type="dxa"/>
                    <w:left w:w="0" w:type="dxa"/>
                    <w:bottom w:w="0" w:type="dxa"/>
                    <w:right w:w="0" w:type="dxa"/>
                  </w:tcMar>
                  <w:vAlign w:val="center"/>
                </w:tcPr>
                <w:p w14:paraId="147475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r>
            <w:tr w14:paraId="1AADC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787CD8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1699" w:type="pct"/>
                  <w:gridSpan w:val="2"/>
                  <w:tcBorders>
                    <w:tl2br w:val="nil"/>
                    <w:tr2bl w:val="nil"/>
                  </w:tcBorders>
                  <w:noWrap w:val="0"/>
                  <w:tcMar>
                    <w:top w:w="0" w:type="dxa"/>
                    <w:left w:w="0" w:type="dxa"/>
                    <w:bottom w:w="0" w:type="dxa"/>
                    <w:right w:w="0" w:type="dxa"/>
                  </w:tcMar>
                  <w:vAlign w:val="center"/>
                </w:tcPr>
                <w:p w14:paraId="6B0423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填充量</w:t>
                  </w:r>
                </w:p>
              </w:tc>
              <w:tc>
                <w:tcPr>
                  <w:tcW w:w="922" w:type="pct"/>
                  <w:tcBorders>
                    <w:tl2br w:val="nil"/>
                    <w:tr2bl w:val="nil"/>
                  </w:tcBorders>
                  <w:noWrap w:val="0"/>
                  <w:tcMar>
                    <w:top w:w="0" w:type="dxa"/>
                    <w:left w:w="0" w:type="dxa"/>
                    <w:bottom w:w="0" w:type="dxa"/>
                    <w:right w:w="0" w:type="dxa"/>
                  </w:tcMar>
                  <w:vAlign w:val="center"/>
                </w:tcPr>
                <w:p w14:paraId="4E7973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kg</w:t>
                  </w:r>
                </w:p>
              </w:tc>
              <w:tc>
                <w:tcPr>
                  <w:tcW w:w="1791" w:type="pct"/>
                  <w:tcBorders>
                    <w:tl2br w:val="nil"/>
                    <w:tr2bl w:val="nil"/>
                  </w:tcBorders>
                  <w:noWrap w:val="0"/>
                  <w:tcMar>
                    <w:top w:w="0" w:type="dxa"/>
                    <w:left w:w="0" w:type="dxa"/>
                    <w:bottom w:w="0" w:type="dxa"/>
                    <w:right w:w="0" w:type="dxa"/>
                  </w:tcMar>
                  <w:vAlign w:val="center"/>
                </w:tcPr>
                <w:p w14:paraId="7BEAE7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二级，每级</w:t>
                  </w:r>
                  <w:r>
                    <w:rPr>
                      <w:rFonts w:hint="eastAsia" w:ascii="Times New Roman" w:hAnsi="Times New Roman" w:eastAsia="宋体" w:cs="Times New Roman"/>
                      <w:color w:val="auto"/>
                      <w:kern w:val="2"/>
                      <w:sz w:val="21"/>
                      <w:szCs w:val="21"/>
                      <w:highlight w:val="none"/>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00</w:t>
                  </w:r>
                </w:p>
              </w:tc>
            </w:tr>
            <w:tr w14:paraId="08E4A7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7C8C0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1699" w:type="pct"/>
                  <w:gridSpan w:val="2"/>
                  <w:tcBorders>
                    <w:tl2br w:val="nil"/>
                    <w:tr2bl w:val="nil"/>
                  </w:tcBorders>
                  <w:noWrap w:val="0"/>
                  <w:tcMar>
                    <w:top w:w="0" w:type="dxa"/>
                    <w:left w:w="0" w:type="dxa"/>
                    <w:bottom w:w="0" w:type="dxa"/>
                    <w:right w:w="0" w:type="dxa"/>
                  </w:tcMar>
                  <w:vAlign w:val="center"/>
                </w:tcPr>
                <w:p w14:paraId="646F50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填充层</w:t>
                  </w:r>
                </w:p>
              </w:tc>
              <w:tc>
                <w:tcPr>
                  <w:tcW w:w="922" w:type="pct"/>
                  <w:tcBorders>
                    <w:tl2br w:val="nil"/>
                    <w:tr2bl w:val="nil"/>
                  </w:tcBorders>
                  <w:noWrap w:val="0"/>
                  <w:tcMar>
                    <w:top w:w="0" w:type="dxa"/>
                    <w:left w:w="0" w:type="dxa"/>
                    <w:bottom w:w="0" w:type="dxa"/>
                    <w:right w:w="0" w:type="dxa"/>
                  </w:tcMar>
                  <w:vAlign w:val="center"/>
                </w:tcPr>
                <w:p w14:paraId="5DF11B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层</w:t>
                  </w:r>
                </w:p>
              </w:tc>
              <w:tc>
                <w:tcPr>
                  <w:tcW w:w="1791" w:type="pct"/>
                  <w:tcBorders>
                    <w:tl2br w:val="nil"/>
                    <w:tr2bl w:val="nil"/>
                  </w:tcBorders>
                  <w:noWrap w:val="0"/>
                  <w:tcMar>
                    <w:top w:w="0" w:type="dxa"/>
                    <w:left w:w="0" w:type="dxa"/>
                    <w:bottom w:w="0" w:type="dxa"/>
                    <w:right w:w="0" w:type="dxa"/>
                  </w:tcMar>
                  <w:vAlign w:val="center"/>
                </w:tcPr>
                <w:p w14:paraId="45DC4D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23CE0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E0782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9</w:t>
                  </w:r>
                </w:p>
              </w:tc>
              <w:tc>
                <w:tcPr>
                  <w:tcW w:w="1699" w:type="pct"/>
                  <w:gridSpan w:val="2"/>
                  <w:tcBorders>
                    <w:tl2br w:val="nil"/>
                    <w:tr2bl w:val="nil"/>
                  </w:tcBorders>
                  <w:noWrap w:val="0"/>
                  <w:tcMar>
                    <w:top w:w="0" w:type="dxa"/>
                    <w:left w:w="0" w:type="dxa"/>
                    <w:bottom w:w="0" w:type="dxa"/>
                    <w:right w:w="0" w:type="dxa"/>
                  </w:tcMar>
                  <w:vAlign w:val="center"/>
                </w:tcPr>
                <w:p w14:paraId="2886AF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更换周期</w:t>
                  </w:r>
                </w:p>
              </w:tc>
              <w:tc>
                <w:tcPr>
                  <w:tcW w:w="922" w:type="pct"/>
                  <w:tcBorders>
                    <w:tl2br w:val="nil"/>
                    <w:tr2bl w:val="nil"/>
                  </w:tcBorders>
                  <w:noWrap w:val="0"/>
                  <w:tcMar>
                    <w:top w:w="0" w:type="dxa"/>
                    <w:left w:w="0" w:type="dxa"/>
                    <w:bottom w:w="0" w:type="dxa"/>
                    <w:right w:w="0" w:type="dxa"/>
                  </w:tcMar>
                  <w:vAlign w:val="center"/>
                </w:tcPr>
                <w:p w14:paraId="395818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w:t>
                  </w:r>
                </w:p>
              </w:tc>
              <w:tc>
                <w:tcPr>
                  <w:tcW w:w="1791" w:type="pct"/>
                  <w:tcBorders>
                    <w:tl2br w:val="nil"/>
                    <w:tr2bl w:val="nil"/>
                  </w:tcBorders>
                  <w:noWrap w:val="0"/>
                  <w:tcMar>
                    <w:top w:w="0" w:type="dxa"/>
                    <w:left w:w="0" w:type="dxa"/>
                    <w:bottom w:w="0" w:type="dxa"/>
                    <w:right w:w="0" w:type="dxa"/>
                  </w:tcMar>
                  <w:vAlign w:val="center"/>
                </w:tcPr>
                <w:p w14:paraId="6BDBF8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49</w:t>
                  </w:r>
                  <w:r>
                    <w:rPr>
                      <w:rFonts w:hint="default" w:ascii="Times New Roman" w:hAnsi="Times New Roman" w:eastAsia="宋体" w:cs="Times New Roman"/>
                      <w:color w:val="auto"/>
                      <w:kern w:val="2"/>
                      <w:sz w:val="21"/>
                      <w:szCs w:val="21"/>
                      <w:highlight w:val="none"/>
                      <w:lang w:val="en-US" w:eastAsia="zh-CN" w:bidi="ar-SA"/>
                    </w:rPr>
                    <w:t>d</w:t>
                  </w:r>
                  <w:r>
                    <w:rPr>
                      <w:rFonts w:hint="default" w:ascii="Times New Roman" w:hAnsi="Times New Roman" w:eastAsia="宋体" w:cs="Times New Roman"/>
                      <w:color w:val="auto"/>
                      <w:szCs w:val="21"/>
                      <w:highlight w:val="none"/>
                      <w:lang w:val="en-US" w:eastAsia="zh-CN"/>
                    </w:rPr>
                    <w:t>更换一次</w:t>
                  </w:r>
                </w:p>
              </w:tc>
            </w:tr>
            <w:tr w14:paraId="7A8AB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63A4A0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10</w:t>
                  </w:r>
                </w:p>
              </w:tc>
              <w:tc>
                <w:tcPr>
                  <w:tcW w:w="977" w:type="pct"/>
                  <w:vMerge w:val="restart"/>
                  <w:tcBorders>
                    <w:right w:val="single" w:color="auto" w:sz="4" w:space="0"/>
                    <w:tl2br w:val="nil"/>
                    <w:tr2bl w:val="nil"/>
                  </w:tcBorders>
                  <w:noWrap w:val="0"/>
                  <w:tcMar>
                    <w:top w:w="0" w:type="dxa"/>
                    <w:left w:w="0" w:type="dxa"/>
                    <w:bottom w:w="0" w:type="dxa"/>
                    <w:right w:w="0" w:type="dxa"/>
                  </w:tcMar>
                  <w:vAlign w:val="center"/>
                </w:tcPr>
                <w:p w14:paraId="1D418E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排气筒参数</w:t>
                  </w:r>
                </w:p>
              </w:tc>
              <w:tc>
                <w:tcPr>
                  <w:tcW w:w="721" w:type="pct"/>
                  <w:tcBorders>
                    <w:left w:val="single" w:color="auto" w:sz="4" w:space="0"/>
                    <w:bottom w:val="single" w:color="auto" w:sz="4" w:space="0"/>
                    <w:tl2br w:val="nil"/>
                    <w:tr2bl w:val="nil"/>
                  </w:tcBorders>
                  <w:noWrap w:val="0"/>
                  <w:tcMar>
                    <w:top w:w="0" w:type="dxa"/>
                    <w:left w:w="0" w:type="dxa"/>
                    <w:bottom w:w="0" w:type="dxa"/>
                    <w:right w:w="0" w:type="dxa"/>
                  </w:tcMar>
                  <w:vAlign w:val="center"/>
                </w:tcPr>
                <w:p w14:paraId="193F5B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高度</w:t>
                  </w:r>
                </w:p>
              </w:tc>
              <w:tc>
                <w:tcPr>
                  <w:tcW w:w="922" w:type="pct"/>
                  <w:tcBorders>
                    <w:tl2br w:val="nil"/>
                    <w:tr2bl w:val="nil"/>
                  </w:tcBorders>
                  <w:noWrap w:val="0"/>
                  <w:tcMar>
                    <w:top w:w="0" w:type="dxa"/>
                    <w:left w:w="0" w:type="dxa"/>
                    <w:bottom w:w="0" w:type="dxa"/>
                    <w:right w:w="0" w:type="dxa"/>
                  </w:tcMar>
                  <w:vAlign w:val="center"/>
                </w:tcPr>
                <w:p w14:paraId="30FC7B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m</w:t>
                  </w:r>
                </w:p>
              </w:tc>
              <w:tc>
                <w:tcPr>
                  <w:tcW w:w="1791" w:type="pct"/>
                  <w:tcBorders>
                    <w:tl2br w:val="nil"/>
                    <w:tr2bl w:val="nil"/>
                  </w:tcBorders>
                  <w:noWrap w:val="0"/>
                  <w:tcMar>
                    <w:top w:w="0" w:type="dxa"/>
                    <w:left w:w="0" w:type="dxa"/>
                    <w:bottom w:w="0" w:type="dxa"/>
                    <w:right w:w="0" w:type="dxa"/>
                  </w:tcMar>
                  <w:vAlign w:val="center"/>
                </w:tcPr>
                <w:p w14:paraId="3B48085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15</w:t>
                  </w:r>
                </w:p>
              </w:tc>
            </w:tr>
            <w:tr w14:paraId="536E6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17E0BA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11</w:t>
                  </w:r>
                </w:p>
              </w:tc>
              <w:tc>
                <w:tcPr>
                  <w:tcW w:w="977" w:type="pct"/>
                  <w:vMerge w:val="continue"/>
                  <w:tcBorders>
                    <w:right w:val="single" w:color="auto" w:sz="4" w:space="0"/>
                    <w:tl2br w:val="nil"/>
                    <w:tr2bl w:val="nil"/>
                  </w:tcBorders>
                  <w:noWrap w:val="0"/>
                  <w:tcMar>
                    <w:top w:w="0" w:type="dxa"/>
                    <w:left w:w="0" w:type="dxa"/>
                    <w:bottom w:w="0" w:type="dxa"/>
                    <w:right w:w="0" w:type="dxa"/>
                  </w:tcMar>
                  <w:vAlign w:val="center"/>
                </w:tcPr>
                <w:p w14:paraId="5C12EE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721" w:type="pct"/>
                  <w:tcBorders>
                    <w:top w:val="single" w:color="auto" w:sz="4" w:space="0"/>
                    <w:left w:val="single" w:color="auto" w:sz="4" w:space="0"/>
                    <w:tl2br w:val="nil"/>
                    <w:tr2bl w:val="nil"/>
                  </w:tcBorders>
                  <w:noWrap w:val="0"/>
                  <w:tcMar>
                    <w:top w:w="0" w:type="dxa"/>
                    <w:left w:w="0" w:type="dxa"/>
                    <w:bottom w:w="0" w:type="dxa"/>
                    <w:right w:w="0" w:type="dxa"/>
                  </w:tcMar>
                  <w:vAlign w:val="center"/>
                </w:tcPr>
                <w:p w14:paraId="7C64DA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直径</w:t>
                  </w:r>
                </w:p>
              </w:tc>
              <w:tc>
                <w:tcPr>
                  <w:tcW w:w="922" w:type="pct"/>
                  <w:tcBorders>
                    <w:bottom w:val="single" w:color="auto" w:sz="4" w:space="0"/>
                    <w:tl2br w:val="nil"/>
                    <w:tr2bl w:val="nil"/>
                  </w:tcBorders>
                  <w:noWrap w:val="0"/>
                  <w:tcMar>
                    <w:top w:w="0" w:type="dxa"/>
                    <w:left w:w="0" w:type="dxa"/>
                    <w:bottom w:w="0" w:type="dxa"/>
                    <w:right w:w="0" w:type="dxa"/>
                  </w:tcMar>
                  <w:vAlign w:val="center"/>
                </w:tcPr>
                <w:p w14:paraId="66B20A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m</w:t>
                  </w:r>
                </w:p>
              </w:tc>
              <w:tc>
                <w:tcPr>
                  <w:tcW w:w="1791" w:type="pct"/>
                  <w:tcBorders>
                    <w:tl2br w:val="nil"/>
                    <w:tr2bl w:val="nil"/>
                  </w:tcBorders>
                  <w:noWrap w:val="0"/>
                  <w:tcMar>
                    <w:top w:w="0" w:type="dxa"/>
                    <w:left w:w="0" w:type="dxa"/>
                    <w:bottom w:w="0" w:type="dxa"/>
                    <w:right w:w="0" w:type="dxa"/>
                  </w:tcMar>
                  <w:vAlign w:val="center"/>
                </w:tcPr>
                <w:p w14:paraId="5AC3CBD8">
                  <w:pPr>
                    <w:keepNext w:val="0"/>
                    <w:keepLines w:val="0"/>
                    <w:pageBreakBefore w:val="0"/>
                    <w:widowControl w:val="0"/>
                    <w:numPr>
                      <w:ilvl w:val="0"/>
                      <w:numId w:val="0"/>
                    </w:numPr>
                    <w:suppressLineNumbers w:val="0"/>
                    <w:tabs>
                      <w:tab w:val="center" w:pos="1518"/>
                      <w:tab w:val="right" w:pos="2919"/>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w:t>
                  </w:r>
                  <w:r>
                    <w:rPr>
                      <w:rFonts w:hint="eastAsia" w:ascii="Times New Roman" w:hAnsi="Times New Roman" w:eastAsia="宋体" w:cs="Times New Roman"/>
                      <w:b w:val="0"/>
                      <w:bCs w:val="0"/>
                      <w:color w:val="auto"/>
                      <w:kern w:val="2"/>
                      <w:sz w:val="21"/>
                      <w:szCs w:val="21"/>
                      <w:highlight w:val="none"/>
                      <w:vertAlign w:val="baseline"/>
                      <w:lang w:val="en-US" w:eastAsia="zh-CN" w:bidi="ar-SA"/>
                    </w:rPr>
                    <w:t>5</w:t>
                  </w:r>
                </w:p>
              </w:tc>
            </w:tr>
            <w:tr w14:paraId="7E813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6" w:type="pct"/>
                  <w:tcBorders>
                    <w:tl2br w:val="nil"/>
                    <w:tr2bl w:val="nil"/>
                  </w:tcBorders>
                  <w:noWrap w:val="0"/>
                  <w:tcMar>
                    <w:top w:w="0" w:type="dxa"/>
                    <w:left w:w="0" w:type="dxa"/>
                    <w:bottom w:w="0" w:type="dxa"/>
                    <w:right w:w="0" w:type="dxa"/>
                  </w:tcMar>
                  <w:vAlign w:val="center"/>
                </w:tcPr>
                <w:p w14:paraId="206C99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12</w:t>
                  </w:r>
                </w:p>
              </w:tc>
              <w:tc>
                <w:tcPr>
                  <w:tcW w:w="977" w:type="pct"/>
                  <w:vMerge w:val="continue"/>
                  <w:tcBorders>
                    <w:right w:val="single" w:color="auto" w:sz="4" w:space="0"/>
                    <w:tl2br w:val="nil"/>
                    <w:tr2bl w:val="nil"/>
                  </w:tcBorders>
                  <w:noWrap w:val="0"/>
                  <w:tcMar>
                    <w:top w:w="0" w:type="dxa"/>
                    <w:left w:w="0" w:type="dxa"/>
                    <w:bottom w:w="0" w:type="dxa"/>
                    <w:right w:w="0" w:type="dxa"/>
                  </w:tcMar>
                  <w:vAlign w:val="center"/>
                </w:tcPr>
                <w:p w14:paraId="0D36C0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21" w:type="pct"/>
                  <w:tcBorders>
                    <w:top w:val="single" w:color="auto" w:sz="4" w:space="0"/>
                    <w:left w:val="single" w:color="auto" w:sz="4" w:space="0"/>
                    <w:tl2br w:val="nil"/>
                    <w:tr2bl w:val="nil"/>
                  </w:tcBorders>
                  <w:noWrap w:val="0"/>
                  <w:tcMar>
                    <w:top w:w="0" w:type="dxa"/>
                    <w:left w:w="0" w:type="dxa"/>
                    <w:bottom w:w="0" w:type="dxa"/>
                    <w:right w:w="0" w:type="dxa"/>
                  </w:tcMar>
                  <w:vAlign w:val="center"/>
                </w:tcPr>
                <w:p w14:paraId="0AAC58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风量</w:t>
                  </w:r>
                </w:p>
              </w:tc>
              <w:tc>
                <w:tcPr>
                  <w:tcW w:w="922" w:type="pct"/>
                  <w:tcBorders>
                    <w:top w:val="single" w:color="auto" w:sz="4" w:space="0"/>
                    <w:tl2br w:val="nil"/>
                    <w:tr2bl w:val="nil"/>
                  </w:tcBorders>
                  <w:noWrap w:val="0"/>
                  <w:tcMar>
                    <w:top w:w="0" w:type="dxa"/>
                    <w:left w:w="0" w:type="dxa"/>
                    <w:bottom w:w="0" w:type="dxa"/>
                    <w:right w:w="0" w:type="dxa"/>
                  </w:tcMar>
                  <w:vAlign w:val="center"/>
                </w:tcPr>
                <w:p w14:paraId="45DC56B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/h</w:t>
                  </w:r>
                </w:p>
              </w:tc>
              <w:tc>
                <w:tcPr>
                  <w:tcW w:w="1791" w:type="pct"/>
                  <w:tcBorders>
                    <w:tl2br w:val="nil"/>
                    <w:tr2bl w:val="nil"/>
                  </w:tcBorders>
                  <w:noWrap w:val="0"/>
                  <w:tcMar>
                    <w:top w:w="0" w:type="dxa"/>
                    <w:left w:w="0" w:type="dxa"/>
                    <w:bottom w:w="0" w:type="dxa"/>
                    <w:right w:w="0" w:type="dxa"/>
                  </w:tcMar>
                  <w:vAlign w:val="center"/>
                </w:tcPr>
                <w:p w14:paraId="05023B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10</w:t>
                  </w:r>
                  <w:r>
                    <w:rPr>
                      <w:rFonts w:hint="default" w:ascii="Times New Roman" w:hAnsi="Times New Roman" w:eastAsia="宋体" w:cs="Times New Roman"/>
                      <w:b w:val="0"/>
                      <w:bCs w:val="0"/>
                      <w:color w:val="auto"/>
                      <w:kern w:val="2"/>
                      <w:sz w:val="21"/>
                      <w:szCs w:val="21"/>
                      <w:highlight w:val="none"/>
                      <w:vertAlign w:val="baseline"/>
                      <w:lang w:val="en-US" w:eastAsia="zh-CN" w:bidi="ar-SA"/>
                    </w:rPr>
                    <w:t>000</w:t>
                  </w:r>
                </w:p>
              </w:tc>
            </w:tr>
          </w:tbl>
          <w:p w14:paraId="48F8CB76">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right="0" w:firstLine="480" w:firstLineChars="200"/>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sz w:val="24"/>
                <w:szCs w:val="24"/>
                <w:highlight w:val="none"/>
              </w:rPr>
              <w:t>根据《材料研究与应用》2010年12月第4卷第4期，余倩等人《活性炭吸附技术对VOCs净化处理的研究进展》一文，采用吸附法能够使VOCs的去除率高达90-95%，本项目非甲烷总烃去除率保守估计取</w:t>
            </w:r>
            <w:r>
              <w:rPr>
                <w:rFonts w:hint="default" w:ascii="Times New Roman" w:hAnsi="Times New Roman" w:eastAsia="宋体" w:cs="Times New Roman"/>
                <w:bCs/>
                <w:color w:val="auto"/>
                <w:sz w:val="24"/>
                <w:szCs w:val="24"/>
                <w:highlight w:val="none"/>
                <w:lang w:val="en-US" w:eastAsia="zh-CN"/>
              </w:rPr>
              <w:t>90</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《省生态环境厅关于深入开展涉VOCs治理重点工作核查的通知》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苏环办</w:t>
            </w:r>
            <w:r>
              <w:rPr>
                <w:rFonts w:hint="eastAsia" w:ascii="Times New Roman" w:hAnsi="Times New Roman" w:eastAsia="宋体" w:cs="Times New Roman"/>
                <w:color w:val="auto"/>
                <w:sz w:val="24"/>
                <w:szCs w:val="24"/>
                <w:highlight w:val="none"/>
                <w:lang w:eastAsia="zh-CN"/>
              </w:rPr>
              <w:t>〔2022〕218号）</w:t>
            </w:r>
            <w:r>
              <w:rPr>
                <w:rFonts w:hint="default" w:ascii="Times New Roman" w:hAnsi="Times New Roman" w:eastAsia="宋体" w:cs="Times New Roman"/>
                <w:color w:val="auto"/>
                <w:sz w:val="24"/>
                <w:szCs w:val="24"/>
                <w:highlight w:val="none"/>
                <w:lang w:val="en-US" w:eastAsia="zh-CN"/>
              </w:rPr>
              <w:t>相关要求，采用蜂窝活性炭时，气体流速宜低于1.20m/s，</w:t>
            </w:r>
            <w:r>
              <w:rPr>
                <w:rFonts w:hint="default" w:ascii="Times New Roman" w:hAnsi="Times New Roman" w:eastAsia="宋体" w:cs="Times New Roman"/>
                <w:i w:val="0"/>
                <w:iCs w:val="0"/>
                <w:caps w:val="0"/>
                <w:color w:val="auto"/>
                <w:spacing w:val="0"/>
                <w:sz w:val="24"/>
                <w:szCs w:val="24"/>
                <w:highlight w:val="none"/>
                <w:shd w:val="clear" w:color="auto" w:fill="FFFFFF"/>
              </w:rPr>
              <w:t>蜂窝活性炭碘吸附值≥</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650</w:t>
            </w:r>
            <w:r>
              <w:rPr>
                <w:rFonts w:hint="default" w:ascii="Times New Roman" w:hAnsi="Times New Roman" w:eastAsia="宋体" w:cs="Times New Roman"/>
                <w:i w:val="0"/>
                <w:iCs w:val="0"/>
                <w:caps w:val="0"/>
                <w:color w:val="auto"/>
                <w:spacing w:val="0"/>
                <w:sz w:val="24"/>
                <w:szCs w:val="24"/>
                <w:highlight w:val="none"/>
                <w:shd w:val="clear" w:color="auto" w:fill="FFFFFF"/>
              </w:rPr>
              <w:t>mg/g</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活性炭更换周期一般不应超过累计运行500小时或3个月</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，进入吸附设备的废气温度应低于40℃，</w:t>
            </w:r>
            <w:r>
              <w:rPr>
                <w:rFonts w:hint="default" w:ascii="Times New Roman" w:hAnsi="Times New Roman" w:eastAsia="宋体" w:cs="Times New Roman"/>
                <w:color w:val="auto"/>
                <w:sz w:val="24"/>
                <w:szCs w:val="24"/>
                <w:highlight w:val="none"/>
                <w:lang w:val="en-US" w:eastAsia="zh-CN"/>
              </w:rPr>
              <w:t>本项目设计活性炭过滤风速为1.11m/s，</w:t>
            </w:r>
            <w:r>
              <w:rPr>
                <w:rFonts w:hint="default" w:ascii="Times New Roman" w:hAnsi="Times New Roman" w:eastAsia="宋体" w:cs="Times New Roman"/>
                <w:i w:val="0"/>
                <w:iCs w:val="0"/>
                <w:caps w:val="0"/>
                <w:color w:val="auto"/>
                <w:spacing w:val="0"/>
                <w:sz w:val="24"/>
                <w:szCs w:val="24"/>
                <w:highlight w:val="none"/>
                <w:shd w:val="clear" w:color="auto" w:fill="FFFFFF"/>
              </w:rPr>
              <w:t>碘吸附值</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为650</w:t>
            </w:r>
            <w:r>
              <w:rPr>
                <w:rFonts w:hint="default" w:ascii="Times New Roman" w:hAnsi="Times New Roman" w:eastAsia="宋体" w:cs="Times New Roman"/>
                <w:i w:val="0"/>
                <w:iCs w:val="0"/>
                <w:caps w:val="0"/>
                <w:color w:val="auto"/>
                <w:spacing w:val="0"/>
                <w:sz w:val="24"/>
                <w:szCs w:val="24"/>
                <w:highlight w:val="none"/>
                <w:shd w:val="clear" w:color="auto" w:fill="FFFFFF"/>
              </w:rPr>
              <w:t>mg/g</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活性炭设计</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49</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d更换一次，项目有机废气经过风机管道等冷却后，进入活性炭箱的温度低于40℃，因此本项目有机废气经过二级活性炭处理</w:t>
            </w:r>
            <w:r>
              <w:rPr>
                <w:rFonts w:hint="default" w:ascii="Times New Roman" w:hAnsi="Times New Roman" w:eastAsia="宋体" w:cs="Times New Roman"/>
                <w:color w:val="auto"/>
                <w:sz w:val="24"/>
                <w:szCs w:val="24"/>
                <w:highlight w:val="none"/>
                <w:lang w:val="en-US" w:eastAsia="zh-CN"/>
              </w:rPr>
              <w:t>满足要求。</w:t>
            </w:r>
          </w:p>
          <w:p w14:paraId="432ABCEB">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活性炭吸附装置设置要求：</w:t>
            </w:r>
          </w:p>
          <w:p w14:paraId="3740D1C9">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按照《吸附法工业有机废气治理工程技术规范》</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2026-2013</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w:t>
            </w:r>
            <w:bookmarkStart w:id="10" w:name="_Hlk141347411"/>
            <w:r>
              <w:rPr>
                <w:rFonts w:hint="default" w:ascii="Times New Roman" w:hAnsi="Times New Roman" w:eastAsia="宋体" w:cs="Times New Roman"/>
                <w:b w:val="0"/>
                <w:bCs w:val="0"/>
                <w:color w:val="auto"/>
                <w:sz w:val="24"/>
                <w:lang w:val="en-US" w:eastAsia="zh-CN"/>
              </w:rPr>
              <w:t>环境保护产品技术要求 工业废气吸附净化装置</w:t>
            </w:r>
            <w:bookmarkEnd w:id="10"/>
            <w:r>
              <w:rPr>
                <w:rFonts w:hint="default" w:ascii="Times New Roman" w:hAnsi="Times New Roman" w:eastAsia="宋体" w:cs="Times New Roman"/>
                <w:b w:val="0"/>
                <w:bCs w:val="0"/>
                <w:color w:val="auto"/>
                <w:sz w:val="24"/>
                <w:lang w:val="en-US" w:eastAsia="zh-CN"/>
              </w:rPr>
              <w:t>》</w:t>
            </w:r>
            <w:bookmarkStart w:id="11" w:name="_Hlk141347438"/>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HJ/T 386-2007</w:t>
            </w:r>
            <w:bookmarkEnd w:id="11"/>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安全设置规定，本项目对拟建活性炭吸附装置提出以下要求：</w:t>
            </w:r>
          </w:p>
          <w:p w14:paraId="44EBB644">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①治理系统应有事故自动报警装置，并符合安全生产、事故防范的相关规定。</w:t>
            </w:r>
          </w:p>
          <w:p w14:paraId="31B2CC26">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②治理系统与主体生产装置之间的管道系统应安装阻火器</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防火阀</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，阻火器性能应符合GB 13347的规定。</w:t>
            </w:r>
          </w:p>
          <w:p w14:paraId="770A3080">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2A2F574F">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④在吸附操作周期内，吸附了有机气体后吸附床内的温度应低于83℃。当吸附装置内的温度超过83℃时，应能自动报警，并立即启动降温装置。</w:t>
            </w:r>
          </w:p>
          <w:p w14:paraId="1D76743C">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⑤采用热空气吹扫方式进行吸附剂再生时，当吸附装置内的温度超过120°时，应能自动报警并立即中止再生操作、启动降温措施。</w:t>
            </w:r>
          </w:p>
          <w:p w14:paraId="2B07D320">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⑥治理装置安装区域应按规定设置消防设施。</w:t>
            </w:r>
          </w:p>
          <w:p w14:paraId="0397C3E2">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⑦治理设备应具备短路保护和接地保护，接地电阻应小于4Q。</w:t>
            </w:r>
          </w:p>
          <w:p w14:paraId="47DC3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b w:val="0"/>
                <w:bCs w:val="0"/>
                <w:color w:val="auto"/>
                <w:sz w:val="24"/>
                <w:lang w:val="en-US" w:eastAsia="zh-CN"/>
              </w:rPr>
              <w:t>⑧室外治理设备应安装符合GB 50057规定的避雷装置。</w:t>
            </w:r>
          </w:p>
          <w:p w14:paraId="38AC8042">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工程实例分析</w:t>
            </w:r>
          </w:p>
          <w:p w14:paraId="7B53E2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本项目根据无锡市新环化工环境监测站于2019年3月对</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常州市博源塑业有限公司年产260万件塑料制品项目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两级活性炭吸附装置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废气排放口的验收检测数据，其废气处理效率在90%以上，具体见下表。</w:t>
            </w:r>
          </w:p>
          <w:p w14:paraId="7AF40246">
            <w:pPr>
              <w:adjustRightInd w:val="0"/>
              <w:snapToGrid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工程实例废气监测结果表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393"/>
              <w:gridCol w:w="1393"/>
              <w:gridCol w:w="1393"/>
              <w:gridCol w:w="1393"/>
              <w:gridCol w:w="1396"/>
            </w:tblGrid>
            <w:tr w14:paraId="48C73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restart"/>
                  <w:vAlign w:val="center"/>
                </w:tcPr>
                <w:p w14:paraId="2964212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项目点位</w:t>
                  </w:r>
                </w:p>
              </w:tc>
              <w:tc>
                <w:tcPr>
                  <w:tcW w:w="833" w:type="pct"/>
                  <w:vMerge w:val="restart"/>
                  <w:vAlign w:val="center"/>
                </w:tcPr>
                <w:p w14:paraId="4CF8507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w:t>
                  </w:r>
                </w:p>
              </w:tc>
              <w:tc>
                <w:tcPr>
                  <w:tcW w:w="3334" w:type="pct"/>
                  <w:gridSpan w:val="4"/>
                  <w:vAlign w:val="center"/>
                </w:tcPr>
                <w:p w14:paraId="2D3C4840">
                  <w:pPr>
                    <w:adjustRightInd w:val="0"/>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非甲烷总烃监测结果</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sz w:val="21"/>
                      <w:szCs w:val="21"/>
                      <w:lang w:eastAsia="zh-CN"/>
                    </w:rPr>
                    <w:t>）</w:t>
                  </w:r>
                </w:p>
              </w:tc>
            </w:tr>
            <w:tr w14:paraId="3A36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continue"/>
                  <w:vAlign w:val="center"/>
                </w:tcPr>
                <w:p w14:paraId="1001C86B">
                  <w:pPr>
                    <w:adjustRightInd w:val="0"/>
                    <w:snapToGrid w:val="0"/>
                    <w:jc w:val="center"/>
                    <w:rPr>
                      <w:rFonts w:hint="default" w:ascii="Times New Roman" w:hAnsi="Times New Roman" w:eastAsia="宋体" w:cs="Times New Roman"/>
                      <w:color w:val="auto"/>
                      <w:sz w:val="21"/>
                      <w:szCs w:val="21"/>
                    </w:rPr>
                  </w:pPr>
                </w:p>
              </w:tc>
              <w:tc>
                <w:tcPr>
                  <w:tcW w:w="833" w:type="pct"/>
                  <w:vMerge w:val="continue"/>
                  <w:vAlign w:val="center"/>
                </w:tcPr>
                <w:p w14:paraId="1393F698">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04E442D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3" w:type="pct"/>
                  <w:vAlign w:val="center"/>
                </w:tcPr>
                <w:p w14:paraId="44421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3" w:type="pct"/>
                  <w:vAlign w:val="center"/>
                </w:tcPr>
                <w:p w14:paraId="3633ABE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33" w:type="pct"/>
                  <w:vAlign w:val="center"/>
                </w:tcPr>
                <w:p w14:paraId="0C7337F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r>
            <w:tr w14:paraId="0756C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67496E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废气进口</w:t>
                  </w:r>
                </w:p>
              </w:tc>
              <w:tc>
                <w:tcPr>
                  <w:tcW w:w="833" w:type="pct"/>
                  <w:vMerge w:val="restart"/>
                  <w:vAlign w:val="center"/>
                </w:tcPr>
                <w:p w14:paraId="406ACD4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2019.3.29</w:t>
                  </w:r>
                </w:p>
              </w:tc>
              <w:tc>
                <w:tcPr>
                  <w:tcW w:w="833" w:type="pct"/>
                  <w:vAlign w:val="center"/>
                </w:tcPr>
                <w:p w14:paraId="6A21DA1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w:t>
                  </w:r>
                </w:p>
              </w:tc>
              <w:tc>
                <w:tcPr>
                  <w:tcW w:w="833" w:type="pct"/>
                  <w:vAlign w:val="center"/>
                </w:tcPr>
                <w:p w14:paraId="3913013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w:t>
                  </w:r>
                </w:p>
              </w:tc>
              <w:tc>
                <w:tcPr>
                  <w:tcW w:w="833" w:type="pct"/>
                  <w:vAlign w:val="center"/>
                </w:tcPr>
                <w:p w14:paraId="6A9830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833" w:type="pct"/>
                  <w:vAlign w:val="center"/>
                </w:tcPr>
                <w:p w14:paraId="746DE68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r>
            <w:tr w14:paraId="59103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2060CF4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废气出口</w:t>
                  </w:r>
                </w:p>
              </w:tc>
              <w:tc>
                <w:tcPr>
                  <w:tcW w:w="833" w:type="pct"/>
                  <w:vMerge w:val="continue"/>
                  <w:vAlign w:val="center"/>
                </w:tcPr>
                <w:p w14:paraId="30586F1C">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69833A8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594897E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833" w:type="pct"/>
                  <w:vAlign w:val="center"/>
                </w:tcPr>
                <w:p w14:paraId="77BDD3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75AC38A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r>
            <w:tr w14:paraId="7ADA6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96548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833" w:type="pct"/>
                  <w:vMerge w:val="continue"/>
                  <w:vAlign w:val="center"/>
                </w:tcPr>
                <w:p w14:paraId="17BBD36F">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541941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94.1</w:t>
                  </w:r>
                </w:p>
              </w:tc>
              <w:tc>
                <w:tcPr>
                  <w:tcW w:w="833" w:type="pct"/>
                  <w:vAlign w:val="center"/>
                </w:tcPr>
                <w:p w14:paraId="5085E13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91.7</w:t>
                  </w:r>
                </w:p>
              </w:tc>
              <w:tc>
                <w:tcPr>
                  <w:tcW w:w="833" w:type="pct"/>
                  <w:vAlign w:val="center"/>
                </w:tcPr>
                <w:p w14:paraId="1606529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93.9</w:t>
                  </w:r>
                </w:p>
              </w:tc>
              <w:tc>
                <w:tcPr>
                  <w:tcW w:w="833" w:type="pct"/>
                  <w:vAlign w:val="center"/>
                </w:tcPr>
                <w:p w14:paraId="3F1727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93.4</w:t>
                  </w:r>
                </w:p>
              </w:tc>
            </w:tr>
          </w:tbl>
          <w:p w14:paraId="628D703B">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color w:val="auto"/>
                <w:sz w:val="24"/>
                <w:szCs w:val="24"/>
              </w:rPr>
              <w:t>由上表可知，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两级活性炭吸附装置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对非甲烷总烃的去除效率平均在90%以上，故认为本项目两级活性炭吸附装置对非甲烷总烃去除效率以90%计算是可行的。</w:t>
            </w:r>
          </w:p>
          <w:p w14:paraId="40F5764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⑤排气筒设置可行性分析</w:t>
            </w:r>
          </w:p>
          <w:p w14:paraId="560BBF4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高度合理性分析</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封装工序废气</w:t>
            </w:r>
            <w:r>
              <w:rPr>
                <w:rFonts w:hint="default" w:ascii="Times New Roman" w:hAnsi="Times New Roman" w:eastAsia="宋体" w:cs="Times New Roman"/>
                <w:color w:val="auto"/>
                <w:sz w:val="24"/>
                <w:szCs w:val="24"/>
                <w:lang w:val="en-US" w:eastAsia="zh-CN"/>
              </w:rPr>
              <w:t>经集气罩+</w:t>
            </w:r>
            <w:r>
              <w:rPr>
                <w:rFonts w:hint="eastAsia" w:ascii="Times New Roman" w:hAnsi="Times New Roman" w:eastAsia="宋体" w:cs="Times New Roman"/>
                <w:color w:val="auto"/>
                <w:sz w:val="24"/>
                <w:szCs w:val="24"/>
                <w:lang w:val="en-US" w:eastAsia="zh-CN"/>
              </w:rPr>
              <w:t>二级活性炭吸附装置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m高排气筒DA00</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Cs/>
                <w:color w:val="auto"/>
                <w:sz w:val="24"/>
                <w:lang w:val="en-US" w:eastAsia="zh-CN"/>
              </w:rPr>
              <w:t>焊接</w:t>
            </w:r>
            <w:r>
              <w:rPr>
                <w:rFonts w:hint="default" w:ascii="Times New Roman" w:hAnsi="Times New Roman" w:eastAsia="宋体" w:cs="Times New Roman"/>
                <w:color w:val="auto"/>
                <w:sz w:val="24"/>
                <w:szCs w:val="24"/>
                <w:lang w:val="en-US" w:eastAsia="zh-CN"/>
              </w:rPr>
              <w:t>工序废气经集气罩+</w:t>
            </w:r>
            <w:r>
              <w:rPr>
                <w:rFonts w:hint="eastAsia"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m高排气筒DA00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在生产过程中，为了保证废气的有效排出，其排气筒出口设置在屋顶，车间厂房高度</w:t>
            </w:r>
            <w:r>
              <w:rPr>
                <w:rFonts w:hint="eastAsia" w:ascii="Times New Roman" w:hAnsi="Times New Roman" w:eastAsia="宋体" w:cs="Times New Roman"/>
                <w:color w:val="auto"/>
                <w:sz w:val="24"/>
                <w:lang w:val="en-US" w:eastAsia="zh-CN"/>
              </w:rPr>
              <w:t>约10</w:t>
            </w:r>
            <w:r>
              <w:rPr>
                <w:rFonts w:hint="default" w:ascii="Times New Roman" w:hAnsi="Times New Roman" w:eastAsia="宋体" w:cs="Times New Roman"/>
                <w:color w:val="auto"/>
                <w:sz w:val="24"/>
              </w:rPr>
              <w:t>米，周边100米内无更高建筑，故排气筒设置</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米高是可行的。</w:t>
            </w:r>
          </w:p>
          <w:p w14:paraId="0D2F80D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排气筒数量可行性分析：</w:t>
            </w:r>
            <w:r>
              <w:rPr>
                <w:rFonts w:hint="default" w:ascii="Times New Roman" w:hAnsi="Times New Roman" w:eastAsia="宋体" w:cs="Times New Roman"/>
                <w:color w:val="auto"/>
                <w:sz w:val="24"/>
              </w:rPr>
              <w:t>本项目排气筒的设置数量严格按照工段分布来布置，为减少排气筒数量，项目按照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分类收集处理，统一排放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的原则布置排气筒。根据废气排放污染因子和设备布置情况，共设置</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根</w:t>
            </w:r>
            <w:r>
              <w:rPr>
                <w:rFonts w:hint="default" w:ascii="Times New Roman" w:hAnsi="Times New Roman" w:eastAsia="宋体" w:cs="Times New Roman"/>
                <w:color w:val="auto"/>
                <w:sz w:val="24"/>
              </w:rPr>
              <w:t>排气筒。排气筒布置时综合考虑了废气合并处理的适宜性、风量大小、排气筒检修对生产装置带来的影响大小等因素。</w:t>
            </w:r>
          </w:p>
          <w:p w14:paraId="48C3A92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出口风速合理性分析：</w:t>
            </w:r>
            <w:r>
              <w:rPr>
                <w:rFonts w:hint="default" w:ascii="Times New Roman" w:hAnsi="Times New Roman" w:eastAsia="宋体" w:cs="Times New Roman"/>
                <w:color w:val="auto"/>
                <w:sz w:val="24"/>
              </w:rPr>
              <w:t>根据《大气污染治理工程技术导则》（HJ2000-2010），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排气筒的出口直径应根据出口流速确定，流速宜取15m/s左右。当采用钢管烟囱且高度较高时或烟气量较大时，可适当提高出口流速至20～25m/s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焊接</w:t>
            </w:r>
            <w:r>
              <w:rPr>
                <w:rFonts w:hint="default" w:ascii="Times New Roman" w:hAnsi="Times New Roman" w:eastAsia="宋体" w:cs="Times New Roman"/>
                <w:color w:val="auto"/>
                <w:sz w:val="24"/>
                <w:lang w:val="en-US" w:eastAsia="zh-CN"/>
              </w:rPr>
              <w:t>工序</w:t>
            </w:r>
            <w:r>
              <w:rPr>
                <w:rFonts w:hint="default" w:ascii="Times New Roman" w:hAnsi="Times New Roman" w:eastAsia="宋体" w:cs="Times New Roman"/>
                <w:color w:val="auto"/>
                <w:sz w:val="24"/>
              </w:rPr>
              <w:t>废气</w:t>
            </w:r>
            <w:r>
              <w:rPr>
                <w:rFonts w:hint="default" w:ascii="Times New Roman" w:hAnsi="Times New Roman" w:eastAsia="宋体" w:cs="Times New Roman"/>
                <w:color w:val="auto"/>
                <w:sz w:val="24"/>
                <w:lang w:val="en-US" w:eastAsia="zh-CN"/>
              </w:rPr>
              <w:t>排口流速约为</w:t>
            </w:r>
            <w:r>
              <w:rPr>
                <w:rFonts w:hint="eastAsia" w:ascii="Times New Roman" w:hAnsi="Times New Roman" w:eastAsia="宋体" w:cs="Times New Roman"/>
                <w:color w:val="auto"/>
                <w:sz w:val="24"/>
                <w:lang w:val="en-US" w:eastAsia="zh-CN"/>
              </w:rPr>
              <w:t>12.87</w:t>
            </w:r>
            <w:r>
              <w:rPr>
                <w:rFonts w:hint="default" w:ascii="Times New Roman" w:hAnsi="Times New Roman" w:eastAsia="宋体" w:cs="Times New Roman"/>
                <w:color w:val="auto"/>
                <w:sz w:val="24"/>
              </w:rPr>
              <w:t>m/s，</w:t>
            </w:r>
            <w:r>
              <w:rPr>
                <w:rFonts w:hint="eastAsia" w:ascii="Times New Roman" w:hAnsi="Times New Roman" w:eastAsia="宋体" w:cs="Times New Roman"/>
                <w:color w:val="auto"/>
                <w:sz w:val="24"/>
                <w:lang w:val="en-US" w:eastAsia="zh-CN"/>
              </w:rPr>
              <w:t>封装</w:t>
            </w:r>
            <w:r>
              <w:rPr>
                <w:rFonts w:hint="default" w:ascii="Times New Roman" w:hAnsi="Times New Roman" w:eastAsia="宋体" w:cs="Times New Roman"/>
                <w:color w:val="auto"/>
                <w:sz w:val="24"/>
                <w:lang w:val="en-US" w:eastAsia="zh-CN"/>
              </w:rPr>
              <w:t>工序</w:t>
            </w:r>
            <w:r>
              <w:rPr>
                <w:rFonts w:hint="default" w:ascii="Times New Roman" w:hAnsi="Times New Roman" w:eastAsia="宋体" w:cs="Times New Roman"/>
                <w:color w:val="auto"/>
                <w:sz w:val="24"/>
              </w:rPr>
              <w:t>废气</w:t>
            </w:r>
            <w:r>
              <w:rPr>
                <w:rFonts w:hint="default" w:ascii="Times New Roman" w:hAnsi="Times New Roman" w:eastAsia="宋体" w:cs="Times New Roman"/>
                <w:color w:val="auto"/>
                <w:sz w:val="24"/>
                <w:lang w:val="en-US" w:eastAsia="zh-CN"/>
              </w:rPr>
              <w:t>排口流速约为</w:t>
            </w:r>
            <w:r>
              <w:rPr>
                <w:rFonts w:hint="eastAsia" w:ascii="Times New Roman" w:hAnsi="Times New Roman" w:eastAsia="宋体" w:cs="Times New Roman"/>
                <w:color w:val="auto"/>
                <w:sz w:val="24"/>
                <w:lang w:val="en-US" w:eastAsia="zh-CN"/>
              </w:rPr>
              <w:t>15.44</w:t>
            </w:r>
            <w:r>
              <w:rPr>
                <w:rFonts w:hint="default" w:ascii="Times New Roman" w:hAnsi="Times New Roman" w:eastAsia="宋体" w:cs="Times New Roman"/>
                <w:color w:val="auto"/>
                <w:sz w:val="24"/>
              </w:rPr>
              <w:t>m/s，可满足要求。从以上的分析可知，本项目的排气筒设置是合理可行的。</w:t>
            </w:r>
          </w:p>
          <w:p w14:paraId="51205CA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（2）无组织废气</w:t>
            </w:r>
          </w:p>
          <w:p w14:paraId="58B630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本项目无组织废气为未捕集</w:t>
            </w:r>
            <w:r>
              <w:rPr>
                <w:rFonts w:hint="eastAsia" w:ascii="Times New Roman" w:hAnsi="Times New Roman" w:eastAsia="宋体" w:cs="Times New Roman"/>
                <w:color w:val="auto"/>
                <w:sz w:val="24"/>
                <w:lang w:val="en-US" w:eastAsia="zh-CN"/>
              </w:rPr>
              <w:t>成型封装工序、清洗烘干工序、焊接工序废气</w:t>
            </w:r>
            <w:r>
              <w:rPr>
                <w:rFonts w:hint="default" w:ascii="Times New Roman" w:hAnsi="Times New Roman" w:eastAsia="宋体" w:cs="Times New Roman"/>
                <w:color w:val="auto"/>
                <w:sz w:val="24"/>
              </w:rPr>
              <w:t>，为减小无组织废气对周围环境的影响，建议通过采取以下措施进行控制：</w:t>
            </w:r>
          </w:p>
          <w:p w14:paraId="285216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大气污染控制工程》（高等教育出版社）中集气罩、吸风管的设计规范合理设置集气罩、吸风管的尺寸和安装位置，尽可能提高废气的收集效率，减小无组织排放源强；同时加强管理，尽量减少有机废气的散逸。</w:t>
            </w:r>
          </w:p>
          <w:p w14:paraId="051D1F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②建设单位每天生产结束后环保设备风机仍继续运行2小时以上以提高废气捕集效率，减小无组织排放源强。</w:t>
            </w:r>
          </w:p>
          <w:p w14:paraId="639F9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③加强生产管理，增加员工意识，规范操作，采取预防为主、清洁生产的方针，采用先进生产工艺，选用先进的生产设备和清洁原料。</w:t>
            </w:r>
          </w:p>
          <w:p w14:paraId="6093E9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④定期对废气处理设施进行维护、保养和清理，保证其处理效率。</w:t>
            </w:r>
          </w:p>
          <w:p w14:paraId="40C99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⑤加强车间通排风，以降低无组织排放废气的影响；</w:t>
            </w:r>
          </w:p>
          <w:p w14:paraId="5B9CA138">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color w:val="auto"/>
                <w:sz w:val="24"/>
              </w:rPr>
              <w:t>综上所述，本项目无组织废气污染防治措施可行，可达标排放。</w:t>
            </w:r>
          </w:p>
        </w:tc>
      </w:tr>
    </w:tbl>
    <w:p w14:paraId="020E78FC">
      <w:pPr>
        <w:numPr>
          <w:ilvl w:val="0"/>
          <w:numId w:val="0"/>
        </w:num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6"/>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459"/>
      </w:tblGrid>
      <w:tr w14:paraId="4B4C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1377714E">
            <w:pPr>
              <w:adjustRightInd w:val="0"/>
              <w:snapToGrid w:val="0"/>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b/>
                <w:bCs w:val="0"/>
                <w:color w:val="auto"/>
                <w:sz w:val="24"/>
                <w:szCs w:val="24"/>
              </w:rPr>
              <w:t>运营期环境影响和保护措施</w:t>
            </w:r>
          </w:p>
        </w:tc>
        <w:tc>
          <w:tcPr>
            <w:tcW w:w="4747" w:type="pct"/>
            <w:vAlign w:val="center"/>
          </w:tcPr>
          <w:p w14:paraId="3F172EF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rPr>
              <w:t>达标情况分析</w:t>
            </w:r>
          </w:p>
          <w:p w14:paraId="1B466B19">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（1）有组织废气</w:t>
            </w:r>
          </w:p>
          <w:p w14:paraId="23F13514">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本项目有组织废气排放情况见下表4-</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w:t>
            </w:r>
          </w:p>
          <w:p w14:paraId="16FDD3BC">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 xml:space="preserve">  本项目有组织废气排放源强表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62"/>
              <w:gridCol w:w="994"/>
              <w:gridCol w:w="1052"/>
              <w:gridCol w:w="740"/>
              <w:gridCol w:w="901"/>
              <w:gridCol w:w="880"/>
              <w:gridCol w:w="1418"/>
              <w:gridCol w:w="602"/>
              <w:gridCol w:w="801"/>
              <w:gridCol w:w="798"/>
              <w:gridCol w:w="819"/>
              <w:gridCol w:w="708"/>
              <w:gridCol w:w="567"/>
              <w:gridCol w:w="1036"/>
              <w:gridCol w:w="665"/>
            </w:tblGrid>
            <w:tr w14:paraId="24E4C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76" w:type="pct"/>
                  <w:vMerge w:val="restart"/>
                  <w:vAlign w:val="center"/>
                </w:tcPr>
                <w:p w14:paraId="08C1FF3E">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375" w:type="pct"/>
                  <w:vMerge w:val="restart"/>
                  <w:vAlign w:val="center"/>
                </w:tcPr>
                <w:p w14:paraId="60A4419E">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397" w:type="pct"/>
                  <w:vMerge w:val="restart"/>
                  <w:vAlign w:val="center"/>
                </w:tcPr>
                <w:p w14:paraId="23B13EF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3CA86E2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51" w:type="pct"/>
                  <w:gridSpan w:val="3"/>
                  <w:vAlign w:val="center"/>
                </w:tcPr>
                <w:p w14:paraId="49F72BE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535" w:type="pct"/>
                  <w:vMerge w:val="restart"/>
                  <w:vAlign w:val="center"/>
                </w:tcPr>
                <w:p w14:paraId="7BB59693">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227" w:type="pct"/>
                  <w:vMerge w:val="restart"/>
                  <w:vAlign w:val="center"/>
                </w:tcPr>
                <w:p w14:paraId="1272504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去除率％</w:t>
                  </w:r>
                </w:p>
              </w:tc>
              <w:tc>
                <w:tcPr>
                  <w:tcW w:w="912" w:type="pct"/>
                  <w:gridSpan w:val="3"/>
                  <w:vAlign w:val="center"/>
                </w:tcPr>
                <w:p w14:paraId="3035F52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481" w:type="pct"/>
                  <w:gridSpan w:val="2"/>
                  <w:vAlign w:val="center"/>
                </w:tcPr>
                <w:p w14:paraId="260E6D8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391" w:type="pct"/>
                  <w:vMerge w:val="restart"/>
                  <w:vAlign w:val="center"/>
                </w:tcPr>
                <w:p w14:paraId="01F94FB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排气筒名称及编号</w:t>
                  </w:r>
                </w:p>
              </w:tc>
              <w:tc>
                <w:tcPr>
                  <w:tcW w:w="251" w:type="pct"/>
                  <w:vMerge w:val="restart"/>
                  <w:vAlign w:val="center"/>
                </w:tcPr>
                <w:p w14:paraId="73D1AEC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6845FF32">
                  <w:pPr>
                    <w:contextualSpacing/>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时间</w:t>
                  </w:r>
                </w:p>
              </w:tc>
            </w:tr>
            <w:tr w14:paraId="06DAA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76" w:type="pct"/>
                  <w:vMerge w:val="continue"/>
                  <w:vAlign w:val="center"/>
                </w:tcPr>
                <w:p w14:paraId="6DD34CDA">
                  <w:pPr>
                    <w:contextualSpacing/>
                    <w:rPr>
                      <w:rFonts w:hint="default" w:ascii="Times New Roman" w:hAnsi="Times New Roman" w:eastAsia="宋体" w:cs="Times New Roman"/>
                      <w:b/>
                      <w:bCs/>
                      <w:color w:val="auto"/>
                      <w:sz w:val="21"/>
                      <w:szCs w:val="21"/>
                    </w:rPr>
                  </w:pPr>
                </w:p>
              </w:tc>
              <w:tc>
                <w:tcPr>
                  <w:tcW w:w="375" w:type="pct"/>
                  <w:vMerge w:val="continue"/>
                  <w:vAlign w:val="center"/>
                </w:tcPr>
                <w:p w14:paraId="31AE0F7C">
                  <w:pPr>
                    <w:contextualSpacing/>
                    <w:rPr>
                      <w:rFonts w:hint="default" w:ascii="Times New Roman" w:hAnsi="Times New Roman" w:eastAsia="宋体" w:cs="Times New Roman"/>
                      <w:b/>
                      <w:bCs/>
                      <w:color w:val="auto"/>
                      <w:sz w:val="21"/>
                      <w:szCs w:val="21"/>
                    </w:rPr>
                  </w:pPr>
                </w:p>
              </w:tc>
              <w:tc>
                <w:tcPr>
                  <w:tcW w:w="397" w:type="pct"/>
                  <w:vMerge w:val="continue"/>
                  <w:vAlign w:val="center"/>
                </w:tcPr>
                <w:p w14:paraId="768F0AFE">
                  <w:pPr>
                    <w:contextualSpacing/>
                    <w:rPr>
                      <w:rFonts w:hint="default" w:ascii="Times New Roman" w:hAnsi="Times New Roman" w:eastAsia="宋体" w:cs="Times New Roman"/>
                      <w:b/>
                      <w:bCs/>
                      <w:color w:val="auto"/>
                      <w:sz w:val="21"/>
                      <w:szCs w:val="21"/>
                    </w:rPr>
                  </w:pPr>
                </w:p>
              </w:tc>
              <w:tc>
                <w:tcPr>
                  <w:tcW w:w="279" w:type="pct"/>
                  <w:tcMar>
                    <w:top w:w="0" w:type="dxa"/>
                    <w:left w:w="28" w:type="dxa"/>
                    <w:bottom w:w="0" w:type="dxa"/>
                    <w:right w:w="28" w:type="dxa"/>
                  </w:tcMar>
                  <w:vAlign w:val="center"/>
                </w:tcPr>
                <w:p w14:paraId="6A55C24C">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340" w:type="pct"/>
                  <w:tcMar>
                    <w:top w:w="0" w:type="dxa"/>
                    <w:left w:w="28" w:type="dxa"/>
                    <w:bottom w:w="0" w:type="dxa"/>
                    <w:right w:w="28" w:type="dxa"/>
                  </w:tcMar>
                  <w:vAlign w:val="center"/>
                </w:tcPr>
                <w:p w14:paraId="076EEAC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32" w:type="pct"/>
                  <w:vAlign w:val="center"/>
                </w:tcPr>
                <w:p w14:paraId="1598FC8C">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535" w:type="pct"/>
                  <w:vMerge w:val="continue"/>
                  <w:vAlign w:val="center"/>
                </w:tcPr>
                <w:p w14:paraId="0F57A1EC">
                  <w:pPr>
                    <w:contextualSpacing/>
                    <w:rPr>
                      <w:rFonts w:hint="default" w:ascii="Times New Roman" w:hAnsi="Times New Roman" w:eastAsia="宋体" w:cs="Times New Roman"/>
                      <w:b/>
                      <w:bCs/>
                      <w:color w:val="auto"/>
                      <w:sz w:val="21"/>
                      <w:szCs w:val="21"/>
                    </w:rPr>
                  </w:pPr>
                </w:p>
              </w:tc>
              <w:tc>
                <w:tcPr>
                  <w:tcW w:w="227" w:type="pct"/>
                  <w:vMerge w:val="continue"/>
                  <w:vAlign w:val="center"/>
                </w:tcPr>
                <w:p w14:paraId="2151D564">
                  <w:pPr>
                    <w:contextualSpacing/>
                    <w:rPr>
                      <w:rFonts w:hint="default" w:ascii="Times New Roman" w:hAnsi="Times New Roman" w:eastAsia="宋体" w:cs="Times New Roman"/>
                      <w:b/>
                      <w:bCs/>
                      <w:color w:val="auto"/>
                      <w:sz w:val="21"/>
                      <w:szCs w:val="21"/>
                    </w:rPr>
                  </w:pPr>
                </w:p>
              </w:tc>
              <w:tc>
                <w:tcPr>
                  <w:tcW w:w="302" w:type="pct"/>
                  <w:vAlign w:val="center"/>
                </w:tcPr>
                <w:p w14:paraId="4A8BC61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301" w:type="pct"/>
                  <w:vAlign w:val="center"/>
                </w:tcPr>
                <w:p w14:paraId="37914A76">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09" w:type="pct"/>
                  <w:vAlign w:val="center"/>
                </w:tcPr>
                <w:p w14:paraId="52F5F16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267" w:type="pct"/>
                  <w:vAlign w:val="center"/>
                </w:tcPr>
                <w:p w14:paraId="575AE3B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214" w:type="pct"/>
                  <w:vAlign w:val="center"/>
                </w:tcPr>
                <w:p w14:paraId="0F935BA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91" w:type="pct"/>
                  <w:vMerge w:val="continue"/>
                  <w:vAlign w:val="center"/>
                </w:tcPr>
                <w:p w14:paraId="4DD7156B">
                  <w:pPr>
                    <w:jc w:val="center"/>
                    <w:rPr>
                      <w:rFonts w:hint="default" w:ascii="Times New Roman" w:hAnsi="Times New Roman" w:eastAsia="宋体" w:cs="Times New Roman"/>
                      <w:b/>
                      <w:bCs/>
                      <w:color w:val="auto"/>
                      <w:sz w:val="21"/>
                      <w:szCs w:val="21"/>
                    </w:rPr>
                  </w:pPr>
                </w:p>
              </w:tc>
              <w:tc>
                <w:tcPr>
                  <w:tcW w:w="251" w:type="pct"/>
                  <w:vMerge w:val="continue"/>
                  <w:vAlign w:val="center"/>
                </w:tcPr>
                <w:p w14:paraId="6F835DE8">
                  <w:pPr>
                    <w:contextualSpacing/>
                    <w:rPr>
                      <w:rFonts w:hint="default" w:ascii="Times New Roman" w:hAnsi="Times New Roman" w:eastAsia="宋体" w:cs="Times New Roman"/>
                      <w:b/>
                      <w:bCs/>
                      <w:color w:val="auto"/>
                      <w:sz w:val="21"/>
                      <w:szCs w:val="21"/>
                    </w:rPr>
                  </w:pPr>
                </w:p>
              </w:tc>
            </w:tr>
            <w:tr w14:paraId="3F59E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476" w:type="pct"/>
                  <w:vMerge w:val="restart"/>
                  <w:vAlign w:val="center"/>
                </w:tcPr>
                <w:p w14:paraId="0BC12920">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封装工序</w:t>
                  </w:r>
                </w:p>
              </w:tc>
              <w:tc>
                <w:tcPr>
                  <w:tcW w:w="375" w:type="pct"/>
                  <w:vMerge w:val="restart"/>
                  <w:vAlign w:val="center"/>
                </w:tcPr>
                <w:p w14:paraId="0D3CCCD5">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10000</w:t>
                  </w:r>
                </w:p>
              </w:tc>
              <w:tc>
                <w:tcPr>
                  <w:tcW w:w="397" w:type="pct"/>
                  <w:vAlign w:val="center"/>
                </w:tcPr>
                <w:p w14:paraId="6D978B19">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非甲烷总烃</w:t>
                  </w:r>
                </w:p>
              </w:tc>
              <w:tc>
                <w:tcPr>
                  <w:tcW w:w="279" w:type="pct"/>
                  <w:tcMar>
                    <w:top w:w="0" w:type="dxa"/>
                    <w:left w:w="28" w:type="dxa"/>
                    <w:bottom w:w="0" w:type="dxa"/>
                    <w:right w:w="28" w:type="dxa"/>
                  </w:tcMar>
                  <w:vAlign w:val="center"/>
                </w:tcPr>
                <w:p w14:paraId="39AF74EE">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0.77</w:t>
                  </w:r>
                </w:p>
              </w:tc>
              <w:tc>
                <w:tcPr>
                  <w:tcW w:w="340" w:type="pct"/>
                  <w:tcMar>
                    <w:top w:w="0" w:type="dxa"/>
                    <w:left w:w="28" w:type="dxa"/>
                    <w:bottom w:w="0" w:type="dxa"/>
                    <w:right w:w="28" w:type="dxa"/>
                  </w:tcMar>
                  <w:vAlign w:val="center"/>
                </w:tcPr>
                <w:p w14:paraId="58A5D2A5">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0.107</w:t>
                  </w:r>
                </w:p>
              </w:tc>
              <w:tc>
                <w:tcPr>
                  <w:tcW w:w="332" w:type="pct"/>
                  <w:vAlign w:val="center"/>
                </w:tcPr>
                <w:p w14:paraId="28B9CD69">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10.694</w:t>
                  </w:r>
                </w:p>
              </w:tc>
              <w:tc>
                <w:tcPr>
                  <w:tcW w:w="535" w:type="pct"/>
                  <w:vMerge w:val="restart"/>
                  <w:vAlign w:val="center"/>
                </w:tcPr>
                <w:p w14:paraId="421C35E1">
                  <w:pPr>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二级活性炭吸附装置</w:t>
                  </w:r>
                </w:p>
              </w:tc>
              <w:tc>
                <w:tcPr>
                  <w:tcW w:w="227" w:type="pct"/>
                  <w:vAlign w:val="center"/>
                </w:tcPr>
                <w:p w14:paraId="6010972B">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302" w:type="pct"/>
                  <w:vAlign w:val="center"/>
                </w:tcPr>
                <w:p w14:paraId="4BD2B832">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0.077</w:t>
                  </w:r>
                </w:p>
              </w:tc>
              <w:tc>
                <w:tcPr>
                  <w:tcW w:w="301" w:type="pct"/>
                  <w:vAlign w:val="center"/>
                </w:tcPr>
                <w:p w14:paraId="19FB92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309" w:type="pct"/>
                  <w:vAlign w:val="center"/>
                </w:tcPr>
                <w:p w14:paraId="0D5142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1.069</w:t>
                  </w:r>
                </w:p>
              </w:tc>
              <w:tc>
                <w:tcPr>
                  <w:tcW w:w="267" w:type="pct"/>
                  <w:shd w:val="clear" w:color="auto" w:fill="auto"/>
                  <w:vAlign w:val="center"/>
                </w:tcPr>
                <w:p w14:paraId="66E8485E">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60</w:t>
                  </w:r>
                </w:p>
              </w:tc>
              <w:tc>
                <w:tcPr>
                  <w:tcW w:w="214" w:type="pct"/>
                  <w:shd w:val="clear" w:color="auto" w:fill="auto"/>
                  <w:vAlign w:val="center"/>
                </w:tcPr>
                <w:p w14:paraId="48C1C731">
                  <w:pPr>
                    <w:widowControl/>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391" w:type="pct"/>
                  <w:vMerge w:val="restart"/>
                  <w:vAlign w:val="center"/>
                </w:tcPr>
                <w:p w14:paraId="2C087FC4">
                  <w:pPr>
                    <w:contextualSpacing/>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m高排气筒DA00</w:t>
                  </w:r>
                  <w:r>
                    <w:rPr>
                      <w:rFonts w:hint="eastAsia" w:ascii="Times New Roman" w:hAnsi="Times New Roman" w:eastAsia="宋体" w:cs="Times New Roman"/>
                      <w:color w:val="auto"/>
                      <w:sz w:val="21"/>
                      <w:szCs w:val="21"/>
                      <w:lang w:val="en-US" w:eastAsia="zh-CN"/>
                    </w:rPr>
                    <w:t>1</w:t>
                  </w:r>
                </w:p>
              </w:tc>
              <w:tc>
                <w:tcPr>
                  <w:tcW w:w="251" w:type="pct"/>
                  <w:vMerge w:val="restart"/>
                  <w:vAlign w:val="center"/>
                </w:tcPr>
                <w:p w14:paraId="61EA6AC0">
                  <w:pPr>
                    <w:contextualSpacing/>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72</w:t>
                  </w:r>
                  <w:r>
                    <w:rPr>
                      <w:rFonts w:hint="default" w:ascii="Times New Roman" w:hAnsi="Times New Roman" w:eastAsia="宋体" w:cs="Times New Roman"/>
                      <w:bCs/>
                      <w:color w:val="auto"/>
                      <w:sz w:val="21"/>
                      <w:szCs w:val="21"/>
                    </w:rPr>
                    <w:t>00h</w:t>
                  </w:r>
                </w:p>
              </w:tc>
            </w:tr>
            <w:tr w14:paraId="5D369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476" w:type="pct"/>
                  <w:vMerge w:val="continue"/>
                  <w:vAlign w:val="center"/>
                </w:tcPr>
                <w:p w14:paraId="261110B1">
                  <w:pPr>
                    <w:contextualSpacing/>
                    <w:jc w:val="center"/>
                    <w:rPr>
                      <w:rFonts w:hint="eastAsia" w:ascii="Times New Roman" w:hAnsi="Times New Roman" w:eastAsia="宋体" w:cs="Times New Roman"/>
                      <w:color w:val="auto"/>
                      <w:sz w:val="21"/>
                      <w:szCs w:val="21"/>
                      <w:lang w:val="en-US" w:eastAsia="zh-CN"/>
                    </w:rPr>
                  </w:pPr>
                </w:p>
              </w:tc>
              <w:tc>
                <w:tcPr>
                  <w:tcW w:w="375" w:type="pct"/>
                  <w:vMerge w:val="continue"/>
                  <w:vAlign w:val="center"/>
                </w:tcPr>
                <w:p w14:paraId="46ADF6CC">
                  <w:pPr>
                    <w:contextualSpacing/>
                    <w:jc w:val="center"/>
                    <w:rPr>
                      <w:rFonts w:hint="eastAsia" w:ascii="Times New Roman" w:hAnsi="Times New Roman" w:eastAsia="宋体" w:cs="Times New Roman"/>
                      <w:color w:val="auto"/>
                      <w:sz w:val="21"/>
                      <w:szCs w:val="21"/>
                      <w:lang w:val="en-US" w:eastAsia="zh-CN"/>
                    </w:rPr>
                  </w:pPr>
                </w:p>
              </w:tc>
              <w:tc>
                <w:tcPr>
                  <w:tcW w:w="397" w:type="pct"/>
                  <w:vAlign w:val="center"/>
                </w:tcPr>
                <w:p w14:paraId="535C5BAA">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苯乙烯</w:t>
                  </w:r>
                </w:p>
              </w:tc>
              <w:tc>
                <w:tcPr>
                  <w:tcW w:w="279" w:type="pct"/>
                  <w:tcMar>
                    <w:top w:w="0" w:type="dxa"/>
                    <w:left w:w="28" w:type="dxa"/>
                    <w:bottom w:w="0" w:type="dxa"/>
                    <w:right w:w="28" w:type="dxa"/>
                  </w:tcMar>
                  <w:vAlign w:val="center"/>
                </w:tcPr>
                <w:p w14:paraId="0C69259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0.041</w:t>
                  </w:r>
                </w:p>
              </w:tc>
              <w:tc>
                <w:tcPr>
                  <w:tcW w:w="340" w:type="pct"/>
                  <w:tcMar>
                    <w:top w:w="0" w:type="dxa"/>
                    <w:left w:w="28" w:type="dxa"/>
                    <w:bottom w:w="0" w:type="dxa"/>
                    <w:right w:w="28" w:type="dxa"/>
                  </w:tcMar>
                  <w:vAlign w:val="center"/>
                </w:tcPr>
                <w:p w14:paraId="668DDDD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332" w:type="pct"/>
                  <w:vAlign w:val="center"/>
                </w:tcPr>
                <w:p w14:paraId="71D3AAF5">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0.569</w:t>
                  </w:r>
                </w:p>
              </w:tc>
              <w:tc>
                <w:tcPr>
                  <w:tcW w:w="535" w:type="pct"/>
                  <w:vMerge w:val="continue"/>
                  <w:vAlign w:val="center"/>
                </w:tcPr>
                <w:p w14:paraId="405EC60A">
                  <w:pPr>
                    <w:contextualSpacing/>
                    <w:jc w:val="center"/>
                    <w:rPr>
                      <w:rFonts w:hint="eastAsia" w:ascii="Times New Roman" w:hAnsi="Times New Roman" w:eastAsia="宋体" w:cs="Times New Roman"/>
                      <w:color w:val="auto"/>
                      <w:kern w:val="2"/>
                      <w:sz w:val="21"/>
                      <w:szCs w:val="21"/>
                      <w:lang w:val="en-US" w:eastAsia="zh-CN" w:bidi="ar-SA"/>
                    </w:rPr>
                  </w:pPr>
                </w:p>
              </w:tc>
              <w:tc>
                <w:tcPr>
                  <w:tcW w:w="227" w:type="pct"/>
                  <w:vAlign w:val="center"/>
                </w:tcPr>
                <w:p w14:paraId="2279E30C">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302" w:type="pct"/>
                  <w:vAlign w:val="center"/>
                </w:tcPr>
                <w:p w14:paraId="3E97EB7F">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0.004</w:t>
                  </w:r>
                </w:p>
              </w:tc>
              <w:tc>
                <w:tcPr>
                  <w:tcW w:w="301" w:type="pct"/>
                  <w:vAlign w:val="center"/>
                </w:tcPr>
                <w:p w14:paraId="39B444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309" w:type="pct"/>
                  <w:vAlign w:val="center"/>
                </w:tcPr>
                <w:p w14:paraId="477333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0.056</w:t>
                  </w:r>
                </w:p>
              </w:tc>
              <w:tc>
                <w:tcPr>
                  <w:tcW w:w="267" w:type="pct"/>
                  <w:vAlign w:val="center"/>
                </w:tcPr>
                <w:p w14:paraId="161EA65E">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14" w:type="pct"/>
                  <w:vAlign w:val="center"/>
                </w:tcPr>
                <w:p w14:paraId="599EE746">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1" w:type="pct"/>
                  <w:vMerge w:val="continue"/>
                  <w:vAlign w:val="center"/>
                </w:tcPr>
                <w:p w14:paraId="3CF9CE8F">
                  <w:pPr>
                    <w:contextualSpacing/>
                    <w:jc w:val="center"/>
                    <w:rPr>
                      <w:rFonts w:hint="eastAsia" w:ascii="Times New Roman" w:hAnsi="Times New Roman" w:eastAsia="宋体" w:cs="Times New Roman"/>
                      <w:color w:val="auto"/>
                      <w:sz w:val="21"/>
                      <w:szCs w:val="21"/>
                      <w:lang w:val="en-US" w:eastAsia="zh-CN"/>
                    </w:rPr>
                  </w:pPr>
                </w:p>
              </w:tc>
              <w:tc>
                <w:tcPr>
                  <w:tcW w:w="251" w:type="pct"/>
                  <w:vMerge w:val="continue"/>
                  <w:vAlign w:val="center"/>
                </w:tcPr>
                <w:p w14:paraId="6F284A50">
                  <w:pPr>
                    <w:contextualSpacing/>
                    <w:jc w:val="center"/>
                    <w:rPr>
                      <w:rFonts w:hint="eastAsia" w:ascii="Times New Roman" w:hAnsi="Times New Roman" w:eastAsia="宋体" w:cs="Times New Roman"/>
                      <w:bCs/>
                      <w:color w:val="auto"/>
                      <w:sz w:val="21"/>
                      <w:szCs w:val="21"/>
                      <w:lang w:val="en-US" w:eastAsia="zh-CN"/>
                    </w:rPr>
                  </w:pPr>
                </w:p>
              </w:tc>
            </w:tr>
            <w:tr w14:paraId="20A7D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476" w:type="pct"/>
                  <w:vMerge w:val="restart"/>
                  <w:vAlign w:val="center"/>
                </w:tcPr>
                <w:p w14:paraId="60D60B91">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焊接工序</w:t>
                  </w:r>
                </w:p>
              </w:tc>
              <w:tc>
                <w:tcPr>
                  <w:tcW w:w="375" w:type="pct"/>
                  <w:vMerge w:val="restart"/>
                  <w:shd w:val="clear" w:color="auto" w:fill="auto"/>
                  <w:vAlign w:val="center"/>
                </w:tcPr>
                <w:p w14:paraId="12CEEE80">
                  <w:pPr>
                    <w:contextualSpacing/>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00</w:t>
                  </w:r>
                </w:p>
              </w:tc>
              <w:tc>
                <w:tcPr>
                  <w:tcW w:w="397" w:type="pct"/>
                  <w:shd w:val="clear" w:color="auto" w:fill="auto"/>
                  <w:vAlign w:val="center"/>
                </w:tcPr>
                <w:p w14:paraId="1AA93188">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w:t>
                  </w:r>
                </w:p>
              </w:tc>
              <w:tc>
                <w:tcPr>
                  <w:tcW w:w="279" w:type="pct"/>
                  <w:tcMar>
                    <w:top w:w="0" w:type="dxa"/>
                    <w:left w:w="28" w:type="dxa"/>
                    <w:bottom w:w="0" w:type="dxa"/>
                    <w:right w:w="28" w:type="dxa"/>
                  </w:tcMar>
                  <w:vAlign w:val="center"/>
                </w:tcPr>
                <w:p w14:paraId="55874EF8">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0.211</w:t>
                  </w:r>
                </w:p>
              </w:tc>
              <w:tc>
                <w:tcPr>
                  <w:tcW w:w="340" w:type="pct"/>
                  <w:tcMar>
                    <w:top w:w="0" w:type="dxa"/>
                    <w:left w:w="28" w:type="dxa"/>
                    <w:bottom w:w="0" w:type="dxa"/>
                    <w:right w:w="28" w:type="dxa"/>
                  </w:tcMar>
                  <w:vAlign w:val="center"/>
                </w:tcPr>
                <w:p w14:paraId="39904B4C">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0.088</w:t>
                  </w:r>
                </w:p>
              </w:tc>
              <w:tc>
                <w:tcPr>
                  <w:tcW w:w="332" w:type="pct"/>
                  <w:vAlign w:val="center"/>
                </w:tcPr>
                <w:p w14:paraId="661C8041">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29.333</w:t>
                  </w:r>
                </w:p>
              </w:tc>
              <w:tc>
                <w:tcPr>
                  <w:tcW w:w="535" w:type="pct"/>
                  <w:vMerge w:val="restart"/>
                  <w:shd w:val="clear" w:color="auto" w:fill="auto"/>
                  <w:vAlign w:val="center"/>
                </w:tcPr>
                <w:p w14:paraId="507C9703">
                  <w:pPr>
                    <w:contextualSpacing/>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布袋除尘器</w:t>
                  </w:r>
                </w:p>
              </w:tc>
              <w:tc>
                <w:tcPr>
                  <w:tcW w:w="227" w:type="pct"/>
                  <w:shd w:val="clear" w:color="auto" w:fill="auto"/>
                  <w:vAlign w:val="center"/>
                </w:tcPr>
                <w:p w14:paraId="1B36989B">
                  <w:pPr>
                    <w:contextualSpacing/>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5</w:t>
                  </w:r>
                </w:p>
              </w:tc>
              <w:tc>
                <w:tcPr>
                  <w:tcW w:w="302" w:type="pct"/>
                  <w:vAlign w:val="center"/>
                </w:tcPr>
                <w:p w14:paraId="6962750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0.011</w:t>
                  </w:r>
                </w:p>
              </w:tc>
              <w:tc>
                <w:tcPr>
                  <w:tcW w:w="301" w:type="pct"/>
                  <w:vAlign w:val="center"/>
                </w:tcPr>
                <w:p w14:paraId="5BC906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0.0046</w:t>
                  </w:r>
                </w:p>
              </w:tc>
              <w:tc>
                <w:tcPr>
                  <w:tcW w:w="309" w:type="pct"/>
                  <w:vAlign w:val="center"/>
                </w:tcPr>
                <w:p w14:paraId="4DDD326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1.533</w:t>
                  </w:r>
                </w:p>
              </w:tc>
              <w:tc>
                <w:tcPr>
                  <w:tcW w:w="267" w:type="pct"/>
                  <w:shd w:val="clear" w:color="auto" w:fill="auto"/>
                  <w:vAlign w:val="center"/>
                </w:tcPr>
                <w:p w14:paraId="1C29543A">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214" w:type="pct"/>
                  <w:shd w:val="clear" w:color="auto" w:fill="auto"/>
                  <w:vAlign w:val="center"/>
                </w:tcPr>
                <w:p w14:paraId="1CE047E0">
                  <w:pPr>
                    <w:widowControl/>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w:t>
                  </w:r>
                </w:p>
              </w:tc>
              <w:tc>
                <w:tcPr>
                  <w:tcW w:w="391" w:type="pct"/>
                  <w:vMerge w:val="restart"/>
                  <w:vAlign w:val="center"/>
                </w:tcPr>
                <w:p w14:paraId="4032176A">
                  <w:pPr>
                    <w:contextualSpacing/>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m高排气筒DA00</w:t>
                  </w:r>
                  <w:r>
                    <w:rPr>
                      <w:rFonts w:hint="eastAsia" w:ascii="Times New Roman" w:hAnsi="Times New Roman" w:eastAsia="宋体" w:cs="Times New Roman"/>
                      <w:color w:val="auto"/>
                      <w:sz w:val="21"/>
                      <w:szCs w:val="21"/>
                      <w:lang w:val="en-US" w:eastAsia="zh-CN"/>
                    </w:rPr>
                    <w:t>2</w:t>
                  </w:r>
                </w:p>
              </w:tc>
              <w:tc>
                <w:tcPr>
                  <w:tcW w:w="251" w:type="pct"/>
                  <w:vMerge w:val="restart"/>
                  <w:vAlign w:val="center"/>
                </w:tcPr>
                <w:p w14:paraId="612A50C4">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2400h</w:t>
                  </w:r>
                </w:p>
              </w:tc>
            </w:tr>
            <w:tr w14:paraId="06640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476" w:type="pct"/>
                  <w:vMerge w:val="continue"/>
                  <w:vAlign w:val="center"/>
                </w:tcPr>
                <w:p w14:paraId="70471701">
                  <w:pPr>
                    <w:contextualSpacing/>
                    <w:jc w:val="center"/>
                    <w:rPr>
                      <w:rFonts w:hint="eastAsia" w:ascii="Times New Roman" w:hAnsi="Times New Roman" w:eastAsia="宋体" w:cs="Times New Roman"/>
                      <w:color w:val="auto"/>
                      <w:sz w:val="21"/>
                      <w:szCs w:val="21"/>
                      <w:lang w:val="en-US" w:eastAsia="zh-CN"/>
                    </w:rPr>
                  </w:pPr>
                </w:p>
              </w:tc>
              <w:tc>
                <w:tcPr>
                  <w:tcW w:w="375" w:type="pct"/>
                  <w:vMerge w:val="continue"/>
                  <w:shd w:val="clear" w:color="auto" w:fill="auto"/>
                  <w:vAlign w:val="center"/>
                </w:tcPr>
                <w:p w14:paraId="0E290D7C">
                  <w:pPr>
                    <w:contextualSpacing/>
                    <w:jc w:val="center"/>
                    <w:rPr>
                      <w:rFonts w:hint="eastAsia" w:ascii="Times New Roman" w:hAnsi="Times New Roman" w:eastAsia="宋体" w:cs="Times New Roman"/>
                      <w:color w:val="auto"/>
                      <w:sz w:val="21"/>
                      <w:szCs w:val="21"/>
                      <w:lang w:val="en-US" w:eastAsia="zh-CN"/>
                    </w:rPr>
                  </w:pPr>
                </w:p>
              </w:tc>
              <w:tc>
                <w:tcPr>
                  <w:tcW w:w="397" w:type="pct"/>
                  <w:shd w:val="clear" w:color="auto" w:fill="auto"/>
                  <w:vAlign w:val="center"/>
                </w:tcPr>
                <w:p w14:paraId="7B9EB1EB">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锡及其化合物</w:t>
                  </w:r>
                </w:p>
              </w:tc>
              <w:tc>
                <w:tcPr>
                  <w:tcW w:w="279" w:type="pct"/>
                  <w:tcMar>
                    <w:top w:w="0" w:type="dxa"/>
                    <w:left w:w="28" w:type="dxa"/>
                    <w:bottom w:w="0" w:type="dxa"/>
                    <w:right w:w="28" w:type="dxa"/>
                  </w:tcMar>
                  <w:vAlign w:val="center"/>
                </w:tcPr>
                <w:p w14:paraId="4D32928C">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0.009</w:t>
                  </w:r>
                </w:p>
              </w:tc>
              <w:tc>
                <w:tcPr>
                  <w:tcW w:w="340" w:type="pct"/>
                  <w:tcMar>
                    <w:top w:w="0" w:type="dxa"/>
                    <w:left w:w="28" w:type="dxa"/>
                    <w:bottom w:w="0" w:type="dxa"/>
                    <w:right w:w="28" w:type="dxa"/>
                  </w:tcMar>
                  <w:vAlign w:val="center"/>
                </w:tcPr>
                <w:p w14:paraId="75BA769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0.00375</w:t>
                  </w:r>
                </w:p>
              </w:tc>
              <w:tc>
                <w:tcPr>
                  <w:tcW w:w="332" w:type="pct"/>
                  <w:vAlign w:val="center"/>
                </w:tcPr>
                <w:p w14:paraId="3A94234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1.25</w:t>
                  </w:r>
                </w:p>
              </w:tc>
              <w:tc>
                <w:tcPr>
                  <w:tcW w:w="535" w:type="pct"/>
                  <w:vMerge w:val="continue"/>
                  <w:shd w:val="clear" w:color="auto" w:fill="auto"/>
                  <w:vAlign w:val="center"/>
                </w:tcPr>
                <w:p w14:paraId="03D689AE">
                  <w:pPr>
                    <w:contextualSpacing/>
                    <w:jc w:val="center"/>
                    <w:rPr>
                      <w:rFonts w:hint="eastAsia" w:ascii="Times New Roman" w:hAnsi="Times New Roman" w:eastAsia="宋体" w:cs="Times New Roman"/>
                      <w:color w:val="auto"/>
                      <w:kern w:val="2"/>
                      <w:sz w:val="21"/>
                      <w:szCs w:val="21"/>
                      <w:lang w:val="en-US" w:eastAsia="zh-CN" w:bidi="ar-SA"/>
                    </w:rPr>
                  </w:pPr>
                </w:p>
              </w:tc>
              <w:tc>
                <w:tcPr>
                  <w:tcW w:w="227" w:type="pct"/>
                  <w:shd w:val="clear" w:color="auto" w:fill="auto"/>
                  <w:vAlign w:val="center"/>
                </w:tcPr>
                <w:p w14:paraId="3CCF4173">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5</w:t>
                  </w:r>
                </w:p>
              </w:tc>
              <w:tc>
                <w:tcPr>
                  <w:tcW w:w="302" w:type="pct"/>
                  <w:vAlign w:val="center"/>
                </w:tcPr>
                <w:p w14:paraId="3D033FE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0.0005</w:t>
                  </w:r>
                </w:p>
              </w:tc>
              <w:tc>
                <w:tcPr>
                  <w:tcW w:w="301" w:type="pct"/>
                  <w:vAlign w:val="center"/>
                </w:tcPr>
                <w:p w14:paraId="5861B7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0.0002</w:t>
                  </w:r>
                </w:p>
              </w:tc>
              <w:tc>
                <w:tcPr>
                  <w:tcW w:w="309" w:type="pct"/>
                  <w:vAlign w:val="center"/>
                </w:tcPr>
                <w:p w14:paraId="6DAEAF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0.067</w:t>
                  </w:r>
                </w:p>
              </w:tc>
              <w:tc>
                <w:tcPr>
                  <w:tcW w:w="267" w:type="pct"/>
                  <w:shd w:val="clear" w:color="auto" w:fill="auto"/>
                  <w:vAlign w:val="center"/>
                </w:tcPr>
                <w:p w14:paraId="60478DD7">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5</w:t>
                  </w:r>
                </w:p>
              </w:tc>
              <w:tc>
                <w:tcPr>
                  <w:tcW w:w="214" w:type="pct"/>
                  <w:shd w:val="clear" w:color="auto" w:fill="auto"/>
                  <w:vAlign w:val="center"/>
                </w:tcPr>
                <w:p w14:paraId="0670978D">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0.22</w:t>
                  </w:r>
                </w:p>
              </w:tc>
              <w:tc>
                <w:tcPr>
                  <w:tcW w:w="391" w:type="pct"/>
                  <w:vMerge w:val="continue"/>
                  <w:vAlign w:val="center"/>
                </w:tcPr>
                <w:p w14:paraId="44F9BDDD">
                  <w:pPr>
                    <w:contextualSpacing/>
                    <w:jc w:val="center"/>
                    <w:rPr>
                      <w:rFonts w:hint="eastAsia" w:ascii="Times New Roman" w:hAnsi="Times New Roman" w:eastAsia="宋体" w:cs="Times New Roman"/>
                      <w:color w:val="auto"/>
                      <w:sz w:val="21"/>
                      <w:szCs w:val="21"/>
                      <w:lang w:val="en-US" w:eastAsia="zh-CN"/>
                    </w:rPr>
                  </w:pPr>
                </w:p>
              </w:tc>
              <w:tc>
                <w:tcPr>
                  <w:tcW w:w="251" w:type="pct"/>
                  <w:vMerge w:val="continue"/>
                  <w:vAlign w:val="center"/>
                </w:tcPr>
                <w:p w14:paraId="698BC1FB">
                  <w:pPr>
                    <w:contextualSpacing/>
                    <w:jc w:val="center"/>
                    <w:rPr>
                      <w:rFonts w:hint="eastAsia" w:ascii="Times New Roman" w:hAnsi="Times New Roman" w:eastAsia="宋体" w:cs="Times New Roman"/>
                      <w:bCs/>
                      <w:color w:val="auto"/>
                      <w:sz w:val="21"/>
                      <w:szCs w:val="21"/>
                      <w:lang w:val="en-US" w:eastAsia="zh-CN"/>
                    </w:rPr>
                  </w:pPr>
                </w:p>
              </w:tc>
            </w:tr>
            <w:tr w14:paraId="78A1B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476" w:type="pct"/>
                  <w:vMerge w:val="continue"/>
                  <w:vAlign w:val="center"/>
                </w:tcPr>
                <w:p w14:paraId="79E8C739">
                  <w:pPr>
                    <w:contextualSpacing/>
                    <w:jc w:val="center"/>
                    <w:rPr>
                      <w:rFonts w:hint="eastAsia" w:ascii="Times New Roman" w:hAnsi="Times New Roman" w:eastAsia="宋体" w:cs="Times New Roman"/>
                      <w:color w:val="auto"/>
                      <w:sz w:val="21"/>
                      <w:szCs w:val="21"/>
                      <w:lang w:val="en-US" w:eastAsia="zh-CN"/>
                    </w:rPr>
                  </w:pPr>
                </w:p>
              </w:tc>
              <w:tc>
                <w:tcPr>
                  <w:tcW w:w="375" w:type="pct"/>
                  <w:vMerge w:val="continue"/>
                  <w:vAlign w:val="center"/>
                </w:tcPr>
                <w:p w14:paraId="0B98635A">
                  <w:pPr>
                    <w:contextualSpacing/>
                    <w:jc w:val="center"/>
                    <w:rPr>
                      <w:rFonts w:hint="eastAsia" w:ascii="Times New Roman" w:hAnsi="Times New Roman" w:eastAsia="宋体" w:cs="Times New Roman"/>
                      <w:color w:val="auto"/>
                      <w:sz w:val="21"/>
                      <w:szCs w:val="21"/>
                      <w:lang w:val="en-US" w:eastAsia="zh-CN"/>
                    </w:rPr>
                  </w:pPr>
                </w:p>
              </w:tc>
              <w:tc>
                <w:tcPr>
                  <w:tcW w:w="397" w:type="pct"/>
                  <w:vAlign w:val="center"/>
                </w:tcPr>
                <w:p w14:paraId="743CFD99">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非甲烷总烃</w:t>
                  </w:r>
                </w:p>
              </w:tc>
              <w:tc>
                <w:tcPr>
                  <w:tcW w:w="279" w:type="pct"/>
                  <w:tcMar>
                    <w:top w:w="0" w:type="dxa"/>
                    <w:left w:w="28" w:type="dxa"/>
                    <w:bottom w:w="0" w:type="dxa"/>
                    <w:right w:w="28" w:type="dxa"/>
                  </w:tcMar>
                  <w:vAlign w:val="center"/>
                </w:tcPr>
                <w:p w14:paraId="194E2BB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0.018</w:t>
                  </w:r>
                </w:p>
              </w:tc>
              <w:tc>
                <w:tcPr>
                  <w:tcW w:w="340" w:type="pct"/>
                  <w:tcMar>
                    <w:top w:w="0" w:type="dxa"/>
                    <w:left w:w="28" w:type="dxa"/>
                    <w:bottom w:w="0" w:type="dxa"/>
                    <w:right w:w="28" w:type="dxa"/>
                  </w:tcMar>
                  <w:vAlign w:val="center"/>
                </w:tcPr>
                <w:p w14:paraId="31CD2512">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0.0075</w:t>
                  </w:r>
                </w:p>
              </w:tc>
              <w:tc>
                <w:tcPr>
                  <w:tcW w:w="332" w:type="pct"/>
                  <w:vAlign w:val="center"/>
                </w:tcPr>
                <w:p w14:paraId="4C8D13CD">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2.5</w:t>
                  </w:r>
                </w:p>
              </w:tc>
              <w:tc>
                <w:tcPr>
                  <w:tcW w:w="535" w:type="pct"/>
                  <w:vMerge w:val="continue"/>
                  <w:vAlign w:val="center"/>
                </w:tcPr>
                <w:p w14:paraId="20D70780">
                  <w:pPr>
                    <w:contextualSpacing/>
                    <w:jc w:val="center"/>
                    <w:rPr>
                      <w:rFonts w:hint="eastAsia" w:ascii="Times New Roman" w:hAnsi="Times New Roman" w:eastAsia="宋体" w:cs="Times New Roman"/>
                      <w:color w:val="auto"/>
                      <w:kern w:val="2"/>
                      <w:sz w:val="21"/>
                      <w:szCs w:val="21"/>
                      <w:lang w:val="en-US" w:eastAsia="zh-CN" w:bidi="ar-SA"/>
                    </w:rPr>
                  </w:pPr>
                </w:p>
              </w:tc>
              <w:tc>
                <w:tcPr>
                  <w:tcW w:w="227" w:type="pct"/>
                  <w:vAlign w:val="center"/>
                </w:tcPr>
                <w:p w14:paraId="1FA5F6D9">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02" w:type="pct"/>
                  <w:vAlign w:val="center"/>
                </w:tcPr>
                <w:p w14:paraId="34C840BC">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0.018</w:t>
                  </w:r>
                </w:p>
              </w:tc>
              <w:tc>
                <w:tcPr>
                  <w:tcW w:w="301" w:type="pct"/>
                  <w:shd w:val="clear" w:color="auto" w:fill="auto"/>
                  <w:vAlign w:val="center"/>
                </w:tcPr>
                <w:p w14:paraId="5E5BACF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0.0075</w:t>
                  </w:r>
                </w:p>
              </w:tc>
              <w:tc>
                <w:tcPr>
                  <w:tcW w:w="309" w:type="pct"/>
                  <w:shd w:val="clear" w:color="auto" w:fill="auto"/>
                  <w:vAlign w:val="center"/>
                </w:tcPr>
                <w:p w14:paraId="62985B2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2.5</w:t>
                  </w:r>
                </w:p>
              </w:tc>
              <w:tc>
                <w:tcPr>
                  <w:tcW w:w="267" w:type="pct"/>
                  <w:vAlign w:val="center"/>
                </w:tcPr>
                <w:p w14:paraId="615ACE73">
                  <w:pPr>
                    <w:widowControl/>
                    <w:adjustRightInd w:val="0"/>
                    <w:snapToGrid w:val="0"/>
                    <w:jc w:val="center"/>
                    <w:rPr>
                      <w:rFonts w:hint="eastAsia"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sz w:val="21"/>
                      <w:szCs w:val="21"/>
                    </w:rPr>
                    <w:t>60</w:t>
                  </w:r>
                </w:p>
              </w:tc>
              <w:tc>
                <w:tcPr>
                  <w:tcW w:w="214" w:type="pct"/>
                  <w:vAlign w:val="center"/>
                </w:tcPr>
                <w:p w14:paraId="74A62B78">
                  <w:pPr>
                    <w:widowControl/>
                    <w:adjustRightInd w:val="0"/>
                    <w:snapToGrid w:val="0"/>
                    <w:jc w:val="center"/>
                    <w:rPr>
                      <w:rFonts w:hint="eastAsia"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sz w:val="21"/>
                      <w:szCs w:val="21"/>
                    </w:rPr>
                    <w:t>3</w:t>
                  </w:r>
                </w:p>
              </w:tc>
              <w:tc>
                <w:tcPr>
                  <w:tcW w:w="391" w:type="pct"/>
                  <w:vMerge w:val="continue"/>
                  <w:vAlign w:val="center"/>
                </w:tcPr>
                <w:p w14:paraId="797A5408">
                  <w:pPr>
                    <w:contextualSpacing/>
                    <w:jc w:val="center"/>
                    <w:rPr>
                      <w:rFonts w:hint="eastAsia" w:ascii="Times New Roman" w:hAnsi="Times New Roman" w:eastAsia="宋体" w:cs="Times New Roman"/>
                      <w:color w:val="auto"/>
                      <w:sz w:val="21"/>
                      <w:szCs w:val="21"/>
                      <w:lang w:val="en-US" w:eastAsia="zh-CN"/>
                    </w:rPr>
                  </w:pPr>
                </w:p>
              </w:tc>
              <w:tc>
                <w:tcPr>
                  <w:tcW w:w="251" w:type="pct"/>
                  <w:vMerge w:val="continue"/>
                  <w:vAlign w:val="center"/>
                </w:tcPr>
                <w:p w14:paraId="6E32AD6F">
                  <w:pPr>
                    <w:contextualSpacing/>
                    <w:jc w:val="center"/>
                    <w:rPr>
                      <w:rFonts w:hint="eastAsia" w:ascii="Times New Roman" w:hAnsi="Times New Roman" w:eastAsia="宋体" w:cs="Times New Roman"/>
                      <w:bCs/>
                      <w:color w:val="auto"/>
                      <w:sz w:val="21"/>
                      <w:szCs w:val="21"/>
                      <w:lang w:val="en-US" w:eastAsia="zh-CN"/>
                    </w:rPr>
                  </w:pPr>
                </w:p>
              </w:tc>
            </w:tr>
          </w:tbl>
          <w:p w14:paraId="3A2CB8C9">
            <w:pPr>
              <w:adjustRightInd w:val="0"/>
              <w:snapToGrid w:val="0"/>
              <w:spacing w:before="120" w:beforeLines="50"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由上表可知，DA00</w:t>
            </w:r>
            <w:r>
              <w:rPr>
                <w:rFonts w:hint="default" w:ascii="Times New Roman" w:hAnsi="Times New Roman" w:eastAsia="宋体" w:cs="Times New Roman"/>
                <w:bCs/>
                <w:color w:val="auto"/>
                <w:sz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DA002</w:t>
            </w:r>
            <w:r>
              <w:rPr>
                <w:rFonts w:hint="default" w:ascii="Times New Roman" w:hAnsi="Times New Roman" w:eastAsia="宋体" w:cs="Times New Roman"/>
                <w:bCs/>
                <w:color w:val="auto"/>
                <w:sz w:val="24"/>
              </w:rPr>
              <w:t>排气筒中</w:t>
            </w:r>
            <w:r>
              <w:rPr>
                <w:rFonts w:hint="eastAsia" w:ascii="Times New Roman" w:hAnsi="Times New Roman" w:eastAsia="宋体" w:cs="Times New Roman"/>
                <w:bCs/>
                <w:color w:val="auto"/>
                <w:sz w:val="24"/>
                <w:lang w:val="en-US" w:eastAsia="zh-CN"/>
              </w:rPr>
              <w:t>颗粒物</w:t>
            </w:r>
            <w:r>
              <w:rPr>
                <w:rFonts w:hint="default" w:ascii="Times New Roman" w:hAnsi="Times New Roman" w:eastAsia="宋体" w:cs="Times New Roman"/>
                <w:color w:val="auto"/>
                <w:spacing w:val="4"/>
                <w:sz w:val="24"/>
              </w:rPr>
              <w:t>排放浓度</w:t>
            </w:r>
            <w:r>
              <w:rPr>
                <w:rFonts w:hint="eastAsia" w:ascii="Times New Roman" w:hAnsi="Times New Roman" w:eastAsia="宋体" w:cs="Times New Roman"/>
                <w:color w:val="auto"/>
                <w:spacing w:val="4"/>
                <w:sz w:val="24"/>
                <w:lang w:val="en-US" w:eastAsia="zh-CN"/>
              </w:rPr>
              <w:t>均</w:t>
            </w:r>
            <w:r>
              <w:rPr>
                <w:rFonts w:hint="default" w:ascii="Times New Roman" w:hAnsi="Times New Roman" w:eastAsia="宋体" w:cs="Times New Roman"/>
                <w:color w:val="auto"/>
                <w:spacing w:val="4"/>
                <w:sz w:val="24"/>
              </w:rPr>
              <w:t>可</w:t>
            </w:r>
            <w:r>
              <w:rPr>
                <w:rFonts w:hint="default" w:ascii="Times New Roman" w:hAnsi="Times New Roman" w:eastAsia="宋体" w:cs="Times New Roman"/>
                <w:color w:val="auto"/>
                <w:sz w:val="24"/>
              </w:rPr>
              <w:t>满足</w:t>
            </w:r>
            <w:r>
              <w:rPr>
                <w:rFonts w:hint="default" w:ascii="Times New Roman" w:hAnsi="Times New Roman" w:eastAsia="宋体" w:cs="Times New Roman"/>
                <w:bCs/>
                <w:color w:val="auto"/>
                <w:sz w:val="24"/>
                <w:lang w:val="en-US" w:eastAsia="zh-CN"/>
              </w:rPr>
              <w:t>《大气污染物综合排放标准》（DB32/4041-2021）中</w:t>
            </w:r>
            <w:r>
              <w:rPr>
                <w:rFonts w:hint="default" w:ascii="Times New Roman" w:hAnsi="Times New Roman" w:eastAsia="宋体" w:cs="Times New Roman"/>
                <w:bCs/>
                <w:color w:val="auto"/>
                <w:sz w:val="24"/>
              </w:rPr>
              <w:t>标准限值。</w:t>
            </w:r>
          </w:p>
          <w:p w14:paraId="101E859E">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本排气筒参数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563"/>
              <w:gridCol w:w="1526"/>
              <w:gridCol w:w="1626"/>
              <w:gridCol w:w="1189"/>
              <w:gridCol w:w="1618"/>
              <w:gridCol w:w="1189"/>
              <w:gridCol w:w="1769"/>
              <w:gridCol w:w="1095"/>
            </w:tblGrid>
            <w:tr w14:paraId="21025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restart"/>
                  <w:vAlign w:val="center"/>
                </w:tcPr>
                <w:p w14:paraId="35ED0A9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排气筒名称</w:t>
                  </w:r>
                </w:p>
              </w:tc>
              <w:tc>
                <w:tcPr>
                  <w:tcW w:w="1166" w:type="pct"/>
                  <w:gridSpan w:val="2"/>
                  <w:vAlign w:val="center"/>
                </w:tcPr>
                <w:p w14:paraId="008163C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排气筒底部坐标</w:t>
                  </w:r>
                </w:p>
              </w:tc>
              <w:tc>
                <w:tcPr>
                  <w:tcW w:w="614" w:type="pct"/>
                  <w:vMerge w:val="restart"/>
                  <w:vAlign w:val="center"/>
                </w:tcPr>
                <w:p w14:paraId="792C02CC">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排气筒底部海拔高度（m）</w:t>
                  </w:r>
                </w:p>
              </w:tc>
              <w:tc>
                <w:tcPr>
                  <w:tcW w:w="2177" w:type="pct"/>
                  <w:gridSpan w:val="4"/>
                  <w:vAlign w:val="center"/>
                </w:tcPr>
                <w:p w14:paraId="70F744A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排气筒参数</w:t>
                  </w:r>
                </w:p>
              </w:tc>
              <w:tc>
                <w:tcPr>
                  <w:tcW w:w="413" w:type="pct"/>
                  <w:vMerge w:val="restart"/>
                  <w:vAlign w:val="center"/>
                </w:tcPr>
                <w:p w14:paraId="33B97A3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排气筒类型</w:t>
                  </w:r>
                </w:p>
              </w:tc>
            </w:tr>
            <w:tr w14:paraId="75C94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continue"/>
                  <w:vAlign w:val="center"/>
                </w:tcPr>
                <w:p w14:paraId="4A34069B">
                  <w:pPr>
                    <w:widowControl/>
                    <w:jc w:val="left"/>
                    <w:rPr>
                      <w:rFonts w:hint="default" w:ascii="Times New Roman" w:hAnsi="Times New Roman" w:eastAsia="宋体" w:cs="Times New Roman"/>
                      <w:b/>
                      <w:bCs/>
                      <w:color w:val="auto"/>
                      <w:szCs w:val="21"/>
                    </w:rPr>
                  </w:pPr>
                </w:p>
              </w:tc>
              <w:tc>
                <w:tcPr>
                  <w:tcW w:w="590" w:type="pct"/>
                  <w:vAlign w:val="center"/>
                </w:tcPr>
                <w:p w14:paraId="2F471C0A">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经度（°）</w:t>
                  </w:r>
                </w:p>
              </w:tc>
              <w:tc>
                <w:tcPr>
                  <w:tcW w:w="576" w:type="pct"/>
                  <w:vAlign w:val="center"/>
                </w:tcPr>
                <w:p w14:paraId="10274F0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纬度（°）</w:t>
                  </w:r>
                </w:p>
              </w:tc>
              <w:tc>
                <w:tcPr>
                  <w:tcW w:w="614" w:type="pct"/>
                  <w:vMerge w:val="continue"/>
                  <w:vAlign w:val="center"/>
                </w:tcPr>
                <w:p w14:paraId="063D4318">
                  <w:pPr>
                    <w:widowControl/>
                    <w:jc w:val="left"/>
                    <w:rPr>
                      <w:rFonts w:hint="default" w:ascii="Times New Roman" w:hAnsi="Times New Roman" w:eastAsia="宋体" w:cs="Times New Roman"/>
                      <w:b/>
                      <w:bCs/>
                      <w:color w:val="auto"/>
                      <w:szCs w:val="21"/>
                    </w:rPr>
                  </w:pPr>
                </w:p>
              </w:tc>
              <w:tc>
                <w:tcPr>
                  <w:tcW w:w="449" w:type="pct"/>
                  <w:vAlign w:val="center"/>
                </w:tcPr>
                <w:p w14:paraId="54942C4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高度（m）</w:t>
                  </w:r>
                </w:p>
              </w:tc>
              <w:tc>
                <w:tcPr>
                  <w:tcW w:w="611" w:type="pct"/>
                  <w:vAlign w:val="center"/>
                </w:tcPr>
                <w:p w14:paraId="7F04E09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出口内径（m）</w:t>
                  </w:r>
                </w:p>
              </w:tc>
              <w:tc>
                <w:tcPr>
                  <w:tcW w:w="449" w:type="pct"/>
                  <w:vAlign w:val="center"/>
                </w:tcPr>
                <w:p w14:paraId="1423498E">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温度（</w:t>
                  </w:r>
                  <w:r>
                    <w:rPr>
                      <w:rFonts w:hint="default" w:ascii="Times New Roman" w:hAnsi="Times New Roman" w:eastAsia="宋体" w:cs="Times New Roman"/>
                      <w:b/>
                      <w:bCs/>
                      <w:color w:val="auto"/>
                      <w:sz w:val="18"/>
                      <w:szCs w:val="18"/>
                    </w:rPr>
                    <w:t>℃</w:t>
                  </w:r>
                  <w:r>
                    <w:rPr>
                      <w:rFonts w:hint="default" w:ascii="Times New Roman" w:hAnsi="Times New Roman" w:eastAsia="宋体" w:cs="Times New Roman"/>
                      <w:b/>
                      <w:bCs/>
                      <w:color w:val="auto"/>
                      <w:szCs w:val="21"/>
                    </w:rPr>
                    <w:t>）</w:t>
                  </w:r>
                </w:p>
              </w:tc>
              <w:tc>
                <w:tcPr>
                  <w:tcW w:w="668" w:type="pct"/>
                  <w:vAlign w:val="center"/>
                </w:tcPr>
                <w:p w14:paraId="46C87412">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烟气流速（m/s）</w:t>
                  </w:r>
                </w:p>
              </w:tc>
              <w:tc>
                <w:tcPr>
                  <w:tcW w:w="413" w:type="pct"/>
                  <w:vMerge w:val="continue"/>
                  <w:vAlign w:val="center"/>
                </w:tcPr>
                <w:p w14:paraId="557B042B">
                  <w:pPr>
                    <w:adjustRightInd w:val="0"/>
                    <w:snapToGrid w:val="0"/>
                    <w:jc w:val="center"/>
                    <w:rPr>
                      <w:rFonts w:hint="default" w:ascii="Times New Roman" w:hAnsi="Times New Roman" w:eastAsia="宋体" w:cs="Times New Roman"/>
                      <w:b/>
                      <w:bCs/>
                      <w:color w:val="auto"/>
                      <w:szCs w:val="21"/>
                    </w:rPr>
                  </w:pPr>
                </w:p>
              </w:tc>
            </w:tr>
            <w:tr w14:paraId="33145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vAlign w:val="center"/>
                </w:tcPr>
                <w:p w14:paraId="2B5AA07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DA00</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排气筒</w:t>
                  </w:r>
                </w:p>
              </w:tc>
              <w:tc>
                <w:tcPr>
                  <w:tcW w:w="590" w:type="pct"/>
                  <w:vAlign w:val="center"/>
                </w:tcPr>
                <w:p w14:paraId="6222FC9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119.6276829</w:t>
                  </w:r>
                </w:p>
              </w:tc>
              <w:tc>
                <w:tcPr>
                  <w:tcW w:w="576" w:type="pct"/>
                  <w:vAlign w:val="center"/>
                </w:tcPr>
                <w:p w14:paraId="5078EE7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31.7556486</w:t>
                  </w:r>
                </w:p>
              </w:tc>
              <w:tc>
                <w:tcPr>
                  <w:tcW w:w="614" w:type="pct"/>
                  <w:vAlign w:val="center"/>
                </w:tcPr>
                <w:p w14:paraId="5C71F0B2">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5.636</w:t>
                  </w:r>
                </w:p>
              </w:tc>
              <w:tc>
                <w:tcPr>
                  <w:tcW w:w="449" w:type="pct"/>
                  <w:vAlign w:val="center"/>
                </w:tcPr>
                <w:p w14:paraId="198A622F">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611" w:type="pct"/>
                  <w:vAlign w:val="center"/>
                </w:tcPr>
                <w:p w14:paraId="4C488241">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w:t>
                  </w:r>
                </w:p>
              </w:tc>
              <w:tc>
                <w:tcPr>
                  <w:tcW w:w="449" w:type="pct"/>
                  <w:vAlign w:val="center"/>
                </w:tcPr>
                <w:p w14:paraId="5D945D07">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25</w:t>
                  </w:r>
                </w:p>
              </w:tc>
              <w:tc>
                <w:tcPr>
                  <w:tcW w:w="668" w:type="pct"/>
                  <w:vAlign w:val="center"/>
                </w:tcPr>
                <w:p w14:paraId="5BFB1DC0">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15.44</w:t>
                  </w:r>
                </w:p>
              </w:tc>
              <w:tc>
                <w:tcPr>
                  <w:tcW w:w="413" w:type="pct"/>
                  <w:vAlign w:val="center"/>
                </w:tcPr>
                <w:p w14:paraId="4FD7F18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一般排放口</w:t>
                  </w:r>
                </w:p>
              </w:tc>
            </w:tr>
            <w:tr w14:paraId="373D5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shd w:val="clear" w:color="auto" w:fill="auto"/>
                  <w:vAlign w:val="center"/>
                </w:tcPr>
                <w:p w14:paraId="09D3B41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DA00</w:t>
                  </w:r>
                  <w:r>
                    <w:rPr>
                      <w:rFonts w:hint="eastAsia"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排气筒</w:t>
                  </w:r>
                </w:p>
              </w:tc>
              <w:tc>
                <w:tcPr>
                  <w:tcW w:w="590" w:type="pct"/>
                  <w:shd w:val="clear" w:color="auto" w:fill="auto"/>
                  <w:vAlign w:val="center"/>
                </w:tcPr>
                <w:p w14:paraId="7C29FF84">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119.6274179</w:t>
                  </w:r>
                </w:p>
              </w:tc>
              <w:tc>
                <w:tcPr>
                  <w:tcW w:w="576" w:type="pct"/>
                  <w:shd w:val="clear" w:color="auto" w:fill="auto"/>
                  <w:vAlign w:val="center"/>
                </w:tcPr>
                <w:p w14:paraId="587F1FD4">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31.7557484</w:t>
                  </w:r>
                </w:p>
              </w:tc>
              <w:tc>
                <w:tcPr>
                  <w:tcW w:w="614" w:type="pct"/>
                  <w:shd w:val="clear" w:color="auto" w:fill="auto"/>
                  <w:vAlign w:val="center"/>
                </w:tcPr>
                <w:p w14:paraId="2C660D09">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5.636</w:t>
                  </w:r>
                </w:p>
              </w:tc>
              <w:tc>
                <w:tcPr>
                  <w:tcW w:w="449" w:type="pct"/>
                  <w:shd w:val="clear" w:color="auto" w:fill="auto"/>
                  <w:vAlign w:val="center"/>
                </w:tcPr>
                <w:p w14:paraId="355BB4C0">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15</w:t>
                  </w:r>
                </w:p>
              </w:tc>
              <w:tc>
                <w:tcPr>
                  <w:tcW w:w="611" w:type="pct"/>
                  <w:shd w:val="clear" w:color="auto" w:fill="auto"/>
                  <w:vAlign w:val="center"/>
                </w:tcPr>
                <w:p w14:paraId="39EF2D57">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0.4</w:t>
                  </w:r>
                </w:p>
              </w:tc>
              <w:tc>
                <w:tcPr>
                  <w:tcW w:w="449" w:type="pct"/>
                  <w:shd w:val="clear" w:color="auto" w:fill="auto"/>
                  <w:vAlign w:val="center"/>
                </w:tcPr>
                <w:p w14:paraId="516093DD">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25</w:t>
                  </w:r>
                </w:p>
              </w:tc>
              <w:tc>
                <w:tcPr>
                  <w:tcW w:w="668" w:type="pct"/>
                  <w:shd w:val="clear" w:color="auto" w:fill="auto"/>
                  <w:vAlign w:val="center"/>
                </w:tcPr>
                <w:p w14:paraId="400F86D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12.87</w:t>
                  </w:r>
                </w:p>
              </w:tc>
              <w:tc>
                <w:tcPr>
                  <w:tcW w:w="413" w:type="pct"/>
                  <w:shd w:val="clear" w:color="auto" w:fill="auto"/>
                  <w:vAlign w:val="center"/>
                </w:tcPr>
                <w:p w14:paraId="022D6F49">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一般排放口</w:t>
                  </w:r>
                </w:p>
              </w:tc>
            </w:tr>
          </w:tbl>
          <w:p w14:paraId="31E3D7E2">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）无组织废气</w:t>
            </w:r>
          </w:p>
          <w:p w14:paraId="2436B3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本项目无组织废气排放情况见表4-</w:t>
            </w:r>
            <w:r>
              <w:rPr>
                <w:rFonts w:hint="eastAsia"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rPr>
              <w:t>。</w:t>
            </w:r>
          </w:p>
          <w:p w14:paraId="707A5971">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本项目无组织废气产生及排放情况表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78"/>
              <w:gridCol w:w="2155"/>
              <w:gridCol w:w="1466"/>
              <w:gridCol w:w="1723"/>
              <w:gridCol w:w="1646"/>
              <w:gridCol w:w="1524"/>
              <w:gridCol w:w="1728"/>
              <w:gridCol w:w="1723"/>
            </w:tblGrid>
            <w:tr w14:paraId="7F0A8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82" w:type="pct"/>
                  <w:vAlign w:val="center"/>
                </w:tcPr>
                <w:p w14:paraId="470E8925">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面源名称</w:t>
                  </w:r>
                </w:p>
              </w:tc>
              <w:tc>
                <w:tcPr>
                  <w:tcW w:w="813" w:type="pct"/>
                  <w:vAlign w:val="center"/>
                </w:tcPr>
                <w:p w14:paraId="7992A068">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污染物产生环节</w:t>
                  </w:r>
                </w:p>
              </w:tc>
              <w:tc>
                <w:tcPr>
                  <w:tcW w:w="553" w:type="pct"/>
                  <w:vAlign w:val="center"/>
                </w:tcPr>
                <w:p w14:paraId="62BB9FE7">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61E50A66">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650" w:type="pct"/>
                  <w:vAlign w:val="center"/>
                </w:tcPr>
                <w:p w14:paraId="367E1C6A">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污染物产生量t/a</w:t>
                  </w:r>
                </w:p>
              </w:tc>
              <w:tc>
                <w:tcPr>
                  <w:tcW w:w="621" w:type="pct"/>
                  <w:vAlign w:val="center"/>
                </w:tcPr>
                <w:p w14:paraId="42472BCC">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治理措施</w:t>
                  </w:r>
                </w:p>
              </w:tc>
              <w:tc>
                <w:tcPr>
                  <w:tcW w:w="575" w:type="pct"/>
                  <w:vAlign w:val="center"/>
                </w:tcPr>
                <w:p w14:paraId="657AA6E1">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污染物排放量t/a</w:t>
                  </w:r>
                </w:p>
              </w:tc>
              <w:tc>
                <w:tcPr>
                  <w:tcW w:w="652" w:type="pct"/>
                  <w:vAlign w:val="center"/>
                </w:tcPr>
                <w:p w14:paraId="5ED2B4B7">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650" w:type="pct"/>
                  <w:vAlign w:val="center"/>
                </w:tcPr>
                <w:p w14:paraId="6B37F4D0">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面源面积（m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r>
            <w:tr w14:paraId="62CFC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restart"/>
                  <w:vAlign w:val="center"/>
                </w:tcPr>
                <w:p w14:paraId="708B6325">
                  <w:pPr>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生产车间</w:t>
                  </w:r>
                </w:p>
              </w:tc>
              <w:tc>
                <w:tcPr>
                  <w:tcW w:w="813" w:type="pct"/>
                  <w:vMerge w:val="restart"/>
                  <w:vAlign w:val="center"/>
                </w:tcPr>
                <w:p w14:paraId="7FF50E88">
                  <w:pPr>
                    <w:adjustRightInd w:val="0"/>
                    <w:snapToGri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切割工序、</w:t>
                  </w:r>
                  <w:r>
                    <w:rPr>
                      <w:rFonts w:hint="default" w:ascii="Times New Roman" w:hAnsi="Times New Roman" w:eastAsia="宋体" w:cs="Times New Roman"/>
                      <w:color w:val="auto"/>
                      <w:szCs w:val="21"/>
                      <w:lang w:val="en-US" w:eastAsia="zh-CN"/>
                    </w:rPr>
                    <w:t>配线组装工序</w:t>
                  </w:r>
                  <w:r>
                    <w:rPr>
                      <w:rFonts w:hint="eastAsia" w:ascii="Times New Roman" w:hAnsi="Times New Roman" w:eastAsia="宋体" w:cs="Times New Roman"/>
                      <w:color w:val="auto"/>
                      <w:szCs w:val="21"/>
                      <w:lang w:val="en-US" w:eastAsia="zh-CN"/>
                    </w:rPr>
                    <w:t>、成型封装工序、清洗烘干工序、焊接工序</w:t>
                  </w:r>
                </w:p>
              </w:tc>
              <w:tc>
                <w:tcPr>
                  <w:tcW w:w="553" w:type="pct"/>
                  <w:vAlign w:val="center"/>
                </w:tcPr>
                <w:p w14:paraId="444A104D">
                  <w:pPr>
                    <w:adjustRightInd w:val="0"/>
                    <w:snapToGrid w:val="0"/>
                    <w:spacing w:line="276" w:lineRule="auto"/>
                    <w:ind w:left="-105" w:leftChars="-50" w:right="-105" w:rightChars="-5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颗粒物</w:t>
                  </w:r>
                </w:p>
              </w:tc>
              <w:tc>
                <w:tcPr>
                  <w:tcW w:w="650" w:type="pct"/>
                  <w:vAlign w:val="center"/>
                </w:tcPr>
                <w:p w14:paraId="7F71FA3F">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0.023</w:t>
                  </w:r>
                </w:p>
              </w:tc>
              <w:tc>
                <w:tcPr>
                  <w:tcW w:w="621" w:type="pct"/>
                  <w:vAlign w:val="center"/>
                </w:tcPr>
                <w:p w14:paraId="417E211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1524" w:type="dxa"/>
                  <w:shd w:val="clear" w:color="auto" w:fill="auto"/>
                  <w:vAlign w:val="center"/>
                </w:tcPr>
                <w:p w14:paraId="7BB79A93">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0.023</w:t>
                  </w:r>
                </w:p>
              </w:tc>
              <w:tc>
                <w:tcPr>
                  <w:tcW w:w="652" w:type="pct"/>
                  <w:vAlign w:val="center"/>
                </w:tcPr>
                <w:p w14:paraId="35E3A5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0.0096</w:t>
                  </w:r>
                </w:p>
              </w:tc>
              <w:tc>
                <w:tcPr>
                  <w:tcW w:w="650" w:type="pct"/>
                  <w:vMerge w:val="restart"/>
                  <w:vAlign w:val="center"/>
                </w:tcPr>
                <w:p w14:paraId="2B1CCBA8">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val="en-US" w:eastAsia="zh-CN"/>
                    </w:rPr>
                    <w:t>00</w:t>
                  </w:r>
                </w:p>
              </w:tc>
            </w:tr>
            <w:tr w14:paraId="05DBD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continue"/>
                  <w:vAlign w:val="center"/>
                </w:tcPr>
                <w:p w14:paraId="61F17AA2">
                  <w:pPr>
                    <w:spacing w:line="276" w:lineRule="auto"/>
                    <w:ind w:left="-105" w:leftChars="-50" w:right="-105" w:rightChars="-50"/>
                    <w:jc w:val="center"/>
                    <w:rPr>
                      <w:rFonts w:hint="default" w:ascii="Times New Roman" w:hAnsi="Times New Roman" w:eastAsia="宋体" w:cs="Times New Roman"/>
                      <w:color w:val="auto"/>
                      <w:szCs w:val="21"/>
                      <w:lang w:val="en-US" w:eastAsia="zh-CN"/>
                    </w:rPr>
                  </w:pPr>
                </w:p>
              </w:tc>
              <w:tc>
                <w:tcPr>
                  <w:tcW w:w="813" w:type="pct"/>
                  <w:vMerge w:val="continue"/>
                  <w:vAlign w:val="center"/>
                </w:tcPr>
                <w:p w14:paraId="11007172">
                  <w:pPr>
                    <w:adjustRightInd w:val="0"/>
                    <w:snapToGrid w:val="0"/>
                    <w:jc w:val="center"/>
                    <w:rPr>
                      <w:rFonts w:hint="eastAsia" w:ascii="Times New Roman" w:hAnsi="Times New Roman" w:eastAsia="宋体" w:cs="Times New Roman"/>
                      <w:color w:val="auto"/>
                      <w:szCs w:val="21"/>
                      <w:lang w:val="en-US" w:eastAsia="zh-CN"/>
                    </w:rPr>
                  </w:pPr>
                </w:p>
              </w:tc>
              <w:tc>
                <w:tcPr>
                  <w:tcW w:w="553" w:type="pct"/>
                  <w:vAlign w:val="center"/>
                </w:tcPr>
                <w:p w14:paraId="3A26509E">
                  <w:pPr>
                    <w:adjustRightInd w:val="0"/>
                    <w:snapToGrid w:val="0"/>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锡及其化合物</w:t>
                  </w:r>
                </w:p>
              </w:tc>
              <w:tc>
                <w:tcPr>
                  <w:tcW w:w="650" w:type="pct"/>
                  <w:vAlign w:val="center"/>
                </w:tcPr>
                <w:p w14:paraId="5BCA3FDB">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0.001</w:t>
                  </w:r>
                </w:p>
              </w:tc>
              <w:tc>
                <w:tcPr>
                  <w:tcW w:w="621" w:type="pct"/>
                  <w:vAlign w:val="center"/>
                </w:tcPr>
                <w:p w14:paraId="0E29937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1524" w:type="dxa"/>
                  <w:shd w:val="clear" w:color="auto" w:fill="auto"/>
                  <w:vAlign w:val="center"/>
                </w:tcPr>
                <w:p w14:paraId="704FC732">
                  <w:pPr>
                    <w:spacing w:line="276"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0.001</w:t>
                  </w:r>
                </w:p>
              </w:tc>
              <w:tc>
                <w:tcPr>
                  <w:tcW w:w="652" w:type="pct"/>
                  <w:vAlign w:val="center"/>
                </w:tcPr>
                <w:p w14:paraId="2A4E55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0.0004</w:t>
                  </w:r>
                </w:p>
              </w:tc>
              <w:tc>
                <w:tcPr>
                  <w:tcW w:w="650" w:type="pct"/>
                  <w:vMerge w:val="continue"/>
                  <w:vAlign w:val="center"/>
                </w:tcPr>
                <w:p w14:paraId="67601EA5">
                  <w:pPr>
                    <w:spacing w:line="276" w:lineRule="auto"/>
                    <w:jc w:val="center"/>
                    <w:rPr>
                      <w:rFonts w:hint="default" w:ascii="Times New Roman" w:hAnsi="Times New Roman" w:eastAsia="宋体" w:cs="Times New Roman"/>
                      <w:color w:val="auto"/>
                      <w:szCs w:val="21"/>
                      <w:lang w:val="en-US" w:eastAsia="zh-CN"/>
                    </w:rPr>
                  </w:pPr>
                </w:p>
              </w:tc>
            </w:tr>
            <w:tr w14:paraId="09D15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continue"/>
                  <w:vAlign w:val="center"/>
                </w:tcPr>
                <w:p w14:paraId="233C6677">
                  <w:pPr>
                    <w:spacing w:line="276" w:lineRule="auto"/>
                    <w:ind w:left="-105" w:leftChars="-50" w:right="-105" w:rightChars="-50"/>
                    <w:jc w:val="center"/>
                    <w:rPr>
                      <w:rFonts w:hint="default" w:ascii="Times New Roman" w:hAnsi="Times New Roman" w:eastAsia="宋体" w:cs="Times New Roman"/>
                      <w:color w:val="auto"/>
                      <w:szCs w:val="21"/>
                      <w:lang w:val="en-US" w:eastAsia="zh-CN"/>
                    </w:rPr>
                  </w:pPr>
                </w:p>
              </w:tc>
              <w:tc>
                <w:tcPr>
                  <w:tcW w:w="813" w:type="pct"/>
                  <w:vMerge w:val="continue"/>
                  <w:vAlign w:val="center"/>
                </w:tcPr>
                <w:p w14:paraId="35765C22">
                  <w:pPr>
                    <w:adjustRightInd w:val="0"/>
                    <w:snapToGrid w:val="0"/>
                    <w:jc w:val="center"/>
                    <w:rPr>
                      <w:rFonts w:hint="default" w:ascii="Times New Roman" w:hAnsi="Times New Roman" w:eastAsia="宋体" w:cs="Times New Roman"/>
                      <w:color w:val="auto"/>
                      <w:szCs w:val="21"/>
                      <w:lang w:val="en-US" w:eastAsia="zh-CN"/>
                    </w:rPr>
                  </w:pPr>
                </w:p>
              </w:tc>
              <w:tc>
                <w:tcPr>
                  <w:tcW w:w="553" w:type="pct"/>
                  <w:vAlign w:val="center"/>
                </w:tcPr>
                <w:p w14:paraId="510D25A0">
                  <w:pPr>
                    <w:adjustRightInd w:val="0"/>
                    <w:snapToGrid w:val="0"/>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非甲烷总烃</w:t>
                  </w:r>
                </w:p>
              </w:tc>
              <w:tc>
                <w:tcPr>
                  <w:tcW w:w="650" w:type="pct"/>
                  <w:shd w:val="clear" w:color="auto" w:fill="auto"/>
                  <w:vAlign w:val="center"/>
                </w:tcPr>
                <w:p w14:paraId="02642882">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0.093</w:t>
                  </w:r>
                </w:p>
              </w:tc>
              <w:tc>
                <w:tcPr>
                  <w:tcW w:w="621" w:type="pct"/>
                  <w:shd w:val="clear" w:color="auto" w:fill="auto"/>
                  <w:vAlign w:val="center"/>
                </w:tcPr>
                <w:p w14:paraId="2A8D27E4">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车间通风</w:t>
                  </w:r>
                </w:p>
              </w:tc>
              <w:tc>
                <w:tcPr>
                  <w:tcW w:w="575" w:type="pct"/>
                  <w:shd w:val="clear" w:color="auto" w:fill="auto"/>
                  <w:vAlign w:val="center"/>
                </w:tcPr>
                <w:p w14:paraId="74ADAA28">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0.093</w:t>
                  </w:r>
                </w:p>
              </w:tc>
              <w:tc>
                <w:tcPr>
                  <w:tcW w:w="652" w:type="pct"/>
                  <w:shd w:val="clear" w:color="auto" w:fill="auto"/>
                  <w:vAlign w:val="center"/>
                </w:tcPr>
                <w:p w14:paraId="3F5351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650" w:type="pct"/>
                  <w:vMerge w:val="continue"/>
                  <w:vAlign w:val="center"/>
                </w:tcPr>
                <w:p w14:paraId="05CA43E6">
                  <w:pPr>
                    <w:spacing w:line="276" w:lineRule="auto"/>
                    <w:jc w:val="center"/>
                    <w:rPr>
                      <w:rFonts w:hint="default" w:ascii="Times New Roman" w:hAnsi="Times New Roman" w:eastAsia="宋体" w:cs="Times New Roman"/>
                      <w:color w:val="auto"/>
                      <w:szCs w:val="21"/>
                      <w:lang w:val="en-US" w:eastAsia="zh-CN"/>
                    </w:rPr>
                  </w:pPr>
                </w:p>
              </w:tc>
            </w:tr>
            <w:tr w14:paraId="34DB3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8" w:hRule="atLeast"/>
              </w:trPr>
              <w:tc>
                <w:tcPr>
                  <w:tcW w:w="482" w:type="pct"/>
                  <w:vMerge w:val="continue"/>
                  <w:vAlign w:val="center"/>
                </w:tcPr>
                <w:p w14:paraId="2DBADA1B">
                  <w:pPr>
                    <w:spacing w:line="276" w:lineRule="auto"/>
                    <w:ind w:left="-105" w:leftChars="-50" w:right="-105" w:rightChars="-50"/>
                    <w:jc w:val="center"/>
                    <w:rPr>
                      <w:rFonts w:hint="default" w:ascii="Times New Roman" w:hAnsi="Times New Roman" w:eastAsia="宋体" w:cs="Times New Roman"/>
                      <w:color w:val="auto"/>
                      <w:szCs w:val="21"/>
                      <w:lang w:val="en-US" w:eastAsia="zh-CN"/>
                    </w:rPr>
                  </w:pPr>
                </w:p>
              </w:tc>
              <w:tc>
                <w:tcPr>
                  <w:tcW w:w="813" w:type="pct"/>
                  <w:vMerge w:val="continue"/>
                  <w:vAlign w:val="center"/>
                </w:tcPr>
                <w:p w14:paraId="17470DC3">
                  <w:pPr>
                    <w:adjustRightInd w:val="0"/>
                    <w:snapToGrid w:val="0"/>
                    <w:jc w:val="center"/>
                    <w:rPr>
                      <w:rFonts w:hint="default" w:ascii="Times New Roman" w:hAnsi="Times New Roman" w:eastAsia="宋体" w:cs="Times New Roman"/>
                      <w:color w:val="auto"/>
                      <w:szCs w:val="21"/>
                      <w:lang w:val="en-US" w:eastAsia="zh-CN"/>
                    </w:rPr>
                  </w:pPr>
                </w:p>
              </w:tc>
              <w:tc>
                <w:tcPr>
                  <w:tcW w:w="553" w:type="pct"/>
                  <w:vAlign w:val="center"/>
                </w:tcPr>
                <w:p w14:paraId="36023331">
                  <w:pPr>
                    <w:adjustRightInd w:val="0"/>
                    <w:snapToGrid w:val="0"/>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苯乙烯</w:t>
                  </w:r>
                </w:p>
              </w:tc>
              <w:tc>
                <w:tcPr>
                  <w:tcW w:w="650" w:type="pct"/>
                  <w:vAlign w:val="center"/>
                </w:tcPr>
                <w:p w14:paraId="47DFD65A">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0.004</w:t>
                  </w:r>
                </w:p>
              </w:tc>
              <w:tc>
                <w:tcPr>
                  <w:tcW w:w="621" w:type="pct"/>
                  <w:vAlign w:val="center"/>
                </w:tcPr>
                <w:p w14:paraId="5343E3D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575" w:type="pct"/>
                  <w:shd w:val="clear" w:color="auto" w:fill="auto"/>
                  <w:vAlign w:val="center"/>
                </w:tcPr>
                <w:p w14:paraId="05E1774B">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0.004</w:t>
                  </w:r>
                </w:p>
              </w:tc>
              <w:tc>
                <w:tcPr>
                  <w:tcW w:w="652" w:type="pct"/>
                  <w:vAlign w:val="center"/>
                </w:tcPr>
                <w:p w14:paraId="43ADC9B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650" w:type="pct"/>
                  <w:vMerge w:val="continue"/>
                  <w:vAlign w:val="center"/>
                </w:tcPr>
                <w:p w14:paraId="01683558">
                  <w:pPr>
                    <w:spacing w:line="276" w:lineRule="auto"/>
                    <w:jc w:val="center"/>
                    <w:rPr>
                      <w:rFonts w:hint="default" w:ascii="Times New Roman" w:hAnsi="Times New Roman" w:eastAsia="宋体" w:cs="Times New Roman"/>
                      <w:color w:val="auto"/>
                      <w:szCs w:val="21"/>
                    </w:rPr>
                  </w:pPr>
                </w:p>
              </w:tc>
            </w:tr>
          </w:tbl>
          <w:p w14:paraId="778F9937">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4.非正常排放</w:t>
            </w:r>
          </w:p>
          <w:p w14:paraId="49A43F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1A98EE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7A83478F">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rPr>
            </w:pPr>
          </w:p>
          <w:p w14:paraId="418C26EB">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rPr>
            </w:pPr>
          </w:p>
          <w:p w14:paraId="2C6040F1">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rPr>
            </w:pPr>
          </w:p>
          <w:p w14:paraId="1729DAD9">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lang w:val="en-US" w:eastAsia="zh-CN"/>
              </w:rPr>
            </w:pPr>
          </w:p>
          <w:p w14:paraId="1EC7CAAD">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表4-</w:t>
            </w: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非正常工况有组织废气源强表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47"/>
              <w:gridCol w:w="2844"/>
              <w:gridCol w:w="1476"/>
              <w:gridCol w:w="1925"/>
              <w:gridCol w:w="1684"/>
              <w:gridCol w:w="1504"/>
              <w:gridCol w:w="1374"/>
              <w:gridCol w:w="1276"/>
            </w:tblGrid>
            <w:tr w14:paraId="75C49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433" w:type="pct"/>
                  <w:tcBorders>
                    <w:tl2br w:val="nil"/>
                    <w:tr2bl w:val="nil"/>
                  </w:tcBorders>
                  <w:shd w:val="clear" w:color="auto" w:fill="auto"/>
                  <w:vAlign w:val="center"/>
                </w:tcPr>
                <w:p w14:paraId="617AE6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1074" w:type="pct"/>
                  <w:tcBorders>
                    <w:tl2br w:val="nil"/>
                    <w:tr2bl w:val="nil"/>
                  </w:tcBorders>
                  <w:shd w:val="clear" w:color="auto" w:fill="auto"/>
                  <w:vAlign w:val="center"/>
                </w:tcPr>
                <w:p w14:paraId="02A5774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非正常排放原因</w:t>
                  </w:r>
                </w:p>
              </w:tc>
              <w:tc>
                <w:tcPr>
                  <w:tcW w:w="557" w:type="pct"/>
                  <w:tcBorders>
                    <w:tl2br w:val="nil"/>
                    <w:tr2bl w:val="nil"/>
                  </w:tcBorders>
                  <w:shd w:val="clear" w:color="auto" w:fill="auto"/>
                  <w:noWrap/>
                  <w:vAlign w:val="center"/>
                </w:tcPr>
                <w:p w14:paraId="7D3B3E8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727" w:type="pct"/>
                  <w:tcBorders>
                    <w:tl2br w:val="nil"/>
                    <w:tr2bl w:val="nil"/>
                  </w:tcBorders>
                  <w:shd w:val="clear" w:color="auto" w:fill="auto"/>
                  <w:vAlign w:val="center"/>
                </w:tcPr>
                <w:p w14:paraId="3EDB6CD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非正常排放浓度</w:t>
                  </w:r>
                </w:p>
                <w:p w14:paraId="5D52EB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636" w:type="pct"/>
                  <w:tcBorders>
                    <w:tl2br w:val="nil"/>
                    <w:tr2bl w:val="nil"/>
                  </w:tcBorders>
                  <w:shd w:val="clear" w:color="auto" w:fill="auto"/>
                  <w:vAlign w:val="center"/>
                </w:tcPr>
                <w:p w14:paraId="620530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非正常排放速率（kg/h）</w:t>
                  </w:r>
                </w:p>
              </w:tc>
              <w:tc>
                <w:tcPr>
                  <w:tcW w:w="568" w:type="pct"/>
                  <w:tcBorders>
                    <w:tl2br w:val="nil"/>
                    <w:tr2bl w:val="nil"/>
                  </w:tcBorders>
                  <w:shd w:val="clear" w:color="auto" w:fill="auto"/>
                  <w:vAlign w:val="center"/>
                </w:tcPr>
                <w:p w14:paraId="7F0C90D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非正常排放量（kg）</w:t>
                  </w:r>
                </w:p>
              </w:tc>
              <w:tc>
                <w:tcPr>
                  <w:tcW w:w="519" w:type="pct"/>
                  <w:tcBorders>
                    <w:tl2br w:val="nil"/>
                    <w:tr2bl w:val="nil"/>
                  </w:tcBorders>
                  <w:shd w:val="clear" w:color="auto" w:fill="auto"/>
                  <w:vAlign w:val="center"/>
                </w:tcPr>
                <w:p w14:paraId="79BEA0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单次持续时间（h）</w:t>
                  </w:r>
                </w:p>
              </w:tc>
              <w:tc>
                <w:tcPr>
                  <w:tcW w:w="482" w:type="pct"/>
                  <w:tcBorders>
                    <w:tl2br w:val="nil"/>
                    <w:tr2bl w:val="nil"/>
                  </w:tcBorders>
                  <w:shd w:val="clear" w:color="auto" w:fill="auto"/>
                  <w:vAlign w:val="center"/>
                </w:tcPr>
                <w:p w14:paraId="248BC7B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年发生频次</w:t>
                  </w:r>
                </w:p>
                <w:p w14:paraId="0E605E2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（次）</w:t>
                  </w:r>
                </w:p>
              </w:tc>
            </w:tr>
            <w:tr w14:paraId="3B7C0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vMerge w:val="restart"/>
                  <w:tcBorders>
                    <w:tl2br w:val="nil"/>
                    <w:tr2bl w:val="nil"/>
                  </w:tcBorders>
                  <w:shd w:val="clear" w:color="auto" w:fill="auto"/>
                  <w:vAlign w:val="center"/>
                </w:tcPr>
                <w:p w14:paraId="26F978D6">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1</w:t>
                  </w:r>
                </w:p>
              </w:tc>
              <w:tc>
                <w:tcPr>
                  <w:tcW w:w="1074" w:type="pct"/>
                  <w:vMerge w:val="restart"/>
                  <w:tcBorders>
                    <w:tl2br w:val="nil"/>
                    <w:tr2bl w:val="nil"/>
                  </w:tcBorders>
                  <w:shd w:val="clear" w:color="auto" w:fill="auto"/>
                  <w:vAlign w:val="center"/>
                </w:tcPr>
                <w:p w14:paraId="327E258D">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废气处理装置出现故障</w:t>
                  </w:r>
                </w:p>
              </w:tc>
              <w:tc>
                <w:tcPr>
                  <w:tcW w:w="557" w:type="pct"/>
                  <w:tcBorders>
                    <w:tl2br w:val="nil"/>
                    <w:tr2bl w:val="nil"/>
                  </w:tcBorders>
                  <w:shd w:val="clear" w:color="auto" w:fill="auto"/>
                  <w:noWrap/>
                  <w:vAlign w:val="center"/>
                </w:tcPr>
                <w:p w14:paraId="2D3D647A">
                  <w:pPr>
                    <w:adjustRightInd w:val="0"/>
                    <w:snapToGrid w:val="0"/>
                    <w:spacing w:line="276" w:lineRule="auto"/>
                    <w:ind w:left="-105" w:leftChars="-50" w:right="-105" w:rightChars="-5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Cs w:val="21"/>
                    </w:rPr>
                    <w:t>非甲烷总烃</w:t>
                  </w:r>
                </w:p>
              </w:tc>
              <w:tc>
                <w:tcPr>
                  <w:tcW w:w="727" w:type="pct"/>
                  <w:tcBorders>
                    <w:tl2br w:val="nil"/>
                    <w:tr2bl w:val="nil"/>
                  </w:tcBorders>
                  <w:shd w:val="clear" w:color="auto" w:fill="auto"/>
                  <w:vAlign w:val="center"/>
                </w:tcPr>
                <w:p w14:paraId="6530455D">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10.694</w:t>
                  </w:r>
                </w:p>
              </w:tc>
              <w:tc>
                <w:tcPr>
                  <w:tcW w:w="636" w:type="pct"/>
                  <w:tcBorders>
                    <w:tl2br w:val="nil"/>
                    <w:tr2bl w:val="nil"/>
                  </w:tcBorders>
                  <w:shd w:val="clear" w:color="auto" w:fill="auto"/>
                  <w:vAlign w:val="center"/>
                </w:tcPr>
                <w:p w14:paraId="68ED9EF3">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0.107</w:t>
                  </w:r>
                </w:p>
              </w:tc>
              <w:tc>
                <w:tcPr>
                  <w:tcW w:w="568" w:type="pct"/>
                  <w:tcBorders>
                    <w:tl2br w:val="nil"/>
                    <w:tr2bl w:val="nil"/>
                  </w:tcBorders>
                  <w:shd w:val="clear" w:color="auto" w:fill="auto"/>
                  <w:vAlign w:val="center"/>
                </w:tcPr>
                <w:p w14:paraId="3E81C478">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0.02675</w:t>
                  </w:r>
                </w:p>
              </w:tc>
              <w:tc>
                <w:tcPr>
                  <w:tcW w:w="519" w:type="pct"/>
                  <w:tcBorders>
                    <w:tl2br w:val="nil"/>
                    <w:tr2bl w:val="nil"/>
                  </w:tcBorders>
                  <w:shd w:val="clear" w:color="auto" w:fill="auto"/>
                  <w:noWrap/>
                  <w:vAlign w:val="center"/>
                </w:tcPr>
                <w:p w14:paraId="2E34B3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2" w:type="pct"/>
                  <w:tcBorders>
                    <w:tl2br w:val="nil"/>
                    <w:tr2bl w:val="nil"/>
                  </w:tcBorders>
                  <w:shd w:val="clear" w:color="auto" w:fill="auto"/>
                  <w:noWrap/>
                  <w:vAlign w:val="center"/>
                </w:tcPr>
                <w:p w14:paraId="2D3D83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14:paraId="47DBA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vMerge w:val="continue"/>
                  <w:tcBorders>
                    <w:tl2br w:val="nil"/>
                    <w:tr2bl w:val="nil"/>
                  </w:tcBorders>
                  <w:shd w:val="clear" w:color="auto" w:fill="auto"/>
                  <w:vAlign w:val="center"/>
                </w:tcPr>
                <w:p w14:paraId="64C4E0BB">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1074" w:type="pct"/>
                  <w:vMerge w:val="continue"/>
                  <w:tcBorders>
                    <w:tl2br w:val="nil"/>
                    <w:tr2bl w:val="nil"/>
                  </w:tcBorders>
                  <w:shd w:val="clear" w:color="auto" w:fill="auto"/>
                  <w:vAlign w:val="center"/>
                </w:tcPr>
                <w:p w14:paraId="69E671CF">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557" w:type="pct"/>
                  <w:tcBorders>
                    <w:tl2br w:val="nil"/>
                    <w:tr2bl w:val="nil"/>
                  </w:tcBorders>
                  <w:shd w:val="clear" w:color="auto" w:fill="auto"/>
                  <w:noWrap/>
                  <w:vAlign w:val="center"/>
                </w:tcPr>
                <w:p w14:paraId="4B69E7A2">
                  <w:pPr>
                    <w:adjustRightInd w:val="0"/>
                    <w:snapToGrid w:val="0"/>
                    <w:spacing w:line="276" w:lineRule="auto"/>
                    <w:ind w:left="-105" w:leftChars="-50" w:right="-105" w:rightChars="-5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Cs w:val="21"/>
                      <w:lang w:val="en-US" w:eastAsia="zh-CN"/>
                    </w:rPr>
                    <w:t>苯乙烯</w:t>
                  </w:r>
                </w:p>
              </w:tc>
              <w:tc>
                <w:tcPr>
                  <w:tcW w:w="727" w:type="pct"/>
                  <w:tcBorders>
                    <w:tl2br w:val="nil"/>
                    <w:tr2bl w:val="nil"/>
                  </w:tcBorders>
                  <w:shd w:val="clear" w:color="auto" w:fill="auto"/>
                  <w:vAlign w:val="center"/>
                </w:tcPr>
                <w:p w14:paraId="25D80B91">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0.569</w:t>
                  </w:r>
                </w:p>
              </w:tc>
              <w:tc>
                <w:tcPr>
                  <w:tcW w:w="636" w:type="pct"/>
                  <w:tcBorders>
                    <w:tl2br w:val="nil"/>
                    <w:tr2bl w:val="nil"/>
                  </w:tcBorders>
                  <w:shd w:val="clear" w:color="auto" w:fill="auto"/>
                  <w:vAlign w:val="center"/>
                </w:tcPr>
                <w:p w14:paraId="1807FBCC">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568" w:type="pct"/>
                  <w:tcBorders>
                    <w:tl2br w:val="nil"/>
                    <w:tr2bl w:val="nil"/>
                  </w:tcBorders>
                  <w:shd w:val="clear" w:color="auto" w:fill="auto"/>
                  <w:vAlign w:val="center"/>
                </w:tcPr>
                <w:p w14:paraId="2FC76FA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519" w:type="pct"/>
                  <w:tcBorders>
                    <w:tl2br w:val="nil"/>
                    <w:tr2bl w:val="nil"/>
                  </w:tcBorders>
                  <w:shd w:val="clear" w:color="auto" w:fill="auto"/>
                  <w:noWrap/>
                  <w:vAlign w:val="center"/>
                </w:tcPr>
                <w:p w14:paraId="0BD258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2" w:type="pct"/>
                  <w:tcBorders>
                    <w:tl2br w:val="nil"/>
                    <w:tr2bl w:val="nil"/>
                  </w:tcBorders>
                  <w:shd w:val="clear" w:color="auto" w:fill="auto"/>
                  <w:noWrap/>
                  <w:vAlign w:val="center"/>
                </w:tcPr>
                <w:p w14:paraId="2D1ACB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1D5FA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vMerge w:val="restart"/>
                  <w:tcBorders>
                    <w:tl2br w:val="nil"/>
                    <w:tr2bl w:val="nil"/>
                  </w:tcBorders>
                  <w:shd w:val="clear" w:color="auto" w:fill="auto"/>
                  <w:vAlign w:val="center"/>
                </w:tcPr>
                <w:p w14:paraId="6DB3EB0B">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2</w:t>
                  </w:r>
                </w:p>
              </w:tc>
              <w:tc>
                <w:tcPr>
                  <w:tcW w:w="1074" w:type="pct"/>
                  <w:vMerge w:val="restart"/>
                  <w:tcBorders>
                    <w:tl2br w:val="nil"/>
                    <w:tr2bl w:val="nil"/>
                  </w:tcBorders>
                  <w:shd w:val="clear" w:color="auto" w:fill="auto"/>
                  <w:vAlign w:val="center"/>
                </w:tcPr>
                <w:p w14:paraId="0C3D0733">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废气处理装置出现故障</w:t>
                  </w:r>
                </w:p>
              </w:tc>
              <w:tc>
                <w:tcPr>
                  <w:tcW w:w="557" w:type="pct"/>
                  <w:tcBorders>
                    <w:tl2br w:val="nil"/>
                    <w:tr2bl w:val="nil"/>
                  </w:tcBorders>
                  <w:shd w:val="clear" w:color="auto" w:fill="auto"/>
                  <w:noWrap/>
                  <w:vAlign w:val="center"/>
                </w:tcPr>
                <w:p w14:paraId="428B09DC">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w:t>
                  </w:r>
                </w:p>
              </w:tc>
              <w:tc>
                <w:tcPr>
                  <w:tcW w:w="727" w:type="pct"/>
                  <w:tcBorders>
                    <w:tl2br w:val="nil"/>
                    <w:tr2bl w:val="nil"/>
                  </w:tcBorders>
                  <w:shd w:val="clear" w:color="auto" w:fill="auto"/>
                  <w:vAlign w:val="center"/>
                </w:tcPr>
                <w:p w14:paraId="1084234C">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29.333</w:t>
                  </w:r>
                </w:p>
              </w:tc>
              <w:tc>
                <w:tcPr>
                  <w:tcW w:w="636" w:type="pct"/>
                  <w:tcBorders>
                    <w:tl2br w:val="nil"/>
                    <w:tr2bl w:val="nil"/>
                  </w:tcBorders>
                  <w:shd w:val="clear" w:color="auto" w:fill="auto"/>
                  <w:vAlign w:val="center"/>
                </w:tcPr>
                <w:p w14:paraId="38265B03">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0.088</w:t>
                  </w:r>
                </w:p>
              </w:tc>
              <w:tc>
                <w:tcPr>
                  <w:tcW w:w="568" w:type="pct"/>
                  <w:tcBorders>
                    <w:tl2br w:val="nil"/>
                    <w:tr2bl w:val="nil"/>
                  </w:tcBorders>
                  <w:shd w:val="clear" w:color="auto" w:fill="auto"/>
                  <w:vAlign w:val="center"/>
                </w:tcPr>
                <w:p w14:paraId="154F531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0.022</w:t>
                  </w:r>
                </w:p>
              </w:tc>
              <w:tc>
                <w:tcPr>
                  <w:tcW w:w="519" w:type="pct"/>
                  <w:tcBorders>
                    <w:tl2br w:val="nil"/>
                    <w:tr2bl w:val="nil"/>
                  </w:tcBorders>
                  <w:shd w:val="clear" w:color="auto" w:fill="auto"/>
                  <w:noWrap/>
                  <w:vAlign w:val="center"/>
                </w:tcPr>
                <w:p w14:paraId="02D902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2" w:type="pct"/>
                  <w:tcBorders>
                    <w:tl2br w:val="nil"/>
                    <w:tr2bl w:val="nil"/>
                  </w:tcBorders>
                  <w:shd w:val="clear" w:color="auto" w:fill="auto"/>
                  <w:noWrap/>
                  <w:vAlign w:val="center"/>
                </w:tcPr>
                <w:p w14:paraId="4900C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D47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vMerge w:val="continue"/>
                  <w:tcBorders>
                    <w:tl2br w:val="nil"/>
                    <w:tr2bl w:val="nil"/>
                  </w:tcBorders>
                  <w:shd w:val="clear" w:color="auto" w:fill="auto"/>
                  <w:vAlign w:val="center"/>
                </w:tcPr>
                <w:p w14:paraId="0C452DC5">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1074" w:type="pct"/>
                  <w:vMerge w:val="continue"/>
                  <w:tcBorders>
                    <w:tl2br w:val="nil"/>
                    <w:tr2bl w:val="nil"/>
                  </w:tcBorders>
                  <w:shd w:val="clear" w:color="auto" w:fill="auto"/>
                  <w:vAlign w:val="center"/>
                </w:tcPr>
                <w:p w14:paraId="30505DA7">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557" w:type="pct"/>
                  <w:tcBorders>
                    <w:tl2br w:val="nil"/>
                    <w:tr2bl w:val="nil"/>
                  </w:tcBorders>
                  <w:shd w:val="clear" w:color="auto" w:fill="auto"/>
                  <w:noWrap/>
                  <w:vAlign w:val="center"/>
                </w:tcPr>
                <w:p w14:paraId="4615A653">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锡及其化合物</w:t>
                  </w:r>
                </w:p>
              </w:tc>
              <w:tc>
                <w:tcPr>
                  <w:tcW w:w="727" w:type="pct"/>
                  <w:tcBorders>
                    <w:tl2br w:val="nil"/>
                    <w:tr2bl w:val="nil"/>
                  </w:tcBorders>
                  <w:shd w:val="clear" w:color="auto" w:fill="auto"/>
                  <w:vAlign w:val="center"/>
                </w:tcPr>
                <w:p w14:paraId="36039803">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1.25</w:t>
                  </w:r>
                </w:p>
              </w:tc>
              <w:tc>
                <w:tcPr>
                  <w:tcW w:w="636" w:type="pct"/>
                  <w:tcBorders>
                    <w:tl2br w:val="nil"/>
                    <w:tr2bl w:val="nil"/>
                  </w:tcBorders>
                  <w:shd w:val="clear" w:color="auto" w:fill="auto"/>
                  <w:vAlign w:val="center"/>
                </w:tcPr>
                <w:p w14:paraId="132BFF69">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0.00375</w:t>
                  </w:r>
                </w:p>
              </w:tc>
              <w:tc>
                <w:tcPr>
                  <w:tcW w:w="568" w:type="pct"/>
                  <w:tcBorders>
                    <w:tl2br w:val="nil"/>
                    <w:tr2bl w:val="nil"/>
                  </w:tcBorders>
                  <w:shd w:val="clear" w:color="auto" w:fill="auto"/>
                  <w:vAlign w:val="center"/>
                </w:tcPr>
                <w:p w14:paraId="7246B7C3">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0.0009</w:t>
                  </w:r>
                </w:p>
              </w:tc>
              <w:tc>
                <w:tcPr>
                  <w:tcW w:w="519" w:type="pct"/>
                  <w:tcBorders>
                    <w:tl2br w:val="nil"/>
                    <w:tr2bl w:val="nil"/>
                  </w:tcBorders>
                  <w:shd w:val="clear" w:color="auto" w:fill="auto"/>
                  <w:noWrap/>
                  <w:vAlign w:val="center"/>
                </w:tcPr>
                <w:p w14:paraId="3B107C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2" w:type="pct"/>
                  <w:tcBorders>
                    <w:tl2br w:val="nil"/>
                    <w:tr2bl w:val="nil"/>
                  </w:tcBorders>
                  <w:shd w:val="clear" w:color="auto" w:fill="auto"/>
                  <w:noWrap/>
                  <w:vAlign w:val="center"/>
                </w:tcPr>
                <w:p w14:paraId="1C75F6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02AD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vMerge w:val="continue"/>
                  <w:tcBorders>
                    <w:tl2br w:val="nil"/>
                    <w:tr2bl w:val="nil"/>
                  </w:tcBorders>
                  <w:shd w:val="clear" w:color="auto" w:fill="auto"/>
                  <w:vAlign w:val="center"/>
                </w:tcPr>
                <w:p w14:paraId="134E352A">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1074" w:type="pct"/>
                  <w:vMerge w:val="continue"/>
                  <w:tcBorders>
                    <w:tl2br w:val="nil"/>
                    <w:tr2bl w:val="nil"/>
                  </w:tcBorders>
                  <w:shd w:val="clear" w:color="auto" w:fill="auto"/>
                  <w:vAlign w:val="center"/>
                </w:tcPr>
                <w:p w14:paraId="5A9F1E76">
                  <w:pPr>
                    <w:jc w:val="center"/>
                    <w:rPr>
                      <w:rFonts w:hint="default" w:ascii="Times New Roman" w:hAnsi="Times New Roman" w:eastAsia="宋体" w:cs="Times New Roman"/>
                      <w:i w:val="0"/>
                      <w:iCs w:val="0"/>
                      <w:color w:val="auto"/>
                      <w:kern w:val="0"/>
                      <w:sz w:val="21"/>
                      <w:szCs w:val="21"/>
                      <w:u w:val="none"/>
                      <w:lang w:val="en-US" w:eastAsia="zh-CN" w:bidi="ar"/>
                    </w:rPr>
                  </w:pPr>
                </w:p>
              </w:tc>
              <w:tc>
                <w:tcPr>
                  <w:tcW w:w="557" w:type="pct"/>
                  <w:tcBorders>
                    <w:tl2br w:val="nil"/>
                    <w:tr2bl w:val="nil"/>
                  </w:tcBorders>
                  <w:shd w:val="clear" w:color="auto" w:fill="auto"/>
                  <w:noWrap/>
                  <w:vAlign w:val="center"/>
                </w:tcPr>
                <w:p w14:paraId="718EB080">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非甲烷总烃</w:t>
                  </w:r>
                </w:p>
              </w:tc>
              <w:tc>
                <w:tcPr>
                  <w:tcW w:w="727" w:type="pct"/>
                  <w:tcBorders>
                    <w:tl2br w:val="nil"/>
                    <w:tr2bl w:val="nil"/>
                  </w:tcBorders>
                  <w:shd w:val="clear" w:color="auto" w:fill="auto"/>
                  <w:vAlign w:val="center"/>
                </w:tcPr>
                <w:p w14:paraId="3C4CC529">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2.5</w:t>
                  </w:r>
                </w:p>
              </w:tc>
              <w:tc>
                <w:tcPr>
                  <w:tcW w:w="636" w:type="pct"/>
                  <w:tcBorders>
                    <w:tl2br w:val="nil"/>
                    <w:tr2bl w:val="nil"/>
                  </w:tcBorders>
                  <w:shd w:val="clear" w:color="auto" w:fill="auto"/>
                  <w:vAlign w:val="center"/>
                </w:tcPr>
                <w:p w14:paraId="10F0D983">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0.0075</w:t>
                  </w:r>
                </w:p>
              </w:tc>
              <w:tc>
                <w:tcPr>
                  <w:tcW w:w="568" w:type="pct"/>
                  <w:tcBorders>
                    <w:tl2br w:val="nil"/>
                    <w:tr2bl w:val="nil"/>
                  </w:tcBorders>
                  <w:shd w:val="clear" w:color="auto" w:fill="auto"/>
                  <w:vAlign w:val="center"/>
                </w:tcPr>
                <w:p w14:paraId="1EFA960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0.0019</w:t>
                  </w:r>
                </w:p>
              </w:tc>
              <w:tc>
                <w:tcPr>
                  <w:tcW w:w="519" w:type="pct"/>
                  <w:tcBorders>
                    <w:tl2br w:val="nil"/>
                    <w:tr2bl w:val="nil"/>
                  </w:tcBorders>
                  <w:shd w:val="clear" w:color="auto" w:fill="auto"/>
                  <w:noWrap/>
                  <w:vAlign w:val="center"/>
                </w:tcPr>
                <w:p w14:paraId="6537CD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2" w:type="pct"/>
                  <w:tcBorders>
                    <w:tl2br w:val="nil"/>
                    <w:tr2bl w:val="nil"/>
                  </w:tcBorders>
                  <w:shd w:val="clear" w:color="auto" w:fill="auto"/>
                  <w:noWrap/>
                  <w:vAlign w:val="center"/>
                </w:tcPr>
                <w:p w14:paraId="0F5308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735B3CAC">
            <w:pPr>
              <w:adjustRightInd w:val="0"/>
              <w:snapToGrid w:val="0"/>
              <w:spacing w:before="120" w:beforeLines="50" w:line="360" w:lineRule="auto"/>
              <w:rPr>
                <w:rFonts w:hint="default" w:ascii="Times New Roman" w:hAnsi="Times New Roman" w:eastAsia="宋体" w:cs="Times New Roman"/>
                <w:bCs/>
                <w:color w:val="auto"/>
                <w:sz w:val="24"/>
              </w:rPr>
            </w:pPr>
          </w:p>
        </w:tc>
      </w:tr>
    </w:tbl>
    <w:p w14:paraId="7B642F68">
      <w:pPr>
        <w:numPr>
          <w:ilvl w:val="0"/>
          <w:numId w:val="0"/>
        </w:num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502"/>
      </w:tblGrid>
      <w:tr w14:paraId="263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trPr>
        <w:tc>
          <w:tcPr>
            <w:tcW w:w="392" w:type="pct"/>
            <w:vAlign w:val="center"/>
          </w:tcPr>
          <w:p w14:paraId="592AC846">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607" w:type="pct"/>
          </w:tcPr>
          <w:p w14:paraId="5B8B8860">
            <w:pPr>
              <w:keepNext w:val="0"/>
              <w:keepLines w:val="0"/>
              <w:pageBreakBefore w:val="0"/>
              <w:widowControl w:val="0"/>
              <w:numPr>
                <w:ilvl w:val="0"/>
                <w:numId w:val="0"/>
              </w:numPr>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rPr>
              <w:t>监测计划</w:t>
            </w:r>
          </w:p>
          <w:p w14:paraId="0D4B4E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sz w:val="24"/>
                <w:highlight w:val="none"/>
                <w:lang w:val="en-US" w:eastAsia="zh-CN"/>
              </w:rPr>
              <w:t>参照《排污单位自行监测技术指南</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总则》（HJ819-2017）中相关要求，项目废气自行监测方案见下表。</w:t>
            </w:r>
          </w:p>
          <w:p w14:paraId="190774BA">
            <w:pPr>
              <w:adjustRightInd w:val="0"/>
              <w:snapToGrid w:val="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建设项目运营期废气监测计划表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7"/>
              <w:gridCol w:w="467"/>
              <w:gridCol w:w="1325"/>
              <w:gridCol w:w="1163"/>
              <w:gridCol w:w="889"/>
              <w:gridCol w:w="2030"/>
              <w:gridCol w:w="807"/>
              <w:gridCol w:w="1269"/>
            </w:tblGrid>
            <w:tr w14:paraId="70162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3" w:type="pct"/>
                  <w:tcBorders>
                    <w:tl2br w:val="nil"/>
                    <w:tr2bl w:val="nil"/>
                  </w:tcBorders>
                  <w:vAlign w:val="center"/>
                </w:tcPr>
                <w:p w14:paraId="3F243CF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81" w:type="pct"/>
                  <w:tcBorders>
                    <w:tl2br w:val="nil"/>
                    <w:tr2bl w:val="nil"/>
                  </w:tcBorders>
                  <w:shd w:val="clear" w:color="auto" w:fill="auto"/>
                  <w:vAlign w:val="center"/>
                </w:tcPr>
                <w:p w14:paraId="29AF90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799" w:type="pct"/>
                  <w:tcBorders>
                    <w:tl2br w:val="nil"/>
                    <w:tr2bl w:val="nil"/>
                  </w:tcBorders>
                  <w:shd w:val="clear" w:color="auto" w:fill="auto"/>
                  <w:vAlign w:val="center"/>
                </w:tcPr>
                <w:p w14:paraId="5B1A424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701" w:type="pct"/>
                  <w:tcBorders>
                    <w:tl2br w:val="nil"/>
                    <w:tr2bl w:val="nil"/>
                  </w:tcBorders>
                  <w:shd w:val="clear" w:color="auto" w:fill="auto"/>
                  <w:vAlign w:val="center"/>
                </w:tcPr>
                <w:p w14:paraId="3C650A4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536" w:type="pct"/>
                  <w:tcBorders>
                    <w:tl2br w:val="nil"/>
                    <w:tr2bl w:val="nil"/>
                  </w:tcBorders>
                  <w:shd w:val="clear" w:color="auto" w:fill="auto"/>
                  <w:vAlign w:val="center"/>
                </w:tcPr>
                <w:p w14:paraId="0C35F90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1224" w:type="pct"/>
                  <w:tcBorders>
                    <w:tl2br w:val="nil"/>
                    <w:tr2bl w:val="nil"/>
                  </w:tcBorders>
                  <w:vAlign w:val="center"/>
                </w:tcPr>
                <w:p w14:paraId="2C734805">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486" w:type="pct"/>
                  <w:tcBorders>
                    <w:tl2br w:val="nil"/>
                    <w:tr2bl w:val="nil"/>
                  </w:tcBorders>
                  <w:shd w:val="clear" w:color="auto" w:fill="auto"/>
                  <w:vAlign w:val="center"/>
                </w:tcPr>
                <w:p w14:paraId="4343799C">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监测方法</w:t>
                  </w:r>
                </w:p>
              </w:tc>
              <w:tc>
                <w:tcPr>
                  <w:tcW w:w="765" w:type="pct"/>
                  <w:tcBorders>
                    <w:tl2br w:val="nil"/>
                    <w:tr2bl w:val="nil"/>
                  </w:tcBorders>
                  <w:vAlign w:val="center"/>
                </w:tcPr>
                <w:p w14:paraId="5382F658">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依据</w:t>
                  </w:r>
                </w:p>
              </w:tc>
            </w:tr>
            <w:tr w14:paraId="497DA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restart"/>
                  <w:tcBorders>
                    <w:tl2br w:val="nil"/>
                    <w:tr2bl w:val="nil"/>
                  </w:tcBorders>
                  <w:vAlign w:val="center"/>
                </w:tcPr>
                <w:p w14:paraId="316C56E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营运期</w:t>
                  </w:r>
                </w:p>
              </w:tc>
              <w:tc>
                <w:tcPr>
                  <w:tcW w:w="281" w:type="pct"/>
                  <w:vMerge w:val="restart"/>
                  <w:tcBorders>
                    <w:tl2br w:val="nil"/>
                    <w:tr2bl w:val="nil"/>
                  </w:tcBorders>
                  <w:shd w:val="clear" w:color="auto" w:fill="auto"/>
                  <w:vAlign w:val="center"/>
                </w:tcPr>
                <w:p w14:paraId="124B6D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99" w:type="pct"/>
                  <w:tcBorders>
                    <w:tl2br w:val="nil"/>
                    <w:tr2bl w:val="nil"/>
                  </w:tcBorders>
                  <w:shd w:val="clear" w:color="auto" w:fill="auto"/>
                  <w:vAlign w:val="center"/>
                </w:tcPr>
                <w:p w14:paraId="3357D482">
                  <w:pPr>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Cs/>
                      <w:color w:val="auto"/>
                      <w:sz w:val="21"/>
                      <w:szCs w:val="21"/>
                    </w:rPr>
                    <w:t>DA00</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排气筒</w:t>
                  </w:r>
                </w:p>
              </w:tc>
              <w:tc>
                <w:tcPr>
                  <w:tcW w:w="701" w:type="pct"/>
                  <w:tcBorders>
                    <w:tl2br w:val="nil"/>
                    <w:tr2bl w:val="nil"/>
                  </w:tcBorders>
                  <w:shd w:val="clear" w:color="auto" w:fill="auto"/>
                  <w:vAlign w:val="center"/>
                </w:tcPr>
                <w:p w14:paraId="5611ED2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非甲烷总烃、苯乙烯、臭气浓度</w:t>
                  </w:r>
                </w:p>
              </w:tc>
              <w:tc>
                <w:tcPr>
                  <w:tcW w:w="536" w:type="pct"/>
                  <w:tcBorders>
                    <w:tl2br w:val="nil"/>
                    <w:tr2bl w:val="nil"/>
                  </w:tcBorders>
                  <w:shd w:val="clear" w:color="auto" w:fill="auto"/>
                  <w:vAlign w:val="center"/>
                </w:tcPr>
                <w:p w14:paraId="77941BFC">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4" w:type="pct"/>
                  <w:tcBorders>
                    <w:tl2br w:val="nil"/>
                    <w:tr2bl w:val="nil"/>
                  </w:tcBorders>
                  <w:shd w:val="clear" w:color="auto" w:fill="auto"/>
                  <w:vAlign w:val="center"/>
                </w:tcPr>
                <w:p w14:paraId="577FFB95">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《大气污染物综合排放标准》（DB32/4041-2021）中表</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标准</w:t>
                  </w:r>
                  <w:r>
                    <w:rPr>
                      <w:rFonts w:hint="eastAsia" w:ascii="Times New Roman" w:hAnsi="Times New Roman" w:eastAsia="宋体" w:cs="Times New Roman"/>
                      <w:color w:val="auto"/>
                      <w:sz w:val="21"/>
                      <w:szCs w:val="21"/>
                      <w:lang w:eastAsia="zh-CN"/>
                    </w:rPr>
                    <w:t>、《恶臭污染物排放标准》（GB14554-93）</w:t>
                  </w:r>
                </w:p>
              </w:tc>
              <w:tc>
                <w:tcPr>
                  <w:tcW w:w="486" w:type="pct"/>
                  <w:vMerge w:val="restart"/>
                  <w:tcBorders>
                    <w:tl2br w:val="nil"/>
                    <w:tr2bl w:val="nil"/>
                  </w:tcBorders>
                  <w:shd w:val="clear" w:color="auto" w:fill="auto"/>
                  <w:vAlign w:val="center"/>
                </w:tcPr>
                <w:p w14:paraId="125C284C">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t>采用国家规定最新监测方法与标准</w:t>
                  </w:r>
                </w:p>
              </w:tc>
              <w:tc>
                <w:tcPr>
                  <w:tcW w:w="765" w:type="pct"/>
                  <w:vMerge w:val="restart"/>
                  <w:tcBorders>
                    <w:tl2br w:val="nil"/>
                    <w:tr2bl w:val="nil"/>
                  </w:tcBorders>
                  <w:vAlign w:val="center"/>
                </w:tcPr>
                <w:p w14:paraId="75A721E9">
                  <w:pPr>
                    <w:spacing w:line="2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《排污单位自行监测技术指南总则》（HJ819-2017）</w:t>
                  </w:r>
                </w:p>
              </w:tc>
            </w:tr>
            <w:tr w14:paraId="39633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67905D46">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04CE3C05">
                  <w:pPr>
                    <w:jc w:val="center"/>
                    <w:rPr>
                      <w:rFonts w:hint="default" w:ascii="Times New Roman" w:hAnsi="Times New Roman" w:eastAsia="宋体" w:cs="Times New Roman"/>
                      <w:color w:val="auto"/>
                      <w:sz w:val="21"/>
                      <w:szCs w:val="21"/>
                    </w:rPr>
                  </w:pPr>
                </w:p>
              </w:tc>
              <w:tc>
                <w:tcPr>
                  <w:tcW w:w="799" w:type="pct"/>
                  <w:tcBorders>
                    <w:tl2br w:val="nil"/>
                    <w:tr2bl w:val="nil"/>
                  </w:tcBorders>
                  <w:shd w:val="clear" w:color="auto" w:fill="auto"/>
                  <w:vAlign w:val="center"/>
                </w:tcPr>
                <w:p w14:paraId="40E82A14">
                  <w:pPr>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Cs/>
                      <w:color w:val="auto"/>
                      <w:sz w:val="21"/>
                      <w:szCs w:val="21"/>
                    </w:rPr>
                    <w:t>DA00</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排气筒</w:t>
                  </w:r>
                </w:p>
              </w:tc>
              <w:tc>
                <w:tcPr>
                  <w:tcW w:w="701" w:type="pct"/>
                  <w:tcBorders>
                    <w:tl2br w:val="nil"/>
                    <w:tr2bl w:val="nil"/>
                  </w:tcBorders>
                  <w:shd w:val="clear" w:color="auto" w:fill="auto"/>
                  <w:vAlign w:val="center"/>
                </w:tcPr>
                <w:p w14:paraId="51FBDFD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r>
                    <w:rPr>
                      <w:rFonts w:hint="eastAsia" w:ascii="Times New Roman" w:hAnsi="Times New Roman" w:eastAsia="宋体" w:cs="Times New Roman"/>
                      <w:color w:val="auto"/>
                      <w:sz w:val="21"/>
                      <w:szCs w:val="21"/>
                      <w:lang w:val="en-US" w:eastAsia="zh-CN"/>
                    </w:rPr>
                    <w:t>非甲烷总烃、锡及其化合物</w:t>
                  </w:r>
                </w:p>
              </w:tc>
              <w:tc>
                <w:tcPr>
                  <w:tcW w:w="536" w:type="pct"/>
                  <w:tcBorders>
                    <w:tl2br w:val="nil"/>
                    <w:tr2bl w:val="nil"/>
                  </w:tcBorders>
                  <w:shd w:val="clear" w:color="auto" w:fill="auto"/>
                  <w:vAlign w:val="center"/>
                </w:tcPr>
                <w:p w14:paraId="12A1C5E6">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4" w:type="pct"/>
                  <w:tcBorders>
                    <w:tl2br w:val="nil"/>
                    <w:tr2bl w:val="nil"/>
                  </w:tcBorders>
                  <w:shd w:val="clear" w:color="auto" w:fill="auto"/>
                  <w:vAlign w:val="center"/>
                </w:tcPr>
                <w:p w14:paraId="15FD7F84">
                  <w:pPr>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《大气污染物综合排放标准》（DB32/4041-2021）中表</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标准</w:t>
                  </w:r>
                </w:p>
              </w:tc>
              <w:tc>
                <w:tcPr>
                  <w:tcW w:w="486" w:type="pct"/>
                  <w:vMerge w:val="continue"/>
                  <w:tcBorders>
                    <w:tl2br w:val="nil"/>
                    <w:tr2bl w:val="nil"/>
                  </w:tcBorders>
                  <w:shd w:val="clear" w:color="auto" w:fill="auto"/>
                  <w:vAlign w:val="center"/>
                </w:tcPr>
                <w:p w14:paraId="75D33EF3">
                  <w:pPr>
                    <w:spacing w:line="240" w:lineRule="exact"/>
                    <w:jc w:val="center"/>
                    <w:rPr>
                      <w:rFonts w:hint="default" w:ascii="Times New Roman" w:hAnsi="Times New Roman" w:eastAsia="宋体" w:cs="Times New Roman"/>
                      <w:bCs/>
                      <w:color w:val="auto"/>
                      <w:sz w:val="21"/>
                      <w:szCs w:val="21"/>
                    </w:rPr>
                  </w:pPr>
                </w:p>
              </w:tc>
              <w:tc>
                <w:tcPr>
                  <w:tcW w:w="765" w:type="pct"/>
                  <w:vMerge w:val="continue"/>
                  <w:tcBorders>
                    <w:tl2br w:val="nil"/>
                    <w:tr2bl w:val="nil"/>
                  </w:tcBorders>
                  <w:vAlign w:val="center"/>
                </w:tcPr>
                <w:p w14:paraId="63ADD12B">
                  <w:pPr>
                    <w:spacing w:line="240" w:lineRule="exact"/>
                    <w:jc w:val="center"/>
                    <w:rPr>
                      <w:rFonts w:hint="default" w:ascii="Times New Roman" w:hAnsi="Times New Roman" w:eastAsia="宋体" w:cs="Times New Roman"/>
                      <w:bCs/>
                      <w:color w:val="auto"/>
                      <w:sz w:val="21"/>
                      <w:szCs w:val="21"/>
                      <w:lang w:val="en-US" w:eastAsia="zh-CN"/>
                    </w:rPr>
                  </w:pPr>
                </w:p>
              </w:tc>
            </w:tr>
            <w:tr w14:paraId="6155D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00BB6433">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1BB09219">
                  <w:pPr>
                    <w:jc w:val="center"/>
                    <w:rPr>
                      <w:rFonts w:hint="default" w:ascii="Times New Roman" w:hAnsi="Times New Roman" w:eastAsia="宋体" w:cs="Times New Roman"/>
                      <w:color w:val="auto"/>
                      <w:sz w:val="21"/>
                      <w:szCs w:val="21"/>
                    </w:rPr>
                  </w:pPr>
                </w:p>
              </w:tc>
              <w:tc>
                <w:tcPr>
                  <w:tcW w:w="799" w:type="pct"/>
                  <w:tcBorders>
                    <w:tl2br w:val="nil"/>
                    <w:tr2bl w:val="nil"/>
                  </w:tcBorders>
                  <w:shd w:val="clear" w:color="auto" w:fill="auto"/>
                  <w:vAlign w:val="center"/>
                </w:tcPr>
                <w:p w14:paraId="3D361AE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厂界外1m范围内上风向1个点，下风向3个点</w:t>
                  </w:r>
                </w:p>
              </w:tc>
              <w:tc>
                <w:tcPr>
                  <w:tcW w:w="701" w:type="pct"/>
                  <w:tcBorders>
                    <w:tl2br w:val="nil"/>
                    <w:tr2bl w:val="nil"/>
                  </w:tcBorders>
                  <w:shd w:val="clear" w:color="auto" w:fill="auto"/>
                  <w:vAlign w:val="center"/>
                </w:tcPr>
                <w:p w14:paraId="20016A7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苯乙烯</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颗粒物、臭气浓度、锡及其化合物</w:t>
                  </w:r>
                </w:p>
              </w:tc>
              <w:tc>
                <w:tcPr>
                  <w:tcW w:w="536" w:type="pct"/>
                  <w:tcBorders>
                    <w:tl2br w:val="nil"/>
                    <w:tr2bl w:val="nil"/>
                  </w:tcBorders>
                  <w:shd w:val="clear" w:color="auto" w:fill="auto"/>
                  <w:vAlign w:val="center"/>
                </w:tcPr>
                <w:p w14:paraId="33C1E8A7">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4" w:type="pct"/>
                  <w:tcBorders>
                    <w:tl2br w:val="nil"/>
                    <w:tr2bl w:val="nil"/>
                  </w:tcBorders>
                  <w:shd w:val="clear" w:color="auto" w:fill="auto"/>
                  <w:vAlign w:val="center"/>
                </w:tcPr>
                <w:p w14:paraId="06EC284A">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《大气污染物综合排放标准》（DB32/4041-2021）中表</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标准</w:t>
                  </w:r>
                  <w:r>
                    <w:rPr>
                      <w:rFonts w:hint="eastAsia" w:ascii="Times New Roman" w:hAnsi="Times New Roman" w:eastAsia="宋体" w:cs="Times New Roman"/>
                      <w:color w:val="auto"/>
                      <w:sz w:val="21"/>
                      <w:szCs w:val="21"/>
                      <w:lang w:eastAsia="zh-CN"/>
                    </w:rPr>
                    <w:t>、《恶臭污染物排放标准》（GB14554-93）</w:t>
                  </w:r>
                </w:p>
              </w:tc>
              <w:tc>
                <w:tcPr>
                  <w:tcW w:w="486" w:type="pct"/>
                  <w:vMerge w:val="continue"/>
                  <w:tcBorders>
                    <w:tl2br w:val="nil"/>
                    <w:tr2bl w:val="nil"/>
                  </w:tcBorders>
                  <w:shd w:val="clear" w:color="auto" w:fill="auto"/>
                  <w:vAlign w:val="center"/>
                </w:tcPr>
                <w:p w14:paraId="183ED536">
                  <w:pPr>
                    <w:spacing w:line="240" w:lineRule="exact"/>
                    <w:jc w:val="center"/>
                    <w:rPr>
                      <w:rFonts w:hint="default" w:ascii="Times New Roman" w:hAnsi="Times New Roman" w:eastAsia="宋体" w:cs="Times New Roman"/>
                      <w:b/>
                      <w:color w:val="auto"/>
                      <w:sz w:val="21"/>
                      <w:szCs w:val="21"/>
                    </w:rPr>
                  </w:pPr>
                </w:p>
              </w:tc>
              <w:tc>
                <w:tcPr>
                  <w:tcW w:w="765" w:type="pct"/>
                  <w:vMerge w:val="continue"/>
                  <w:tcBorders>
                    <w:tl2br w:val="nil"/>
                    <w:tr2bl w:val="nil"/>
                  </w:tcBorders>
                  <w:vAlign w:val="center"/>
                </w:tcPr>
                <w:p w14:paraId="36B85632">
                  <w:pPr>
                    <w:spacing w:line="240" w:lineRule="exact"/>
                    <w:jc w:val="center"/>
                    <w:rPr>
                      <w:rFonts w:hint="default" w:ascii="Times New Roman" w:hAnsi="Times New Roman" w:eastAsia="宋体" w:cs="Times New Roman"/>
                      <w:bCs/>
                      <w:color w:val="auto"/>
                      <w:sz w:val="21"/>
                      <w:szCs w:val="21"/>
                    </w:rPr>
                  </w:pPr>
                </w:p>
              </w:tc>
            </w:tr>
            <w:tr w14:paraId="52DC8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31C90CB1">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7881D35E">
                  <w:pPr>
                    <w:jc w:val="center"/>
                    <w:rPr>
                      <w:rFonts w:hint="default" w:ascii="Times New Roman" w:hAnsi="Times New Roman" w:eastAsia="宋体" w:cs="Times New Roman"/>
                      <w:color w:val="auto"/>
                      <w:sz w:val="21"/>
                      <w:szCs w:val="21"/>
                    </w:rPr>
                  </w:pPr>
                </w:p>
              </w:tc>
              <w:tc>
                <w:tcPr>
                  <w:tcW w:w="799" w:type="pct"/>
                  <w:tcBorders>
                    <w:tl2br w:val="nil"/>
                    <w:tr2bl w:val="nil"/>
                  </w:tcBorders>
                  <w:shd w:val="clear" w:color="auto" w:fill="auto"/>
                  <w:vAlign w:val="center"/>
                </w:tcPr>
                <w:p w14:paraId="774040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厂房外设置监控点</w:t>
                  </w:r>
                </w:p>
              </w:tc>
              <w:tc>
                <w:tcPr>
                  <w:tcW w:w="701" w:type="pct"/>
                  <w:tcBorders>
                    <w:tl2br w:val="nil"/>
                    <w:tr2bl w:val="nil"/>
                  </w:tcBorders>
                  <w:shd w:val="clear" w:color="auto" w:fill="auto"/>
                  <w:vAlign w:val="center"/>
                </w:tcPr>
                <w:p w14:paraId="733C76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536" w:type="pct"/>
                  <w:tcBorders>
                    <w:tl2br w:val="nil"/>
                    <w:tr2bl w:val="nil"/>
                  </w:tcBorders>
                  <w:shd w:val="clear" w:color="auto" w:fill="auto"/>
                  <w:vAlign w:val="center"/>
                </w:tcPr>
                <w:p w14:paraId="505B2349">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4" w:type="pct"/>
                  <w:tcBorders>
                    <w:tl2br w:val="nil"/>
                    <w:tr2bl w:val="nil"/>
                  </w:tcBorders>
                  <w:vAlign w:val="center"/>
                </w:tcPr>
                <w:p w14:paraId="4B138122">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《大气污染物综合排放标准》（DB32/4041-2021）表2标准</w:t>
                  </w:r>
                </w:p>
              </w:tc>
              <w:tc>
                <w:tcPr>
                  <w:tcW w:w="486" w:type="pct"/>
                  <w:vMerge w:val="continue"/>
                  <w:tcBorders>
                    <w:tl2br w:val="nil"/>
                    <w:tr2bl w:val="nil"/>
                  </w:tcBorders>
                  <w:shd w:val="clear" w:color="auto" w:fill="auto"/>
                  <w:vAlign w:val="center"/>
                </w:tcPr>
                <w:p w14:paraId="62456641">
                  <w:pPr>
                    <w:spacing w:line="240" w:lineRule="exact"/>
                    <w:jc w:val="center"/>
                    <w:rPr>
                      <w:rFonts w:hint="default" w:ascii="Times New Roman" w:hAnsi="Times New Roman" w:eastAsia="宋体" w:cs="Times New Roman"/>
                      <w:bCs/>
                      <w:color w:val="auto"/>
                      <w:sz w:val="21"/>
                      <w:szCs w:val="21"/>
                    </w:rPr>
                  </w:pPr>
                </w:p>
              </w:tc>
              <w:tc>
                <w:tcPr>
                  <w:tcW w:w="765" w:type="pct"/>
                  <w:vMerge w:val="continue"/>
                  <w:tcBorders>
                    <w:tl2br w:val="nil"/>
                    <w:tr2bl w:val="nil"/>
                  </w:tcBorders>
                  <w:vAlign w:val="center"/>
                </w:tcPr>
                <w:p w14:paraId="09EBF4FA">
                  <w:pPr>
                    <w:spacing w:line="240" w:lineRule="exact"/>
                    <w:jc w:val="center"/>
                    <w:rPr>
                      <w:rFonts w:hint="default" w:ascii="Times New Roman" w:hAnsi="Times New Roman" w:eastAsia="宋体" w:cs="Times New Roman"/>
                      <w:bCs/>
                      <w:color w:val="auto"/>
                      <w:sz w:val="21"/>
                      <w:szCs w:val="21"/>
                    </w:rPr>
                  </w:pPr>
                </w:p>
              </w:tc>
            </w:tr>
          </w:tbl>
          <w:p w14:paraId="6AE08743">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rPr>
              <w:t>6.</w:t>
            </w:r>
            <w:r>
              <w:rPr>
                <w:rFonts w:hint="default" w:ascii="Times New Roman" w:hAnsi="Times New Roman" w:eastAsia="宋体" w:cs="Times New Roman"/>
                <w:b/>
                <w:bCs/>
                <w:color w:val="auto"/>
                <w:kern w:val="2"/>
                <w:sz w:val="24"/>
                <w:szCs w:val="24"/>
              </w:rPr>
              <w:t>大气环境影响分析</w:t>
            </w:r>
          </w:p>
          <w:p w14:paraId="2DB96572">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①区域环境质量现状</w:t>
            </w:r>
          </w:p>
          <w:p w14:paraId="0B13FD2F">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年常州市生态环境质量报告》，本项目所在地属于非达标区，常州市人民政府制定了《2023年常州市生态文明建设工作方案》，预期常州市大气环境空气质量将得到进一步改善。</w:t>
            </w:r>
          </w:p>
          <w:p w14:paraId="07FED0D4">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本项目废气</w:t>
            </w:r>
            <w:r>
              <w:rPr>
                <w:rFonts w:hint="eastAsia" w:ascii="Times New Roman" w:hAnsi="Times New Roman" w:eastAsia="宋体" w:cs="Times New Roman"/>
                <w:color w:val="auto"/>
                <w:sz w:val="24"/>
                <w:szCs w:val="24"/>
                <w:lang w:val="en-US" w:eastAsia="zh-CN"/>
              </w:rPr>
              <w:t>排放量较少</w:t>
            </w:r>
            <w:r>
              <w:rPr>
                <w:rFonts w:hint="default" w:ascii="Times New Roman" w:hAnsi="Times New Roman" w:eastAsia="宋体" w:cs="Times New Roman"/>
                <w:color w:val="auto"/>
                <w:sz w:val="24"/>
                <w:szCs w:val="24"/>
              </w:rPr>
              <w:t>，对周围空气环境影响较小。结合项目所在地环境质量现状特征因子补充监测报告，本项目的建设符合大气环境质量底线要求。</w:t>
            </w:r>
          </w:p>
          <w:p w14:paraId="529131AF">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②敏感保护目标 </w:t>
            </w:r>
          </w:p>
          <w:p w14:paraId="57A8C41A">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项目周边500m范围内</w:t>
            </w:r>
            <w:r>
              <w:rPr>
                <w:rFonts w:hint="eastAsia" w:ascii="Times New Roman" w:hAnsi="Times New Roman" w:eastAsia="宋体" w:cs="Times New Roman"/>
                <w:color w:val="auto"/>
                <w:sz w:val="24"/>
                <w:szCs w:val="24"/>
                <w:lang w:val="en-US" w:eastAsia="zh-CN"/>
              </w:rPr>
              <w:t>主要是西北约400m处的常州德理康医院。</w:t>
            </w:r>
          </w:p>
          <w:p w14:paraId="77559080">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sz w:val="24"/>
                <w:szCs w:val="24"/>
              </w:rPr>
              <w:t>③大气排放影响分析</w:t>
            </w:r>
          </w:p>
          <w:p w14:paraId="04FE896B">
            <w:pPr>
              <w:pStyle w:val="60"/>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本项目排放的大气污染物为非甲烷总烃</w:t>
            </w:r>
            <w:r>
              <w:rPr>
                <w:rFonts w:hint="default" w:ascii="Times New Roman" w:hAnsi="Times New Roman" w:eastAsia="宋体" w:cs="Times New Roman"/>
                <w:snapToGrid w:val="0"/>
                <w:color w:val="auto"/>
                <w:spacing w:val="0"/>
                <w:szCs w:val="24"/>
                <w:lang w:eastAsia="zh-CN"/>
              </w:rPr>
              <w:t>、</w:t>
            </w:r>
            <w:r>
              <w:rPr>
                <w:rFonts w:hint="eastAsia" w:ascii="Times New Roman" w:hAnsi="Times New Roman" w:eastAsia="宋体" w:cs="Times New Roman"/>
                <w:snapToGrid w:val="0"/>
                <w:color w:val="auto"/>
                <w:spacing w:val="0"/>
                <w:szCs w:val="24"/>
                <w:lang w:val="en-US" w:eastAsia="zh-CN"/>
              </w:rPr>
              <w:t>颗粒物、苯乙烯</w:t>
            </w:r>
            <w:r>
              <w:rPr>
                <w:rFonts w:hint="default" w:ascii="Times New Roman" w:hAnsi="Times New Roman" w:eastAsia="宋体" w:cs="Times New Roman"/>
                <w:snapToGrid w:val="0"/>
                <w:color w:val="auto"/>
                <w:spacing w:val="0"/>
                <w:szCs w:val="24"/>
                <w:lang w:val="en-US" w:eastAsia="zh-CN"/>
              </w:rPr>
              <w:t>等</w:t>
            </w:r>
            <w:r>
              <w:rPr>
                <w:rFonts w:hint="default" w:ascii="Times New Roman" w:hAnsi="Times New Roman" w:eastAsia="宋体" w:cs="Times New Roman"/>
                <w:snapToGrid w:val="0"/>
                <w:color w:val="auto"/>
                <w:spacing w:val="0"/>
                <w:szCs w:val="24"/>
              </w:rPr>
              <w:t>，针对各产污环节，均采取了可行的污染治理措施，经处理后均达标排放，排放强度较低；且本项目卫生防护距离内无各类敏感目标，因此本项目不会对周边敏感目标造成影响。</w:t>
            </w:r>
          </w:p>
          <w:p w14:paraId="0BD6E8EB">
            <w:pPr>
              <w:pStyle w:val="60"/>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综上所述，本项目废气污染物经处理后排放对周围环境影响较小。本评价认为，从大气环境影响的角度来讲，建设项目在拟建地建设是可行的。</w:t>
            </w:r>
          </w:p>
          <w:p w14:paraId="482237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卫生防护距离</w:t>
            </w:r>
          </w:p>
          <w:p w14:paraId="6FE20E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根据《大气有害物质无组织排放卫生防护距离推导技术导则》（GB/T39499-2020）规定中制定的卫生防护距离制定方法，计算本项目卫生防护距离。卫生防护距离按下式计算：</w:t>
            </w:r>
          </w:p>
          <w:p w14:paraId="56BB529A">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34.4pt;width:143.2pt;" o:ole="t" filled="f" o:preferrelative="t" stroked="f" coordsize="21600,21600">
                  <v:path/>
                  <v:fill on="f" focussize="0,0"/>
                  <v:stroke on="f"/>
                  <v:imagedata r:id="rId27" o:title=""/>
                  <o:lock v:ext="edit" aspectratio="t"/>
                  <w10:wrap type="none"/>
                  <w10:anchorlock/>
                </v:shape>
                <o:OLEObject Type="Embed" ProgID="Equation.2" ShapeID="_x0000_i1025" DrawAspect="Content" ObjectID="_1468075725" r:id="rId26">
                  <o:LockedField>false</o:LockedField>
                </o:OLEObject>
              </w:object>
            </w:r>
          </w:p>
          <w:p w14:paraId="6FD71BE5">
            <w:pPr>
              <w:spacing w:line="360" w:lineRule="auto"/>
              <w:ind w:firstLine="42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式中：Cm—环境一次浓度标准限值（mg/m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19C8CA55">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L—工业企业所需的防护距离（m）；</w:t>
            </w:r>
          </w:p>
          <w:p w14:paraId="688DA17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Qc—有害气体无组织排放量可以达到的控制水平（kg/h）；</w:t>
            </w:r>
          </w:p>
          <w:p w14:paraId="58382977">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r—有害气体无组织排放源所在生产单元的等效半径（m）；根据生产单元的占地面积S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计算，r=</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lang w:val="en-US" w:eastAsia="zh-CN"/>
              </w:rPr>
              <w:t>Π</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vertAlign w:val="superscript"/>
              </w:rPr>
              <w:t>0.5</w:t>
            </w:r>
            <w:r>
              <w:rPr>
                <w:rFonts w:hint="default" w:ascii="Times New Roman" w:hAnsi="Times New Roman" w:eastAsia="宋体" w:cs="Times New Roman"/>
                <w:color w:val="auto"/>
                <w:sz w:val="24"/>
              </w:rPr>
              <w:t>。</w:t>
            </w:r>
          </w:p>
          <w:p w14:paraId="701EC17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A、B、C、D—卫生防护距离计算系数。</w:t>
            </w:r>
          </w:p>
          <w:p w14:paraId="0D0686E0">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sz w:val="24"/>
              </w:rPr>
              <w:t xml:space="preserve">  卫生防护距离初值计算系数</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9"/>
              <w:gridCol w:w="1288"/>
              <w:gridCol w:w="626"/>
              <w:gridCol w:w="626"/>
              <w:gridCol w:w="630"/>
              <w:gridCol w:w="628"/>
              <w:gridCol w:w="628"/>
              <w:gridCol w:w="630"/>
              <w:gridCol w:w="628"/>
              <w:gridCol w:w="628"/>
              <w:gridCol w:w="626"/>
            </w:tblGrid>
            <w:tr w14:paraId="731743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0D41EF5">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0D1B0CD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ED3F459">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卫生防护距离L（m）</w:t>
                  </w:r>
                </w:p>
              </w:tc>
            </w:tr>
            <w:tr w14:paraId="284B6B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9EDE76E">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3864BE60">
                  <w:pPr>
                    <w:rPr>
                      <w:rFonts w:hint="default" w:ascii="Times New Roman" w:hAnsi="Times New Roman" w:eastAsia="宋体" w:cs="Times New Roman"/>
                      <w:b/>
                      <w:bCs/>
                      <w:color w:val="auto"/>
                      <w:szCs w:val="21"/>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C52215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CE7247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1000＜L≤2000</w:t>
                  </w:r>
                </w:p>
              </w:tc>
              <w:tc>
                <w:tcPr>
                  <w:tcW w:w="1136" w:type="pct"/>
                  <w:gridSpan w:val="3"/>
                  <w:tcBorders>
                    <w:top w:val="single" w:color="auto" w:sz="2" w:space="0"/>
                    <w:left w:val="single" w:color="auto" w:sz="2" w:space="0"/>
                    <w:bottom w:val="single" w:color="auto" w:sz="2" w:space="0"/>
                    <w:right w:val="nil"/>
                  </w:tcBorders>
                  <w:vAlign w:val="center"/>
                </w:tcPr>
                <w:p w14:paraId="6CB01F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L＞2000</w:t>
                  </w:r>
                </w:p>
              </w:tc>
            </w:tr>
            <w:tr w14:paraId="057193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84C63C3">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F22C78D">
                  <w:pPr>
                    <w:rPr>
                      <w:rFonts w:hint="default" w:ascii="Times New Roman" w:hAnsi="Times New Roman" w:eastAsia="宋体" w:cs="Times New Roman"/>
                      <w:b/>
                      <w:bCs/>
                      <w:color w:val="auto"/>
                      <w:szCs w:val="21"/>
                    </w:rPr>
                  </w:pPr>
                </w:p>
              </w:tc>
              <w:tc>
                <w:tcPr>
                  <w:tcW w:w="3410" w:type="pct"/>
                  <w:gridSpan w:val="9"/>
                  <w:tcBorders>
                    <w:top w:val="single" w:color="auto" w:sz="2" w:space="0"/>
                    <w:left w:val="single" w:color="auto" w:sz="2" w:space="0"/>
                    <w:bottom w:val="single" w:color="auto" w:sz="2" w:space="0"/>
                    <w:right w:val="nil"/>
                  </w:tcBorders>
                  <w:vAlign w:val="center"/>
                </w:tcPr>
                <w:p w14:paraId="793AF4D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工业企业大气污染源构成类型</w:t>
                  </w:r>
                </w:p>
              </w:tc>
            </w:tr>
            <w:tr w14:paraId="1DAFA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27044595">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C844B49">
                  <w:pPr>
                    <w:rPr>
                      <w:rFonts w:hint="default" w:ascii="Times New Roman" w:hAnsi="Times New Roman" w:eastAsia="宋体" w:cs="Times New Roman"/>
                      <w:b/>
                      <w:bCs/>
                      <w:color w:val="auto"/>
                      <w:szCs w:val="21"/>
                    </w:rPr>
                  </w:pPr>
                </w:p>
              </w:tc>
              <w:tc>
                <w:tcPr>
                  <w:tcW w:w="378" w:type="pct"/>
                  <w:tcBorders>
                    <w:top w:val="single" w:color="auto" w:sz="2" w:space="0"/>
                    <w:left w:val="single" w:color="auto" w:sz="2" w:space="0"/>
                    <w:bottom w:val="single" w:color="auto" w:sz="2" w:space="0"/>
                    <w:right w:val="single" w:color="auto" w:sz="2" w:space="0"/>
                  </w:tcBorders>
                  <w:vAlign w:val="center"/>
                </w:tcPr>
                <w:p w14:paraId="7D73044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8" w:type="pct"/>
                  <w:tcBorders>
                    <w:top w:val="single" w:color="auto" w:sz="2" w:space="0"/>
                    <w:left w:val="single" w:color="auto" w:sz="2" w:space="0"/>
                    <w:bottom w:val="single" w:color="auto" w:sz="2" w:space="0"/>
                    <w:right w:val="single" w:color="auto" w:sz="2" w:space="0"/>
                  </w:tcBorders>
                  <w:vAlign w:val="center"/>
                </w:tcPr>
                <w:p w14:paraId="22B9A7C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FAAAE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75C462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12A9979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BEF62D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D05CEF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3515A7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8" w:type="pct"/>
                  <w:tcBorders>
                    <w:top w:val="single" w:color="auto" w:sz="2" w:space="0"/>
                    <w:left w:val="single" w:color="auto" w:sz="2" w:space="0"/>
                    <w:bottom w:val="single" w:color="auto" w:sz="2" w:space="0"/>
                    <w:right w:val="nil"/>
                  </w:tcBorders>
                  <w:vAlign w:val="center"/>
                </w:tcPr>
                <w:p w14:paraId="68CE06B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r>
            <w:tr w14:paraId="2EA9DE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1CEFC65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A</w:t>
                  </w:r>
                </w:p>
              </w:tc>
              <w:tc>
                <w:tcPr>
                  <w:tcW w:w="777" w:type="pct"/>
                  <w:tcBorders>
                    <w:top w:val="single" w:color="auto" w:sz="2" w:space="0"/>
                    <w:left w:val="single" w:color="auto" w:sz="2" w:space="0"/>
                    <w:bottom w:val="single" w:color="auto" w:sz="2" w:space="0"/>
                    <w:right w:val="single" w:color="auto" w:sz="2" w:space="0"/>
                  </w:tcBorders>
                  <w:vAlign w:val="center"/>
                </w:tcPr>
                <w:p w14:paraId="0925ED2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8A6153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8" w:type="pct"/>
                  <w:tcBorders>
                    <w:top w:val="single" w:color="auto" w:sz="2" w:space="0"/>
                    <w:left w:val="single" w:color="auto" w:sz="2" w:space="0"/>
                    <w:bottom w:val="single" w:color="auto" w:sz="2" w:space="0"/>
                    <w:right w:val="single" w:color="auto" w:sz="2" w:space="0"/>
                  </w:tcBorders>
                  <w:vAlign w:val="center"/>
                </w:tcPr>
                <w:p w14:paraId="2CB402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80" w:type="pct"/>
                  <w:tcBorders>
                    <w:top w:val="single" w:color="auto" w:sz="2" w:space="0"/>
                    <w:left w:val="single" w:color="auto" w:sz="2" w:space="0"/>
                    <w:bottom w:val="single" w:color="auto" w:sz="2" w:space="0"/>
                    <w:right w:val="single" w:color="auto" w:sz="2" w:space="0"/>
                  </w:tcBorders>
                  <w:vAlign w:val="center"/>
                </w:tcPr>
                <w:p w14:paraId="109797D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AF8EDA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EAB88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D9D423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294C94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9" w:type="pct"/>
                  <w:tcBorders>
                    <w:top w:val="single" w:color="auto" w:sz="2" w:space="0"/>
                    <w:left w:val="single" w:color="auto" w:sz="2" w:space="0"/>
                    <w:bottom w:val="single" w:color="auto" w:sz="2" w:space="0"/>
                    <w:right w:val="single" w:color="auto" w:sz="2" w:space="0"/>
                  </w:tcBorders>
                  <w:vAlign w:val="center"/>
                </w:tcPr>
                <w:p w14:paraId="3D10E07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8" w:type="pct"/>
                  <w:tcBorders>
                    <w:top w:val="single" w:color="auto" w:sz="2" w:space="0"/>
                    <w:left w:val="single" w:color="auto" w:sz="2" w:space="0"/>
                    <w:bottom w:val="single" w:color="auto" w:sz="2" w:space="0"/>
                    <w:right w:val="nil"/>
                  </w:tcBorders>
                  <w:vAlign w:val="center"/>
                </w:tcPr>
                <w:p w14:paraId="00B0AD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r>
            <w:tr w14:paraId="146AA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6C0EBC2">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0CF4A9F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2-4</w:t>
                  </w:r>
                </w:p>
              </w:tc>
              <w:tc>
                <w:tcPr>
                  <w:tcW w:w="378" w:type="pct"/>
                  <w:tcBorders>
                    <w:top w:val="single" w:color="auto" w:sz="2" w:space="0"/>
                    <w:left w:val="single" w:color="auto" w:sz="2" w:space="0"/>
                    <w:bottom w:val="single" w:color="auto" w:sz="2" w:space="0"/>
                    <w:right w:val="single" w:color="auto" w:sz="2" w:space="0"/>
                  </w:tcBorders>
                  <w:vAlign w:val="center"/>
                </w:tcPr>
                <w:p w14:paraId="41843EA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617A9F7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80" w:type="pct"/>
                  <w:tcBorders>
                    <w:top w:val="single" w:color="auto" w:sz="2" w:space="0"/>
                    <w:left w:val="single" w:color="auto" w:sz="2" w:space="0"/>
                    <w:bottom w:val="single" w:color="auto" w:sz="2" w:space="0"/>
                    <w:right w:val="single" w:color="auto" w:sz="2" w:space="0"/>
                  </w:tcBorders>
                  <w:vAlign w:val="center"/>
                </w:tcPr>
                <w:p w14:paraId="1B0AB13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4BABC48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AB402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79" w:type="pct"/>
                  <w:tcBorders>
                    <w:top w:val="single" w:color="auto" w:sz="2" w:space="0"/>
                    <w:left w:val="single" w:color="auto" w:sz="2" w:space="0"/>
                    <w:bottom w:val="single" w:color="auto" w:sz="2" w:space="0"/>
                    <w:right w:val="single" w:color="auto" w:sz="2" w:space="0"/>
                  </w:tcBorders>
                  <w:vAlign w:val="center"/>
                </w:tcPr>
                <w:p w14:paraId="3217C1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99652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380</w:t>
                  </w:r>
                </w:p>
              </w:tc>
              <w:tc>
                <w:tcPr>
                  <w:tcW w:w="379" w:type="pct"/>
                  <w:tcBorders>
                    <w:top w:val="single" w:color="auto" w:sz="2" w:space="0"/>
                    <w:left w:val="single" w:color="auto" w:sz="2" w:space="0"/>
                    <w:bottom w:val="single" w:color="auto" w:sz="2" w:space="0"/>
                    <w:right w:val="single" w:color="auto" w:sz="2" w:space="0"/>
                  </w:tcBorders>
                  <w:vAlign w:val="center"/>
                </w:tcPr>
                <w:p w14:paraId="2C9E90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250</w:t>
                  </w:r>
                </w:p>
              </w:tc>
              <w:tc>
                <w:tcPr>
                  <w:tcW w:w="378" w:type="pct"/>
                  <w:tcBorders>
                    <w:top w:val="single" w:color="auto" w:sz="2" w:space="0"/>
                    <w:left w:val="single" w:color="auto" w:sz="2" w:space="0"/>
                    <w:bottom w:val="single" w:color="auto" w:sz="2" w:space="0"/>
                    <w:right w:val="nil"/>
                  </w:tcBorders>
                  <w:vAlign w:val="center"/>
                </w:tcPr>
                <w:p w14:paraId="4C9206C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r>
            <w:tr w14:paraId="4B37EF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EC428B6">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542BC2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&gt;4</w:t>
                  </w:r>
                </w:p>
              </w:tc>
              <w:tc>
                <w:tcPr>
                  <w:tcW w:w="378" w:type="pct"/>
                  <w:tcBorders>
                    <w:top w:val="single" w:color="auto" w:sz="2" w:space="0"/>
                    <w:left w:val="single" w:color="auto" w:sz="2" w:space="0"/>
                    <w:bottom w:val="single" w:color="auto" w:sz="2" w:space="0"/>
                    <w:right w:val="single" w:color="auto" w:sz="2" w:space="0"/>
                  </w:tcBorders>
                  <w:vAlign w:val="center"/>
                </w:tcPr>
                <w:p w14:paraId="3A0E962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8" w:type="pct"/>
                  <w:tcBorders>
                    <w:top w:val="single" w:color="auto" w:sz="2" w:space="0"/>
                    <w:left w:val="single" w:color="auto" w:sz="2" w:space="0"/>
                    <w:bottom w:val="single" w:color="auto" w:sz="2" w:space="0"/>
                    <w:right w:val="single" w:color="auto" w:sz="2" w:space="0"/>
                  </w:tcBorders>
                  <w:vAlign w:val="center"/>
                </w:tcPr>
                <w:p w14:paraId="09ACCFF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80" w:type="pct"/>
                  <w:tcBorders>
                    <w:top w:val="single" w:color="auto" w:sz="2" w:space="0"/>
                    <w:left w:val="single" w:color="auto" w:sz="2" w:space="0"/>
                    <w:bottom w:val="single" w:color="auto" w:sz="2" w:space="0"/>
                    <w:right w:val="single" w:color="auto" w:sz="2" w:space="0"/>
                  </w:tcBorders>
                  <w:vAlign w:val="center"/>
                </w:tcPr>
                <w:p w14:paraId="7FF3DA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5DD4743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9" w:type="pct"/>
                  <w:tcBorders>
                    <w:top w:val="single" w:color="auto" w:sz="2" w:space="0"/>
                    <w:left w:val="single" w:color="auto" w:sz="2" w:space="0"/>
                    <w:bottom w:val="single" w:color="auto" w:sz="2" w:space="0"/>
                    <w:right w:val="single" w:color="auto" w:sz="2" w:space="0"/>
                  </w:tcBorders>
                  <w:vAlign w:val="center"/>
                </w:tcPr>
                <w:p w14:paraId="04BA42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6CA8E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1436055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B9E961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c>
                <w:tcPr>
                  <w:tcW w:w="378" w:type="pct"/>
                  <w:tcBorders>
                    <w:top w:val="single" w:color="auto" w:sz="2" w:space="0"/>
                    <w:left w:val="single" w:color="auto" w:sz="2" w:space="0"/>
                    <w:bottom w:val="single" w:color="auto" w:sz="2" w:space="0"/>
                    <w:right w:val="nil"/>
                  </w:tcBorders>
                  <w:vAlign w:val="center"/>
                </w:tcPr>
                <w:p w14:paraId="0D64688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140</w:t>
                  </w:r>
                </w:p>
              </w:tc>
            </w:tr>
            <w:tr w14:paraId="511CF2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0779E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B</w:t>
                  </w:r>
                </w:p>
              </w:tc>
              <w:tc>
                <w:tcPr>
                  <w:tcW w:w="777" w:type="pct"/>
                  <w:tcBorders>
                    <w:top w:val="single" w:color="auto" w:sz="2" w:space="0"/>
                    <w:left w:val="single" w:color="auto" w:sz="2" w:space="0"/>
                    <w:bottom w:val="single" w:color="auto" w:sz="2" w:space="0"/>
                    <w:right w:val="single" w:color="auto" w:sz="2" w:space="0"/>
                  </w:tcBorders>
                  <w:vAlign w:val="center"/>
                </w:tcPr>
                <w:p w14:paraId="00627FB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82FEE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D212E2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c>
                <w:tcPr>
                  <w:tcW w:w="1136" w:type="pct"/>
                  <w:gridSpan w:val="3"/>
                  <w:tcBorders>
                    <w:top w:val="single" w:color="auto" w:sz="2" w:space="0"/>
                    <w:left w:val="single" w:color="auto" w:sz="2" w:space="0"/>
                    <w:bottom w:val="single" w:color="auto" w:sz="2" w:space="0"/>
                    <w:right w:val="nil"/>
                  </w:tcBorders>
                  <w:vAlign w:val="center"/>
                </w:tcPr>
                <w:p w14:paraId="02BEF38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r>
            <w:tr w14:paraId="30E88A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92D5813">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23ED8D4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0556908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C7326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c>
                <w:tcPr>
                  <w:tcW w:w="1136" w:type="pct"/>
                  <w:gridSpan w:val="3"/>
                  <w:tcBorders>
                    <w:top w:val="single" w:color="auto" w:sz="2" w:space="0"/>
                    <w:left w:val="single" w:color="auto" w:sz="2" w:space="0"/>
                    <w:bottom w:val="single" w:color="auto" w:sz="2" w:space="0"/>
                    <w:right w:val="nil"/>
                  </w:tcBorders>
                  <w:vAlign w:val="center"/>
                </w:tcPr>
                <w:p w14:paraId="66A822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r>
            <w:tr w14:paraId="3D58F8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9521C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C</w:t>
                  </w:r>
                </w:p>
              </w:tc>
              <w:tc>
                <w:tcPr>
                  <w:tcW w:w="777" w:type="pct"/>
                  <w:tcBorders>
                    <w:top w:val="single" w:color="auto" w:sz="2" w:space="0"/>
                    <w:left w:val="single" w:color="auto" w:sz="2" w:space="0"/>
                    <w:bottom w:val="single" w:color="auto" w:sz="2" w:space="0"/>
                    <w:right w:val="single" w:color="auto" w:sz="2" w:space="0"/>
                  </w:tcBorders>
                  <w:vAlign w:val="center"/>
                </w:tcPr>
                <w:p w14:paraId="6135A60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EC5AC3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CF352E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c>
                <w:tcPr>
                  <w:tcW w:w="1136" w:type="pct"/>
                  <w:gridSpan w:val="3"/>
                  <w:tcBorders>
                    <w:top w:val="single" w:color="auto" w:sz="2" w:space="0"/>
                    <w:left w:val="single" w:color="auto" w:sz="2" w:space="0"/>
                    <w:bottom w:val="single" w:color="auto" w:sz="2" w:space="0"/>
                    <w:right w:val="nil"/>
                  </w:tcBorders>
                  <w:vAlign w:val="center"/>
                </w:tcPr>
                <w:p w14:paraId="37A9FCE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r>
            <w:tr w14:paraId="0929AF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A84FF75">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62F92E8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4B9641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D665C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c>
                <w:tcPr>
                  <w:tcW w:w="1136" w:type="pct"/>
                  <w:gridSpan w:val="3"/>
                  <w:tcBorders>
                    <w:top w:val="single" w:color="auto" w:sz="2" w:space="0"/>
                    <w:left w:val="single" w:color="auto" w:sz="2" w:space="0"/>
                    <w:bottom w:val="single" w:color="auto" w:sz="2" w:space="0"/>
                    <w:right w:val="nil"/>
                  </w:tcBorders>
                  <w:vAlign w:val="center"/>
                </w:tcPr>
                <w:p w14:paraId="52777AB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r>
            <w:tr w14:paraId="38A2B3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450DF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D</w:t>
                  </w:r>
                </w:p>
              </w:tc>
              <w:tc>
                <w:tcPr>
                  <w:tcW w:w="777" w:type="pct"/>
                  <w:tcBorders>
                    <w:top w:val="single" w:color="auto" w:sz="2" w:space="0"/>
                    <w:left w:val="single" w:color="auto" w:sz="2" w:space="0"/>
                    <w:bottom w:val="single" w:color="auto" w:sz="2" w:space="0"/>
                    <w:right w:val="single" w:color="auto" w:sz="2" w:space="0"/>
                  </w:tcBorders>
                  <w:vAlign w:val="center"/>
                </w:tcPr>
                <w:p w14:paraId="44D1C83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9708C2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2B835B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6" w:type="pct"/>
                  <w:gridSpan w:val="3"/>
                  <w:tcBorders>
                    <w:top w:val="single" w:color="auto" w:sz="2" w:space="0"/>
                    <w:left w:val="single" w:color="auto" w:sz="2" w:space="0"/>
                    <w:bottom w:val="single" w:color="auto" w:sz="2" w:space="0"/>
                    <w:right w:val="nil"/>
                  </w:tcBorders>
                  <w:vAlign w:val="center"/>
                </w:tcPr>
                <w:p w14:paraId="17A257E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0.57</w:t>
                  </w:r>
                </w:p>
              </w:tc>
            </w:tr>
            <w:tr w14:paraId="5DE3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011BE2C">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436599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5630A7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A7DB47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6" w:type="pct"/>
                  <w:gridSpan w:val="3"/>
                  <w:tcBorders>
                    <w:top w:val="single" w:color="auto" w:sz="2" w:space="0"/>
                    <w:left w:val="single" w:color="auto" w:sz="2" w:space="0"/>
                    <w:bottom w:val="single" w:color="auto" w:sz="2" w:space="0"/>
                    <w:right w:val="nil"/>
                  </w:tcBorders>
                  <w:vAlign w:val="center"/>
                </w:tcPr>
                <w:p w14:paraId="687480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0.76</w:t>
                  </w:r>
                </w:p>
              </w:tc>
            </w:tr>
            <w:tr w14:paraId="359B15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2079F5B5">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注：</w:t>
                  </w:r>
                  <w:r>
                    <w:rPr>
                      <w:rFonts w:hint="default" w:ascii="Times New Roman" w:hAnsi="Times New Roman" w:eastAsia="宋体" w:cs="Times New Roman"/>
                      <w:color w:val="auto"/>
                      <w:sz w:val="18"/>
                      <w:szCs w:val="18"/>
                    </w:rPr>
                    <w:t>Ⅰ类：与无组织排放源共存的排放同种有害气体的排气筒的排放量，大于或等于标准规定的允许排放量的1/3者。</w:t>
                  </w:r>
                </w:p>
                <w:p w14:paraId="5E4A39EA">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56B8CF84">
                  <w:pPr>
                    <w:jc w:val="left"/>
                    <w:rPr>
                      <w:rFonts w:hint="default" w:ascii="Times New Roman" w:hAnsi="Times New Roman" w:eastAsia="宋体" w:cs="Times New Roman"/>
                      <w:b/>
                      <w:bCs/>
                      <w:color w:val="auto"/>
                    </w:rPr>
                  </w:pPr>
                  <w:r>
                    <w:rPr>
                      <w:rFonts w:hint="default" w:ascii="Times New Roman" w:hAnsi="Times New Roman" w:eastAsia="宋体" w:cs="Times New Roman"/>
                      <w:color w:val="auto"/>
                      <w:sz w:val="18"/>
                      <w:szCs w:val="18"/>
                    </w:rPr>
                    <w:t>Ⅲ类：无排放同种有害物质的排气筒与无组织排放源共存，但无组织排放的有害物质的容许浓度是按慢性反应指标确定者。</w:t>
                  </w:r>
                </w:p>
              </w:tc>
            </w:tr>
          </w:tbl>
          <w:p w14:paraId="4BA42783">
            <w:pPr>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407DB6CD">
            <w:pPr>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经计算，本项目卫生防护距离计算结果见表4-1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w:t>
            </w:r>
          </w:p>
          <w:p w14:paraId="20F6CCB8">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表4-1</w:t>
            </w:r>
            <w:r>
              <w:rPr>
                <w:rFonts w:hint="eastAsia" w:ascii="Times New Roman" w:hAnsi="Times New Roman" w:eastAsia="宋体" w:cs="Times New Roman"/>
                <w:b/>
                <w:bCs/>
                <w:color w:val="auto"/>
                <w:sz w:val="24"/>
                <w:lang w:val="en-US" w:eastAsia="zh-CN"/>
              </w:rPr>
              <w:t>0</w:t>
            </w:r>
            <w:r>
              <w:rPr>
                <w:rFonts w:hint="default" w:ascii="Times New Roman" w:hAnsi="Times New Roman" w:eastAsia="宋体" w:cs="Times New Roman"/>
                <w:b/>
                <w:bCs/>
                <w:color w:val="auto"/>
                <w:sz w:val="24"/>
              </w:rPr>
              <w:t xml:space="preserve">  卫生防护距离计算结果表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411"/>
              <w:gridCol w:w="920"/>
              <w:gridCol w:w="700"/>
              <w:gridCol w:w="772"/>
              <w:gridCol w:w="833"/>
              <w:gridCol w:w="592"/>
              <w:gridCol w:w="582"/>
              <w:gridCol w:w="562"/>
              <w:gridCol w:w="686"/>
              <w:gridCol w:w="765"/>
              <w:gridCol w:w="750"/>
              <w:gridCol w:w="714"/>
            </w:tblGrid>
            <w:tr w14:paraId="185219B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restart"/>
                  <w:vAlign w:val="center"/>
                </w:tcPr>
                <w:p w14:paraId="0C31901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w:t>
                  </w:r>
                </w:p>
                <w:p w14:paraId="0FC400D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555" w:type="pct"/>
                  <w:vMerge w:val="restart"/>
                  <w:vAlign w:val="center"/>
                </w:tcPr>
                <w:p w14:paraId="50074D4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422" w:type="pct"/>
                  <w:vMerge w:val="restart"/>
                  <w:vAlign w:val="center"/>
                </w:tcPr>
                <w:p w14:paraId="507AE1F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Qc</w:t>
                  </w:r>
                </w:p>
                <w:p w14:paraId="576F94B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color w:val="auto"/>
                    </w:rPr>
                    <w:t>（kg/h）</w:t>
                  </w:r>
                </w:p>
              </w:tc>
              <w:tc>
                <w:tcPr>
                  <w:tcW w:w="465" w:type="pct"/>
                  <w:vMerge w:val="restart"/>
                  <w:vAlign w:val="center"/>
                </w:tcPr>
                <w:p w14:paraId="37F920D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面源面积（m</w:t>
                  </w:r>
                  <w:r>
                    <w:rPr>
                      <w:rFonts w:hint="default" w:ascii="Times New Roman" w:hAnsi="Times New Roman" w:eastAsia="宋体" w:cs="Times New Roman"/>
                      <w:b/>
                      <w:bCs/>
                      <w:color w:val="auto"/>
                      <w:vertAlign w:val="superscript"/>
                    </w:rPr>
                    <w:t>2</w:t>
                  </w:r>
                  <w:r>
                    <w:rPr>
                      <w:rFonts w:hint="default" w:ascii="Times New Roman" w:hAnsi="Times New Roman" w:eastAsia="宋体" w:cs="Times New Roman"/>
                      <w:b/>
                      <w:bCs/>
                      <w:color w:val="auto"/>
                    </w:rPr>
                    <w:t>）</w:t>
                  </w:r>
                </w:p>
              </w:tc>
              <w:tc>
                <w:tcPr>
                  <w:tcW w:w="1963" w:type="pct"/>
                  <w:gridSpan w:val="5"/>
                  <w:vAlign w:val="center"/>
                </w:tcPr>
                <w:p w14:paraId="24F164A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计算参数</w:t>
                  </w:r>
                </w:p>
              </w:tc>
              <w:tc>
                <w:tcPr>
                  <w:tcW w:w="1344" w:type="pct"/>
                  <w:gridSpan w:val="3"/>
                  <w:vAlign w:val="center"/>
                </w:tcPr>
                <w:p w14:paraId="068399C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卫生防护距离</w:t>
                  </w:r>
                </w:p>
              </w:tc>
            </w:tr>
            <w:tr w14:paraId="1017B3C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tcBorders>
                    <w:bottom w:val="single" w:color="auto" w:sz="4" w:space="0"/>
                  </w:tcBorders>
                  <w:vAlign w:val="center"/>
                </w:tcPr>
                <w:p w14:paraId="67907D4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555" w:type="pct"/>
                  <w:vMerge w:val="continue"/>
                  <w:vAlign w:val="center"/>
                </w:tcPr>
                <w:p w14:paraId="3ECCB2B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422" w:type="pct"/>
                  <w:vMerge w:val="continue"/>
                  <w:vAlign w:val="center"/>
                </w:tcPr>
                <w:p w14:paraId="4D1A035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465" w:type="pct"/>
                  <w:vMerge w:val="continue"/>
                  <w:vAlign w:val="center"/>
                </w:tcPr>
                <w:p w14:paraId="04B06DD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502" w:type="pct"/>
                  <w:vAlign w:val="center"/>
                </w:tcPr>
                <w:p w14:paraId="6E2B0F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Cm（mg/m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357" w:type="pct"/>
                  <w:vAlign w:val="center"/>
                </w:tcPr>
                <w:p w14:paraId="75834A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A</w:t>
                  </w:r>
                </w:p>
              </w:tc>
              <w:tc>
                <w:tcPr>
                  <w:tcW w:w="351" w:type="pct"/>
                  <w:vAlign w:val="center"/>
                </w:tcPr>
                <w:p w14:paraId="4449C5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B</w:t>
                  </w:r>
                </w:p>
              </w:tc>
              <w:tc>
                <w:tcPr>
                  <w:tcW w:w="339" w:type="pct"/>
                  <w:vAlign w:val="center"/>
                </w:tcPr>
                <w:p w14:paraId="3E2748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w:t>
                  </w:r>
                </w:p>
              </w:tc>
              <w:tc>
                <w:tcPr>
                  <w:tcW w:w="413" w:type="pct"/>
                  <w:vAlign w:val="center"/>
                </w:tcPr>
                <w:p w14:paraId="595F1F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D</w:t>
                  </w:r>
                </w:p>
              </w:tc>
              <w:tc>
                <w:tcPr>
                  <w:tcW w:w="461" w:type="pct"/>
                  <w:vAlign w:val="center"/>
                </w:tcPr>
                <w:p w14:paraId="07438B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L计（m）</w:t>
                  </w:r>
                </w:p>
              </w:tc>
              <w:tc>
                <w:tcPr>
                  <w:tcW w:w="452" w:type="pct"/>
                  <w:vAlign w:val="center"/>
                </w:tcPr>
                <w:p w14:paraId="7E40BC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L卫（m）</w:t>
                  </w:r>
                </w:p>
              </w:tc>
              <w:tc>
                <w:tcPr>
                  <w:tcW w:w="430" w:type="pct"/>
                  <w:vAlign w:val="center"/>
                </w:tcPr>
                <w:p w14:paraId="35B213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w:t>
                  </w:r>
                  <w:r>
                    <w:rPr>
                      <w:rFonts w:hint="default" w:ascii="Times New Roman" w:hAnsi="Times New Roman" w:eastAsia="宋体" w:cs="Times New Roman"/>
                      <w:b/>
                      <w:bCs/>
                      <w:color w:val="auto"/>
                      <w:lang w:val="en-US" w:eastAsia="zh-CN"/>
                    </w:rPr>
                    <w:t>总</w:t>
                  </w:r>
                  <w:r>
                    <w:rPr>
                      <w:rFonts w:hint="default" w:ascii="Times New Roman" w:hAnsi="Times New Roman" w:eastAsia="宋体" w:cs="Times New Roman"/>
                      <w:b/>
                      <w:bCs/>
                      <w:color w:val="auto"/>
                    </w:rPr>
                    <w:t>（m）</w:t>
                  </w:r>
                </w:p>
              </w:tc>
            </w:tr>
            <w:tr w14:paraId="3FFEC3B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restart"/>
                  <w:tcBorders>
                    <w:top w:val="single" w:color="auto" w:sz="4" w:space="0"/>
                  </w:tcBorders>
                  <w:vAlign w:val="center"/>
                </w:tcPr>
                <w:p w14:paraId="564AA6A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p>
              </w:tc>
              <w:tc>
                <w:tcPr>
                  <w:tcW w:w="555" w:type="pct"/>
                  <w:vAlign w:val="center"/>
                </w:tcPr>
                <w:p w14:paraId="0DFF65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lang w:val="en-US"/>
                    </w:rPr>
                  </w:pPr>
                  <w:r>
                    <w:rPr>
                      <w:rFonts w:hint="eastAsia" w:ascii="Times New Roman" w:hAnsi="Times New Roman" w:eastAsia="宋体" w:cs="Times New Roman"/>
                      <w:color w:val="auto"/>
                      <w:szCs w:val="21"/>
                      <w:lang w:val="en-US" w:eastAsia="zh-CN"/>
                    </w:rPr>
                    <w:t>颗粒物（锡及其化合物）</w:t>
                  </w:r>
                </w:p>
              </w:tc>
              <w:tc>
                <w:tcPr>
                  <w:tcW w:w="422" w:type="pct"/>
                  <w:shd w:val="clear" w:color="auto" w:fill="auto"/>
                  <w:vAlign w:val="center"/>
                </w:tcPr>
                <w:p w14:paraId="6BD45A8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w:t>
                  </w:r>
                </w:p>
              </w:tc>
              <w:tc>
                <w:tcPr>
                  <w:tcW w:w="465" w:type="pct"/>
                  <w:vAlign w:val="center"/>
                </w:tcPr>
                <w:p w14:paraId="15E678F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rPr>
                    <w:t>00</w:t>
                  </w:r>
                </w:p>
              </w:tc>
              <w:tc>
                <w:tcPr>
                  <w:tcW w:w="502" w:type="pct"/>
                  <w:vAlign w:val="center"/>
                </w:tcPr>
                <w:p w14:paraId="618DCB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45</w:t>
                  </w:r>
                </w:p>
              </w:tc>
              <w:tc>
                <w:tcPr>
                  <w:tcW w:w="357" w:type="pct"/>
                  <w:vAlign w:val="center"/>
                </w:tcPr>
                <w:p w14:paraId="5271E51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470</w:t>
                  </w:r>
                </w:p>
              </w:tc>
              <w:tc>
                <w:tcPr>
                  <w:tcW w:w="351" w:type="pct"/>
                  <w:vAlign w:val="center"/>
                </w:tcPr>
                <w:p w14:paraId="03384E4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0.021</w:t>
                  </w:r>
                </w:p>
              </w:tc>
              <w:tc>
                <w:tcPr>
                  <w:tcW w:w="339" w:type="pct"/>
                  <w:vAlign w:val="center"/>
                </w:tcPr>
                <w:p w14:paraId="603FBC8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1.85</w:t>
                  </w:r>
                </w:p>
              </w:tc>
              <w:tc>
                <w:tcPr>
                  <w:tcW w:w="413" w:type="pct"/>
                  <w:vAlign w:val="center"/>
                </w:tcPr>
                <w:p w14:paraId="3D7C107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0.84</w:t>
                  </w:r>
                </w:p>
              </w:tc>
              <w:tc>
                <w:tcPr>
                  <w:tcW w:w="461" w:type="pct"/>
                  <w:vAlign w:val="center"/>
                </w:tcPr>
                <w:p w14:paraId="7CE9857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0.716</w:t>
                  </w:r>
                </w:p>
              </w:tc>
              <w:tc>
                <w:tcPr>
                  <w:tcW w:w="452" w:type="pct"/>
                  <w:vAlign w:val="center"/>
                </w:tcPr>
                <w:p w14:paraId="3BBA8B1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430" w:type="pct"/>
                  <w:vMerge w:val="restart"/>
                  <w:vAlign w:val="center"/>
                </w:tcPr>
                <w:p w14:paraId="5412D0D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w:t>
                  </w:r>
                </w:p>
              </w:tc>
            </w:tr>
            <w:tr w14:paraId="67BA1F5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vAlign w:val="center"/>
                </w:tcPr>
                <w:p w14:paraId="1B4C05D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p>
              </w:tc>
              <w:tc>
                <w:tcPr>
                  <w:tcW w:w="555" w:type="pct"/>
                  <w:shd w:val="clear" w:color="auto" w:fill="auto"/>
                  <w:vAlign w:val="center"/>
                </w:tcPr>
                <w:p w14:paraId="13D856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1"/>
                    </w:rPr>
                    <w:t>非甲烷总烃</w:t>
                  </w:r>
                </w:p>
              </w:tc>
              <w:tc>
                <w:tcPr>
                  <w:tcW w:w="422" w:type="pct"/>
                  <w:shd w:val="clear" w:color="auto" w:fill="auto"/>
                  <w:vAlign w:val="center"/>
                </w:tcPr>
                <w:p w14:paraId="726ECA3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465" w:type="pct"/>
                  <w:shd w:val="clear" w:color="auto" w:fill="auto"/>
                  <w:vAlign w:val="center"/>
                </w:tcPr>
                <w:p w14:paraId="085AED5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rPr>
                    <w:t>00</w:t>
                  </w:r>
                </w:p>
              </w:tc>
              <w:tc>
                <w:tcPr>
                  <w:tcW w:w="502" w:type="pct"/>
                  <w:shd w:val="clear" w:color="auto" w:fill="auto"/>
                  <w:vAlign w:val="center"/>
                </w:tcPr>
                <w:p w14:paraId="1C653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2.0</w:t>
                  </w:r>
                </w:p>
              </w:tc>
              <w:tc>
                <w:tcPr>
                  <w:tcW w:w="357" w:type="pct"/>
                  <w:shd w:val="clear" w:color="auto" w:fill="auto"/>
                  <w:vAlign w:val="center"/>
                </w:tcPr>
                <w:p w14:paraId="72A85DE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470</w:t>
                  </w:r>
                </w:p>
              </w:tc>
              <w:tc>
                <w:tcPr>
                  <w:tcW w:w="351" w:type="pct"/>
                  <w:shd w:val="clear" w:color="auto" w:fill="auto"/>
                  <w:vAlign w:val="center"/>
                </w:tcPr>
                <w:p w14:paraId="0F5E197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0.021</w:t>
                  </w:r>
                </w:p>
              </w:tc>
              <w:tc>
                <w:tcPr>
                  <w:tcW w:w="339" w:type="pct"/>
                  <w:shd w:val="clear" w:color="auto" w:fill="auto"/>
                  <w:vAlign w:val="center"/>
                </w:tcPr>
                <w:p w14:paraId="75761E1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1.85</w:t>
                  </w:r>
                </w:p>
              </w:tc>
              <w:tc>
                <w:tcPr>
                  <w:tcW w:w="413" w:type="pct"/>
                  <w:shd w:val="clear" w:color="auto" w:fill="auto"/>
                  <w:vAlign w:val="center"/>
                </w:tcPr>
                <w:p w14:paraId="2449E26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0.84</w:t>
                  </w:r>
                </w:p>
              </w:tc>
              <w:tc>
                <w:tcPr>
                  <w:tcW w:w="461" w:type="pct"/>
                  <w:shd w:val="clear" w:color="auto" w:fill="auto"/>
                  <w:vAlign w:val="center"/>
                </w:tcPr>
                <w:p w14:paraId="53CACF2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0.166</w:t>
                  </w:r>
                </w:p>
              </w:tc>
              <w:tc>
                <w:tcPr>
                  <w:tcW w:w="452" w:type="pct"/>
                  <w:shd w:val="clear" w:color="auto" w:fill="auto"/>
                  <w:vAlign w:val="center"/>
                </w:tcPr>
                <w:p w14:paraId="2E9484C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50</w:t>
                  </w:r>
                </w:p>
              </w:tc>
              <w:tc>
                <w:tcPr>
                  <w:tcW w:w="430" w:type="pct"/>
                  <w:vMerge w:val="continue"/>
                  <w:vAlign w:val="center"/>
                </w:tcPr>
                <w:p w14:paraId="58311AA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p>
              </w:tc>
            </w:tr>
            <w:tr w14:paraId="581F62F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vAlign w:val="center"/>
                </w:tcPr>
                <w:p w14:paraId="6CACFAA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p>
              </w:tc>
              <w:tc>
                <w:tcPr>
                  <w:tcW w:w="555" w:type="pct"/>
                  <w:vAlign w:val="center"/>
                </w:tcPr>
                <w:p w14:paraId="713EFB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苯乙烯</w:t>
                  </w:r>
                </w:p>
              </w:tc>
              <w:tc>
                <w:tcPr>
                  <w:tcW w:w="422" w:type="pct"/>
                  <w:shd w:val="clear" w:color="auto" w:fill="auto"/>
                  <w:vAlign w:val="center"/>
                </w:tcPr>
                <w:p w14:paraId="163905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465" w:type="pct"/>
                  <w:vAlign w:val="center"/>
                </w:tcPr>
                <w:p w14:paraId="0D4CA2C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rPr>
                    <w:t>00</w:t>
                  </w:r>
                </w:p>
              </w:tc>
              <w:tc>
                <w:tcPr>
                  <w:tcW w:w="502" w:type="pct"/>
                  <w:vAlign w:val="center"/>
                </w:tcPr>
                <w:p w14:paraId="010394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0.01</w:t>
                  </w:r>
                </w:p>
              </w:tc>
              <w:tc>
                <w:tcPr>
                  <w:tcW w:w="357" w:type="pct"/>
                  <w:vAlign w:val="center"/>
                </w:tcPr>
                <w:p w14:paraId="16BDE44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470</w:t>
                  </w:r>
                </w:p>
              </w:tc>
              <w:tc>
                <w:tcPr>
                  <w:tcW w:w="351" w:type="pct"/>
                  <w:vAlign w:val="center"/>
                </w:tcPr>
                <w:p w14:paraId="1E55A7B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0.021</w:t>
                  </w:r>
                </w:p>
              </w:tc>
              <w:tc>
                <w:tcPr>
                  <w:tcW w:w="339" w:type="pct"/>
                  <w:vAlign w:val="center"/>
                </w:tcPr>
                <w:p w14:paraId="4BC3118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1.85</w:t>
                  </w:r>
                </w:p>
              </w:tc>
              <w:tc>
                <w:tcPr>
                  <w:tcW w:w="413" w:type="pct"/>
                  <w:vAlign w:val="center"/>
                </w:tcPr>
                <w:p w14:paraId="4BA9714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0.84</w:t>
                  </w:r>
                </w:p>
              </w:tc>
              <w:tc>
                <w:tcPr>
                  <w:tcW w:w="461" w:type="pct"/>
                  <w:vAlign w:val="center"/>
                </w:tcPr>
                <w:p w14:paraId="58C7FD7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4.29</w:t>
                  </w:r>
                </w:p>
              </w:tc>
              <w:tc>
                <w:tcPr>
                  <w:tcW w:w="452" w:type="pct"/>
                  <w:vAlign w:val="center"/>
                </w:tcPr>
                <w:p w14:paraId="674E7B9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430" w:type="pct"/>
                  <w:vMerge w:val="continue"/>
                  <w:vAlign w:val="center"/>
                </w:tcPr>
                <w:p w14:paraId="3608792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rPr>
                  </w:pPr>
                </w:p>
              </w:tc>
            </w:tr>
          </w:tbl>
          <w:p w14:paraId="113051A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 39499-2020）确定本项目卫生防护距离是以</w:t>
            </w:r>
            <w:r>
              <w:rPr>
                <w:rFonts w:hint="default"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rPr>
              <w:t>车间为边界外扩</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0米范围设置卫生防护距离（具体范围见图2）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经实地勘察，项目卫生防护距离内目前无居住、医院、学校等环境敏感点，将来也不得建设环境敏感点，以避免环境纠纷。</w:t>
            </w:r>
          </w:p>
          <w:p w14:paraId="019BDA9C">
            <w:pPr>
              <w:pStyle w:val="9"/>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color w:val="auto"/>
                <w:kern w:val="0"/>
                <w:sz w:val="24"/>
                <w:szCs w:val="24"/>
                <w:lang w:val="en-US" w:eastAsia="zh-CN"/>
              </w:rPr>
              <w:t>异味影响分析</w:t>
            </w:r>
          </w:p>
          <w:p w14:paraId="7C1B446C">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刺激性气味气体，其主要危害为：</w:t>
            </w:r>
          </w:p>
          <w:p w14:paraId="76F57DCF">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①危害呼吸系统。人们突然闻到异味，就会产生反射性的抑制吸气，是呼吸次数减少，深度变浅，甚至会暂时停止呼吸，妨碍正常呼吸功能。</w:t>
            </w:r>
          </w:p>
          <w:p w14:paraId="4217A32C">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②危害循环系统。随着呼吸的变化，会出现脉搏和血压的变化。</w:t>
            </w:r>
          </w:p>
          <w:p w14:paraId="6954700B">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③危害消化系统。经常接触异味，会使人厌食，恶心，甚至呕吐，进而发展为消化功能减退。</w:t>
            </w:r>
          </w:p>
          <w:p w14:paraId="5DB068DF">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④危害内分泌系统。经常受异味刺激，会使内分泌系统的分泌功能紊乱，影响机体的代谢活动。</w:t>
            </w:r>
          </w:p>
          <w:p w14:paraId="5D2293AB">
            <w:pPr>
              <w:pStyle w:val="9"/>
              <w:adjustRightInd w:val="0"/>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6AEB5B87">
            <w:pPr>
              <w:pStyle w:val="9"/>
              <w:adjustRightInd w:val="0"/>
              <w:snapToGrid w:val="0"/>
              <w:spacing w:line="360" w:lineRule="auto"/>
              <w:ind w:firstLine="480" w:firstLineChars="200"/>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b w:val="0"/>
                <w:bCs/>
                <w:color w:val="auto"/>
                <w:kern w:val="0"/>
                <w:sz w:val="24"/>
                <w:szCs w:val="24"/>
              </w:rPr>
              <w:t>为了减小异味对周边环境的影响，本项目需加强厂房排气，增加空气流通，并且通过厂区周边绿化树木的吸收，确保异味对周边环境的影响较小。</w:t>
            </w:r>
          </w:p>
          <w:p w14:paraId="17BDC2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大气环境影响评价结论</w:t>
            </w:r>
          </w:p>
          <w:p w14:paraId="58EFB0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rPr>
              <w:t>。</w:t>
            </w:r>
          </w:p>
          <w:p w14:paraId="4DE4FA85">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二、废水</w:t>
            </w:r>
          </w:p>
          <w:p w14:paraId="166450A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1.废水</w:t>
            </w:r>
            <w:r>
              <w:rPr>
                <w:rFonts w:hint="default" w:ascii="Times New Roman" w:hAnsi="Times New Roman" w:eastAsia="宋体" w:cs="Times New Roman"/>
                <w:b/>
                <w:bCs w:val="0"/>
                <w:color w:val="auto"/>
                <w:sz w:val="24"/>
              </w:rPr>
              <w:t>产</w:t>
            </w:r>
            <w:r>
              <w:rPr>
                <w:rFonts w:hint="default" w:ascii="Times New Roman" w:hAnsi="Times New Roman" w:eastAsia="宋体" w:cs="Times New Roman"/>
                <w:b/>
                <w:bCs w:val="0"/>
                <w:color w:val="auto"/>
                <w:sz w:val="24"/>
                <w:lang w:val="en-US" w:eastAsia="zh-CN"/>
              </w:rPr>
              <w:t>生</w:t>
            </w:r>
            <w:r>
              <w:rPr>
                <w:rFonts w:hint="default" w:ascii="Times New Roman" w:hAnsi="Times New Roman" w:eastAsia="宋体" w:cs="Times New Roman"/>
                <w:b/>
                <w:bCs w:val="0"/>
                <w:color w:val="auto"/>
                <w:sz w:val="24"/>
              </w:rPr>
              <w:t>情况</w:t>
            </w:r>
          </w:p>
          <w:p w14:paraId="0CCB9F14">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szCs w:val="24"/>
              </w:rPr>
              <w:t>生活用水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劳动定员</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人，年工作3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0天，不设食堂、宿舍和浴室。人均生活用水定额按</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0L/（人·天）计，则生活用水量为</w:t>
            </w:r>
            <w:r>
              <w:rPr>
                <w:rFonts w:hint="eastAsia" w:ascii="Times New Roman" w:hAnsi="Times New Roman" w:eastAsia="宋体" w:cs="Times New Roman"/>
                <w:color w:val="auto"/>
                <w:sz w:val="24"/>
                <w:lang w:val="en-US" w:eastAsia="zh-CN"/>
              </w:rPr>
              <w:t>240</w:t>
            </w:r>
            <w:r>
              <w:rPr>
                <w:rFonts w:hint="default" w:ascii="Times New Roman" w:hAnsi="Times New Roman" w:eastAsia="宋体" w:cs="Times New Roman"/>
                <w:color w:val="auto"/>
                <w:sz w:val="24"/>
              </w:rPr>
              <w:t>0t/a，排污系数为0.8，则生活污水排放量为</w:t>
            </w:r>
            <w:r>
              <w:rPr>
                <w:rFonts w:hint="eastAsia" w:ascii="Times New Roman" w:hAnsi="Times New Roman" w:eastAsia="宋体" w:cs="Times New Roman"/>
                <w:color w:val="auto"/>
                <w:sz w:val="24"/>
                <w:lang w:val="en-US" w:eastAsia="zh-CN"/>
              </w:rPr>
              <w:t>1920</w:t>
            </w:r>
            <w:r>
              <w:rPr>
                <w:rFonts w:hint="default" w:ascii="Times New Roman" w:hAnsi="Times New Roman" w:eastAsia="宋体" w:cs="Times New Roman"/>
                <w:color w:val="auto"/>
                <w:sz w:val="24"/>
              </w:rPr>
              <w:t>t/a，主要污染物为：COD、SS、氨氮、TN、TP产生浓度分别为400mg/L、2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0mg/L、30mg/L、</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mg/L。</w:t>
            </w:r>
          </w:p>
          <w:p w14:paraId="1A833D5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污染防治措施</w:t>
            </w:r>
          </w:p>
          <w:p w14:paraId="2C8C9C8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厂区实现雨污分流。本项目生活污水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sz w:val="24"/>
              </w:rPr>
              <w:t>集中处理。</w:t>
            </w:r>
          </w:p>
          <w:p w14:paraId="2C8649B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3.接管可行性分析</w:t>
            </w:r>
          </w:p>
          <w:p w14:paraId="136AAC0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管网建设情况</w:t>
            </w:r>
          </w:p>
          <w:p w14:paraId="29A2EC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auto"/>
                <w:kern w:val="0"/>
                <w:sz w:val="24"/>
                <w:vertAlign w:val="superscript"/>
              </w:rPr>
              <w:t>2</w:t>
            </w:r>
            <w:r>
              <w:rPr>
                <w:rFonts w:hint="default" w:ascii="Times New Roman" w:hAnsi="Times New Roman" w:eastAsia="宋体" w:cs="Times New Roman"/>
                <w:color w:val="auto"/>
                <w:kern w:val="0"/>
                <w:sz w:val="24"/>
              </w:rPr>
              <w:t>。根据区域规划，本项目在</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接收范围之内。</w:t>
            </w:r>
          </w:p>
          <w:p w14:paraId="2C15774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污水处理厂简介</w:t>
            </w:r>
          </w:p>
          <w:p w14:paraId="2B656F3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位于江苏省金坛经济开发区内，华城东路与新常金公路交汇处以北100m。2013年年平均处理水量约为3.1万m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/d（处理负荷为77.5%），接管工业废水约1.57万t/d，接管生活污水约1.53万t/d，二污厂现状工业废水与生活污水之比约为1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1。2014年4月8日《金坛市</w:t>
            </w:r>
            <w:r>
              <w:rPr>
                <w:rFonts w:hint="default" w:ascii="Times New Roman" w:hAnsi="Times New Roman" w:eastAsia="宋体" w:cs="Times New Roman"/>
                <w:color w:val="auto"/>
                <w:kern w:val="0"/>
                <w:sz w:val="24"/>
                <w:lang w:eastAsia="zh-CN"/>
              </w:rPr>
              <w:t>第二污水处理有限公司</w:t>
            </w:r>
            <w:r>
              <w:rPr>
                <w:rFonts w:hint="default" w:ascii="Times New Roman" w:hAnsi="Times New Roman" w:eastAsia="宋体" w:cs="Times New Roman"/>
                <w:color w:val="auto"/>
                <w:kern w:val="0"/>
                <w:sz w:val="24"/>
              </w:rPr>
              <w:t>扩建工程项目环境影响报告书》通过</w:t>
            </w:r>
            <w:r>
              <w:rPr>
                <w:rFonts w:hint="default" w:ascii="Times New Roman" w:hAnsi="Times New Roman" w:eastAsia="宋体" w:cs="Times New Roman"/>
                <w:color w:val="auto"/>
                <w:kern w:val="0"/>
                <w:sz w:val="24"/>
                <w:lang w:val="en-US" w:eastAsia="zh-CN"/>
              </w:rPr>
              <w:t>原</w:t>
            </w:r>
            <w:r>
              <w:rPr>
                <w:rFonts w:hint="default" w:ascii="Times New Roman" w:hAnsi="Times New Roman" w:eastAsia="宋体" w:cs="Times New Roman"/>
                <w:color w:val="auto"/>
                <w:kern w:val="0"/>
                <w:sz w:val="24"/>
              </w:rPr>
              <w:t>金坛市环境保护局审批，规划扩建工程规模为2.0万m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/d，远期规划规模达16万m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/d，该项目已于2017年1月3日通过</w:t>
            </w:r>
            <w:r>
              <w:rPr>
                <w:rFonts w:hint="default" w:ascii="Times New Roman" w:hAnsi="Times New Roman" w:eastAsia="宋体" w:cs="Times New Roman"/>
                <w:color w:val="auto"/>
                <w:kern w:val="0"/>
                <w:sz w:val="24"/>
                <w:lang w:val="en-US" w:eastAsia="zh-CN"/>
              </w:rPr>
              <w:t>原</w:t>
            </w:r>
            <w:r>
              <w:rPr>
                <w:rFonts w:hint="default" w:ascii="Times New Roman" w:hAnsi="Times New Roman" w:eastAsia="宋体" w:cs="Times New Roman"/>
                <w:color w:val="auto"/>
                <w:kern w:val="0"/>
                <w:sz w:val="24"/>
              </w:rPr>
              <w:t>常州市金坛区环境保护局验收，并正式投入运营。</w:t>
            </w:r>
          </w:p>
          <w:p w14:paraId="23853D7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（3）接管水量可行性</w:t>
            </w:r>
          </w:p>
          <w:p w14:paraId="558E92B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金坛第二污水处理厂目前实际处理量约5.8万吨/日，还有余量0.2万吨/日。本项目废水排放总量约为</w:t>
            </w:r>
            <w:r>
              <w:rPr>
                <w:rFonts w:hint="eastAsia" w:ascii="Times New Roman" w:hAnsi="Times New Roman" w:eastAsia="宋体" w:cs="Times New Roman"/>
                <w:bCs/>
                <w:color w:val="auto"/>
                <w:sz w:val="24"/>
                <w:highlight w:val="none"/>
                <w:lang w:val="en-US" w:eastAsia="zh-CN"/>
              </w:rPr>
              <w:t>192</w:t>
            </w:r>
            <w:r>
              <w:rPr>
                <w:rFonts w:hint="default" w:ascii="Times New Roman" w:hAnsi="Times New Roman" w:eastAsia="宋体" w:cs="Times New Roman"/>
                <w:bCs/>
                <w:color w:val="auto"/>
                <w:sz w:val="24"/>
                <w:highlight w:val="none"/>
                <w:lang w:val="en-US" w:eastAsia="zh-CN"/>
              </w:rPr>
              <w:t>0t/a（</w:t>
            </w:r>
            <w:r>
              <w:rPr>
                <w:rFonts w:hint="eastAsia" w:ascii="Times New Roman" w:hAnsi="Times New Roman" w:eastAsia="宋体" w:cs="Times New Roman"/>
                <w:bCs/>
                <w:color w:val="auto"/>
                <w:sz w:val="24"/>
                <w:highlight w:val="none"/>
                <w:lang w:val="en-US" w:eastAsia="zh-CN"/>
              </w:rPr>
              <w:t>6.4</w:t>
            </w:r>
            <w:r>
              <w:rPr>
                <w:rFonts w:hint="default" w:ascii="Times New Roman" w:hAnsi="Times New Roman" w:eastAsia="宋体" w:cs="Times New Roman"/>
                <w:bCs/>
                <w:color w:val="auto"/>
                <w:sz w:val="24"/>
                <w:highlight w:val="none"/>
                <w:lang w:val="en-US" w:eastAsia="zh-CN"/>
              </w:rPr>
              <w:t>t/d），占金坛第二污水处理厂日处理余量的比例极小，金坛第二污水处理厂完全有能力接纳本项目污水。</w:t>
            </w:r>
          </w:p>
          <w:p w14:paraId="104DF7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（4）接管水质可行性</w:t>
            </w:r>
          </w:p>
          <w:p w14:paraId="13432E8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本项目建成后接管废水为生活污水，废水排放浓度低、水量小、水质简单，不会对污水处理厂运行产生冲击负荷，不影响污水处理厂出水水质。</w:t>
            </w:r>
          </w:p>
          <w:p w14:paraId="3165408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bCs/>
                <w:color w:val="auto"/>
                <w:sz w:val="24"/>
                <w:highlight w:val="none"/>
                <w:lang w:val="en-US" w:eastAsia="zh-CN"/>
              </w:rPr>
              <w:t>处理是可行的。</w:t>
            </w:r>
          </w:p>
          <w:p w14:paraId="6057DBA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4.废水排放情况</w:t>
            </w:r>
          </w:p>
          <w:p w14:paraId="1571F20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00A69FA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bCs/>
                <w:color w:val="auto"/>
                <w:sz w:val="24"/>
                <w:highlight w:val="none"/>
                <w:lang w:val="en-US" w:eastAsia="zh-CN"/>
              </w:rPr>
              <w:t>集中处理，废水产生及排放情况见下表。</w:t>
            </w:r>
          </w:p>
          <w:p w14:paraId="01083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本项目废水污染物排放情况表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845"/>
              <w:gridCol w:w="845"/>
              <w:gridCol w:w="852"/>
              <w:gridCol w:w="1114"/>
              <w:gridCol w:w="721"/>
              <w:gridCol w:w="721"/>
              <w:gridCol w:w="789"/>
              <w:gridCol w:w="796"/>
              <w:gridCol w:w="913"/>
            </w:tblGrid>
            <w:tr w14:paraId="211F9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4A2CBF64">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废水产生源</w:t>
                  </w:r>
                </w:p>
              </w:tc>
              <w:tc>
                <w:tcPr>
                  <w:tcW w:w="1534" w:type="pct"/>
                  <w:gridSpan w:val="3"/>
                  <w:vAlign w:val="center"/>
                </w:tcPr>
                <w:p w14:paraId="3BF05BF4">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污染物产生情况</w:t>
                  </w:r>
                </w:p>
              </w:tc>
              <w:tc>
                <w:tcPr>
                  <w:tcW w:w="672" w:type="pct"/>
                  <w:vMerge w:val="restart"/>
                  <w:vAlign w:val="center"/>
                </w:tcPr>
                <w:p w14:paraId="1F654B4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拟采取</w:t>
                  </w:r>
                </w:p>
                <w:p w14:paraId="291FA4C2">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措施</w:t>
                  </w:r>
                </w:p>
              </w:tc>
              <w:tc>
                <w:tcPr>
                  <w:tcW w:w="1346" w:type="pct"/>
                  <w:gridSpan w:val="3"/>
                  <w:vAlign w:val="center"/>
                </w:tcPr>
                <w:p w14:paraId="787F658E">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污染物排放情况</w:t>
                  </w:r>
                </w:p>
              </w:tc>
              <w:tc>
                <w:tcPr>
                  <w:tcW w:w="480" w:type="pct"/>
                  <w:vMerge w:val="restart"/>
                  <w:vAlign w:val="center"/>
                </w:tcPr>
                <w:p w14:paraId="34018F4D">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7DB5C559">
                  <w:pPr>
                    <w:tabs>
                      <w:tab w:val="left" w:pos="6840"/>
                    </w:tabs>
                    <w:spacing w:line="270" w:lineRule="exact"/>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标准</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mg/L</w:t>
                  </w:r>
                  <w:r>
                    <w:rPr>
                      <w:rFonts w:hint="default" w:ascii="Times New Roman" w:hAnsi="Times New Roman" w:eastAsia="宋体" w:cs="Times New Roman"/>
                      <w:b/>
                      <w:bCs/>
                      <w:color w:val="auto"/>
                      <w:szCs w:val="21"/>
                      <w:lang w:eastAsia="zh-CN"/>
                    </w:rPr>
                    <w:t>）</w:t>
                  </w:r>
                </w:p>
              </w:tc>
              <w:tc>
                <w:tcPr>
                  <w:tcW w:w="550" w:type="pct"/>
                  <w:vMerge w:val="restart"/>
                  <w:vAlign w:val="center"/>
                </w:tcPr>
                <w:p w14:paraId="7407938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排放方式与去向</w:t>
                  </w:r>
                </w:p>
              </w:tc>
            </w:tr>
            <w:tr w14:paraId="32B92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161E9BD">
                  <w:pPr>
                    <w:tabs>
                      <w:tab w:val="left" w:pos="6840"/>
                    </w:tabs>
                    <w:spacing w:line="270" w:lineRule="exact"/>
                    <w:jc w:val="center"/>
                    <w:rPr>
                      <w:rFonts w:hint="default" w:ascii="Times New Roman" w:hAnsi="Times New Roman" w:eastAsia="宋体" w:cs="Times New Roman"/>
                      <w:b/>
                      <w:bCs/>
                      <w:color w:val="auto"/>
                      <w:szCs w:val="21"/>
                    </w:rPr>
                  </w:pPr>
                </w:p>
              </w:tc>
              <w:tc>
                <w:tcPr>
                  <w:tcW w:w="510" w:type="pct"/>
                  <w:vAlign w:val="center"/>
                </w:tcPr>
                <w:p w14:paraId="0E99257A">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26B809DB">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10" w:type="pct"/>
                  <w:vAlign w:val="center"/>
                </w:tcPr>
                <w:p w14:paraId="521384A6">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35AA97DF">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mg/L</w:t>
                  </w:r>
                </w:p>
              </w:tc>
              <w:tc>
                <w:tcPr>
                  <w:tcW w:w="513" w:type="pct"/>
                  <w:vAlign w:val="center"/>
                </w:tcPr>
                <w:p w14:paraId="40406182">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产生量</w:t>
                  </w:r>
                </w:p>
                <w:p w14:paraId="3522CC02">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t/a</w:t>
                  </w:r>
                </w:p>
              </w:tc>
              <w:tc>
                <w:tcPr>
                  <w:tcW w:w="672" w:type="pct"/>
                  <w:vMerge w:val="continue"/>
                  <w:vAlign w:val="center"/>
                </w:tcPr>
                <w:p w14:paraId="5F62D3AE">
                  <w:pPr>
                    <w:tabs>
                      <w:tab w:val="left" w:pos="6840"/>
                    </w:tabs>
                    <w:spacing w:line="270" w:lineRule="exact"/>
                    <w:jc w:val="center"/>
                    <w:rPr>
                      <w:rFonts w:hint="default" w:ascii="Times New Roman" w:hAnsi="Times New Roman" w:eastAsia="宋体" w:cs="Times New Roman"/>
                      <w:b/>
                      <w:bCs/>
                      <w:color w:val="auto"/>
                      <w:szCs w:val="21"/>
                    </w:rPr>
                  </w:pPr>
                </w:p>
              </w:tc>
              <w:tc>
                <w:tcPr>
                  <w:tcW w:w="435" w:type="pct"/>
                  <w:vAlign w:val="center"/>
                </w:tcPr>
                <w:p w14:paraId="755C6996">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1EB8DC99">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435" w:type="pct"/>
                  <w:vAlign w:val="center"/>
                </w:tcPr>
                <w:p w14:paraId="5757691C">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3E3FED00">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mg/L</w:t>
                  </w:r>
                </w:p>
              </w:tc>
              <w:tc>
                <w:tcPr>
                  <w:tcW w:w="476" w:type="pct"/>
                  <w:vAlign w:val="center"/>
                </w:tcPr>
                <w:p w14:paraId="248FE083">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w:t>
                  </w:r>
                </w:p>
                <w:p w14:paraId="3062BCA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t/a</w:t>
                  </w:r>
                </w:p>
              </w:tc>
              <w:tc>
                <w:tcPr>
                  <w:tcW w:w="480" w:type="pct"/>
                  <w:vMerge w:val="continue"/>
                  <w:vAlign w:val="center"/>
                </w:tcPr>
                <w:p w14:paraId="3AF52B42">
                  <w:pPr>
                    <w:tabs>
                      <w:tab w:val="left" w:pos="6840"/>
                    </w:tabs>
                    <w:spacing w:line="270" w:lineRule="exact"/>
                    <w:jc w:val="center"/>
                    <w:rPr>
                      <w:rFonts w:hint="default" w:ascii="Times New Roman" w:hAnsi="Times New Roman" w:eastAsia="宋体" w:cs="Times New Roman"/>
                      <w:color w:val="auto"/>
                      <w:szCs w:val="21"/>
                    </w:rPr>
                  </w:pPr>
                </w:p>
              </w:tc>
              <w:tc>
                <w:tcPr>
                  <w:tcW w:w="550" w:type="pct"/>
                  <w:vMerge w:val="continue"/>
                  <w:vAlign w:val="center"/>
                </w:tcPr>
                <w:p w14:paraId="1498F0D5">
                  <w:pPr>
                    <w:tabs>
                      <w:tab w:val="left" w:pos="6840"/>
                    </w:tabs>
                    <w:spacing w:line="270" w:lineRule="exact"/>
                    <w:jc w:val="center"/>
                    <w:rPr>
                      <w:rFonts w:hint="default" w:ascii="Times New Roman" w:hAnsi="Times New Roman" w:eastAsia="宋体" w:cs="Times New Roman"/>
                      <w:color w:val="auto"/>
                      <w:szCs w:val="21"/>
                    </w:rPr>
                  </w:pPr>
                </w:p>
              </w:tc>
            </w:tr>
            <w:tr w14:paraId="188111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0E038FCC">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生活</w:t>
                  </w:r>
                  <w:r>
                    <w:rPr>
                      <w:rFonts w:hint="default" w:ascii="Times New Roman" w:hAnsi="Times New Roman" w:eastAsia="宋体" w:cs="Times New Roman"/>
                      <w:color w:val="auto"/>
                      <w:sz w:val="21"/>
                      <w:szCs w:val="21"/>
                    </w:rPr>
                    <w:t>污水</w:t>
                  </w:r>
                  <w:r>
                    <w:rPr>
                      <w:rFonts w:hint="eastAsia" w:ascii="Times New Roman" w:hAnsi="Times New Roman" w:eastAsia="宋体" w:cs="Times New Roman"/>
                      <w:color w:val="auto"/>
                      <w:sz w:val="21"/>
                      <w:szCs w:val="21"/>
                      <w:lang w:val="en-US" w:eastAsia="zh-CN"/>
                    </w:rPr>
                    <w:t>1920</w:t>
                  </w:r>
                </w:p>
                <w:p w14:paraId="1EB1558C">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t/a</w:t>
                  </w:r>
                </w:p>
              </w:tc>
              <w:tc>
                <w:tcPr>
                  <w:tcW w:w="510" w:type="pct"/>
                  <w:vAlign w:val="center"/>
                </w:tcPr>
                <w:p w14:paraId="25EB5642">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510" w:type="pct"/>
                  <w:vAlign w:val="center"/>
                </w:tcPr>
                <w:p w14:paraId="3EB3EEF3">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852" w:type="dxa"/>
                  <w:vAlign w:val="center"/>
                </w:tcPr>
                <w:p w14:paraId="28A96213">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0.768</w:t>
                  </w:r>
                </w:p>
              </w:tc>
              <w:tc>
                <w:tcPr>
                  <w:tcW w:w="672" w:type="pct"/>
                  <w:vMerge w:val="restart"/>
                  <w:vAlign w:val="center"/>
                </w:tcPr>
                <w:p w14:paraId="4B0E42AE">
                  <w:pPr>
                    <w:tabs>
                      <w:tab w:val="left" w:pos="6840"/>
                    </w:tabs>
                    <w:spacing w:line="27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435" w:type="pct"/>
                  <w:vAlign w:val="center"/>
                </w:tcPr>
                <w:p w14:paraId="42B3091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435" w:type="pct"/>
                  <w:vAlign w:val="center"/>
                </w:tcPr>
                <w:p w14:paraId="78D7D01C">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782" w:type="dxa"/>
                  <w:vAlign w:val="center"/>
                </w:tcPr>
                <w:p w14:paraId="55130532">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0.768</w:t>
                  </w:r>
                </w:p>
              </w:tc>
              <w:tc>
                <w:tcPr>
                  <w:tcW w:w="480" w:type="pct"/>
                  <w:vAlign w:val="center"/>
                </w:tcPr>
                <w:p w14:paraId="082A7F2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p>
              </w:tc>
              <w:tc>
                <w:tcPr>
                  <w:tcW w:w="550" w:type="pct"/>
                  <w:vMerge w:val="restart"/>
                  <w:vAlign w:val="center"/>
                </w:tcPr>
                <w:p w14:paraId="04381BD4">
                  <w:pPr>
                    <w:tabs>
                      <w:tab w:val="left" w:pos="6840"/>
                    </w:tabs>
                    <w:spacing w:line="270" w:lineRule="exact"/>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接管</w:t>
                  </w:r>
                  <w:r>
                    <w:rPr>
                      <w:rFonts w:hint="default" w:ascii="Times New Roman" w:hAnsi="Times New Roman" w:eastAsia="宋体" w:cs="Times New Roman"/>
                      <w:color w:val="auto"/>
                      <w:szCs w:val="21"/>
                      <w:lang w:val="en-US" w:eastAsia="zh-CN"/>
                    </w:rPr>
                    <w:t>至金坛第二污水处理厂</w:t>
                  </w:r>
                </w:p>
              </w:tc>
            </w:tr>
            <w:tr w14:paraId="29B752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2D6C1E48">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5BA02047">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510" w:type="pct"/>
                  <w:vAlign w:val="center"/>
                </w:tcPr>
                <w:p w14:paraId="2028734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0</w:t>
                  </w:r>
                </w:p>
              </w:tc>
              <w:tc>
                <w:tcPr>
                  <w:tcW w:w="852" w:type="dxa"/>
                  <w:vAlign w:val="center"/>
                </w:tcPr>
                <w:p w14:paraId="3EFE77DD">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672" w:type="pct"/>
                  <w:vMerge w:val="continue"/>
                  <w:vAlign w:val="center"/>
                </w:tcPr>
                <w:p w14:paraId="7DAC6C0C">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16A9E5E8">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435" w:type="pct"/>
                  <w:vAlign w:val="center"/>
                </w:tcPr>
                <w:p w14:paraId="3E29BA8A">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0</w:t>
                  </w:r>
                </w:p>
              </w:tc>
              <w:tc>
                <w:tcPr>
                  <w:tcW w:w="782" w:type="dxa"/>
                  <w:vAlign w:val="center"/>
                </w:tcPr>
                <w:p w14:paraId="2D6736CA">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0.384</w:t>
                  </w:r>
                </w:p>
              </w:tc>
              <w:tc>
                <w:tcPr>
                  <w:tcW w:w="480" w:type="pct"/>
                  <w:vAlign w:val="center"/>
                </w:tcPr>
                <w:p w14:paraId="5A8AB3A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550" w:type="pct"/>
                  <w:vMerge w:val="continue"/>
                  <w:vAlign w:val="center"/>
                </w:tcPr>
                <w:p w14:paraId="5A79985E">
                  <w:pPr>
                    <w:tabs>
                      <w:tab w:val="left" w:pos="6840"/>
                    </w:tabs>
                    <w:spacing w:line="270" w:lineRule="exact"/>
                    <w:jc w:val="center"/>
                    <w:rPr>
                      <w:rFonts w:hint="default" w:ascii="Times New Roman" w:hAnsi="Times New Roman" w:eastAsia="宋体" w:cs="Times New Roman"/>
                      <w:color w:val="auto"/>
                      <w:szCs w:val="21"/>
                    </w:rPr>
                  </w:pPr>
                </w:p>
              </w:tc>
            </w:tr>
            <w:tr w14:paraId="53095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A8DC07A">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6AF06618">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510" w:type="pct"/>
                  <w:vAlign w:val="center"/>
                </w:tcPr>
                <w:p w14:paraId="6ED81298">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852" w:type="dxa"/>
                  <w:vAlign w:val="center"/>
                </w:tcPr>
                <w:p w14:paraId="10A9CB37">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672" w:type="pct"/>
                  <w:vMerge w:val="continue"/>
                  <w:vAlign w:val="center"/>
                </w:tcPr>
                <w:p w14:paraId="2A014204">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712BDB8E">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435" w:type="pct"/>
                  <w:vAlign w:val="center"/>
                </w:tcPr>
                <w:p w14:paraId="3C799C25">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782" w:type="dxa"/>
                  <w:vAlign w:val="center"/>
                </w:tcPr>
                <w:p w14:paraId="3BE3F158">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480" w:type="pct"/>
                  <w:vAlign w:val="center"/>
                </w:tcPr>
                <w:p w14:paraId="582772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550" w:type="pct"/>
                  <w:vMerge w:val="continue"/>
                  <w:vAlign w:val="center"/>
                </w:tcPr>
                <w:p w14:paraId="644F64C2">
                  <w:pPr>
                    <w:tabs>
                      <w:tab w:val="left" w:pos="6840"/>
                    </w:tabs>
                    <w:spacing w:line="270" w:lineRule="exact"/>
                    <w:jc w:val="center"/>
                    <w:rPr>
                      <w:rFonts w:hint="default" w:ascii="Times New Roman" w:hAnsi="Times New Roman" w:eastAsia="宋体" w:cs="Times New Roman"/>
                      <w:color w:val="auto"/>
                      <w:szCs w:val="21"/>
                    </w:rPr>
                  </w:pPr>
                </w:p>
              </w:tc>
            </w:tr>
            <w:tr w14:paraId="7F2E21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656576E2">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72674A6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510" w:type="pct"/>
                  <w:vAlign w:val="center"/>
                </w:tcPr>
                <w:p w14:paraId="76386DD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c>
                <w:tcPr>
                  <w:tcW w:w="852" w:type="dxa"/>
                  <w:vAlign w:val="center"/>
                </w:tcPr>
                <w:p w14:paraId="04A46886">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672" w:type="pct"/>
                  <w:vMerge w:val="continue"/>
                  <w:vAlign w:val="center"/>
                </w:tcPr>
                <w:p w14:paraId="2352BE1E">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7E4D4ECF">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435" w:type="pct"/>
                  <w:vAlign w:val="center"/>
                </w:tcPr>
                <w:p w14:paraId="3B98F21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c>
                <w:tcPr>
                  <w:tcW w:w="782" w:type="dxa"/>
                  <w:vAlign w:val="center"/>
                </w:tcPr>
                <w:p w14:paraId="034442E3">
                  <w:pPr>
                    <w:keepNext w:val="0"/>
                    <w:keepLines w:val="0"/>
                    <w:widowControl/>
                    <w:suppressLineNumbers w:val="0"/>
                    <w:jc w:val="center"/>
                    <w:textAlignment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480" w:type="pct"/>
                  <w:vAlign w:val="center"/>
                </w:tcPr>
                <w:p w14:paraId="3E55E95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550" w:type="pct"/>
                  <w:vMerge w:val="continue"/>
                  <w:vAlign w:val="center"/>
                </w:tcPr>
                <w:p w14:paraId="5C487100">
                  <w:pPr>
                    <w:tabs>
                      <w:tab w:val="left" w:pos="6840"/>
                    </w:tabs>
                    <w:spacing w:line="270" w:lineRule="exact"/>
                    <w:jc w:val="center"/>
                    <w:rPr>
                      <w:rFonts w:hint="default" w:ascii="Times New Roman" w:hAnsi="Times New Roman" w:eastAsia="宋体" w:cs="Times New Roman"/>
                      <w:color w:val="auto"/>
                      <w:szCs w:val="21"/>
                    </w:rPr>
                  </w:pPr>
                </w:p>
              </w:tc>
            </w:tr>
            <w:tr w14:paraId="3776DC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E329BFF">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78FDB561">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510" w:type="pct"/>
                  <w:vAlign w:val="center"/>
                </w:tcPr>
                <w:p w14:paraId="65277C40">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2</w:t>
                  </w:r>
                </w:p>
              </w:tc>
              <w:tc>
                <w:tcPr>
                  <w:tcW w:w="852" w:type="dxa"/>
                  <w:vAlign w:val="center"/>
                </w:tcPr>
                <w:p w14:paraId="233DA1A6">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0.00384</w:t>
                  </w:r>
                </w:p>
              </w:tc>
              <w:tc>
                <w:tcPr>
                  <w:tcW w:w="672" w:type="pct"/>
                  <w:vMerge w:val="continue"/>
                  <w:vAlign w:val="center"/>
                </w:tcPr>
                <w:p w14:paraId="65E9F342">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640F806C">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435" w:type="pct"/>
                  <w:vAlign w:val="center"/>
                </w:tcPr>
                <w:p w14:paraId="1DCF1C9D">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lang w:val="en-US" w:eastAsia="zh-CN"/>
                    </w:rPr>
                    <w:t>2</w:t>
                  </w:r>
                </w:p>
              </w:tc>
              <w:tc>
                <w:tcPr>
                  <w:tcW w:w="782" w:type="dxa"/>
                  <w:vAlign w:val="center"/>
                </w:tcPr>
                <w:p w14:paraId="7B433BE8">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0.00384</w:t>
                  </w:r>
                </w:p>
              </w:tc>
              <w:tc>
                <w:tcPr>
                  <w:tcW w:w="480" w:type="pct"/>
                  <w:vAlign w:val="center"/>
                </w:tcPr>
                <w:p w14:paraId="20769B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550" w:type="pct"/>
                  <w:vMerge w:val="continue"/>
                  <w:vAlign w:val="center"/>
                </w:tcPr>
                <w:p w14:paraId="377AA064">
                  <w:pPr>
                    <w:tabs>
                      <w:tab w:val="left" w:pos="6840"/>
                    </w:tabs>
                    <w:spacing w:line="270" w:lineRule="exact"/>
                    <w:jc w:val="center"/>
                    <w:rPr>
                      <w:rFonts w:hint="default" w:ascii="Times New Roman" w:hAnsi="Times New Roman" w:eastAsia="宋体" w:cs="Times New Roman"/>
                      <w:color w:val="auto"/>
                      <w:szCs w:val="21"/>
                    </w:rPr>
                  </w:pPr>
                </w:p>
              </w:tc>
            </w:tr>
          </w:tbl>
          <w:p w14:paraId="231F6381">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164039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kern w:val="2"/>
                <w:sz w:val="24"/>
                <w:szCs w:val="24"/>
                <w:highlight w:val="none"/>
                <w:lang w:val="en-US" w:eastAsia="zh-CN" w:bidi="ar-SA"/>
              </w:rPr>
              <w:t>项目生活污水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金坛第二污水处理厂，排放口信息如下。</w:t>
            </w:r>
          </w:p>
          <w:p w14:paraId="4F9E2D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表4-1</w:t>
            </w:r>
            <w:r>
              <w:rPr>
                <w:rFonts w:hint="default" w:ascii="Times New Roman" w:hAnsi="Times New Roman" w:eastAsia="宋体" w:cs="Times New Roman"/>
                <w:b/>
                <w:bCs/>
                <w:color w:val="auto"/>
                <w:kern w:val="0"/>
                <w:sz w:val="24"/>
                <w:szCs w:val="24"/>
                <w:lang w:val="en-US" w:eastAsia="zh-CN"/>
              </w:rPr>
              <w:t xml:space="preserve">2  </w:t>
            </w:r>
            <w:r>
              <w:rPr>
                <w:rFonts w:hint="default" w:ascii="Times New Roman" w:hAnsi="Times New Roman" w:eastAsia="宋体" w:cs="Times New Roman"/>
                <w:b/>
                <w:bCs/>
                <w:color w:val="auto"/>
                <w:kern w:val="0"/>
                <w:sz w:val="24"/>
                <w:szCs w:val="24"/>
              </w:rPr>
              <w:t>废水污染物排放执行标准表</w:t>
            </w:r>
          </w:p>
          <w:tbl>
            <w:tblPr>
              <w:tblStyle w:val="26"/>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50"/>
              <w:gridCol w:w="1663"/>
              <w:gridCol w:w="3006"/>
              <w:gridCol w:w="1395"/>
              <w:gridCol w:w="698"/>
            </w:tblGrid>
            <w:tr w14:paraId="436DA7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BB104DD">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513" w:type="pct"/>
                  <w:vMerge w:val="restart"/>
                  <w:tcBorders>
                    <w:tl2br w:val="nil"/>
                    <w:tr2bl w:val="nil"/>
                  </w:tcBorders>
                  <w:vAlign w:val="center"/>
                </w:tcPr>
                <w:p w14:paraId="3C223CF6">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排放口编号</w:t>
                  </w:r>
                </w:p>
              </w:tc>
              <w:tc>
                <w:tcPr>
                  <w:tcW w:w="1003" w:type="pct"/>
                  <w:vMerge w:val="restart"/>
                  <w:tcBorders>
                    <w:tl2br w:val="nil"/>
                    <w:tr2bl w:val="nil"/>
                  </w:tcBorders>
                  <w:vAlign w:val="center"/>
                </w:tcPr>
                <w:p w14:paraId="525F4741">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污染物种类</w:t>
                  </w:r>
                </w:p>
              </w:tc>
              <w:tc>
                <w:tcPr>
                  <w:tcW w:w="3077" w:type="pct"/>
                  <w:gridSpan w:val="3"/>
                  <w:tcBorders>
                    <w:tl2br w:val="nil"/>
                    <w:tr2bl w:val="nil"/>
                  </w:tcBorders>
                  <w:vAlign w:val="center"/>
                </w:tcPr>
                <w:p w14:paraId="4892DAB7">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国家或地方排放标准及其他按规定商议的排放协议</w:t>
                  </w:r>
                </w:p>
              </w:tc>
            </w:tr>
            <w:tr w14:paraId="7476612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45FB7D5E">
                  <w:pPr>
                    <w:jc w:val="center"/>
                    <w:rPr>
                      <w:rFonts w:hint="default" w:ascii="Times New Roman" w:hAnsi="Times New Roman" w:eastAsia="宋体" w:cs="Times New Roman"/>
                      <w:b/>
                      <w:bCs/>
                      <w:color w:val="auto"/>
                      <w:kern w:val="0"/>
                      <w:szCs w:val="21"/>
                    </w:rPr>
                  </w:pPr>
                </w:p>
              </w:tc>
              <w:tc>
                <w:tcPr>
                  <w:tcW w:w="513" w:type="pct"/>
                  <w:vMerge w:val="continue"/>
                  <w:tcBorders>
                    <w:tl2br w:val="nil"/>
                    <w:tr2bl w:val="nil"/>
                  </w:tcBorders>
                  <w:vAlign w:val="center"/>
                </w:tcPr>
                <w:p w14:paraId="196C21BE">
                  <w:pPr>
                    <w:jc w:val="center"/>
                    <w:rPr>
                      <w:rFonts w:hint="default" w:ascii="Times New Roman" w:hAnsi="Times New Roman" w:eastAsia="宋体" w:cs="Times New Roman"/>
                      <w:b/>
                      <w:bCs/>
                      <w:color w:val="auto"/>
                      <w:kern w:val="0"/>
                      <w:szCs w:val="21"/>
                    </w:rPr>
                  </w:pPr>
                </w:p>
              </w:tc>
              <w:tc>
                <w:tcPr>
                  <w:tcW w:w="1003" w:type="pct"/>
                  <w:vMerge w:val="continue"/>
                  <w:tcBorders>
                    <w:tl2br w:val="nil"/>
                    <w:tr2bl w:val="nil"/>
                  </w:tcBorders>
                  <w:vAlign w:val="center"/>
                </w:tcPr>
                <w:p w14:paraId="7E7E40F0">
                  <w:pPr>
                    <w:jc w:val="center"/>
                    <w:rPr>
                      <w:rFonts w:hint="default" w:ascii="Times New Roman" w:hAnsi="Times New Roman" w:eastAsia="宋体" w:cs="Times New Roman"/>
                      <w:b/>
                      <w:bCs/>
                      <w:color w:val="auto"/>
                      <w:kern w:val="0"/>
                      <w:szCs w:val="21"/>
                    </w:rPr>
                  </w:pPr>
                </w:p>
              </w:tc>
              <w:tc>
                <w:tcPr>
                  <w:tcW w:w="1814" w:type="pct"/>
                  <w:tcBorders>
                    <w:tl2br w:val="nil"/>
                    <w:tr2bl w:val="nil"/>
                  </w:tcBorders>
                  <w:vAlign w:val="center"/>
                </w:tcPr>
                <w:p w14:paraId="305AC42D">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名称</w:t>
                  </w:r>
                </w:p>
              </w:tc>
              <w:tc>
                <w:tcPr>
                  <w:tcW w:w="1263" w:type="pct"/>
                  <w:gridSpan w:val="2"/>
                  <w:tcBorders>
                    <w:tl2br w:val="nil"/>
                    <w:tr2bl w:val="nil"/>
                  </w:tcBorders>
                  <w:vAlign w:val="center"/>
                </w:tcPr>
                <w:p w14:paraId="73F5DF3E">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浓度限值（mg/L）</w:t>
                  </w:r>
                </w:p>
              </w:tc>
            </w:tr>
            <w:tr w14:paraId="1C54AA3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5CB84B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513" w:type="pct"/>
                  <w:vMerge w:val="restart"/>
                  <w:tcBorders>
                    <w:tl2br w:val="nil"/>
                    <w:tr2bl w:val="nil"/>
                  </w:tcBorders>
                  <w:vAlign w:val="center"/>
                </w:tcPr>
                <w:p w14:paraId="47C52ABF">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DW001</w:t>
                  </w:r>
                </w:p>
              </w:tc>
              <w:tc>
                <w:tcPr>
                  <w:tcW w:w="1003" w:type="pct"/>
                  <w:vMerge w:val="restart"/>
                  <w:tcBorders>
                    <w:tl2br w:val="nil"/>
                    <w:tr2bl w:val="nil"/>
                  </w:tcBorders>
                  <w:vAlign w:val="center"/>
                </w:tcPr>
                <w:p w14:paraId="4A1CF19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pH、COD、SS、NH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-N、TP、TN</w:t>
                  </w:r>
                </w:p>
              </w:tc>
              <w:tc>
                <w:tcPr>
                  <w:tcW w:w="1814" w:type="pct"/>
                  <w:vMerge w:val="restart"/>
                  <w:tcBorders>
                    <w:tl2br w:val="nil"/>
                    <w:tr2bl w:val="nil"/>
                  </w:tcBorders>
                  <w:vAlign w:val="center"/>
                </w:tcPr>
                <w:p w14:paraId="652B362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金坛</w:t>
                  </w:r>
                  <w:r>
                    <w:rPr>
                      <w:rFonts w:hint="default" w:ascii="Times New Roman" w:hAnsi="Times New Roman" w:eastAsia="宋体" w:cs="Times New Roman"/>
                      <w:color w:val="auto"/>
                      <w:kern w:val="0"/>
                      <w:szCs w:val="21"/>
                      <w:lang w:eastAsia="zh-CN"/>
                    </w:rPr>
                    <w:t>第二污水处理有限公司</w:t>
                  </w:r>
                  <w:r>
                    <w:rPr>
                      <w:rFonts w:hint="default" w:ascii="Times New Roman" w:hAnsi="Times New Roman" w:eastAsia="宋体" w:cs="Times New Roman"/>
                      <w:color w:val="auto"/>
                      <w:kern w:val="0"/>
                      <w:szCs w:val="21"/>
                    </w:rPr>
                    <w:t>接管标准</w:t>
                  </w:r>
                </w:p>
              </w:tc>
              <w:tc>
                <w:tcPr>
                  <w:tcW w:w="841" w:type="pct"/>
                  <w:tcBorders>
                    <w:tl2br w:val="nil"/>
                    <w:tr2bl w:val="nil"/>
                  </w:tcBorders>
                  <w:vAlign w:val="center"/>
                </w:tcPr>
                <w:p w14:paraId="1A23A9AA">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421" w:type="pct"/>
                  <w:tcBorders>
                    <w:tl2br w:val="nil"/>
                    <w:tr2bl w:val="nil"/>
                  </w:tcBorders>
                  <w:vAlign w:val="center"/>
                </w:tcPr>
                <w:p w14:paraId="744EA4B8">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6~9</w:t>
                  </w:r>
                </w:p>
              </w:tc>
            </w:tr>
            <w:tr w14:paraId="1B5FCC0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499B948">
                  <w:pPr>
                    <w:jc w:val="center"/>
                    <w:rPr>
                      <w:rFonts w:hint="default" w:ascii="Times New Roman" w:hAnsi="Times New Roman" w:eastAsia="宋体" w:cs="Times New Roman"/>
                      <w:color w:val="auto"/>
                      <w:kern w:val="0"/>
                      <w:szCs w:val="21"/>
                    </w:rPr>
                  </w:pPr>
                </w:p>
              </w:tc>
              <w:tc>
                <w:tcPr>
                  <w:tcW w:w="513" w:type="pct"/>
                  <w:vMerge w:val="continue"/>
                  <w:tcBorders>
                    <w:tl2br w:val="nil"/>
                    <w:tr2bl w:val="nil"/>
                  </w:tcBorders>
                  <w:vAlign w:val="center"/>
                </w:tcPr>
                <w:p w14:paraId="705217EE">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2E110D99">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3F18D938">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6731FE4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421" w:type="pct"/>
                  <w:tcBorders>
                    <w:tl2br w:val="nil"/>
                    <w:tr2bl w:val="nil"/>
                  </w:tcBorders>
                  <w:vAlign w:val="center"/>
                </w:tcPr>
                <w:p w14:paraId="2FFB1C6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500</w:t>
                  </w:r>
                </w:p>
              </w:tc>
            </w:tr>
            <w:tr w14:paraId="567158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7960A443">
                  <w:pPr>
                    <w:jc w:val="center"/>
                    <w:rPr>
                      <w:rFonts w:hint="default" w:ascii="Times New Roman" w:hAnsi="Times New Roman" w:eastAsia="宋体" w:cs="Times New Roman"/>
                      <w:color w:val="auto"/>
                      <w:kern w:val="0"/>
                      <w:szCs w:val="21"/>
                    </w:rPr>
                  </w:pPr>
                </w:p>
              </w:tc>
              <w:tc>
                <w:tcPr>
                  <w:tcW w:w="513" w:type="pct"/>
                  <w:vMerge w:val="continue"/>
                  <w:tcBorders>
                    <w:tl2br w:val="nil"/>
                    <w:tr2bl w:val="nil"/>
                  </w:tcBorders>
                  <w:vAlign w:val="center"/>
                </w:tcPr>
                <w:p w14:paraId="298F2ECE">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7D159C97">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6E585880">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1FAEF016">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421" w:type="pct"/>
                  <w:tcBorders>
                    <w:tl2br w:val="nil"/>
                    <w:tr2bl w:val="nil"/>
                  </w:tcBorders>
                  <w:vAlign w:val="center"/>
                </w:tcPr>
                <w:p w14:paraId="2F465FF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250</w:t>
                  </w:r>
                </w:p>
              </w:tc>
            </w:tr>
            <w:tr w14:paraId="649E1F4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0378A52">
                  <w:pPr>
                    <w:jc w:val="center"/>
                    <w:rPr>
                      <w:rFonts w:hint="default" w:ascii="Times New Roman" w:hAnsi="Times New Roman" w:eastAsia="宋体" w:cs="Times New Roman"/>
                      <w:color w:val="auto"/>
                      <w:kern w:val="0"/>
                      <w:szCs w:val="21"/>
                    </w:rPr>
                  </w:pPr>
                </w:p>
              </w:tc>
              <w:tc>
                <w:tcPr>
                  <w:tcW w:w="513" w:type="pct"/>
                  <w:vMerge w:val="continue"/>
                  <w:tcBorders>
                    <w:tl2br w:val="nil"/>
                    <w:tr2bl w:val="nil"/>
                  </w:tcBorders>
                  <w:vAlign w:val="center"/>
                </w:tcPr>
                <w:p w14:paraId="49A617FA">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09AB8D3A">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09E2ACC3">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2F471AA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421" w:type="pct"/>
                  <w:tcBorders>
                    <w:tl2br w:val="nil"/>
                    <w:tr2bl w:val="nil"/>
                  </w:tcBorders>
                  <w:vAlign w:val="center"/>
                </w:tcPr>
                <w:p w14:paraId="6D707AF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35</w:t>
                  </w:r>
                </w:p>
              </w:tc>
            </w:tr>
            <w:tr w14:paraId="3785882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5" w:type="pct"/>
                  <w:vMerge w:val="continue"/>
                  <w:tcBorders>
                    <w:tl2br w:val="nil"/>
                    <w:tr2bl w:val="nil"/>
                  </w:tcBorders>
                  <w:vAlign w:val="center"/>
                </w:tcPr>
                <w:p w14:paraId="4C3CC039">
                  <w:pPr>
                    <w:jc w:val="center"/>
                    <w:rPr>
                      <w:rFonts w:hint="default" w:ascii="Times New Roman" w:hAnsi="Times New Roman" w:eastAsia="宋体" w:cs="Times New Roman"/>
                      <w:color w:val="auto"/>
                      <w:kern w:val="0"/>
                      <w:szCs w:val="21"/>
                    </w:rPr>
                  </w:pPr>
                </w:p>
              </w:tc>
              <w:tc>
                <w:tcPr>
                  <w:tcW w:w="513" w:type="pct"/>
                  <w:vMerge w:val="continue"/>
                  <w:tcBorders>
                    <w:tl2br w:val="nil"/>
                    <w:tr2bl w:val="nil"/>
                  </w:tcBorders>
                  <w:vAlign w:val="center"/>
                </w:tcPr>
                <w:p w14:paraId="47E73486">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45DEFC57">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57E1A8BE">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69132356">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TN</w:t>
                  </w:r>
                </w:p>
              </w:tc>
              <w:tc>
                <w:tcPr>
                  <w:tcW w:w="421" w:type="pct"/>
                  <w:tcBorders>
                    <w:tl2br w:val="nil"/>
                    <w:tr2bl w:val="nil"/>
                  </w:tcBorders>
                  <w:vAlign w:val="center"/>
                </w:tcPr>
                <w:p w14:paraId="2E10AC6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50</w:t>
                  </w:r>
                </w:p>
              </w:tc>
            </w:tr>
            <w:tr w14:paraId="51E7030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12193F05">
                  <w:pPr>
                    <w:jc w:val="center"/>
                    <w:rPr>
                      <w:rFonts w:hint="default" w:ascii="Times New Roman" w:hAnsi="Times New Roman" w:eastAsia="宋体" w:cs="Times New Roman"/>
                      <w:color w:val="auto"/>
                      <w:kern w:val="0"/>
                      <w:szCs w:val="21"/>
                    </w:rPr>
                  </w:pPr>
                </w:p>
              </w:tc>
              <w:tc>
                <w:tcPr>
                  <w:tcW w:w="513" w:type="pct"/>
                  <w:vMerge w:val="continue"/>
                  <w:tcBorders>
                    <w:tl2br w:val="nil"/>
                    <w:tr2bl w:val="nil"/>
                  </w:tcBorders>
                  <w:vAlign w:val="center"/>
                </w:tcPr>
                <w:p w14:paraId="38BFDAC3">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35F31309">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36D53418">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137BBDA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TP</w:t>
                  </w:r>
                </w:p>
              </w:tc>
              <w:tc>
                <w:tcPr>
                  <w:tcW w:w="421" w:type="pct"/>
                  <w:tcBorders>
                    <w:tl2br w:val="nil"/>
                    <w:tr2bl w:val="nil"/>
                  </w:tcBorders>
                  <w:vAlign w:val="center"/>
                </w:tcPr>
                <w:p w14:paraId="532C164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3</w:t>
                  </w:r>
                </w:p>
              </w:tc>
            </w:tr>
          </w:tbl>
          <w:p w14:paraId="37FC993A">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监测要求</w:t>
            </w:r>
          </w:p>
          <w:p w14:paraId="162EBA2D">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排污单位自行监测技术指南 </w:t>
            </w:r>
            <w:r>
              <w:rPr>
                <w:rFonts w:hint="default" w:ascii="Times New Roman" w:hAnsi="Times New Roman" w:eastAsia="宋体" w:cs="Times New Roman"/>
                <w:bCs/>
                <w:color w:val="auto"/>
                <w:sz w:val="24"/>
                <w:szCs w:val="24"/>
                <w:highlight w:val="none"/>
                <w:lang w:val="en-US" w:eastAsia="zh-CN"/>
              </w:rPr>
              <w:t>总则</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"http://www.mee.gov.cn/ywgz/fgbz/bz/bzwb/jcffbz/202001/W020200113417476489912.pdf"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color w:val="auto"/>
                <w:sz w:val="24"/>
                <w:szCs w:val="24"/>
                <w:highlight w:val="none"/>
              </w:rPr>
              <w:t>(HJ</w:t>
            </w:r>
            <w:r>
              <w:rPr>
                <w:rFonts w:hint="default" w:ascii="Times New Roman" w:hAnsi="Times New Roman" w:eastAsia="宋体" w:cs="Times New Roman"/>
                <w:bCs/>
                <w:color w:val="auto"/>
                <w:sz w:val="24"/>
                <w:szCs w:val="24"/>
                <w:highlight w:val="none"/>
                <w:lang w:val="en-US" w:eastAsia="zh-CN"/>
              </w:rPr>
              <w:t>819</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17</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color w:val="auto"/>
                <w:sz w:val="24"/>
                <w:szCs w:val="24"/>
                <w:highlight w:val="none"/>
              </w:rPr>
              <w:t>中相关要求，建设单位废水例行监测计划和验收检测方案详见下表。</w:t>
            </w:r>
          </w:p>
          <w:p w14:paraId="41205C97">
            <w:pPr>
              <w:pStyle w:val="9"/>
              <w:snapToGrid w:val="0"/>
              <w:spacing w:line="24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kern w:val="0"/>
                <w:sz w:val="24"/>
                <w:szCs w:val="24"/>
                <w:highlight w:val="none"/>
              </w:rPr>
              <w:t>表4-</w:t>
            </w:r>
            <w:r>
              <w:rPr>
                <w:rFonts w:hint="default" w:ascii="Times New Roman" w:hAnsi="Times New Roman" w:eastAsia="宋体" w:cs="Times New Roman"/>
                <w:b/>
                <w:color w:val="auto"/>
                <w:kern w:val="0"/>
                <w:sz w:val="24"/>
                <w:szCs w:val="24"/>
                <w:highlight w:val="none"/>
                <w:lang w:val="en-US" w:eastAsia="zh-CN"/>
              </w:rPr>
              <w:t>1</w:t>
            </w:r>
            <w:r>
              <w:rPr>
                <w:rFonts w:hint="eastAsia" w:ascii="Times New Roman" w:hAnsi="Times New Roman" w:eastAsia="宋体"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rPr>
              <w:t xml:space="preserve"> </w:t>
            </w:r>
            <w:r>
              <w:rPr>
                <w:rFonts w:hint="eastAsia" w:ascii="Times New Roman" w:hAnsi="Times New Roman" w:eastAsia="宋体" w:cs="Times New Roman"/>
                <w:b/>
                <w:color w:val="auto"/>
                <w:kern w:val="0"/>
                <w:sz w:val="24"/>
                <w:szCs w:val="24"/>
                <w:highlight w:val="none"/>
                <w:lang w:val="en-US" w:eastAsia="zh-CN"/>
              </w:rPr>
              <w:t xml:space="preserve"> </w:t>
            </w:r>
            <w:r>
              <w:rPr>
                <w:rFonts w:hint="default" w:ascii="Times New Roman" w:hAnsi="Times New Roman" w:eastAsia="宋体" w:cs="Times New Roman"/>
                <w:b/>
                <w:color w:val="auto"/>
                <w:kern w:val="0"/>
                <w:sz w:val="24"/>
                <w:szCs w:val="24"/>
                <w:highlight w:val="none"/>
              </w:rPr>
              <w:t>污染源监测计划</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7"/>
              <w:gridCol w:w="957"/>
              <w:gridCol w:w="1055"/>
              <w:gridCol w:w="1535"/>
              <w:gridCol w:w="2749"/>
              <w:gridCol w:w="1034"/>
            </w:tblGrid>
            <w:tr w14:paraId="5611A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noWrap w:val="0"/>
                  <w:vAlign w:val="center"/>
                </w:tcPr>
                <w:p w14:paraId="70C52EE9">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577" w:type="pct"/>
                  <w:noWrap w:val="0"/>
                  <w:vAlign w:val="center"/>
                </w:tcPr>
                <w:p w14:paraId="0BCF031C">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636" w:type="pct"/>
                  <w:noWrap w:val="0"/>
                  <w:vAlign w:val="center"/>
                </w:tcPr>
                <w:p w14:paraId="555F36EC">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监测位置</w:t>
                  </w:r>
                </w:p>
              </w:tc>
              <w:tc>
                <w:tcPr>
                  <w:tcW w:w="926" w:type="pct"/>
                  <w:noWrap w:val="0"/>
                  <w:vAlign w:val="center"/>
                </w:tcPr>
                <w:p w14:paraId="5B82AFE3">
                  <w:pPr>
                    <w:snapToGri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检测点位</w:t>
                  </w:r>
                  <w:r>
                    <w:rPr>
                      <w:rFonts w:hint="default" w:ascii="Times New Roman" w:hAnsi="Times New Roman" w:eastAsia="宋体" w:cs="Times New Roman"/>
                      <w:b/>
                      <w:color w:val="auto"/>
                      <w:sz w:val="21"/>
                      <w:szCs w:val="21"/>
                      <w:highlight w:val="none"/>
                      <w:lang w:val="en-US" w:eastAsia="zh-CN"/>
                    </w:rPr>
                    <w:t>数量</w:t>
                  </w:r>
                </w:p>
              </w:tc>
              <w:tc>
                <w:tcPr>
                  <w:tcW w:w="1658" w:type="pct"/>
                  <w:noWrap w:val="0"/>
                  <w:vAlign w:val="center"/>
                </w:tcPr>
                <w:p w14:paraId="19B85A01">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623" w:type="pct"/>
                  <w:noWrap w:val="0"/>
                  <w:vAlign w:val="center"/>
                </w:tcPr>
                <w:p w14:paraId="7CA5DAE6">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监测频率</w:t>
                  </w:r>
                </w:p>
              </w:tc>
            </w:tr>
            <w:tr w14:paraId="7A2E8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noWrap w:val="0"/>
                  <w:vAlign w:val="center"/>
                </w:tcPr>
                <w:p w14:paraId="4EA47EB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例行监测计划</w:t>
                  </w:r>
                </w:p>
              </w:tc>
              <w:tc>
                <w:tcPr>
                  <w:tcW w:w="577" w:type="pct"/>
                  <w:noWrap w:val="0"/>
                  <w:vAlign w:val="center"/>
                </w:tcPr>
                <w:p w14:paraId="36E299C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废水监测</w:t>
                  </w:r>
                </w:p>
              </w:tc>
              <w:tc>
                <w:tcPr>
                  <w:tcW w:w="636" w:type="pct"/>
                  <w:noWrap w:val="0"/>
                  <w:vAlign w:val="center"/>
                </w:tcPr>
                <w:p w14:paraId="644B76EA">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val="en-US" w:eastAsia="zh-CN"/>
                    </w:rPr>
                    <w:t>污水</w:t>
                  </w:r>
                  <w:r>
                    <w:rPr>
                      <w:rFonts w:hint="default" w:ascii="Times New Roman" w:hAnsi="Times New Roman" w:eastAsia="宋体" w:cs="Times New Roman"/>
                      <w:color w:val="auto"/>
                      <w:sz w:val="21"/>
                      <w:szCs w:val="21"/>
                      <w:highlight w:val="none"/>
                    </w:rPr>
                    <w:t>总排放口</w:t>
                  </w:r>
                </w:p>
              </w:tc>
              <w:tc>
                <w:tcPr>
                  <w:tcW w:w="926" w:type="pct"/>
                  <w:noWrap w:val="0"/>
                  <w:vAlign w:val="center"/>
                </w:tcPr>
                <w:p w14:paraId="7CF0CAE5">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1个</w:t>
                  </w:r>
                </w:p>
              </w:tc>
              <w:tc>
                <w:tcPr>
                  <w:tcW w:w="1658" w:type="pct"/>
                  <w:noWrap w:val="0"/>
                  <w:vAlign w:val="center"/>
                </w:tcPr>
                <w:p w14:paraId="23F5A27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pH值、悬浮物、化学需氧量、氨氮、总磷、总氮</w:t>
                  </w:r>
                </w:p>
              </w:tc>
              <w:tc>
                <w:tcPr>
                  <w:tcW w:w="623" w:type="pct"/>
                  <w:noWrap w:val="0"/>
                  <w:vAlign w:val="center"/>
                </w:tcPr>
                <w:p w14:paraId="7B44357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r>
          </w:tbl>
          <w:p w14:paraId="5CDDBB5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6.排污口规范化设置</w:t>
            </w:r>
          </w:p>
          <w:p w14:paraId="66E03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本项目依托出租方现有雨水和污水排放口，不改变现有排水系统。目前项目所在地地块内已实施“雨污分流”，并设置规范化雨水排放口。</w:t>
            </w:r>
          </w:p>
          <w:p w14:paraId="31E336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7.环境影响分析小结</w:t>
            </w:r>
          </w:p>
          <w:p w14:paraId="03D81E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本项目生活污水经市政污水管网接至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w:t>
            </w:r>
            <w:r>
              <w:rPr>
                <w:rFonts w:hint="default" w:ascii="Times New Roman" w:hAnsi="Times New Roman" w:eastAsia="宋体" w:cs="Times New Roman"/>
                <w:bCs/>
                <w:color w:val="auto"/>
                <w:sz w:val="24"/>
                <w:highlight w:val="none"/>
                <w:lang w:val="en-US" w:eastAsia="zh-CN"/>
              </w:rPr>
              <w:t>集中处理，尾水排入尧塘河。故本项目废水排放对地表水环境影响很小，是可以接受的。</w:t>
            </w:r>
          </w:p>
          <w:p w14:paraId="730622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三、噪声</w:t>
            </w:r>
          </w:p>
          <w:p w14:paraId="789B82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1、噪声源强分析</w:t>
            </w:r>
          </w:p>
          <w:p w14:paraId="6B056B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本项目高噪声源主要为自动硅钢片卷铁芯机</w:t>
            </w:r>
            <w:r>
              <w:rPr>
                <w:rFonts w:hint="eastAsia" w:ascii="Times New Roman" w:hAnsi="Times New Roman" w:eastAsia="宋体" w:cs="Times New Roman"/>
                <w:bCs/>
                <w:color w:val="auto"/>
                <w:sz w:val="24"/>
                <w:highlight w:val="none"/>
                <w:lang w:val="en-US" w:eastAsia="zh-CN"/>
              </w:rPr>
              <w:t>、自动开槽机、自动锯床</w:t>
            </w:r>
            <w:r>
              <w:rPr>
                <w:rFonts w:hint="default" w:ascii="Times New Roman" w:hAnsi="Times New Roman" w:eastAsia="宋体" w:cs="Times New Roman"/>
                <w:bCs/>
                <w:color w:val="auto"/>
                <w:sz w:val="24"/>
                <w:highlight w:val="none"/>
                <w:lang w:val="en-US" w:eastAsia="zh-CN"/>
              </w:rPr>
              <w:t>等设备，项目噪声源距离1米处声压级在70~85dB（A）之间。</w:t>
            </w:r>
          </w:p>
          <w:p w14:paraId="4BCCB2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tc>
      </w:tr>
    </w:tbl>
    <w:p w14:paraId="65124DE4">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485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945A7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742" w:type="pct"/>
            <w:vAlign w:val="center"/>
          </w:tcPr>
          <w:p w14:paraId="3A789A61">
            <w:pPr>
              <w:shd w:val="clear"/>
              <w:adjustRightInd w:val="0"/>
              <w:snapToGrid w:val="0"/>
              <w:spacing w:before="12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表4-1</w:t>
            </w: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主要噪声源及排放情况（室外）</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749"/>
              <w:gridCol w:w="1114"/>
              <w:gridCol w:w="1061"/>
              <w:gridCol w:w="1156"/>
              <w:gridCol w:w="1720"/>
              <w:gridCol w:w="3524"/>
              <w:gridCol w:w="2072"/>
            </w:tblGrid>
            <w:tr w14:paraId="30A42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313" w:type="pct"/>
                  <w:vMerge w:val="restart"/>
                  <w:tcBorders>
                    <w:tl2br w:val="nil"/>
                    <w:tr2bl w:val="nil"/>
                  </w:tcBorders>
                  <w:vAlign w:val="center"/>
                </w:tcPr>
                <w:p w14:paraId="3FC76004">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序号</w:t>
                  </w:r>
                </w:p>
              </w:tc>
              <w:tc>
                <w:tcPr>
                  <w:tcW w:w="661" w:type="pct"/>
                  <w:vMerge w:val="restart"/>
                  <w:tcBorders>
                    <w:tl2br w:val="nil"/>
                    <w:tr2bl w:val="nil"/>
                  </w:tcBorders>
                  <w:vAlign w:val="center"/>
                </w:tcPr>
                <w:p w14:paraId="5EBB5F0E">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声源名称</w:t>
                  </w:r>
                </w:p>
              </w:tc>
              <w:tc>
                <w:tcPr>
                  <w:tcW w:w="1259" w:type="pct"/>
                  <w:gridSpan w:val="3"/>
                  <w:tcBorders>
                    <w:tl2br w:val="nil"/>
                    <w:tr2bl w:val="nil"/>
                  </w:tcBorders>
                  <w:vAlign w:val="center"/>
                </w:tcPr>
                <w:p w14:paraId="553A819D">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空间相对位置/m</w:t>
                  </w:r>
                </w:p>
              </w:tc>
              <w:tc>
                <w:tcPr>
                  <w:tcW w:w="650" w:type="pct"/>
                  <w:tcBorders>
                    <w:tl2br w:val="nil"/>
                    <w:tr2bl w:val="nil"/>
                  </w:tcBorders>
                  <w:vAlign w:val="center"/>
                </w:tcPr>
                <w:p w14:paraId="408B4298">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声源源强</w:t>
                  </w:r>
                </w:p>
              </w:tc>
              <w:tc>
                <w:tcPr>
                  <w:tcW w:w="1332" w:type="pct"/>
                  <w:vMerge w:val="restart"/>
                  <w:tcBorders>
                    <w:tl2br w:val="nil"/>
                    <w:tr2bl w:val="nil"/>
                  </w:tcBorders>
                  <w:vAlign w:val="center"/>
                </w:tcPr>
                <w:p w14:paraId="3986A3E6">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声源控制措施</w:t>
                  </w:r>
                </w:p>
              </w:tc>
              <w:tc>
                <w:tcPr>
                  <w:tcW w:w="783" w:type="pct"/>
                  <w:vMerge w:val="restart"/>
                  <w:tcBorders>
                    <w:tl2br w:val="nil"/>
                    <w:tr2bl w:val="nil"/>
                  </w:tcBorders>
                  <w:vAlign w:val="center"/>
                </w:tcPr>
                <w:p w14:paraId="7D4A90DB">
                  <w:pPr>
                    <w:shd w:val="clear"/>
                    <w:autoSpaceDN w:val="0"/>
                    <w:adjustRightInd w:val="0"/>
                    <w:snapToGrid w:val="0"/>
                    <w:jc w:val="center"/>
                    <w:textAlignment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运行时段</w:t>
                  </w:r>
                </w:p>
              </w:tc>
            </w:tr>
            <w:tr w14:paraId="14AF2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3" w:type="pct"/>
                  <w:vMerge w:val="continue"/>
                  <w:tcBorders>
                    <w:tl2br w:val="nil"/>
                    <w:tr2bl w:val="nil"/>
                  </w:tcBorders>
                  <w:vAlign w:val="center"/>
                </w:tcPr>
                <w:p w14:paraId="257BF2E5">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p>
              </w:tc>
              <w:tc>
                <w:tcPr>
                  <w:tcW w:w="661" w:type="pct"/>
                  <w:vMerge w:val="continue"/>
                  <w:tcBorders>
                    <w:tl2br w:val="nil"/>
                    <w:tr2bl w:val="nil"/>
                  </w:tcBorders>
                  <w:vAlign w:val="center"/>
                </w:tcPr>
                <w:p w14:paraId="1F22145C">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p>
              </w:tc>
              <w:tc>
                <w:tcPr>
                  <w:tcW w:w="421" w:type="pct"/>
                  <w:tcBorders>
                    <w:tl2br w:val="nil"/>
                    <w:tr2bl w:val="nil"/>
                  </w:tcBorders>
                  <w:vAlign w:val="center"/>
                </w:tcPr>
                <w:p w14:paraId="7973C6BD">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X</w:t>
                  </w:r>
                </w:p>
              </w:tc>
              <w:tc>
                <w:tcPr>
                  <w:tcW w:w="401" w:type="pct"/>
                  <w:tcBorders>
                    <w:tl2br w:val="nil"/>
                    <w:tr2bl w:val="nil"/>
                  </w:tcBorders>
                  <w:vAlign w:val="center"/>
                </w:tcPr>
                <w:p w14:paraId="699C3F23">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Y</w:t>
                  </w:r>
                </w:p>
              </w:tc>
              <w:tc>
                <w:tcPr>
                  <w:tcW w:w="437" w:type="pct"/>
                  <w:tcBorders>
                    <w:tl2br w:val="nil"/>
                    <w:tr2bl w:val="nil"/>
                  </w:tcBorders>
                  <w:vAlign w:val="center"/>
                </w:tcPr>
                <w:p w14:paraId="2A2F12EF">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Z</w:t>
                  </w:r>
                </w:p>
              </w:tc>
              <w:tc>
                <w:tcPr>
                  <w:tcW w:w="650" w:type="pct"/>
                  <w:tcBorders>
                    <w:tl2br w:val="nil"/>
                    <w:tr2bl w:val="nil"/>
                  </w:tcBorders>
                  <w:vAlign w:val="center"/>
                </w:tcPr>
                <w:p w14:paraId="6AF61FE8">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声功率级/dB（A）</w:t>
                  </w:r>
                </w:p>
              </w:tc>
              <w:tc>
                <w:tcPr>
                  <w:tcW w:w="1332" w:type="pct"/>
                  <w:vMerge w:val="continue"/>
                  <w:tcBorders>
                    <w:tl2br w:val="nil"/>
                    <w:tr2bl w:val="nil"/>
                  </w:tcBorders>
                  <w:vAlign w:val="center"/>
                </w:tcPr>
                <w:p w14:paraId="7F32F340">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p>
              </w:tc>
              <w:tc>
                <w:tcPr>
                  <w:tcW w:w="783" w:type="pct"/>
                  <w:vMerge w:val="continue"/>
                  <w:tcBorders>
                    <w:tl2br w:val="nil"/>
                    <w:tr2bl w:val="nil"/>
                  </w:tcBorders>
                  <w:vAlign w:val="center"/>
                </w:tcPr>
                <w:p w14:paraId="60AAD4B6">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p>
              </w:tc>
            </w:tr>
            <w:tr w14:paraId="70893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3" w:type="pct"/>
                  <w:tcBorders>
                    <w:tl2br w:val="nil"/>
                    <w:tr2bl w:val="nil"/>
                  </w:tcBorders>
                  <w:vAlign w:val="center"/>
                </w:tcPr>
                <w:p w14:paraId="1F05F40A">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p>
              </w:tc>
              <w:tc>
                <w:tcPr>
                  <w:tcW w:w="661" w:type="pct"/>
                  <w:tcBorders>
                    <w:tl2br w:val="nil"/>
                    <w:tr2bl w:val="nil"/>
                  </w:tcBorders>
                  <w:vAlign w:val="center"/>
                </w:tcPr>
                <w:p w14:paraId="426FE366">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1#风机</w:t>
                  </w:r>
                </w:p>
              </w:tc>
              <w:tc>
                <w:tcPr>
                  <w:tcW w:w="421" w:type="pct"/>
                  <w:tcBorders>
                    <w:tl2br w:val="nil"/>
                    <w:tr2bl w:val="nil"/>
                  </w:tcBorders>
                  <w:vAlign w:val="center"/>
                </w:tcPr>
                <w:p w14:paraId="597389A2">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w:t>
                  </w:r>
                </w:p>
              </w:tc>
              <w:tc>
                <w:tcPr>
                  <w:tcW w:w="401" w:type="pct"/>
                  <w:tcBorders>
                    <w:tl2br w:val="nil"/>
                    <w:tr2bl w:val="nil"/>
                  </w:tcBorders>
                  <w:vAlign w:val="center"/>
                </w:tcPr>
                <w:p w14:paraId="4073F3ED">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60</w:t>
                  </w:r>
                </w:p>
              </w:tc>
              <w:tc>
                <w:tcPr>
                  <w:tcW w:w="437" w:type="pct"/>
                  <w:tcBorders>
                    <w:tl2br w:val="nil"/>
                    <w:tr2bl w:val="nil"/>
                  </w:tcBorders>
                  <w:vAlign w:val="center"/>
                </w:tcPr>
                <w:p w14:paraId="3B61B067">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p>
              </w:tc>
              <w:tc>
                <w:tcPr>
                  <w:tcW w:w="650" w:type="pct"/>
                  <w:tcBorders>
                    <w:tl2br w:val="nil"/>
                    <w:tr2bl w:val="nil"/>
                  </w:tcBorders>
                  <w:vAlign w:val="center"/>
                </w:tcPr>
                <w:p w14:paraId="2DB92913">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75~85</w:t>
                  </w:r>
                </w:p>
              </w:tc>
              <w:tc>
                <w:tcPr>
                  <w:tcW w:w="1332" w:type="pct"/>
                  <w:tcBorders>
                    <w:tl2br w:val="nil"/>
                    <w:tr2bl w:val="nil"/>
                  </w:tcBorders>
                  <w:vAlign w:val="center"/>
                </w:tcPr>
                <w:p w14:paraId="33698695">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距离衰减、绿化阻隔、临近建筑阻隔</w:t>
                  </w:r>
                </w:p>
              </w:tc>
              <w:tc>
                <w:tcPr>
                  <w:tcW w:w="783" w:type="pct"/>
                  <w:tcBorders>
                    <w:tl2br w:val="nil"/>
                    <w:tr2bl w:val="nil"/>
                  </w:tcBorders>
                  <w:vAlign w:val="center"/>
                </w:tcPr>
                <w:p w14:paraId="725CE34F">
                  <w:pPr>
                    <w:shd w:val="clear"/>
                    <w:autoSpaceDN w:val="0"/>
                    <w:adjustRightInd w:val="0"/>
                    <w:snapToGrid w:val="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2400h</w:t>
                  </w:r>
                </w:p>
              </w:tc>
            </w:tr>
            <w:tr w14:paraId="0ABE8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3" w:type="pct"/>
                  <w:tcBorders>
                    <w:tl2br w:val="nil"/>
                    <w:tr2bl w:val="nil"/>
                  </w:tcBorders>
                  <w:shd w:val="clear" w:color="auto" w:fill="auto"/>
                  <w:vAlign w:val="center"/>
                </w:tcPr>
                <w:p w14:paraId="4F235EA4">
                  <w:pPr>
                    <w:shd w:val="clear"/>
                    <w:autoSpaceDN w:val="0"/>
                    <w:adjustRightInd w:val="0"/>
                    <w:snapToGrid w:val="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2</w:t>
                  </w:r>
                </w:p>
              </w:tc>
              <w:tc>
                <w:tcPr>
                  <w:tcW w:w="661" w:type="pct"/>
                  <w:tcBorders>
                    <w:tl2br w:val="nil"/>
                    <w:tr2bl w:val="nil"/>
                  </w:tcBorders>
                  <w:shd w:val="clear" w:color="auto" w:fill="auto"/>
                  <w:vAlign w:val="center"/>
                </w:tcPr>
                <w:p w14:paraId="12701501">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#风机</w:t>
                  </w:r>
                </w:p>
              </w:tc>
              <w:tc>
                <w:tcPr>
                  <w:tcW w:w="421" w:type="pct"/>
                  <w:tcBorders>
                    <w:tl2br w:val="nil"/>
                    <w:tr2bl w:val="nil"/>
                  </w:tcBorders>
                  <w:shd w:val="clear" w:color="auto" w:fill="auto"/>
                  <w:vAlign w:val="center"/>
                </w:tcPr>
                <w:p w14:paraId="6EA0B3AF">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40</w:t>
                  </w:r>
                </w:p>
              </w:tc>
              <w:tc>
                <w:tcPr>
                  <w:tcW w:w="401" w:type="pct"/>
                  <w:tcBorders>
                    <w:tl2br w:val="nil"/>
                    <w:tr2bl w:val="nil"/>
                  </w:tcBorders>
                  <w:shd w:val="clear" w:color="auto" w:fill="auto"/>
                  <w:vAlign w:val="center"/>
                </w:tcPr>
                <w:p w14:paraId="38A4AFD9">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w:t>
                  </w:r>
                </w:p>
              </w:tc>
              <w:tc>
                <w:tcPr>
                  <w:tcW w:w="437" w:type="pct"/>
                  <w:tcBorders>
                    <w:tl2br w:val="nil"/>
                    <w:tr2bl w:val="nil"/>
                  </w:tcBorders>
                  <w:shd w:val="clear" w:color="auto" w:fill="auto"/>
                  <w:vAlign w:val="center"/>
                </w:tcPr>
                <w:p w14:paraId="53AE7FCF">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1</w:t>
                  </w:r>
                </w:p>
              </w:tc>
              <w:tc>
                <w:tcPr>
                  <w:tcW w:w="650" w:type="pct"/>
                  <w:tcBorders>
                    <w:tl2br w:val="nil"/>
                    <w:tr2bl w:val="nil"/>
                  </w:tcBorders>
                  <w:shd w:val="clear" w:color="auto" w:fill="auto"/>
                  <w:vAlign w:val="center"/>
                </w:tcPr>
                <w:p w14:paraId="59F0F791">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75~85</w:t>
                  </w:r>
                </w:p>
              </w:tc>
              <w:tc>
                <w:tcPr>
                  <w:tcW w:w="1332" w:type="pct"/>
                  <w:tcBorders>
                    <w:tl2br w:val="nil"/>
                    <w:tr2bl w:val="nil"/>
                  </w:tcBorders>
                  <w:shd w:val="clear" w:color="auto" w:fill="auto"/>
                  <w:vAlign w:val="center"/>
                </w:tcPr>
                <w:p w14:paraId="547EB0F6">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距离衰减、绿化阻隔、临近建筑阻隔</w:t>
                  </w:r>
                </w:p>
              </w:tc>
              <w:tc>
                <w:tcPr>
                  <w:tcW w:w="783" w:type="pct"/>
                  <w:tcBorders>
                    <w:tl2br w:val="nil"/>
                    <w:tr2bl w:val="nil"/>
                  </w:tcBorders>
                  <w:shd w:val="clear" w:color="auto" w:fill="auto"/>
                  <w:vAlign w:val="center"/>
                </w:tcPr>
                <w:p w14:paraId="07477B30">
                  <w:pPr>
                    <w:shd w:val="clear"/>
                    <w:autoSpaceDN w:val="0"/>
                    <w:adjustRightInd w:val="0"/>
                    <w:snapToGrid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2400h</w:t>
                  </w:r>
                </w:p>
              </w:tc>
            </w:tr>
          </w:tbl>
          <w:p w14:paraId="6B55D9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rPr>
            </w:pPr>
          </w:p>
          <w:p w14:paraId="48522A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表4-1</w:t>
            </w:r>
            <w:r>
              <w:rPr>
                <w:rFonts w:hint="eastAsia" w:ascii="Times New Roman" w:hAnsi="Times New Roman" w:eastAsia="宋体" w:cs="Times New Roman"/>
                <w:b/>
                <w:bCs/>
                <w:color w:val="auto"/>
                <w:sz w:val="24"/>
                <w:szCs w:val="24"/>
                <w:lang w:val="en-US" w:eastAsia="zh-CN"/>
              </w:rPr>
              <w:t xml:space="preserve">5  </w:t>
            </w:r>
            <w:r>
              <w:rPr>
                <w:rFonts w:hint="default" w:ascii="Times New Roman" w:hAnsi="Times New Roman" w:eastAsia="宋体" w:cs="Times New Roman"/>
                <w:b/>
                <w:bCs/>
                <w:color w:val="auto"/>
                <w:sz w:val="24"/>
                <w:szCs w:val="24"/>
              </w:rPr>
              <w:t>本项目主要噪声污染源一览表</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室内声源</w:t>
            </w:r>
            <w:r>
              <w:rPr>
                <w:rFonts w:hint="default" w:ascii="Times New Roman" w:hAnsi="Times New Roman" w:eastAsia="宋体" w:cs="Times New Roman"/>
                <w:b/>
                <w:bCs/>
                <w:color w:val="auto"/>
                <w:sz w:val="24"/>
                <w:szCs w:val="24"/>
                <w:lang w:eastAsia="zh-CN"/>
              </w:rPr>
              <w:t>）</w:t>
            </w:r>
          </w:p>
          <w:tbl>
            <w:tblPr>
              <w:tblStyle w:val="26"/>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38"/>
              <w:gridCol w:w="1667"/>
              <w:gridCol w:w="619"/>
              <w:gridCol w:w="609"/>
              <w:gridCol w:w="1461"/>
              <w:gridCol w:w="1064"/>
              <w:gridCol w:w="556"/>
              <w:gridCol w:w="556"/>
              <w:gridCol w:w="614"/>
              <w:gridCol w:w="693"/>
              <w:gridCol w:w="688"/>
              <w:gridCol w:w="535"/>
              <w:gridCol w:w="958"/>
              <w:gridCol w:w="958"/>
              <w:gridCol w:w="1032"/>
            </w:tblGrid>
            <w:tr w14:paraId="4C75C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vMerge w:val="restart"/>
                  <w:noWrap w:val="0"/>
                  <w:vAlign w:val="center"/>
                </w:tcPr>
                <w:p w14:paraId="516D67D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79" w:type="pct"/>
                  <w:vMerge w:val="restart"/>
                  <w:noWrap w:val="0"/>
                  <w:vAlign w:val="center"/>
                </w:tcPr>
                <w:p w14:paraId="6C8ADDF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建筑物名称</w:t>
                  </w:r>
                </w:p>
              </w:tc>
              <w:tc>
                <w:tcPr>
                  <w:tcW w:w="630" w:type="pct"/>
                  <w:vMerge w:val="restart"/>
                  <w:noWrap w:val="0"/>
                  <w:vAlign w:val="center"/>
                </w:tcPr>
                <w:p w14:paraId="435F2AC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声源名称</w:t>
                  </w:r>
                </w:p>
              </w:tc>
              <w:tc>
                <w:tcPr>
                  <w:tcW w:w="234" w:type="pct"/>
                  <w:vMerge w:val="restart"/>
                  <w:noWrap w:val="0"/>
                  <w:vAlign w:val="center"/>
                </w:tcPr>
                <w:p w14:paraId="5FADCE7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w:t>
                  </w:r>
                </w:p>
              </w:tc>
              <w:tc>
                <w:tcPr>
                  <w:tcW w:w="230" w:type="pct"/>
                  <w:vMerge w:val="restart"/>
                  <w:noWrap w:val="0"/>
                  <w:vAlign w:val="center"/>
                </w:tcPr>
                <w:p w14:paraId="1001DEA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数量</w:t>
                  </w:r>
                </w:p>
              </w:tc>
              <w:tc>
                <w:tcPr>
                  <w:tcW w:w="552" w:type="pct"/>
                  <w:noWrap w:val="0"/>
                  <w:vAlign w:val="center"/>
                </w:tcPr>
                <w:p w14:paraId="6569230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w:t>
                  </w:r>
                </w:p>
              </w:tc>
              <w:tc>
                <w:tcPr>
                  <w:tcW w:w="402" w:type="pct"/>
                  <w:vMerge w:val="restart"/>
                  <w:noWrap w:val="0"/>
                  <w:vAlign w:val="center"/>
                </w:tcPr>
                <w:p w14:paraId="49C42C46">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声源控制措施</w:t>
                  </w:r>
                </w:p>
              </w:tc>
              <w:tc>
                <w:tcPr>
                  <w:tcW w:w="652" w:type="pct"/>
                  <w:gridSpan w:val="3"/>
                  <w:noWrap w:val="0"/>
                  <w:vAlign w:val="center"/>
                </w:tcPr>
                <w:p w14:paraId="02A38C6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262" w:type="pct"/>
                  <w:vMerge w:val="restart"/>
                  <w:noWrap w:val="0"/>
                  <w:vAlign w:val="center"/>
                </w:tcPr>
                <w:p w14:paraId="284426B7">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w:t>
                  </w:r>
                  <w:r>
                    <w:rPr>
                      <w:rFonts w:hint="default" w:ascii="Times New Roman" w:hAnsi="Times New Roman" w:eastAsia="宋体" w:cs="Times New Roman"/>
                      <w:b/>
                      <w:color w:val="auto"/>
                      <w:sz w:val="21"/>
                      <w:szCs w:val="21"/>
                      <w:lang w:eastAsia="zh-CN"/>
                    </w:rPr>
                    <w:t>最近</w:t>
                  </w:r>
                  <w:r>
                    <w:rPr>
                      <w:rFonts w:hint="default" w:ascii="Times New Roman" w:hAnsi="Times New Roman" w:eastAsia="宋体" w:cs="Times New Roman"/>
                      <w:b/>
                      <w:color w:val="auto"/>
                      <w:sz w:val="21"/>
                      <w:szCs w:val="21"/>
                    </w:rPr>
                    <w:t>距离/m</w:t>
                  </w:r>
                </w:p>
              </w:tc>
              <w:tc>
                <w:tcPr>
                  <w:tcW w:w="260" w:type="pct"/>
                  <w:vMerge w:val="restart"/>
                  <w:noWrap w:val="0"/>
                  <w:vAlign w:val="center"/>
                </w:tcPr>
                <w:p w14:paraId="63568FB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w:t>
                  </w:r>
                </w:p>
              </w:tc>
              <w:tc>
                <w:tcPr>
                  <w:tcW w:w="202" w:type="pct"/>
                  <w:vMerge w:val="restart"/>
                  <w:noWrap w:val="0"/>
                  <w:vAlign w:val="center"/>
                </w:tcPr>
                <w:p w14:paraId="398437E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运行时段</w:t>
                  </w:r>
                </w:p>
              </w:tc>
              <w:tc>
                <w:tcPr>
                  <w:tcW w:w="362" w:type="pct"/>
                  <w:vMerge w:val="restart"/>
                  <w:noWrap w:val="0"/>
                  <w:vAlign w:val="center"/>
                </w:tcPr>
                <w:p w14:paraId="080A179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752" w:type="pct"/>
                  <w:gridSpan w:val="2"/>
                  <w:noWrap w:val="0"/>
                  <w:vAlign w:val="center"/>
                </w:tcPr>
                <w:p w14:paraId="113F39D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w:t>
                  </w:r>
                </w:p>
              </w:tc>
            </w:tr>
            <w:tr w14:paraId="2EBA9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vMerge w:val="continue"/>
                  <w:noWrap w:val="0"/>
                  <w:vAlign w:val="center"/>
                </w:tcPr>
                <w:p w14:paraId="5DA4130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79" w:type="pct"/>
                  <w:vMerge w:val="continue"/>
                  <w:noWrap w:val="0"/>
                  <w:vAlign w:val="center"/>
                </w:tcPr>
                <w:p w14:paraId="03C7BFF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630" w:type="pct"/>
                  <w:vMerge w:val="continue"/>
                  <w:noWrap w:val="0"/>
                  <w:vAlign w:val="center"/>
                </w:tcPr>
                <w:p w14:paraId="229A871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34" w:type="pct"/>
                  <w:vMerge w:val="continue"/>
                  <w:noWrap w:val="0"/>
                  <w:vAlign w:val="center"/>
                </w:tcPr>
                <w:p w14:paraId="1812EAF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30" w:type="pct"/>
                  <w:vMerge w:val="continue"/>
                  <w:noWrap w:val="0"/>
                  <w:vAlign w:val="center"/>
                </w:tcPr>
                <w:p w14:paraId="2D0A19B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552" w:type="pct"/>
                  <w:noWrap w:val="0"/>
                  <w:vAlign w:val="center"/>
                </w:tcPr>
                <w:p w14:paraId="784F017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w:t>
                  </w:r>
                  <w:r>
                    <w:rPr>
                      <w:rFonts w:hint="default" w:ascii="Times New Roman" w:hAnsi="Times New Roman" w:eastAsia="宋体" w:cs="Times New Roman"/>
                      <w:b/>
                      <w:color w:val="auto"/>
                      <w:sz w:val="21"/>
                      <w:szCs w:val="21"/>
                      <w:lang w:eastAsia="zh-CN"/>
                    </w:rPr>
                    <w:t>功率</w:t>
                  </w:r>
                  <w:r>
                    <w:rPr>
                      <w:rFonts w:hint="default" w:ascii="Times New Roman" w:hAnsi="Times New Roman" w:eastAsia="宋体" w:cs="Times New Roman"/>
                      <w:b/>
                      <w:color w:val="auto"/>
                      <w:sz w:val="21"/>
                      <w:szCs w:val="21"/>
                    </w:rPr>
                    <w:t>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402" w:type="pct"/>
                  <w:vMerge w:val="continue"/>
                  <w:noWrap w:val="0"/>
                  <w:vAlign w:val="center"/>
                </w:tcPr>
                <w:p w14:paraId="14604D4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10" w:type="pct"/>
                  <w:noWrap w:val="0"/>
                  <w:vAlign w:val="center"/>
                </w:tcPr>
                <w:p w14:paraId="6E8B14A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X</w:t>
                  </w:r>
                </w:p>
              </w:tc>
              <w:tc>
                <w:tcPr>
                  <w:tcW w:w="210" w:type="pct"/>
                  <w:noWrap w:val="0"/>
                  <w:vAlign w:val="center"/>
                </w:tcPr>
                <w:p w14:paraId="69541F6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Y</w:t>
                  </w:r>
                </w:p>
              </w:tc>
              <w:tc>
                <w:tcPr>
                  <w:tcW w:w="232" w:type="pct"/>
                  <w:noWrap w:val="0"/>
                  <w:vAlign w:val="center"/>
                </w:tcPr>
                <w:p w14:paraId="413C1D8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Z</w:t>
                  </w:r>
                </w:p>
              </w:tc>
              <w:tc>
                <w:tcPr>
                  <w:tcW w:w="262" w:type="pct"/>
                  <w:vMerge w:val="continue"/>
                  <w:noWrap w:val="0"/>
                  <w:vAlign w:val="center"/>
                </w:tcPr>
                <w:p w14:paraId="7A75A59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60" w:type="pct"/>
                  <w:vMerge w:val="continue"/>
                  <w:noWrap w:val="0"/>
                  <w:vAlign w:val="center"/>
                </w:tcPr>
                <w:p w14:paraId="070D0BB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202" w:type="pct"/>
                  <w:vMerge w:val="continue"/>
                  <w:noWrap w:val="0"/>
                  <w:vAlign w:val="center"/>
                </w:tcPr>
                <w:p w14:paraId="14574B26">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362" w:type="pct"/>
                  <w:vMerge w:val="continue"/>
                  <w:noWrap w:val="0"/>
                  <w:vAlign w:val="center"/>
                </w:tcPr>
                <w:p w14:paraId="5BAB4C1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p>
              </w:tc>
              <w:tc>
                <w:tcPr>
                  <w:tcW w:w="362" w:type="pct"/>
                  <w:noWrap w:val="0"/>
                  <w:vAlign w:val="center"/>
                </w:tcPr>
                <w:p w14:paraId="113068F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声压级/dB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390" w:type="pct"/>
                  <w:noWrap w:val="0"/>
                  <w:vAlign w:val="center"/>
                </w:tcPr>
                <w:p w14:paraId="754AF33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建筑物外距离</w:t>
                  </w:r>
                </w:p>
              </w:tc>
            </w:tr>
            <w:tr w14:paraId="26472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noWrap w:val="0"/>
                  <w:vAlign w:val="center"/>
                </w:tcPr>
                <w:p w14:paraId="059D54B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79" w:type="pct"/>
                  <w:vMerge w:val="restart"/>
                  <w:noWrap w:val="0"/>
                  <w:vAlign w:val="center"/>
                </w:tcPr>
                <w:p w14:paraId="0729DDF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w:t>
                  </w:r>
                </w:p>
              </w:tc>
              <w:tc>
                <w:tcPr>
                  <w:tcW w:w="630" w:type="pct"/>
                  <w:shd w:val="clear" w:color="auto" w:fill="auto"/>
                  <w:noWrap w:val="0"/>
                  <w:vAlign w:val="center"/>
                </w:tcPr>
                <w:p w14:paraId="25B241F3">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自动硅钢片卷铁芯机</w:t>
                  </w:r>
                </w:p>
              </w:tc>
              <w:tc>
                <w:tcPr>
                  <w:tcW w:w="234" w:type="pct"/>
                  <w:shd w:val="clear" w:color="auto" w:fill="auto"/>
                  <w:noWrap w:val="0"/>
                  <w:vAlign w:val="center"/>
                </w:tcPr>
                <w:p w14:paraId="5F9743F1">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230" w:type="pct"/>
                  <w:shd w:val="clear" w:color="auto" w:fill="auto"/>
                  <w:noWrap w:val="0"/>
                  <w:vAlign w:val="center"/>
                </w:tcPr>
                <w:p w14:paraId="2CCA6B1A">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552" w:type="pct"/>
                  <w:noWrap w:val="0"/>
                  <w:vAlign w:val="center"/>
                </w:tcPr>
                <w:p w14:paraId="12C6FA8B">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restart"/>
                  <w:noWrap w:val="0"/>
                  <w:vAlign w:val="center"/>
                </w:tcPr>
                <w:p w14:paraId="0D977AE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减振、厂房隔音</w:t>
                  </w:r>
                </w:p>
              </w:tc>
              <w:tc>
                <w:tcPr>
                  <w:tcW w:w="210" w:type="pct"/>
                  <w:noWrap w:val="0"/>
                  <w:vAlign w:val="center"/>
                </w:tcPr>
                <w:p w14:paraId="222BA86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210" w:type="pct"/>
                  <w:noWrap w:val="0"/>
                  <w:vAlign w:val="center"/>
                </w:tcPr>
                <w:p w14:paraId="72905F7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32" w:type="pct"/>
                  <w:noWrap w:val="0"/>
                  <w:vAlign w:val="center"/>
                </w:tcPr>
                <w:p w14:paraId="3AC56EF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C6C5E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60" w:type="pct"/>
                  <w:shd w:val="clear" w:color="auto" w:fill="auto"/>
                  <w:noWrap w:val="0"/>
                  <w:vAlign w:val="center"/>
                </w:tcPr>
                <w:p w14:paraId="1F95A6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63.0</w:t>
                  </w:r>
                </w:p>
              </w:tc>
              <w:tc>
                <w:tcPr>
                  <w:tcW w:w="202" w:type="pct"/>
                  <w:noWrap w:val="0"/>
                  <w:vAlign w:val="center"/>
                </w:tcPr>
                <w:p w14:paraId="6425851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362" w:type="pct"/>
                  <w:noWrap w:val="0"/>
                  <w:vAlign w:val="center"/>
                </w:tcPr>
                <w:p w14:paraId="2E597B6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center"/>
                </w:tcPr>
                <w:p w14:paraId="006B6AD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390" w:type="pct"/>
                  <w:noWrap w:val="0"/>
                  <w:vAlign w:val="center"/>
                </w:tcPr>
                <w:p w14:paraId="1BF4314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B9177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noWrap w:val="0"/>
                  <w:vAlign w:val="center"/>
                </w:tcPr>
                <w:p w14:paraId="721C84D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79" w:type="pct"/>
                  <w:vMerge w:val="continue"/>
                  <w:noWrap w:val="0"/>
                  <w:vAlign w:val="center"/>
                </w:tcPr>
                <w:p w14:paraId="74B4133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noWrap w:val="0"/>
                  <w:vAlign w:val="center"/>
                </w:tcPr>
                <w:p w14:paraId="415E3293">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自动卷铁芯冲孔机</w:t>
                  </w:r>
                </w:p>
              </w:tc>
              <w:tc>
                <w:tcPr>
                  <w:tcW w:w="234" w:type="pct"/>
                  <w:shd w:val="clear" w:color="auto" w:fill="auto"/>
                  <w:noWrap w:val="0"/>
                  <w:vAlign w:val="center"/>
                </w:tcPr>
                <w:p w14:paraId="1C17C6C9">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230" w:type="pct"/>
                  <w:shd w:val="clear" w:color="auto" w:fill="auto"/>
                  <w:noWrap w:val="0"/>
                  <w:vAlign w:val="center"/>
                </w:tcPr>
                <w:p w14:paraId="31ADEE05">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552" w:type="pct"/>
                  <w:noWrap w:val="0"/>
                  <w:vAlign w:val="center"/>
                </w:tcPr>
                <w:p w14:paraId="02968618">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noWrap w:val="0"/>
                  <w:vAlign w:val="center"/>
                </w:tcPr>
                <w:p w14:paraId="4621C8A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noWrap w:val="0"/>
                  <w:vAlign w:val="center"/>
                </w:tcPr>
                <w:p w14:paraId="3C68215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210" w:type="pct"/>
                  <w:noWrap w:val="0"/>
                  <w:vAlign w:val="center"/>
                </w:tcPr>
                <w:p w14:paraId="1020CCA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32" w:type="pct"/>
                  <w:noWrap w:val="0"/>
                  <w:vAlign w:val="center"/>
                </w:tcPr>
                <w:p w14:paraId="24FD562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7D8D6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60" w:type="pct"/>
                  <w:shd w:val="clear" w:color="auto" w:fill="auto"/>
                  <w:noWrap w:val="0"/>
                  <w:vAlign w:val="center"/>
                </w:tcPr>
                <w:p w14:paraId="712686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63.0</w:t>
                  </w:r>
                </w:p>
              </w:tc>
              <w:tc>
                <w:tcPr>
                  <w:tcW w:w="202" w:type="pct"/>
                  <w:noWrap w:val="0"/>
                  <w:vAlign w:val="center"/>
                </w:tcPr>
                <w:p w14:paraId="626AC9F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362" w:type="pct"/>
                  <w:noWrap w:val="0"/>
                  <w:vAlign w:val="center"/>
                </w:tcPr>
                <w:p w14:paraId="12DB6CC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center"/>
                </w:tcPr>
                <w:p w14:paraId="1D51D3D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390" w:type="pct"/>
                  <w:noWrap w:val="0"/>
                  <w:vAlign w:val="center"/>
                </w:tcPr>
                <w:p w14:paraId="04231CE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61C80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noWrap w:val="0"/>
                  <w:vAlign w:val="center"/>
                </w:tcPr>
                <w:p w14:paraId="3170BA16">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79" w:type="pct"/>
                  <w:vMerge w:val="continue"/>
                  <w:noWrap w:val="0"/>
                  <w:vAlign w:val="center"/>
                </w:tcPr>
                <w:p w14:paraId="51860B3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noWrap w:val="0"/>
                  <w:vAlign w:val="center"/>
                </w:tcPr>
                <w:p w14:paraId="2085E41C">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自动开槽机</w:t>
                  </w:r>
                </w:p>
              </w:tc>
              <w:tc>
                <w:tcPr>
                  <w:tcW w:w="234" w:type="pct"/>
                  <w:shd w:val="clear" w:color="auto" w:fill="auto"/>
                  <w:noWrap w:val="0"/>
                  <w:vAlign w:val="center"/>
                </w:tcPr>
                <w:p w14:paraId="09C42628">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230" w:type="pct"/>
                  <w:shd w:val="clear" w:color="auto" w:fill="auto"/>
                  <w:noWrap w:val="0"/>
                  <w:vAlign w:val="center"/>
                </w:tcPr>
                <w:p w14:paraId="0D87A029">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552" w:type="pct"/>
                  <w:noWrap w:val="0"/>
                  <w:vAlign w:val="center"/>
                </w:tcPr>
                <w:p w14:paraId="649B2175">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noWrap w:val="0"/>
                  <w:vAlign w:val="center"/>
                </w:tcPr>
                <w:p w14:paraId="3BD3638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noWrap w:val="0"/>
                  <w:vAlign w:val="center"/>
                </w:tcPr>
                <w:p w14:paraId="607AEDF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noWrap w:val="0"/>
                  <w:vAlign w:val="center"/>
                </w:tcPr>
                <w:p w14:paraId="4223157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32" w:type="pct"/>
                  <w:noWrap w:val="0"/>
                  <w:vAlign w:val="center"/>
                </w:tcPr>
                <w:p w14:paraId="6F0895E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140C5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260" w:type="pct"/>
                  <w:shd w:val="clear" w:color="auto" w:fill="auto"/>
                  <w:noWrap w:val="0"/>
                  <w:vAlign w:val="center"/>
                </w:tcPr>
                <w:p w14:paraId="6B123E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02" w:type="pct"/>
                  <w:noWrap w:val="0"/>
                  <w:vAlign w:val="center"/>
                </w:tcPr>
                <w:p w14:paraId="73753B4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362" w:type="pct"/>
                  <w:noWrap w:val="0"/>
                  <w:vAlign w:val="center"/>
                </w:tcPr>
                <w:p w14:paraId="690574A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center"/>
                </w:tcPr>
                <w:p w14:paraId="7EAF8D2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390" w:type="pct"/>
                  <w:noWrap w:val="0"/>
                  <w:vAlign w:val="center"/>
                </w:tcPr>
                <w:p w14:paraId="2A04103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19A29D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noWrap w:val="0"/>
                  <w:vAlign w:val="center"/>
                </w:tcPr>
                <w:p w14:paraId="13E45EB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79" w:type="pct"/>
                  <w:vMerge w:val="continue"/>
                  <w:noWrap w:val="0"/>
                  <w:vAlign w:val="center"/>
                </w:tcPr>
                <w:p w14:paraId="4B509F0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noWrap w:val="0"/>
                  <w:vAlign w:val="center"/>
                </w:tcPr>
                <w:p w14:paraId="5EB2300E">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自动削角机</w:t>
                  </w:r>
                </w:p>
              </w:tc>
              <w:tc>
                <w:tcPr>
                  <w:tcW w:w="234" w:type="pct"/>
                  <w:shd w:val="clear" w:color="auto" w:fill="auto"/>
                  <w:noWrap w:val="0"/>
                  <w:vAlign w:val="center"/>
                </w:tcPr>
                <w:p w14:paraId="324BBE14">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230" w:type="pct"/>
                  <w:shd w:val="clear" w:color="auto" w:fill="auto"/>
                  <w:noWrap w:val="0"/>
                  <w:vAlign w:val="center"/>
                </w:tcPr>
                <w:p w14:paraId="1BBE7648">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2" w:type="pct"/>
                  <w:noWrap w:val="0"/>
                  <w:vAlign w:val="center"/>
                </w:tcPr>
                <w:p w14:paraId="66E62BB9">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noWrap w:val="0"/>
                  <w:vAlign w:val="center"/>
                </w:tcPr>
                <w:p w14:paraId="26AFD23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noWrap w:val="0"/>
                  <w:vAlign w:val="center"/>
                </w:tcPr>
                <w:p w14:paraId="320D785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10" w:type="pct"/>
                  <w:noWrap w:val="0"/>
                  <w:vAlign w:val="center"/>
                </w:tcPr>
                <w:p w14:paraId="6F1B06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32" w:type="pct"/>
                  <w:noWrap w:val="0"/>
                  <w:vAlign w:val="center"/>
                </w:tcPr>
                <w:p w14:paraId="15F346C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53A5C51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60" w:type="pct"/>
                  <w:shd w:val="clear" w:color="auto" w:fill="auto"/>
                  <w:noWrap w:val="0"/>
                  <w:vAlign w:val="center"/>
                </w:tcPr>
                <w:p w14:paraId="0EAC52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202" w:type="pct"/>
                  <w:noWrap w:val="0"/>
                  <w:vAlign w:val="center"/>
                </w:tcPr>
                <w:p w14:paraId="1245787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362" w:type="pct"/>
                  <w:noWrap w:val="0"/>
                  <w:vAlign w:val="center"/>
                </w:tcPr>
                <w:p w14:paraId="69A96BC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center"/>
                </w:tcPr>
                <w:p w14:paraId="7FAC2C2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390" w:type="pct"/>
                  <w:noWrap w:val="0"/>
                  <w:vAlign w:val="center"/>
                </w:tcPr>
                <w:p w14:paraId="17BD5A7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323EFD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CE1B87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79" w:type="pct"/>
                  <w:vMerge w:val="continue"/>
                  <w:vAlign w:val="center"/>
                </w:tcPr>
                <w:p w14:paraId="09784F2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4B37BDEA">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自动锯床</w:t>
                  </w:r>
                </w:p>
              </w:tc>
              <w:tc>
                <w:tcPr>
                  <w:tcW w:w="234" w:type="pct"/>
                  <w:shd w:val="clear" w:color="auto" w:fill="auto"/>
                  <w:vAlign w:val="center"/>
                </w:tcPr>
                <w:p w14:paraId="1B6607A7">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266EEDFC">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vAlign w:val="center"/>
                </w:tcPr>
                <w:p w14:paraId="0AC3DD9A">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25AE5E0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2858635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vAlign w:val="center"/>
                </w:tcPr>
                <w:p w14:paraId="210EFC4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32" w:type="pct"/>
                  <w:vAlign w:val="center"/>
                </w:tcPr>
                <w:p w14:paraId="2FB1545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561557A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28EFDA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0" w:type="auto"/>
                  <w:vAlign w:val="center"/>
                </w:tcPr>
                <w:p w14:paraId="31C47B9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0F75678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4D59F67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0" w:type="auto"/>
                  <w:vAlign w:val="center"/>
                </w:tcPr>
                <w:p w14:paraId="205A97C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92889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CBFC2C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79" w:type="pct"/>
                  <w:vMerge w:val="continue"/>
                  <w:vAlign w:val="center"/>
                </w:tcPr>
                <w:p w14:paraId="79A5F546">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5390398F">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无心研磨机</w:t>
                  </w:r>
                </w:p>
              </w:tc>
              <w:tc>
                <w:tcPr>
                  <w:tcW w:w="234" w:type="pct"/>
                  <w:shd w:val="clear" w:color="auto" w:fill="auto"/>
                  <w:vAlign w:val="center"/>
                </w:tcPr>
                <w:p w14:paraId="20F3BD99">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36F27164">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705BE272">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0EA7CB5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6FD78C5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10" w:type="pct"/>
                  <w:vAlign w:val="center"/>
                </w:tcPr>
                <w:p w14:paraId="0A8CD6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w:t>
                  </w:r>
                </w:p>
              </w:tc>
              <w:tc>
                <w:tcPr>
                  <w:tcW w:w="232" w:type="pct"/>
                  <w:vAlign w:val="center"/>
                </w:tcPr>
                <w:p w14:paraId="6AD3709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4C4B49A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73641C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66.0</w:t>
                  </w:r>
                </w:p>
              </w:tc>
              <w:tc>
                <w:tcPr>
                  <w:tcW w:w="0" w:type="auto"/>
                  <w:vAlign w:val="center"/>
                </w:tcPr>
                <w:p w14:paraId="6B888D4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41DEC0A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0CE06F0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0" w:type="auto"/>
                  <w:vAlign w:val="center"/>
                </w:tcPr>
                <w:p w14:paraId="2DD5A3A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40B93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7D6FEDB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79" w:type="pct"/>
                  <w:vMerge w:val="continue"/>
                  <w:vAlign w:val="center"/>
                </w:tcPr>
                <w:p w14:paraId="4EAE7E3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6E8B0B93">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CNC</w:t>
                  </w:r>
                  <w:r>
                    <w:rPr>
                      <w:rStyle w:val="75"/>
                      <w:rFonts w:hint="default" w:ascii="Times New Roman" w:hAnsi="Times New Roman" w:eastAsia="宋体" w:cs="Times New Roman"/>
                      <w:color w:val="auto"/>
                      <w:sz w:val="21"/>
                      <w:szCs w:val="21"/>
                      <w:lang w:val="en-US" w:eastAsia="zh-CN" w:bidi="ar"/>
                    </w:rPr>
                    <w:t>数控车床</w:t>
                  </w:r>
                </w:p>
              </w:tc>
              <w:tc>
                <w:tcPr>
                  <w:tcW w:w="234" w:type="pct"/>
                  <w:shd w:val="clear" w:color="auto" w:fill="auto"/>
                  <w:vAlign w:val="center"/>
                </w:tcPr>
                <w:p w14:paraId="12641BED">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7755919F">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0" w:type="auto"/>
                  <w:vAlign w:val="center"/>
                </w:tcPr>
                <w:p w14:paraId="771A1FD2">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6CCC3B4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773566E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10" w:type="pct"/>
                  <w:vAlign w:val="center"/>
                </w:tcPr>
                <w:p w14:paraId="0FD6C1B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32" w:type="pct"/>
                  <w:vAlign w:val="center"/>
                </w:tcPr>
                <w:p w14:paraId="5EE8AA9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08D81F3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0" w:type="auto"/>
                  <w:shd w:val="clear" w:color="auto" w:fill="auto"/>
                  <w:vAlign w:val="center"/>
                </w:tcPr>
                <w:p w14:paraId="2A855E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0" w:type="auto"/>
                  <w:vAlign w:val="center"/>
                </w:tcPr>
                <w:p w14:paraId="414821E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0978B60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67D872D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0" w:type="auto"/>
                  <w:vAlign w:val="center"/>
                </w:tcPr>
                <w:p w14:paraId="303B123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0CCDF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B4FD3C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79" w:type="pct"/>
                  <w:vMerge w:val="continue"/>
                  <w:vAlign w:val="center"/>
                </w:tcPr>
                <w:p w14:paraId="4757083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78B34D5F">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振动研磨机</w:t>
                  </w:r>
                </w:p>
              </w:tc>
              <w:tc>
                <w:tcPr>
                  <w:tcW w:w="234" w:type="pct"/>
                  <w:shd w:val="clear" w:color="auto" w:fill="auto"/>
                  <w:vAlign w:val="center"/>
                </w:tcPr>
                <w:p w14:paraId="5775D839">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2BFB88AC">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vAlign w:val="center"/>
                </w:tcPr>
                <w:p w14:paraId="28BB0BDD">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59D6DF5E">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29E645A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vAlign w:val="center"/>
                </w:tcPr>
                <w:p w14:paraId="474162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32" w:type="pct"/>
                  <w:vAlign w:val="center"/>
                </w:tcPr>
                <w:p w14:paraId="36776CC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1FBDDB9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0DEF13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0" w:type="auto"/>
                  <w:vAlign w:val="center"/>
                </w:tcPr>
                <w:p w14:paraId="40DEA3E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58FC6E3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0BFB477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0" w:type="auto"/>
                  <w:vAlign w:val="center"/>
                </w:tcPr>
                <w:p w14:paraId="216CA9C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5D9A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0965DD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79" w:type="pct"/>
                  <w:vMerge w:val="continue"/>
                  <w:vAlign w:val="center"/>
                </w:tcPr>
                <w:p w14:paraId="0F8010B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22C43B8B">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平磨机</w:t>
                  </w:r>
                </w:p>
              </w:tc>
              <w:tc>
                <w:tcPr>
                  <w:tcW w:w="234" w:type="pct"/>
                  <w:shd w:val="clear" w:color="auto" w:fill="auto"/>
                  <w:vAlign w:val="center"/>
                </w:tcPr>
                <w:p w14:paraId="3B002B50">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4682C4D1">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5B64823E">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6975A4D7">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0A35875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vAlign w:val="center"/>
                </w:tcPr>
                <w:p w14:paraId="2B922BF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32" w:type="pct"/>
                  <w:vAlign w:val="center"/>
                </w:tcPr>
                <w:p w14:paraId="3E65402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0062C28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52DAAA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66.0</w:t>
                  </w:r>
                </w:p>
              </w:tc>
              <w:tc>
                <w:tcPr>
                  <w:tcW w:w="0" w:type="auto"/>
                  <w:vAlign w:val="center"/>
                </w:tcPr>
                <w:p w14:paraId="2259712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2E3B65C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718B532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0" w:type="auto"/>
                  <w:vAlign w:val="center"/>
                </w:tcPr>
                <w:p w14:paraId="5B98C717">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CAEF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AFB18F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79" w:type="pct"/>
                  <w:vMerge w:val="continue"/>
                  <w:vAlign w:val="center"/>
                </w:tcPr>
                <w:p w14:paraId="50F7DE2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3EB3CF24">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凸轮车床</w:t>
                  </w:r>
                </w:p>
              </w:tc>
              <w:tc>
                <w:tcPr>
                  <w:tcW w:w="234" w:type="pct"/>
                  <w:shd w:val="clear" w:color="auto" w:fill="auto"/>
                  <w:vAlign w:val="center"/>
                </w:tcPr>
                <w:p w14:paraId="7AF8CBF0">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0BD65195">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5696FD91">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3C83870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2175E24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10" w:type="pct"/>
                  <w:vAlign w:val="center"/>
                </w:tcPr>
                <w:p w14:paraId="4C1E06F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32" w:type="pct"/>
                  <w:vAlign w:val="center"/>
                </w:tcPr>
                <w:p w14:paraId="2DAADC38">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557BCCD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0" w:type="auto"/>
                  <w:shd w:val="clear" w:color="auto" w:fill="auto"/>
                  <w:vAlign w:val="center"/>
                </w:tcPr>
                <w:p w14:paraId="710A18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56.5</w:t>
                  </w:r>
                </w:p>
              </w:tc>
              <w:tc>
                <w:tcPr>
                  <w:tcW w:w="0" w:type="auto"/>
                  <w:vAlign w:val="center"/>
                </w:tcPr>
                <w:p w14:paraId="19C0D50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6AB40FB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2556739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0" w:type="auto"/>
                  <w:vAlign w:val="center"/>
                </w:tcPr>
                <w:p w14:paraId="01AE489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77E2D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CCB6C0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279" w:type="pct"/>
                  <w:vMerge w:val="continue"/>
                  <w:vAlign w:val="center"/>
                </w:tcPr>
                <w:p w14:paraId="2A937EF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38A99426">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234" w:type="pct"/>
                  <w:shd w:val="clear" w:color="auto" w:fill="auto"/>
                  <w:vAlign w:val="center"/>
                </w:tcPr>
                <w:p w14:paraId="4A581415">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282B78C3">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11B03108">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71308A64">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4458EE9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10" w:type="pct"/>
                  <w:vAlign w:val="center"/>
                </w:tcPr>
                <w:p w14:paraId="1D08FCC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32" w:type="pct"/>
                  <w:vAlign w:val="center"/>
                </w:tcPr>
                <w:p w14:paraId="7EA848F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1D331E4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0" w:type="auto"/>
                  <w:shd w:val="clear" w:color="auto" w:fill="auto"/>
                  <w:vAlign w:val="center"/>
                </w:tcPr>
                <w:p w14:paraId="1C350E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0" w:type="auto"/>
                  <w:vAlign w:val="center"/>
                </w:tcPr>
                <w:p w14:paraId="2CBA259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6F49E1A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2735AED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0" w:type="auto"/>
                  <w:vAlign w:val="center"/>
                </w:tcPr>
                <w:p w14:paraId="1A78657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267E0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CF10747">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79" w:type="pct"/>
                  <w:vMerge w:val="continue"/>
                  <w:vAlign w:val="center"/>
                </w:tcPr>
                <w:p w14:paraId="2B658FB0">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045A5BEB">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精密</w:t>
                  </w:r>
                  <w:r>
                    <w:rPr>
                      <w:rStyle w:val="76"/>
                      <w:rFonts w:hint="default" w:ascii="Times New Roman" w:hAnsi="Times New Roman" w:eastAsia="宋体" w:cs="Times New Roman"/>
                      <w:color w:val="auto"/>
                      <w:sz w:val="21"/>
                      <w:szCs w:val="21"/>
                      <w:lang w:val="en-US" w:eastAsia="zh-CN" w:bidi="ar"/>
                    </w:rPr>
                    <w:t>CNC</w:t>
                  </w:r>
                  <w:r>
                    <w:rPr>
                      <w:rFonts w:hint="default" w:ascii="Times New Roman" w:hAnsi="Times New Roman" w:eastAsia="宋体" w:cs="Times New Roman"/>
                      <w:i w:val="0"/>
                      <w:iCs w:val="0"/>
                      <w:color w:val="auto"/>
                      <w:kern w:val="0"/>
                      <w:sz w:val="21"/>
                      <w:szCs w:val="21"/>
                      <w:u w:val="none"/>
                      <w:lang w:val="en-US" w:eastAsia="zh-CN" w:bidi="ar"/>
                    </w:rPr>
                    <w:t>数控顶针式磨床</w:t>
                  </w:r>
                </w:p>
              </w:tc>
              <w:tc>
                <w:tcPr>
                  <w:tcW w:w="234" w:type="pct"/>
                  <w:shd w:val="clear" w:color="auto" w:fill="auto"/>
                  <w:vAlign w:val="center"/>
                </w:tcPr>
                <w:p w14:paraId="396BB18E">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shd w:val="clear" w:color="auto" w:fill="auto"/>
                  <w:vAlign w:val="center"/>
                </w:tcPr>
                <w:p w14:paraId="5AA7F4CE">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3DB609F4">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vAlign w:val="center"/>
                </w:tcPr>
                <w:p w14:paraId="23DBB615">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49F005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vAlign w:val="center"/>
                </w:tcPr>
                <w:p w14:paraId="3D6A211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32" w:type="pct"/>
                  <w:vAlign w:val="center"/>
                </w:tcPr>
                <w:p w14:paraId="336221D9">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vAlign w:val="center"/>
                </w:tcPr>
                <w:p w14:paraId="58ECAE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301FBA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66.0</w:t>
                  </w:r>
                </w:p>
              </w:tc>
              <w:tc>
                <w:tcPr>
                  <w:tcW w:w="0" w:type="auto"/>
                  <w:vAlign w:val="center"/>
                </w:tcPr>
                <w:p w14:paraId="1D2E7CFF">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0991A7FC">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6E0F6F0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0" w:type="auto"/>
                  <w:vAlign w:val="center"/>
                </w:tcPr>
                <w:p w14:paraId="42A473E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3B3EA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920DE62">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279" w:type="pct"/>
                  <w:vMerge w:val="continue"/>
                  <w:vAlign w:val="center"/>
                </w:tcPr>
                <w:p w14:paraId="649AEC2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eastAsia="zh-CN"/>
                    </w:rPr>
                  </w:pPr>
                </w:p>
              </w:tc>
              <w:tc>
                <w:tcPr>
                  <w:tcW w:w="630" w:type="pct"/>
                  <w:shd w:val="clear" w:color="auto" w:fill="auto"/>
                  <w:vAlign w:val="center"/>
                </w:tcPr>
                <w:p w14:paraId="10554051">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空压机</w:t>
                  </w:r>
                </w:p>
              </w:tc>
              <w:tc>
                <w:tcPr>
                  <w:tcW w:w="234" w:type="pct"/>
                  <w:shd w:val="clear" w:color="auto" w:fill="auto"/>
                  <w:vAlign w:val="center"/>
                </w:tcPr>
                <w:p w14:paraId="21BBADE5">
                  <w:pPr>
                    <w:keepNext w:val="0"/>
                    <w:keepLines w:val="0"/>
                    <w:pageBreakBefore w:val="0"/>
                    <w:widowControl/>
                    <w:suppressLineNumbers w:val="0"/>
                    <w:wordWrap/>
                    <w:overflowPunct/>
                    <w:topLinePunct w:val="0"/>
                    <w:bidi w:val="0"/>
                    <w:ind w:left="0" w:leftChars="0" w:right="0" w:right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shd w:val="clear" w:color="auto" w:fill="auto"/>
                  <w:vAlign w:val="center"/>
                </w:tcPr>
                <w:p w14:paraId="3D3CB798">
                  <w:pPr>
                    <w:keepNext w:val="0"/>
                    <w:keepLines w:val="0"/>
                    <w:pageBreakBefore w:val="0"/>
                    <w:widowControl/>
                    <w:suppressLineNumbers w:val="0"/>
                    <w:wordWrap/>
                    <w:overflowPunct/>
                    <w:topLinePunct w:val="0"/>
                    <w:bidi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0" w:type="auto"/>
                  <w:vAlign w:val="center"/>
                </w:tcPr>
                <w:p w14:paraId="0613A877">
                  <w:pPr>
                    <w:keepNext w:val="0"/>
                    <w:keepLines w:val="0"/>
                    <w:pageBreakBefore w:val="0"/>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402" w:type="pct"/>
                  <w:vMerge w:val="continue"/>
                  <w:vAlign w:val="center"/>
                </w:tcPr>
                <w:p w14:paraId="699B29AB">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sz w:val="21"/>
                      <w:szCs w:val="21"/>
                    </w:rPr>
                  </w:pPr>
                </w:p>
              </w:tc>
              <w:tc>
                <w:tcPr>
                  <w:tcW w:w="210" w:type="pct"/>
                  <w:vAlign w:val="center"/>
                </w:tcPr>
                <w:p w14:paraId="56C6C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210" w:type="pct"/>
                  <w:vAlign w:val="center"/>
                </w:tcPr>
                <w:p w14:paraId="7B2EC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232" w:type="pct"/>
                  <w:vAlign w:val="center"/>
                </w:tcPr>
                <w:p w14:paraId="4DE3CCCD">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62" w:type="pct"/>
                  <w:vAlign w:val="center"/>
                </w:tcPr>
                <w:p w14:paraId="6CDCFD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0" w:type="auto"/>
                  <w:shd w:val="clear" w:color="auto" w:fill="auto"/>
                  <w:vAlign w:val="center"/>
                </w:tcPr>
                <w:p w14:paraId="52C14B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71.0</w:t>
                  </w:r>
                </w:p>
              </w:tc>
              <w:tc>
                <w:tcPr>
                  <w:tcW w:w="0" w:type="auto"/>
                  <w:vAlign w:val="center"/>
                </w:tcPr>
                <w:p w14:paraId="620CB6E1">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h</w:t>
                  </w:r>
                </w:p>
              </w:tc>
              <w:tc>
                <w:tcPr>
                  <w:tcW w:w="0" w:type="auto"/>
                  <w:vAlign w:val="center"/>
                </w:tcPr>
                <w:p w14:paraId="36768D93">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vAlign w:val="center"/>
                </w:tcPr>
                <w:p w14:paraId="784AE7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46.0</w:t>
                  </w:r>
                </w:p>
              </w:tc>
              <w:tc>
                <w:tcPr>
                  <w:tcW w:w="0" w:type="auto"/>
                  <w:vAlign w:val="center"/>
                </w:tcPr>
                <w:p w14:paraId="75C9AD6A">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bl>
          <w:p w14:paraId="3A40DC1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注：表4-13中空间相对坐标以车间西南角为原点（0，0，0），东西方向为X轴，南北方向为Y轴，垂直方向为Z轴。</w:t>
            </w:r>
          </w:p>
          <w:p w14:paraId="781F05AF">
            <w:pPr>
              <w:spacing w:line="360" w:lineRule="auto"/>
              <w:jc w:val="center"/>
              <w:rPr>
                <w:rFonts w:hint="default" w:ascii="Times New Roman" w:hAnsi="Times New Roman" w:eastAsia="宋体" w:cs="Times New Roman"/>
                <w:color w:val="auto"/>
                <w:sz w:val="24"/>
              </w:rPr>
            </w:pPr>
          </w:p>
        </w:tc>
      </w:tr>
    </w:tbl>
    <w:p w14:paraId="3AB84EFF">
      <w:p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564"/>
      </w:tblGrid>
      <w:tr w14:paraId="0266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8" w:hRule="atLeast"/>
        </w:trPr>
        <w:tc>
          <w:tcPr>
            <w:tcW w:w="389" w:type="pct"/>
            <w:vAlign w:val="center"/>
          </w:tcPr>
          <w:p w14:paraId="185984D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610" w:type="pct"/>
          </w:tcPr>
          <w:p w14:paraId="463231F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2、降噪措施</w:t>
            </w:r>
          </w:p>
          <w:p w14:paraId="6E38C45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①企业在选购设备时购置符合国家颁布的各类机械噪声标准的低噪声设备，保证运行时能符合工业企业车间噪声卫生标准，同时能保证达到厂界噪声控制值。</w:t>
            </w:r>
          </w:p>
          <w:p w14:paraId="349BA6E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②针对较大的设备噪声源，可通过设备安装减振座、加设减振垫等方式来进行减振处理。</w:t>
            </w:r>
          </w:p>
          <w:p w14:paraId="3BEEC3B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③对产生的机械撞击性噪声采用性能好的隔声门窗将噪声封隔起来，以减少噪声的传播，设置隔声控制室，将操作人员与噪声源分离开等。</w:t>
            </w:r>
          </w:p>
          <w:p w14:paraId="111BBD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④在噪声传播途径上采取措施加以控制，如强噪声源车间的建筑围护结构均以封闭为主，同时采取车间外及厂界的绿化，利用建筑物与树木阻隔声音的传播。</w:t>
            </w:r>
          </w:p>
          <w:p w14:paraId="5C9D76D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⑤保持设备处于良好的运转状态，防止因设备运转不正常而增大噪声，要经常进行保养，加润滑油，减少摩擦力，降低噪声。</w:t>
            </w:r>
          </w:p>
          <w:p w14:paraId="30ECE1FC">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3、预测排放强度、达标情况分析</w:t>
            </w:r>
          </w:p>
          <w:p w14:paraId="599F718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ascii="Times New Roman" w:hAnsi="Times New Roman" w:eastAsia="宋体" w:cs="Times New Roman"/>
                <w:color w:val="auto"/>
                <w:sz w:val="24"/>
                <w:lang w:val="en-US" w:eastAsia="zh-CN"/>
              </w:rPr>
              <w:t>三</w:t>
            </w:r>
            <w:r>
              <w:rPr>
                <w:rFonts w:hint="default" w:ascii="Times New Roman" w:hAnsi="Times New Roman" w:eastAsia="宋体" w:cs="Times New Roman"/>
                <w:color w:val="auto"/>
                <w:sz w:val="24"/>
                <w:lang w:val="en-US" w:eastAsia="zh-CN"/>
              </w:rPr>
              <w:t>班制，</w:t>
            </w:r>
            <w:r>
              <w:rPr>
                <w:rFonts w:hint="eastAsia" w:ascii="Times New Roman" w:hAnsi="Times New Roman" w:eastAsia="宋体" w:cs="Times New Roman"/>
                <w:color w:val="auto"/>
                <w:sz w:val="24"/>
                <w:lang w:val="en-US" w:eastAsia="zh-CN"/>
              </w:rPr>
              <w:t>昼、</w:t>
            </w:r>
            <w:r>
              <w:rPr>
                <w:rFonts w:hint="default" w:ascii="Times New Roman" w:hAnsi="Times New Roman" w:eastAsia="宋体" w:cs="Times New Roman"/>
                <w:color w:val="auto"/>
                <w:sz w:val="24"/>
                <w:lang w:val="en-US" w:eastAsia="zh-CN"/>
              </w:rPr>
              <w:t>夜间</w:t>
            </w:r>
            <w:r>
              <w:rPr>
                <w:rFonts w:hint="eastAsia" w:ascii="Times New Roman" w:hAnsi="Times New Roman" w:eastAsia="宋体" w:cs="Times New Roman"/>
                <w:color w:val="auto"/>
                <w:sz w:val="24"/>
                <w:lang w:val="en-US" w:eastAsia="zh-CN"/>
              </w:rPr>
              <w:t>均</w:t>
            </w:r>
            <w:r>
              <w:rPr>
                <w:rFonts w:hint="default" w:ascii="Times New Roman" w:hAnsi="Times New Roman" w:eastAsia="宋体" w:cs="Times New Roman"/>
                <w:color w:val="auto"/>
                <w:sz w:val="24"/>
                <w:lang w:val="en-US" w:eastAsia="zh-CN"/>
              </w:rPr>
              <w:t>生产，故本次评价对东、南、西、北厂界进行昼间</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lang w:val="en-US" w:eastAsia="zh-CN"/>
              </w:rPr>
              <w:t>噪声的影响预测。</w:t>
            </w:r>
            <w:r>
              <w:rPr>
                <w:rFonts w:hint="default" w:ascii="Times New Roman" w:hAnsi="Times New Roman" w:eastAsia="宋体" w:cs="Times New Roman"/>
                <w:color w:val="auto"/>
                <w:sz w:val="24"/>
              </w:rPr>
              <w:t>根据企业提供的噪声设备分布情况，</w:t>
            </w:r>
            <w:r>
              <w:rPr>
                <w:rFonts w:hint="default" w:ascii="Times New Roman" w:hAnsi="Times New Roman" w:eastAsia="宋体" w:cs="Times New Roman"/>
                <w:color w:val="auto"/>
                <w:sz w:val="24"/>
                <w:lang w:val="en-US" w:eastAsia="zh-CN"/>
              </w:rPr>
              <w:t>噪声源对厂界噪声的影响预测结果见下表。</w:t>
            </w:r>
          </w:p>
          <w:p w14:paraId="0E0135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本项目各厂界昼间</w:t>
            </w:r>
            <w:r>
              <w:rPr>
                <w:rFonts w:hint="eastAsia" w:ascii="Times New Roman" w:hAnsi="Times New Roman" w:eastAsia="宋体" w:cs="Times New Roman"/>
                <w:b/>
                <w:bCs/>
                <w:color w:val="auto"/>
                <w:sz w:val="24"/>
                <w:szCs w:val="24"/>
                <w:lang w:val="en-US" w:eastAsia="zh-CN"/>
              </w:rPr>
              <w:t>、夜间</w:t>
            </w:r>
            <w:r>
              <w:rPr>
                <w:rFonts w:hint="default" w:ascii="Times New Roman" w:hAnsi="Times New Roman" w:eastAsia="宋体" w:cs="Times New Roman"/>
                <w:b/>
                <w:bCs/>
                <w:color w:val="auto"/>
                <w:sz w:val="24"/>
                <w:szCs w:val="24"/>
                <w:lang w:val="en-US" w:eastAsia="zh-CN"/>
              </w:rPr>
              <w:t>噪声预测结果dB（A）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69"/>
              <w:gridCol w:w="1669"/>
              <w:gridCol w:w="1669"/>
              <w:gridCol w:w="1670"/>
            </w:tblGrid>
            <w:tr w14:paraId="3C64B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6987B52">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color w:val="auto"/>
                      <w:szCs w:val="21"/>
                    </w:rPr>
                    <w:t>目标</w:t>
                  </w:r>
                </w:p>
              </w:tc>
              <w:tc>
                <w:tcPr>
                  <w:tcW w:w="1000" w:type="pct"/>
                  <w:tcBorders>
                    <w:tl2br w:val="nil"/>
                    <w:tr2bl w:val="nil"/>
                  </w:tcBorders>
                  <w:vAlign w:val="center"/>
                </w:tcPr>
                <w:p w14:paraId="21DA2F46">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昼间</w:t>
                  </w: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贡献值</w:t>
                  </w:r>
                </w:p>
              </w:tc>
              <w:tc>
                <w:tcPr>
                  <w:tcW w:w="1000" w:type="pct"/>
                  <w:tcBorders>
                    <w:tl2br w:val="nil"/>
                    <w:tr2bl w:val="nil"/>
                  </w:tcBorders>
                  <w:vAlign w:val="center"/>
                </w:tcPr>
                <w:p w14:paraId="7E6E7891">
                  <w:pPr>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夜间</w:t>
                  </w: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贡献值</w:t>
                  </w:r>
                </w:p>
              </w:tc>
              <w:tc>
                <w:tcPr>
                  <w:tcW w:w="1000" w:type="pct"/>
                  <w:tcBorders>
                    <w:tl2br w:val="nil"/>
                    <w:tr2bl w:val="nil"/>
                  </w:tcBorders>
                  <w:vAlign w:val="center"/>
                </w:tcPr>
                <w:p w14:paraId="47E1F6FB">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标准</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昼间</w:t>
                  </w:r>
                  <w:r>
                    <w:rPr>
                      <w:rFonts w:hint="default" w:ascii="Times New Roman" w:hAnsi="Times New Roman" w:eastAsia="宋体" w:cs="Times New Roman"/>
                      <w:b/>
                      <w:color w:val="auto"/>
                      <w:szCs w:val="21"/>
                      <w:lang w:eastAsia="zh-CN"/>
                    </w:rPr>
                    <w:t>）</w:t>
                  </w:r>
                </w:p>
              </w:tc>
              <w:tc>
                <w:tcPr>
                  <w:tcW w:w="1000" w:type="pct"/>
                  <w:tcBorders>
                    <w:tl2br w:val="nil"/>
                    <w:tr2bl w:val="nil"/>
                  </w:tcBorders>
                  <w:vAlign w:val="center"/>
                </w:tcPr>
                <w:p w14:paraId="20D95630">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w:t>
                  </w:r>
                  <w:r>
                    <w:rPr>
                      <w:rFonts w:hint="default" w:ascii="Times New Roman" w:hAnsi="Times New Roman" w:eastAsia="宋体" w:cs="Times New Roman"/>
                      <w:b/>
                      <w:color w:val="auto"/>
                      <w:szCs w:val="21"/>
                      <w:lang w:eastAsia="zh-CN"/>
                    </w:rPr>
                    <w:t>（</w:t>
                  </w:r>
                  <w:r>
                    <w:rPr>
                      <w:rFonts w:hint="eastAsia" w:ascii="Times New Roman" w:hAnsi="Times New Roman" w:eastAsia="宋体" w:cs="Times New Roman"/>
                      <w:b/>
                      <w:color w:val="auto"/>
                      <w:szCs w:val="21"/>
                      <w:lang w:val="en-US" w:eastAsia="zh-CN"/>
                    </w:rPr>
                    <w:t>夜间</w:t>
                  </w:r>
                  <w:r>
                    <w:rPr>
                      <w:rFonts w:hint="default" w:ascii="Times New Roman" w:hAnsi="Times New Roman" w:eastAsia="宋体" w:cs="Times New Roman"/>
                      <w:b/>
                      <w:color w:val="auto"/>
                      <w:szCs w:val="21"/>
                      <w:lang w:eastAsia="zh-CN"/>
                    </w:rPr>
                    <w:t>）</w:t>
                  </w:r>
                </w:p>
              </w:tc>
            </w:tr>
            <w:tr w14:paraId="5F8DC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6148E57">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东厂界</w:t>
                  </w:r>
                </w:p>
              </w:tc>
              <w:tc>
                <w:tcPr>
                  <w:tcW w:w="1000" w:type="pct"/>
                  <w:tcBorders>
                    <w:tl2br w:val="nil"/>
                    <w:tr2bl w:val="nil"/>
                  </w:tcBorders>
                  <w:vAlign w:val="center"/>
                </w:tcPr>
                <w:p w14:paraId="392A6215">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50.6</w:t>
                  </w:r>
                </w:p>
              </w:tc>
              <w:tc>
                <w:tcPr>
                  <w:tcW w:w="1000" w:type="pct"/>
                  <w:tcBorders>
                    <w:tl2br w:val="nil"/>
                    <w:tr2bl w:val="nil"/>
                  </w:tcBorders>
                  <w:shd w:val="clear" w:color="auto" w:fill="auto"/>
                  <w:vAlign w:val="center"/>
                </w:tcPr>
                <w:p w14:paraId="7CEE6676">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50.6</w:t>
                  </w:r>
                </w:p>
              </w:tc>
              <w:tc>
                <w:tcPr>
                  <w:tcW w:w="1000" w:type="pct"/>
                  <w:tcBorders>
                    <w:tl2br w:val="nil"/>
                    <w:tr2bl w:val="nil"/>
                  </w:tcBorders>
                  <w:vAlign w:val="center"/>
                </w:tcPr>
                <w:p w14:paraId="3963EAD4">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0" w:type="pct"/>
                  <w:tcBorders>
                    <w:tl2br w:val="nil"/>
                    <w:tr2bl w:val="nil"/>
                  </w:tcBorders>
                  <w:vAlign w:val="center"/>
                </w:tcPr>
                <w:p w14:paraId="544305C6">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55</w:t>
                  </w:r>
                </w:p>
              </w:tc>
            </w:tr>
            <w:tr w14:paraId="5E3DF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D94C896">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南厂界</w:t>
                  </w:r>
                </w:p>
              </w:tc>
              <w:tc>
                <w:tcPr>
                  <w:tcW w:w="1000" w:type="pct"/>
                  <w:tcBorders>
                    <w:tl2br w:val="nil"/>
                    <w:tr2bl w:val="nil"/>
                  </w:tcBorders>
                  <w:vAlign w:val="center"/>
                </w:tcPr>
                <w:p w14:paraId="08883449">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45.1</w:t>
                  </w:r>
                </w:p>
              </w:tc>
              <w:tc>
                <w:tcPr>
                  <w:tcW w:w="1000" w:type="pct"/>
                  <w:tcBorders>
                    <w:tl2br w:val="nil"/>
                    <w:tr2bl w:val="nil"/>
                  </w:tcBorders>
                  <w:shd w:val="clear" w:color="auto" w:fill="auto"/>
                  <w:vAlign w:val="center"/>
                </w:tcPr>
                <w:p w14:paraId="1009527A">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45.1</w:t>
                  </w:r>
                </w:p>
              </w:tc>
              <w:tc>
                <w:tcPr>
                  <w:tcW w:w="1000" w:type="pct"/>
                  <w:tcBorders>
                    <w:tl2br w:val="nil"/>
                    <w:tr2bl w:val="nil"/>
                  </w:tcBorders>
                  <w:vAlign w:val="center"/>
                </w:tcPr>
                <w:p w14:paraId="06D325E0">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0" w:type="pct"/>
                  <w:tcBorders>
                    <w:tl2br w:val="nil"/>
                    <w:tr2bl w:val="nil"/>
                  </w:tcBorders>
                  <w:vAlign w:val="center"/>
                </w:tcPr>
                <w:p w14:paraId="0E916475">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117B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79338A6E">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西厂界</w:t>
                  </w:r>
                </w:p>
              </w:tc>
              <w:tc>
                <w:tcPr>
                  <w:tcW w:w="1000" w:type="pct"/>
                  <w:tcBorders>
                    <w:tl2br w:val="nil"/>
                    <w:tr2bl w:val="nil"/>
                  </w:tcBorders>
                  <w:vAlign w:val="center"/>
                </w:tcPr>
                <w:p w14:paraId="15B975B9">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47.5</w:t>
                  </w:r>
                </w:p>
              </w:tc>
              <w:tc>
                <w:tcPr>
                  <w:tcW w:w="1000" w:type="pct"/>
                  <w:tcBorders>
                    <w:tl2br w:val="nil"/>
                    <w:tr2bl w:val="nil"/>
                  </w:tcBorders>
                  <w:shd w:val="clear" w:color="auto" w:fill="auto"/>
                  <w:vAlign w:val="center"/>
                </w:tcPr>
                <w:p w14:paraId="0B54FD83">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47.5</w:t>
                  </w:r>
                </w:p>
              </w:tc>
              <w:tc>
                <w:tcPr>
                  <w:tcW w:w="1000" w:type="pct"/>
                  <w:tcBorders>
                    <w:tl2br w:val="nil"/>
                    <w:tr2bl w:val="nil"/>
                  </w:tcBorders>
                  <w:vAlign w:val="center"/>
                </w:tcPr>
                <w:p w14:paraId="36B3EEEE">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0" w:type="pct"/>
                  <w:tcBorders>
                    <w:tl2br w:val="nil"/>
                    <w:tr2bl w:val="nil"/>
                  </w:tcBorders>
                  <w:vAlign w:val="center"/>
                </w:tcPr>
                <w:p w14:paraId="587C0812">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2A268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47A370C">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北厂界</w:t>
                  </w:r>
                </w:p>
              </w:tc>
              <w:tc>
                <w:tcPr>
                  <w:tcW w:w="1000" w:type="pct"/>
                  <w:tcBorders>
                    <w:tl2br w:val="nil"/>
                    <w:tr2bl w:val="nil"/>
                  </w:tcBorders>
                  <w:vAlign w:val="center"/>
                </w:tcPr>
                <w:p w14:paraId="70B2F867">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42.9</w:t>
                  </w:r>
                </w:p>
              </w:tc>
              <w:tc>
                <w:tcPr>
                  <w:tcW w:w="1000" w:type="pct"/>
                  <w:tcBorders>
                    <w:tl2br w:val="nil"/>
                    <w:tr2bl w:val="nil"/>
                  </w:tcBorders>
                  <w:shd w:val="clear" w:color="auto" w:fill="auto"/>
                  <w:vAlign w:val="center"/>
                </w:tcPr>
                <w:p w14:paraId="7939B5AF">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42.9</w:t>
                  </w:r>
                </w:p>
              </w:tc>
              <w:tc>
                <w:tcPr>
                  <w:tcW w:w="1000" w:type="pct"/>
                  <w:tcBorders>
                    <w:tl2br w:val="nil"/>
                    <w:tr2bl w:val="nil"/>
                  </w:tcBorders>
                  <w:vAlign w:val="center"/>
                </w:tcPr>
                <w:p w14:paraId="5D8021A0">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0" w:type="pct"/>
                  <w:tcBorders>
                    <w:tl2br w:val="nil"/>
                    <w:tr2bl w:val="nil"/>
                  </w:tcBorders>
                  <w:vAlign w:val="center"/>
                </w:tcPr>
                <w:p w14:paraId="7465E694">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bl>
          <w:p w14:paraId="7C8F9F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由上表可知，本项目经过减振、隔音等降噪措施后，东、南、西、北各厂界昼间</w:t>
            </w:r>
            <w:r>
              <w:rPr>
                <w:rFonts w:hint="eastAsia" w:ascii="Times New Roman" w:hAnsi="Times New Roman" w:eastAsia="宋体" w:cs="Times New Roman"/>
                <w:bCs/>
                <w:color w:val="auto"/>
                <w:sz w:val="24"/>
                <w:lang w:val="en-US" w:eastAsia="zh-CN"/>
              </w:rPr>
              <w:t>、夜间</w:t>
            </w:r>
            <w:r>
              <w:rPr>
                <w:rFonts w:hint="default" w:ascii="Times New Roman" w:hAnsi="Times New Roman" w:eastAsia="宋体" w:cs="Times New Roman"/>
                <w:bCs/>
                <w:color w:val="auto"/>
                <w:sz w:val="24"/>
                <w:lang w:val="en-US" w:eastAsia="zh-CN"/>
              </w:rPr>
              <w:t>噪声贡献值均符合《工业企业环境噪声排放标准》（GB12348-20083）3类标准。</w:t>
            </w:r>
          </w:p>
          <w:p w14:paraId="26484F45">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4、监测要求</w:t>
            </w:r>
          </w:p>
          <w:p w14:paraId="46B9796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监测点位：厂界四周布置4个点位。</w:t>
            </w:r>
          </w:p>
          <w:p w14:paraId="7FF605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监测时段：昼间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rPr>
              <w:t>。</w:t>
            </w:r>
          </w:p>
          <w:p w14:paraId="4272072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监测频次：按《排污单位自行监测技术指南 总则》（HJ819-2017）要求，每季度监测一次。</w:t>
            </w:r>
          </w:p>
          <w:p w14:paraId="4AFF017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监测因子：厂界噪声昼间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rPr>
              <w:t>等效连续A声级Leq</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1AEFC48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噪声监测位置、监测因子、频率等详见下表。</w:t>
            </w:r>
          </w:p>
          <w:p w14:paraId="2186F98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-17</w:t>
            </w:r>
            <w:r>
              <w:rPr>
                <w:rFonts w:hint="default" w:ascii="Times New Roman" w:hAnsi="Times New Roman" w:eastAsia="宋体" w:cs="Times New Roman"/>
                <w:b/>
                <w:color w:val="auto"/>
                <w:sz w:val="24"/>
              </w:rPr>
              <w:t xml:space="preserve">  运营期噪声监测计划表</w:t>
            </w:r>
          </w:p>
          <w:tbl>
            <w:tblPr>
              <w:tblStyle w:val="26"/>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1329"/>
              <w:gridCol w:w="1208"/>
              <w:gridCol w:w="3111"/>
            </w:tblGrid>
            <w:tr w14:paraId="068F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12" w:space="0"/>
                    <w:left w:val="nil"/>
                    <w:bottom w:val="single" w:color="auto" w:sz="4" w:space="0"/>
                    <w:right w:val="single" w:color="auto" w:sz="4" w:space="0"/>
                  </w:tcBorders>
                  <w:vAlign w:val="center"/>
                </w:tcPr>
                <w:p w14:paraId="035FFCEA">
                  <w:pPr>
                    <w:pStyle w:val="48"/>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800" w:type="pct"/>
                  <w:tcBorders>
                    <w:top w:val="single" w:color="auto" w:sz="12" w:space="0"/>
                    <w:left w:val="nil"/>
                    <w:bottom w:val="single" w:color="auto" w:sz="4" w:space="0"/>
                    <w:right w:val="single" w:color="auto" w:sz="4" w:space="0"/>
                  </w:tcBorders>
                  <w:vAlign w:val="center"/>
                </w:tcPr>
                <w:p w14:paraId="779A4FC5">
                  <w:pPr>
                    <w:pStyle w:val="48"/>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监测时段</w:t>
                  </w:r>
                </w:p>
              </w:tc>
              <w:tc>
                <w:tcPr>
                  <w:tcW w:w="800" w:type="pct"/>
                  <w:tcBorders>
                    <w:top w:val="single" w:color="auto" w:sz="12" w:space="0"/>
                    <w:left w:val="nil"/>
                    <w:bottom w:val="single" w:color="auto" w:sz="4" w:space="0"/>
                    <w:right w:val="single" w:color="auto" w:sz="4" w:space="0"/>
                  </w:tcBorders>
                  <w:vAlign w:val="center"/>
                </w:tcPr>
                <w:p w14:paraId="126B8763">
                  <w:pPr>
                    <w:pStyle w:val="48"/>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727" w:type="pct"/>
                  <w:tcBorders>
                    <w:top w:val="single" w:color="auto" w:sz="12" w:space="0"/>
                    <w:left w:val="nil"/>
                    <w:bottom w:val="single" w:color="auto" w:sz="4" w:space="0"/>
                    <w:right w:val="single" w:color="auto" w:sz="4" w:space="0"/>
                  </w:tcBorders>
                  <w:vAlign w:val="center"/>
                </w:tcPr>
                <w:p w14:paraId="0EF7126B">
                  <w:pPr>
                    <w:pStyle w:val="48"/>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874" w:type="pct"/>
                  <w:tcBorders>
                    <w:top w:val="single" w:color="auto" w:sz="12" w:space="0"/>
                    <w:left w:val="nil"/>
                    <w:bottom w:val="single" w:color="auto" w:sz="4" w:space="0"/>
                    <w:right w:val="nil"/>
                  </w:tcBorders>
                  <w:vAlign w:val="center"/>
                </w:tcPr>
                <w:p w14:paraId="0F3535E4">
                  <w:pPr>
                    <w:pStyle w:val="48"/>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执行排放标准</w:t>
                  </w:r>
                </w:p>
              </w:tc>
            </w:tr>
            <w:tr w14:paraId="7592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nil"/>
                    <w:bottom w:val="single" w:color="auto" w:sz="12" w:space="0"/>
                    <w:right w:val="single" w:color="auto" w:sz="4" w:space="0"/>
                  </w:tcBorders>
                  <w:vAlign w:val="center"/>
                </w:tcPr>
                <w:p w14:paraId="23E5EAF4">
                  <w:pPr>
                    <w:pStyle w:val="48"/>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800" w:type="pct"/>
                  <w:tcBorders>
                    <w:top w:val="single" w:color="auto" w:sz="4" w:space="0"/>
                    <w:left w:val="nil"/>
                    <w:bottom w:val="single" w:color="auto" w:sz="12" w:space="0"/>
                    <w:right w:val="single" w:color="auto" w:sz="4" w:space="0"/>
                  </w:tcBorders>
                  <w:vAlign w:val="center"/>
                </w:tcPr>
                <w:p w14:paraId="4CB72DE3">
                  <w:pPr>
                    <w:pStyle w:val="48"/>
                    <w:adjustRightInd/>
                    <w:snapToGrid/>
                    <w:spacing w:beforeLines="0" w:afterLines="0"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夜间</w:t>
                  </w:r>
                </w:p>
              </w:tc>
              <w:tc>
                <w:tcPr>
                  <w:tcW w:w="800" w:type="pct"/>
                  <w:tcBorders>
                    <w:top w:val="single" w:color="auto" w:sz="4" w:space="0"/>
                    <w:left w:val="nil"/>
                    <w:bottom w:val="single" w:color="auto" w:sz="12" w:space="0"/>
                    <w:right w:val="single" w:color="auto" w:sz="4" w:space="0"/>
                  </w:tcBorders>
                  <w:vAlign w:val="center"/>
                </w:tcPr>
                <w:p w14:paraId="1643F93E">
                  <w:pPr>
                    <w:pStyle w:val="48"/>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等效连续声级Leq（A）</w:t>
                  </w:r>
                </w:p>
              </w:tc>
              <w:tc>
                <w:tcPr>
                  <w:tcW w:w="727" w:type="pct"/>
                  <w:tcBorders>
                    <w:top w:val="single" w:color="auto" w:sz="4" w:space="0"/>
                    <w:left w:val="nil"/>
                    <w:bottom w:val="single" w:color="auto" w:sz="12" w:space="0"/>
                    <w:right w:val="single" w:color="auto" w:sz="4" w:space="0"/>
                  </w:tcBorders>
                  <w:vAlign w:val="center"/>
                </w:tcPr>
                <w:p w14:paraId="637505CA">
                  <w:pPr>
                    <w:pStyle w:val="48"/>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每季度1次</w:t>
                  </w:r>
                </w:p>
              </w:tc>
              <w:tc>
                <w:tcPr>
                  <w:tcW w:w="1874" w:type="pct"/>
                  <w:tcBorders>
                    <w:left w:val="nil"/>
                    <w:bottom w:val="single" w:color="auto" w:sz="12" w:space="0"/>
                    <w:right w:val="nil"/>
                  </w:tcBorders>
                  <w:vAlign w:val="center"/>
                </w:tcPr>
                <w:p w14:paraId="71B59921">
                  <w:pPr>
                    <w:pStyle w:val="48"/>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《工业企业厂界环境噪声排放标准》（GB12348－2008）3类标准</w:t>
                  </w:r>
                </w:p>
              </w:tc>
            </w:tr>
          </w:tbl>
          <w:p w14:paraId="448E80FB">
            <w:pPr>
              <w:spacing w:before="156" w:beforeLines="50"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四、固体废弃物</w:t>
            </w:r>
          </w:p>
          <w:p w14:paraId="1D93E61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1、固体废物源强分析</w:t>
            </w:r>
          </w:p>
          <w:p w14:paraId="396196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144F8EF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1</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生活垃圾</w:t>
            </w:r>
          </w:p>
          <w:p w14:paraId="7CEECC4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本项目有员工</w:t>
            </w:r>
            <w:r>
              <w:rPr>
                <w:rFonts w:hint="eastAsia"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rPr>
              <w:t>0人，每人每天垃圾产生量按0.5kg计，生活垃圾产生量约为</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0</w:t>
            </w:r>
            <w:r>
              <w:rPr>
                <w:rFonts w:hint="default" w:ascii="Times New Roman" w:hAnsi="Times New Roman" w:eastAsia="宋体" w:cs="Times New Roman"/>
                <w:b w:val="0"/>
                <w:bCs/>
                <w:color w:val="auto"/>
                <w:sz w:val="24"/>
              </w:rPr>
              <w:t>kg/d，则项目年生活垃圾产生量约为</w:t>
            </w:r>
            <w:r>
              <w:rPr>
                <w:rFonts w:hint="eastAsia" w:ascii="Times New Roman" w:hAnsi="Times New Roman" w:eastAsia="宋体" w:cs="Times New Roman"/>
                <w:b w:val="0"/>
                <w:bCs/>
                <w:color w:val="auto"/>
                <w:sz w:val="24"/>
                <w:lang w:val="en-US" w:eastAsia="zh-CN"/>
              </w:rPr>
              <w:t>15</w:t>
            </w:r>
            <w:r>
              <w:rPr>
                <w:rFonts w:hint="default" w:ascii="Times New Roman" w:hAnsi="Times New Roman" w:eastAsia="宋体" w:cs="Times New Roman"/>
                <w:b w:val="0"/>
                <w:bCs/>
                <w:color w:val="auto"/>
                <w:sz w:val="24"/>
                <w:lang w:val="en-US" w:eastAsia="zh-CN"/>
              </w:rPr>
              <w:t>.0t/</w:t>
            </w:r>
            <w:r>
              <w:rPr>
                <w:rFonts w:hint="default" w:ascii="Times New Roman" w:hAnsi="Times New Roman" w:eastAsia="宋体" w:cs="Times New Roman"/>
                <w:b w:val="0"/>
                <w:bCs/>
                <w:color w:val="auto"/>
                <w:sz w:val="24"/>
              </w:rPr>
              <w:t>a。采取集中收集后由环卫部门统一外运处理。</w:t>
            </w:r>
          </w:p>
          <w:p w14:paraId="06300617">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一般生产固废</w:t>
            </w:r>
          </w:p>
          <w:p w14:paraId="7593321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项目生产过程中会产生硅钢片边角料、BMC边角料</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钢材边角料</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不合格品</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废布袋、布袋收尘</w:t>
            </w:r>
            <w:r>
              <w:rPr>
                <w:rFonts w:hint="default" w:ascii="Times New Roman" w:hAnsi="Times New Roman" w:eastAsia="宋体" w:cs="Times New Roman"/>
                <w:b w:val="0"/>
                <w:bCs/>
                <w:color w:val="auto"/>
                <w:sz w:val="24"/>
              </w:rPr>
              <w:t>等。</w:t>
            </w:r>
          </w:p>
          <w:p w14:paraId="4C45E20D">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A.</w:t>
            </w:r>
            <w:r>
              <w:rPr>
                <w:rFonts w:hint="default" w:ascii="Times New Roman" w:hAnsi="Times New Roman" w:eastAsia="宋体" w:cs="Times New Roman"/>
                <w:b w:val="0"/>
                <w:bCs/>
                <w:color w:val="auto"/>
                <w:sz w:val="24"/>
              </w:rPr>
              <w:t>硅钢片边角料：电磁线圈机加工过程中有硅钢片边角料产生，产生量约占硅钢片消耗量的20%，硅钢片年消耗量为48t</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则硅钢片边角料产生量为9.6t/a；</w:t>
            </w:r>
          </w:p>
          <w:p w14:paraId="30A0EF4F">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B.</w:t>
            </w:r>
            <w:r>
              <w:rPr>
                <w:rFonts w:hint="default" w:ascii="Times New Roman" w:hAnsi="Times New Roman" w:eastAsia="宋体" w:cs="Times New Roman"/>
                <w:b w:val="0"/>
                <w:bCs/>
                <w:color w:val="auto"/>
                <w:sz w:val="24"/>
              </w:rPr>
              <w:t>BMC边角料：电磁线圈成型封装工序有BMC边角料产生，产生系数为5%，BMC材料年消耗量为</w:t>
            </w:r>
            <w:r>
              <w:rPr>
                <w:rFonts w:hint="eastAsia" w:ascii="Times New Roman" w:hAnsi="Times New Roman" w:eastAsia="宋体" w:cs="Times New Roman"/>
                <w:b w:val="0"/>
                <w:bCs/>
                <w:color w:val="auto"/>
                <w:sz w:val="24"/>
                <w:lang w:val="en-US" w:eastAsia="zh-CN"/>
              </w:rPr>
              <w:t>9</w:t>
            </w:r>
            <w:r>
              <w:rPr>
                <w:rFonts w:hint="default" w:ascii="Times New Roman" w:hAnsi="Times New Roman" w:eastAsia="宋体" w:cs="Times New Roman"/>
                <w:b w:val="0"/>
                <w:bCs/>
                <w:color w:val="auto"/>
                <w:sz w:val="24"/>
              </w:rPr>
              <w:t>0t</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则BMC边角料产生量为</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.5t/a；</w:t>
            </w:r>
          </w:p>
          <w:p w14:paraId="7A49F3E6">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C.</w:t>
            </w:r>
            <w:r>
              <w:rPr>
                <w:rFonts w:hint="default" w:ascii="Times New Roman" w:hAnsi="Times New Roman" w:eastAsia="宋体" w:cs="Times New Roman"/>
                <w:b w:val="0"/>
                <w:bCs/>
                <w:color w:val="auto"/>
                <w:sz w:val="24"/>
              </w:rPr>
              <w:t>钢材边角料：电磁铁芯机加工过程中有钢材边角料产生，产生率约为25%，电磁铁芯钢材年消耗量为200t；则钢材边角料产生量为</w:t>
            </w:r>
            <w:r>
              <w:rPr>
                <w:rFonts w:hint="eastAsia" w:ascii="Times New Roman" w:hAnsi="Times New Roman" w:eastAsia="宋体" w:cs="Times New Roman"/>
                <w:b w:val="0"/>
                <w:bCs/>
                <w:color w:val="auto"/>
                <w:sz w:val="24"/>
                <w:lang w:val="en-US" w:eastAsia="zh-CN"/>
              </w:rPr>
              <w:t>50</w:t>
            </w:r>
            <w:r>
              <w:rPr>
                <w:rFonts w:hint="default" w:ascii="Times New Roman" w:hAnsi="Times New Roman" w:eastAsia="宋体" w:cs="Times New Roman"/>
                <w:b w:val="0"/>
                <w:bCs/>
                <w:color w:val="auto"/>
                <w:sz w:val="24"/>
              </w:rPr>
              <w:t>t/a；</w:t>
            </w:r>
          </w:p>
          <w:p w14:paraId="2AD1DF40">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D.不合格品</w:t>
            </w:r>
            <w:r>
              <w:rPr>
                <w:rFonts w:hint="default" w:ascii="Times New Roman" w:hAnsi="Times New Roman" w:eastAsia="宋体" w:cs="Times New Roman"/>
                <w:b w:val="0"/>
                <w:bCs/>
                <w:color w:val="auto"/>
                <w:sz w:val="24"/>
              </w:rPr>
              <w:t>：测试工序有</w:t>
            </w:r>
            <w:r>
              <w:rPr>
                <w:rFonts w:hint="eastAsia" w:ascii="Times New Roman" w:hAnsi="Times New Roman" w:eastAsia="宋体" w:cs="Times New Roman"/>
                <w:b w:val="0"/>
                <w:bCs/>
                <w:color w:val="auto"/>
                <w:sz w:val="24"/>
                <w:lang w:val="en-US" w:eastAsia="zh-CN"/>
              </w:rPr>
              <w:t>不合格品</w:t>
            </w:r>
            <w:r>
              <w:rPr>
                <w:rFonts w:hint="default" w:ascii="Times New Roman" w:hAnsi="Times New Roman" w:eastAsia="宋体" w:cs="Times New Roman"/>
                <w:b w:val="0"/>
                <w:bCs/>
                <w:color w:val="auto"/>
                <w:sz w:val="24"/>
              </w:rPr>
              <w:t>产生，产生量</w:t>
            </w:r>
            <w:r>
              <w:rPr>
                <w:rFonts w:hint="eastAsia"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t/a</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收集后外售。</w:t>
            </w:r>
          </w:p>
          <w:p w14:paraId="088875DE">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E.</w:t>
            </w:r>
            <w:r>
              <w:rPr>
                <w:rFonts w:hint="default" w:ascii="Times New Roman" w:hAnsi="Times New Roman" w:eastAsia="宋体" w:cs="Times New Roman"/>
                <w:b w:val="0"/>
                <w:bCs/>
                <w:color w:val="auto"/>
                <w:sz w:val="24"/>
                <w:lang w:val="en-US" w:eastAsia="zh-CN"/>
              </w:rPr>
              <w:t>废布袋：本项目</w:t>
            </w:r>
            <w:r>
              <w:rPr>
                <w:rFonts w:hint="eastAsia" w:ascii="Times New Roman" w:hAnsi="Times New Roman" w:eastAsia="宋体" w:cs="Times New Roman"/>
                <w:b w:val="0"/>
                <w:bCs/>
                <w:color w:val="auto"/>
                <w:sz w:val="24"/>
                <w:lang w:val="en-US" w:eastAsia="zh-CN"/>
              </w:rPr>
              <w:t>焊接</w:t>
            </w:r>
            <w:r>
              <w:rPr>
                <w:rFonts w:hint="default" w:ascii="Times New Roman" w:hAnsi="Times New Roman" w:eastAsia="宋体" w:cs="Times New Roman"/>
                <w:b w:val="0"/>
                <w:bCs/>
                <w:color w:val="auto"/>
                <w:sz w:val="24"/>
                <w:lang w:val="en-US" w:eastAsia="zh-CN"/>
              </w:rPr>
              <w:t>废气处理采用布袋除尘，布袋定期更换产生废布袋，产生量约为0.05t/a，外售综合利用。</w:t>
            </w:r>
          </w:p>
          <w:p w14:paraId="6586B647">
            <w:pPr>
              <w:spacing w:line="360" w:lineRule="auto"/>
              <w:ind w:firstLine="480" w:firstLineChars="200"/>
              <w:rPr>
                <w:rFonts w:hint="default"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val="en-US" w:eastAsia="zh-CN"/>
              </w:rPr>
              <w:t>F.</w:t>
            </w:r>
            <w:r>
              <w:rPr>
                <w:rFonts w:hint="default" w:ascii="Times New Roman" w:hAnsi="Times New Roman" w:eastAsia="宋体" w:cs="Times New Roman"/>
                <w:b w:val="0"/>
                <w:bCs/>
                <w:color w:val="auto"/>
                <w:sz w:val="24"/>
                <w:lang w:val="en-US" w:eastAsia="zh-CN"/>
              </w:rPr>
              <w:t>布袋收尘：本项目</w:t>
            </w:r>
            <w:r>
              <w:rPr>
                <w:rFonts w:hint="eastAsia" w:ascii="Times New Roman" w:hAnsi="Times New Roman" w:eastAsia="宋体" w:cs="Times New Roman"/>
                <w:b w:val="0"/>
                <w:bCs/>
                <w:color w:val="auto"/>
                <w:sz w:val="24"/>
                <w:lang w:val="en-US" w:eastAsia="zh-CN"/>
              </w:rPr>
              <w:t>焊接</w:t>
            </w:r>
            <w:r>
              <w:rPr>
                <w:rFonts w:hint="default" w:ascii="Times New Roman" w:hAnsi="Times New Roman" w:eastAsia="宋体" w:cs="Times New Roman"/>
                <w:b w:val="0"/>
                <w:bCs/>
                <w:color w:val="auto"/>
                <w:sz w:val="24"/>
                <w:lang w:val="en-US" w:eastAsia="zh-CN"/>
              </w:rPr>
              <w:t>废气处理过程产生布袋收尘，根据工程核算，布袋收尘产生量为</w:t>
            </w:r>
            <w:r>
              <w:rPr>
                <w:rFonts w:hint="eastAsia" w:ascii="Times New Roman" w:hAnsi="Times New Roman" w:eastAsia="宋体" w:cs="Times New Roman"/>
                <w:b w:val="0"/>
                <w:bCs/>
                <w:color w:val="auto"/>
                <w:sz w:val="24"/>
                <w:lang w:val="en-US" w:eastAsia="zh-CN"/>
              </w:rPr>
              <w:t>0.2085</w:t>
            </w:r>
            <w:r>
              <w:rPr>
                <w:rFonts w:hint="default" w:ascii="Times New Roman" w:hAnsi="Times New Roman" w:eastAsia="宋体" w:cs="Times New Roman"/>
                <w:b w:val="0"/>
                <w:bCs/>
                <w:color w:val="auto"/>
                <w:sz w:val="24"/>
                <w:lang w:val="en-US" w:eastAsia="zh-CN"/>
              </w:rPr>
              <w:t>t/a，外售综合利用。</w:t>
            </w:r>
          </w:p>
          <w:p w14:paraId="446564C8">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3</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危险废物</w:t>
            </w:r>
          </w:p>
          <w:p w14:paraId="26DD47F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项目生产过程中会产生一定量的</w:t>
            </w:r>
            <w:r>
              <w:rPr>
                <w:rFonts w:hint="eastAsia" w:ascii="Times New Roman" w:hAnsi="Times New Roman" w:eastAsia="宋体" w:cs="Times New Roman"/>
                <w:b w:val="0"/>
                <w:bCs/>
                <w:color w:val="auto"/>
                <w:sz w:val="24"/>
                <w:lang w:val="en-US" w:eastAsia="zh-CN"/>
              </w:rPr>
              <w:t>含油抹布</w:t>
            </w:r>
            <w:r>
              <w:rPr>
                <w:rFonts w:hint="default" w:ascii="Times New Roman" w:hAnsi="Times New Roman" w:eastAsia="宋体" w:cs="Times New Roman"/>
                <w:b w:val="0"/>
                <w:bCs/>
                <w:color w:val="auto"/>
                <w:sz w:val="24"/>
              </w:rPr>
              <w:t>、废桶、废</w:t>
            </w:r>
            <w:r>
              <w:rPr>
                <w:rFonts w:hint="eastAsia" w:ascii="Times New Roman" w:hAnsi="Times New Roman" w:eastAsia="宋体" w:cs="Times New Roman"/>
                <w:b w:val="0"/>
                <w:bCs/>
                <w:color w:val="auto"/>
                <w:sz w:val="24"/>
                <w:lang w:val="en-US" w:eastAsia="zh-CN"/>
              </w:rPr>
              <w:t>乳化液、清洗废液、研磨废渣和废活性炭</w:t>
            </w:r>
            <w:r>
              <w:rPr>
                <w:rFonts w:hint="default" w:ascii="Times New Roman" w:hAnsi="Times New Roman" w:eastAsia="宋体" w:cs="Times New Roman"/>
                <w:b w:val="0"/>
                <w:bCs/>
                <w:color w:val="auto"/>
                <w:sz w:val="24"/>
              </w:rPr>
              <w:t>，属于危险废物</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统一收集后交由有资质的单位回收处理。</w:t>
            </w:r>
          </w:p>
          <w:p w14:paraId="168DFB6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A、废乳化液：</w:t>
            </w:r>
            <w:r>
              <w:rPr>
                <w:rFonts w:hint="eastAsia" w:ascii="Times New Roman" w:hAnsi="Times New Roman" w:eastAsia="宋体" w:cs="Times New Roman"/>
                <w:b w:val="0"/>
                <w:bCs/>
                <w:color w:val="auto"/>
                <w:sz w:val="24"/>
                <w:lang w:val="en-US" w:eastAsia="zh-CN"/>
              </w:rPr>
              <w:t>生产</w:t>
            </w:r>
            <w:r>
              <w:rPr>
                <w:rFonts w:hint="default" w:ascii="Times New Roman" w:hAnsi="Times New Roman" w:eastAsia="宋体" w:cs="Times New Roman"/>
                <w:b w:val="0"/>
                <w:bCs/>
                <w:color w:val="auto"/>
                <w:sz w:val="24"/>
              </w:rPr>
              <w:t>过程需采用乳化液冷却、润滑加工表面，乳化液循环使用，定期更换补充，</w:t>
            </w:r>
            <w:r>
              <w:rPr>
                <w:rFonts w:hint="eastAsia" w:ascii="Times New Roman" w:hAnsi="Times New Roman" w:eastAsia="宋体" w:cs="Times New Roman"/>
                <w:b w:val="0"/>
                <w:bCs/>
                <w:color w:val="auto"/>
                <w:sz w:val="24"/>
                <w:lang w:val="en-US" w:eastAsia="zh-CN"/>
              </w:rPr>
              <w:t>该过程产生废乳化液，根据图2-2水平衡图，废乳化液产生量为1.76t/a</w:t>
            </w:r>
            <w:r>
              <w:rPr>
                <w:rFonts w:hint="default" w:ascii="Times New Roman" w:hAnsi="Times New Roman" w:eastAsia="宋体" w:cs="Times New Roman"/>
                <w:b w:val="0"/>
                <w:bCs/>
                <w:color w:val="auto"/>
                <w:sz w:val="24"/>
              </w:rPr>
              <w:t>，委托有危险废物处理资质的单位进行处理处置；</w:t>
            </w:r>
          </w:p>
          <w:p w14:paraId="1B110EC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B、清洗废液：电磁铁芯清洗工序有清洗废液产生，</w:t>
            </w:r>
            <w:r>
              <w:rPr>
                <w:rFonts w:hint="eastAsia" w:ascii="Times New Roman" w:hAnsi="Times New Roman" w:eastAsia="宋体" w:cs="Times New Roman"/>
                <w:b w:val="0"/>
                <w:bCs/>
                <w:color w:val="auto"/>
                <w:sz w:val="24"/>
                <w:lang w:val="en-US" w:eastAsia="zh-CN"/>
              </w:rPr>
              <w:t>根据图2-2水平衡图，清洗废液产生量为1.68t/a</w:t>
            </w:r>
            <w:r>
              <w:rPr>
                <w:rFonts w:hint="default" w:ascii="Times New Roman" w:hAnsi="Times New Roman" w:eastAsia="宋体" w:cs="Times New Roman"/>
                <w:b w:val="0"/>
                <w:bCs/>
                <w:color w:val="auto"/>
                <w:sz w:val="24"/>
              </w:rPr>
              <w:t>，委托有危险废物处理资质的单位进行处理处置；</w:t>
            </w:r>
          </w:p>
          <w:p w14:paraId="1B00A8E5">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val="en-US" w:eastAsia="zh-CN"/>
              </w:rPr>
              <w:t>C、</w:t>
            </w:r>
            <w:r>
              <w:rPr>
                <w:rFonts w:hint="default" w:ascii="Times New Roman" w:hAnsi="Times New Roman" w:eastAsia="宋体" w:cs="Times New Roman"/>
                <w:b w:val="0"/>
                <w:bCs/>
                <w:color w:val="auto"/>
                <w:sz w:val="24"/>
              </w:rPr>
              <w:t>研磨废</w:t>
            </w:r>
            <w:r>
              <w:rPr>
                <w:rFonts w:hint="eastAsia" w:ascii="Times New Roman" w:hAnsi="Times New Roman" w:eastAsia="宋体" w:cs="Times New Roman"/>
                <w:b w:val="0"/>
                <w:bCs/>
                <w:color w:val="auto"/>
                <w:sz w:val="24"/>
                <w:lang w:val="en-US" w:eastAsia="zh-CN"/>
              </w:rPr>
              <w:t>渣</w:t>
            </w:r>
            <w:r>
              <w:rPr>
                <w:rFonts w:hint="default" w:ascii="Times New Roman" w:hAnsi="Times New Roman" w:eastAsia="宋体" w:cs="Times New Roman"/>
                <w:b w:val="0"/>
                <w:bCs/>
                <w:color w:val="auto"/>
                <w:sz w:val="24"/>
              </w:rPr>
              <w:t>：阀芯振动研磨工序有研磨废</w:t>
            </w:r>
            <w:r>
              <w:rPr>
                <w:rFonts w:hint="eastAsia" w:ascii="Times New Roman" w:hAnsi="Times New Roman" w:eastAsia="宋体" w:cs="Times New Roman"/>
                <w:b w:val="0"/>
                <w:bCs/>
                <w:color w:val="auto"/>
                <w:sz w:val="24"/>
                <w:lang w:val="en-US" w:eastAsia="zh-CN"/>
              </w:rPr>
              <w:t>渣</w:t>
            </w:r>
            <w:r>
              <w:rPr>
                <w:rFonts w:hint="default" w:ascii="Times New Roman" w:hAnsi="Times New Roman" w:eastAsia="宋体" w:cs="Times New Roman"/>
                <w:b w:val="0"/>
                <w:bCs/>
                <w:color w:val="auto"/>
                <w:sz w:val="24"/>
              </w:rPr>
              <w:t>产生，</w:t>
            </w:r>
            <w:r>
              <w:rPr>
                <w:rFonts w:hint="eastAsia" w:ascii="Times New Roman" w:hAnsi="Times New Roman" w:eastAsia="宋体" w:cs="Times New Roman"/>
                <w:b w:val="0"/>
                <w:bCs/>
                <w:color w:val="auto"/>
                <w:sz w:val="24"/>
                <w:lang w:val="en-US" w:eastAsia="zh-CN"/>
              </w:rPr>
              <w:t>产生量为1.5t/a</w:t>
            </w:r>
            <w:r>
              <w:rPr>
                <w:rFonts w:hint="default" w:ascii="Times New Roman" w:hAnsi="Times New Roman" w:eastAsia="宋体" w:cs="Times New Roman"/>
                <w:b w:val="0"/>
                <w:bCs/>
                <w:color w:val="auto"/>
                <w:sz w:val="24"/>
              </w:rPr>
              <w:t>，委托有危险废物处理资质的单位进行处理处置；</w:t>
            </w:r>
          </w:p>
          <w:p w14:paraId="6DFD1F7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val="en-US" w:eastAsia="zh-CN"/>
              </w:rPr>
              <w:t>D、</w:t>
            </w:r>
            <w:r>
              <w:rPr>
                <w:rFonts w:hint="default" w:ascii="Times New Roman" w:hAnsi="Times New Roman" w:eastAsia="宋体" w:cs="Times New Roman"/>
                <w:b w:val="0"/>
                <w:bCs/>
                <w:color w:val="auto"/>
                <w:sz w:val="24"/>
              </w:rPr>
              <w:t>废润滑油：在机加工设备的保养及维护过程中需使用润滑油，润滑油定期补充、更换，润滑油年消耗量为0.15t，考虑损耗0.05t/a，则废润滑油产生量约为0.1t/a。</w:t>
            </w:r>
          </w:p>
          <w:p w14:paraId="3CF391C5">
            <w:pPr>
              <w:spacing w:line="360" w:lineRule="auto"/>
              <w:ind w:firstLine="480"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val="0"/>
                <w:bCs/>
                <w:color w:val="auto"/>
                <w:sz w:val="24"/>
                <w:lang w:val="en-US" w:eastAsia="zh-CN"/>
              </w:rPr>
              <w:t>E、</w:t>
            </w:r>
            <w:r>
              <w:rPr>
                <w:rFonts w:hint="default" w:ascii="Times New Roman" w:hAnsi="Times New Roman" w:eastAsia="宋体" w:cs="Times New Roman"/>
                <w:b w:val="0"/>
                <w:bCs/>
                <w:color w:val="auto"/>
                <w:sz w:val="24"/>
              </w:rPr>
              <w:t>废</w:t>
            </w:r>
            <w:r>
              <w:rPr>
                <w:rFonts w:hint="default" w:ascii="Times New Roman" w:hAnsi="Times New Roman" w:eastAsia="宋体" w:cs="Times New Roman"/>
                <w:b w:val="0"/>
                <w:bCs/>
                <w:color w:val="auto"/>
                <w:sz w:val="24"/>
                <w:lang w:val="en-US" w:eastAsia="zh-CN"/>
              </w:rPr>
              <w:t>桶</w:t>
            </w:r>
            <w:r>
              <w:rPr>
                <w:rFonts w:hint="eastAsia" w:ascii="Times New Roman" w:hAnsi="Times New Roman" w:eastAsia="宋体" w:cs="Times New Roman"/>
                <w:b w:val="0"/>
                <w:bCs/>
                <w:color w:val="auto"/>
                <w:sz w:val="24"/>
                <w:lang w:val="en-US" w:eastAsia="zh-CN"/>
              </w:rPr>
              <w:t>：乳化液、润滑油</w:t>
            </w:r>
            <w:r>
              <w:rPr>
                <w:rFonts w:hint="default" w:ascii="Times New Roman" w:hAnsi="Times New Roman" w:eastAsia="宋体" w:cs="Times New Roman"/>
                <w:b w:val="0"/>
                <w:bCs/>
                <w:color w:val="auto"/>
                <w:sz w:val="24"/>
                <w:lang w:val="en-US" w:eastAsia="zh-CN"/>
              </w:rPr>
              <w:t>使用</w:t>
            </w:r>
            <w:r>
              <w:rPr>
                <w:rFonts w:hint="default" w:ascii="Times New Roman" w:hAnsi="Times New Roman" w:eastAsia="宋体" w:cs="Times New Roman"/>
                <w:b w:val="0"/>
                <w:bCs/>
                <w:color w:val="auto"/>
                <w:sz w:val="24"/>
              </w:rPr>
              <w:t>过程中会产生废桶，产生量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default" w:ascii="Times New Roman" w:hAnsi="Times New Roman" w:eastAsia="宋体" w:cs="Times New Roman"/>
                <w:b w:val="0"/>
                <w:bCs/>
                <w:color w:val="auto"/>
                <w:sz w:val="24"/>
                <w:lang w:val="en-US" w:eastAsia="zh-CN"/>
              </w:rPr>
              <w:t>0.1</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a，委托有危险废物处理资质的单位进行处理处置</w:t>
            </w:r>
            <w:r>
              <w:rPr>
                <w:rFonts w:hint="default" w:ascii="Times New Roman" w:hAnsi="Times New Roman" w:eastAsia="宋体" w:cs="Times New Roman"/>
                <w:b w:val="0"/>
                <w:bCs/>
                <w:color w:val="auto"/>
                <w:sz w:val="24"/>
                <w:lang w:eastAsia="zh-CN"/>
              </w:rPr>
              <w:t>。</w:t>
            </w:r>
          </w:p>
          <w:p w14:paraId="303B9B5D">
            <w:pPr>
              <w:spacing w:line="360" w:lineRule="auto"/>
              <w:ind w:firstLine="480" w:firstLineChars="200"/>
              <w:rPr>
                <w:rFonts w:hint="default" w:ascii="Times New Roman" w:hAnsi="Times New Roman" w:eastAsia="宋体" w:cs="Times New Roman"/>
                <w:b/>
                <w:bCs w:val="0"/>
                <w:color w:val="auto"/>
                <w:sz w:val="24"/>
              </w:rPr>
            </w:pPr>
            <w:r>
              <w:rPr>
                <w:rFonts w:hint="eastAsia" w:ascii="Times New Roman" w:hAnsi="Times New Roman" w:eastAsia="宋体" w:cs="Times New Roman"/>
                <w:color w:val="auto"/>
                <w:sz w:val="24"/>
                <w:lang w:val="en-US" w:eastAsia="zh-CN"/>
              </w:rPr>
              <w:t>G、</w:t>
            </w:r>
            <w:r>
              <w:rPr>
                <w:rFonts w:hint="default" w:ascii="Times New Roman" w:hAnsi="Times New Roman" w:eastAsia="宋体" w:cs="Times New Roman"/>
                <w:color w:val="auto"/>
                <w:sz w:val="24"/>
              </w:rPr>
              <w:t>含油抹布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生产过程会</w:t>
            </w:r>
            <w:r>
              <w:rPr>
                <w:rFonts w:hint="eastAsia" w:ascii="Times New Roman" w:hAnsi="Times New Roman" w:eastAsia="宋体" w:cs="Times New Roman"/>
                <w:color w:val="auto"/>
                <w:sz w:val="24"/>
              </w:rPr>
              <w:t>产生</w:t>
            </w:r>
            <w:r>
              <w:rPr>
                <w:rFonts w:hint="default" w:ascii="Times New Roman" w:hAnsi="Times New Roman" w:eastAsia="宋体" w:cs="Times New Roman"/>
                <w:color w:val="auto"/>
                <w:sz w:val="24"/>
              </w:rPr>
              <w:t>含油抹布</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约每周更换一次，每次更换量为3kg，一年按52周计算，则</w:t>
            </w:r>
            <w:r>
              <w:rPr>
                <w:rFonts w:hint="eastAsia" w:ascii="Times New Roman" w:hAnsi="Times New Roman" w:eastAsia="宋体" w:cs="Times New Roman"/>
                <w:color w:val="auto"/>
                <w:sz w:val="24"/>
              </w:rPr>
              <w:t>本项目</w:t>
            </w:r>
            <w:r>
              <w:rPr>
                <w:rFonts w:hint="default" w:ascii="Times New Roman" w:hAnsi="Times New Roman" w:eastAsia="宋体" w:cs="Times New Roman"/>
                <w:color w:val="auto"/>
                <w:sz w:val="24"/>
              </w:rPr>
              <w:t>含油抹布的产生量为0.156t/a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收集后暂存于</w:t>
            </w:r>
            <w:r>
              <w:rPr>
                <w:rFonts w:hint="eastAsia"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，委托有资质单位妥善处置。</w:t>
            </w:r>
          </w:p>
          <w:p w14:paraId="680E51A0">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H、</w:t>
            </w:r>
            <w:r>
              <w:rPr>
                <w:rFonts w:hint="default" w:ascii="Times New Roman" w:hAnsi="Times New Roman" w:eastAsia="宋体" w:cs="Times New Roman"/>
                <w:b w:val="0"/>
                <w:bCs/>
                <w:color w:val="auto"/>
                <w:sz w:val="24"/>
                <w:lang w:val="en-US" w:eastAsia="zh-CN"/>
              </w:rPr>
              <w:t>废活性炭</w:t>
            </w:r>
          </w:p>
          <w:p w14:paraId="22CC133E">
            <w:pPr>
              <w:pStyle w:val="61"/>
              <w:spacing w:line="360" w:lineRule="auto"/>
              <w:ind w:firstLine="42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szCs w:val="24"/>
                <w:lang w:val="en-US" w:eastAsia="zh-CN"/>
              </w:rPr>
              <w:t>封装工序</w:t>
            </w:r>
            <w:r>
              <w:rPr>
                <w:rFonts w:hint="default" w:ascii="Times New Roman" w:hAnsi="Times New Roman" w:eastAsia="宋体" w:cs="Times New Roman"/>
                <w:color w:val="auto"/>
                <w:sz w:val="24"/>
                <w:szCs w:val="24"/>
                <w:lang w:val="en-US" w:eastAsia="zh-CN"/>
              </w:rPr>
              <w:t>废气处理设施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废活性炭：</w:t>
            </w:r>
            <w:r>
              <w:rPr>
                <w:rFonts w:hint="default" w:ascii="Times New Roman" w:hAnsi="Times New Roman" w:eastAsia="宋体" w:cs="Times New Roman"/>
                <w:color w:val="auto"/>
                <w:sz w:val="24"/>
              </w:rPr>
              <w:t>根据《江苏省生态环境厅关于将排污单位活性炭使用纳入排污许可管理的通知》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苏环办〔2021〕218号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，活性炭更换周期计算如下：</w:t>
            </w:r>
          </w:p>
          <w:p w14:paraId="7B53110C">
            <w:pPr>
              <w:spacing w:line="360" w:lineRule="auto"/>
              <w:ind w:firstLine="480" w:firstLineChars="20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T=m×s÷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c×10</w:t>
            </w:r>
            <w:r>
              <w:rPr>
                <w:rFonts w:hint="default" w:ascii="Times New Roman" w:hAnsi="Times New Roman" w:eastAsia="宋体" w:cs="Times New Roman"/>
                <w:color w:val="auto"/>
                <w:sz w:val="24"/>
                <w:vertAlign w:val="superscript"/>
              </w:rPr>
              <w:t>-6</w:t>
            </w:r>
            <w:r>
              <w:rPr>
                <w:rFonts w:hint="default" w:ascii="Times New Roman" w:hAnsi="Times New Roman" w:eastAsia="宋体" w:cs="Times New Roman"/>
                <w:color w:val="auto"/>
                <w:sz w:val="24"/>
              </w:rPr>
              <w:t>×Q×t</w:t>
            </w:r>
            <w:r>
              <w:rPr>
                <w:rFonts w:hint="eastAsia" w:ascii="Times New Roman" w:hAnsi="Times New Roman" w:eastAsia="宋体" w:cs="Times New Roman"/>
                <w:color w:val="auto"/>
                <w:sz w:val="24"/>
                <w:lang w:eastAsia="zh-CN"/>
              </w:rPr>
              <w:t>）</w:t>
            </w:r>
          </w:p>
          <w:p w14:paraId="0EDF14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式中：T—更换周期，天；</w:t>
            </w:r>
          </w:p>
          <w:p w14:paraId="2FD4BF7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m—活性炭的用量，kg；</w:t>
            </w: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szCs w:val="24"/>
                <w:lang w:val="en-US" w:eastAsia="zh-CN"/>
              </w:rPr>
              <w:t>封装</w:t>
            </w:r>
            <w:r>
              <w:rPr>
                <w:rFonts w:hint="default" w:ascii="Times New Roman" w:hAnsi="Times New Roman" w:eastAsia="宋体" w:cs="Times New Roman"/>
                <w:color w:val="auto"/>
                <w:sz w:val="24"/>
                <w:szCs w:val="24"/>
                <w:lang w:val="en-US" w:eastAsia="zh-CN"/>
              </w:rPr>
              <w:t>工序废气处理设施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中活性炭装填量为</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00kg。</w:t>
            </w:r>
          </w:p>
          <w:p w14:paraId="07D4CA6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s—动态吸附量，%；动态吸附量取值</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w:t>
            </w:r>
          </w:p>
          <w:p w14:paraId="27D8967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c—活性炭削减的VOCs浓度，mg/m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削减的VOCs</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包括非甲烷总烃、苯乙烯</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浓度为</w:t>
            </w:r>
            <w:r>
              <w:rPr>
                <w:rFonts w:hint="eastAsia" w:ascii="Times New Roman" w:hAnsi="Times New Roman" w:eastAsia="宋体" w:cs="Times New Roman"/>
                <w:color w:val="auto"/>
                <w:sz w:val="24"/>
                <w:lang w:val="en-US" w:eastAsia="zh-CN"/>
              </w:rPr>
              <w:t>10.138</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6CF854A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Q—风量，单位m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/h；废气处理设施设计风量为</w:t>
            </w:r>
            <w:r>
              <w:rPr>
                <w:rFonts w:hint="eastAsia" w:ascii="Times New Roman" w:hAnsi="Times New Roman" w:eastAsia="宋体" w:cs="Times New Roman"/>
                <w:color w:val="auto"/>
                <w:sz w:val="24"/>
                <w:lang w:val="en-US" w:eastAsia="zh-CN"/>
              </w:rPr>
              <w:t>100</w:t>
            </w:r>
            <w:r>
              <w:rPr>
                <w:rFonts w:hint="default" w:ascii="Times New Roman" w:hAnsi="Times New Roman" w:eastAsia="宋体" w:cs="Times New Roman"/>
                <w:color w:val="auto"/>
                <w:sz w:val="24"/>
              </w:rPr>
              <w:t>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1235D0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t—运行时间，单位h/d。废气处理设施日运行</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rPr>
              <w:t>h。</w:t>
            </w:r>
          </w:p>
          <w:p w14:paraId="2E257133">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color w:val="auto"/>
                <w:sz w:val="24"/>
              </w:rPr>
              <w:t>根据上述公式及参数计算得废气处理设施活性炭更换周期为</w:t>
            </w:r>
            <w:r>
              <w:rPr>
                <w:rFonts w:hint="eastAsia"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rPr>
              <w:t>d/次，每年更换约</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次。根据工程核算，</w:t>
            </w:r>
            <w:r>
              <w:rPr>
                <w:rFonts w:hint="eastAsia" w:ascii="Times New Roman" w:hAnsi="Times New Roman" w:eastAsia="宋体" w:cs="Times New Roman"/>
                <w:color w:val="auto"/>
                <w:sz w:val="24"/>
                <w:lang w:val="en-US" w:eastAsia="zh-CN"/>
              </w:rPr>
              <w:t>有机废气</w:t>
            </w:r>
            <w:r>
              <w:rPr>
                <w:rFonts w:hint="default" w:ascii="Times New Roman" w:hAnsi="Times New Roman" w:eastAsia="宋体" w:cs="Times New Roman"/>
                <w:color w:val="auto"/>
                <w:sz w:val="24"/>
              </w:rPr>
              <w:t>吸附量约为</w:t>
            </w:r>
            <w:r>
              <w:rPr>
                <w:rFonts w:hint="eastAsia" w:ascii="Times New Roman" w:hAnsi="Times New Roman" w:eastAsia="宋体" w:cs="Times New Roman"/>
                <w:color w:val="auto"/>
                <w:sz w:val="24"/>
                <w:lang w:val="en-US" w:eastAsia="zh-CN"/>
              </w:rPr>
              <w:t>0.73</w:t>
            </w:r>
            <w:r>
              <w:rPr>
                <w:rFonts w:hint="default" w:ascii="Times New Roman" w:hAnsi="Times New Roman" w:eastAsia="宋体" w:cs="Times New Roman"/>
                <w:color w:val="auto"/>
                <w:sz w:val="24"/>
              </w:rPr>
              <w:t>t/a，则废活性炭产生量约为</w:t>
            </w:r>
            <w:r>
              <w:rPr>
                <w:rFonts w:hint="eastAsia" w:ascii="Times New Roman" w:hAnsi="Times New Roman" w:eastAsia="宋体" w:cs="Times New Roman"/>
                <w:color w:val="auto"/>
                <w:sz w:val="24"/>
                <w:lang w:val="en-US" w:eastAsia="zh-CN"/>
              </w:rPr>
              <w:t>7.93</w:t>
            </w:r>
            <w:r>
              <w:rPr>
                <w:rFonts w:hint="default" w:ascii="Times New Roman" w:hAnsi="Times New Roman" w:eastAsia="宋体" w:cs="Times New Roman"/>
                <w:color w:val="auto"/>
                <w:sz w:val="24"/>
              </w:rPr>
              <w:t>t/a，收集后暂存于</w:t>
            </w:r>
            <w:r>
              <w:rPr>
                <w:rFonts w:hint="eastAsia"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，委托有资质单位妥善处置。</w:t>
            </w:r>
          </w:p>
          <w:p w14:paraId="08ABB82E">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2、固体废物属性判定</w:t>
            </w:r>
          </w:p>
          <w:p w14:paraId="17D28EFD">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中华人民共和国固体废物污染环境防治法》、《固体废物鉴别标准通则》（GB34330-2017）、《建设项目危险废物环境影响评价指南》（公告2017年第43号）和《关于贯彻落实建设项目危险废物环境影响评价指南要求的通知》（苏环办[2018]18号）的规定，判断建设项目生产过程中产生的副产物是否属于固体废物，判定依据及结果见表4</w:t>
            </w:r>
            <w:r>
              <w:rPr>
                <w:rFonts w:hint="eastAsia" w:ascii="Times New Roman" w:hAnsi="Times New Roman" w:eastAsia="宋体" w:cs="Times New Roman"/>
                <w:b w:val="0"/>
                <w:bCs/>
                <w:color w:val="auto"/>
                <w:sz w:val="24"/>
                <w:lang w:val="en-US" w:eastAsia="zh-CN"/>
              </w:rPr>
              <w:t>18</w:t>
            </w:r>
            <w:r>
              <w:rPr>
                <w:rFonts w:hint="default" w:ascii="Times New Roman" w:hAnsi="Times New Roman" w:eastAsia="宋体" w:cs="Times New Roman"/>
                <w:b w:val="0"/>
                <w:bCs/>
                <w:color w:val="auto"/>
                <w:sz w:val="24"/>
              </w:rPr>
              <w:t>。</w:t>
            </w:r>
          </w:p>
          <w:p w14:paraId="50CA00D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18</w:t>
            </w:r>
            <w:r>
              <w:rPr>
                <w:rFonts w:hint="default" w:ascii="Times New Roman" w:hAnsi="Times New Roman" w:eastAsia="宋体" w:cs="Times New Roman"/>
                <w:b/>
                <w:color w:val="auto"/>
                <w:sz w:val="24"/>
              </w:rPr>
              <w:t xml:space="preserve">  本项目副产物产生情况汇总表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33"/>
              <w:gridCol w:w="937"/>
              <w:gridCol w:w="658"/>
              <w:gridCol w:w="922"/>
              <w:gridCol w:w="946"/>
              <w:gridCol w:w="675"/>
              <w:gridCol w:w="914"/>
              <w:gridCol w:w="1737"/>
            </w:tblGrid>
            <w:tr w14:paraId="43F9C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vAlign w:val="center"/>
                </w:tcPr>
                <w:p w14:paraId="43A9B84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vMerge w:val="restart"/>
                  <w:vAlign w:val="center"/>
                </w:tcPr>
                <w:p w14:paraId="6580564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副产物</w:t>
                  </w:r>
                </w:p>
                <w:p w14:paraId="1013EF7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61" w:type="pct"/>
                  <w:vMerge w:val="restart"/>
                  <w:vAlign w:val="center"/>
                </w:tcPr>
                <w:p w14:paraId="3C03BF6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w:t>
                  </w:r>
                </w:p>
                <w:p w14:paraId="62E342C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c>
                <w:tcPr>
                  <w:tcW w:w="394" w:type="pct"/>
                  <w:vMerge w:val="restart"/>
                  <w:vAlign w:val="center"/>
                </w:tcPr>
                <w:p w14:paraId="4562100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552" w:type="pct"/>
                  <w:vMerge w:val="restart"/>
                  <w:vAlign w:val="center"/>
                </w:tcPr>
                <w:p w14:paraId="2C03CC6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w:t>
                  </w:r>
                </w:p>
                <w:p w14:paraId="5ADE22B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成分</w:t>
                  </w:r>
                </w:p>
              </w:tc>
              <w:tc>
                <w:tcPr>
                  <w:tcW w:w="566" w:type="pct"/>
                  <w:vMerge w:val="restart"/>
                  <w:vAlign w:val="center"/>
                </w:tcPr>
                <w:p w14:paraId="698D28E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预测产生量（t/a）</w:t>
                  </w:r>
                </w:p>
              </w:tc>
              <w:tc>
                <w:tcPr>
                  <w:tcW w:w="1992" w:type="pct"/>
                  <w:gridSpan w:val="3"/>
                  <w:vAlign w:val="center"/>
                </w:tcPr>
                <w:p w14:paraId="531A322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种类判断*</w:t>
                  </w:r>
                </w:p>
              </w:tc>
            </w:tr>
            <w:tr w14:paraId="38B8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14:paraId="32E4066E">
                  <w:pPr>
                    <w:adjustRightInd w:val="0"/>
                    <w:snapToGrid w:val="0"/>
                    <w:jc w:val="center"/>
                    <w:rPr>
                      <w:rFonts w:hint="default" w:ascii="Times New Roman" w:hAnsi="Times New Roman" w:eastAsia="宋体" w:cs="Times New Roman"/>
                      <w:b/>
                      <w:color w:val="auto"/>
                      <w:sz w:val="21"/>
                      <w:szCs w:val="21"/>
                    </w:rPr>
                  </w:pPr>
                </w:p>
              </w:tc>
              <w:tc>
                <w:tcPr>
                  <w:tcW w:w="678" w:type="pct"/>
                  <w:vMerge w:val="continue"/>
                  <w:vAlign w:val="center"/>
                </w:tcPr>
                <w:p w14:paraId="6F931302">
                  <w:pPr>
                    <w:adjustRightInd w:val="0"/>
                    <w:snapToGrid w:val="0"/>
                    <w:jc w:val="center"/>
                    <w:rPr>
                      <w:rFonts w:hint="default" w:ascii="Times New Roman" w:hAnsi="Times New Roman" w:eastAsia="宋体" w:cs="Times New Roman"/>
                      <w:b/>
                      <w:color w:val="auto"/>
                      <w:sz w:val="21"/>
                      <w:szCs w:val="21"/>
                    </w:rPr>
                  </w:pPr>
                </w:p>
              </w:tc>
              <w:tc>
                <w:tcPr>
                  <w:tcW w:w="561" w:type="pct"/>
                  <w:vMerge w:val="continue"/>
                  <w:vAlign w:val="center"/>
                </w:tcPr>
                <w:p w14:paraId="54D2EB04">
                  <w:pPr>
                    <w:adjustRightInd w:val="0"/>
                    <w:snapToGrid w:val="0"/>
                    <w:jc w:val="center"/>
                    <w:rPr>
                      <w:rFonts w:hint="default" w:ascii="Times New Roman" w:hAnsi="Times New Roman" w:eastAsia="宋体" w:cs="Times New Roman"/>
                      <w:b/>
                      <w:color w:val="auto"/>
                      <w:sz w:val="21"/>
                      <w:szCs w:val="21"/>
                    </w:rPr>
                  </w:pPr>
                </w:p>
              </w:tc>
              <w:tc>
                <w:tcPr>
                  <w:tcW w:w="394" w:type="pct"/>
                  <w:vMerge w:val="continue"/>
                  <w:vAlign w:val="center"/>
                </w:tcPr>
                <w:p w14:paraId="626A2040">
                  <w:pPr>
                    <w:adjustRightInd w:val="0"/>
                    <w:snapToGrid w:val="0"/>
                    <w:jc w:val="center"/>
                    <w:rPr>
                      <w:rFonts w:hint="default" w:ascii="Times New Roman" w:hAnsi="Times New Roman" w:eastAsia="宋体" w:cs="Times New Roman"/>
                      <w:b/>
                      <w:color w:val="auto"/>
                      <w:sz w:val="21"/>
                      <w:szCs w:val="21"/>
                    </w:rPr>
                  </w:pPr>
                </w:p>
              </w:tc>
              <w:tc>
                <w:tcPr>
                  <w:tcW w:w="552" w:type="pct"/>
                  <w:vMerge w:val="continue"/>
                  <w:vAlign w:val="center"/>
                </w:tcPr>
                <w:p w14:paraId="6F19D997">
                  <w:pPr>
                    <w:adjustRightInd w:val="0"/>
                    <w:snapToGrid w:val="0"/>
                    <w:jc w:val="center"/>
                    <w:rPr>
                      <w:rFonts w:hint="default" w:ascii="Times New Roman" w:hAnsi="Times New Roman" w:eastAsia="宋体" w:cs="Times New Roman"/>
                      <w:b/>
                      <w:color w:val="auto"/>
                      <w:sz w:val="21"/>
                      <w:szCs w:val="21"/>
                    </w:rPr>
                  </w:pPr>
                </w:p>
              </w:tc>
              <w:tc>
                <w:tcPr>
                  <w:tcW w:w="566" w:type="pct"/>
                  <w:vMerge w:val="continue"/>
                  <w:vAlign w:val="center"/>
                </w:tcPr>
                <w:p w14:paraId="03CCEB90">
                  <w:pPr>
                    <w:adjustRightInd w:val="0"/>
                    <w:snapToGrid w:val="0"/>
                    <w:jc w:val="center"/>
                    <w:rPr>
                      <w:rFonts w:hint="default" w:ascii="Times New Roman" w:hAnsi="Times New Roman" w:eastAsia="宋体" w:cs="Times New Roman"/>
                      <w:b/>
                      <w:color w:val="auto"/>
                      <w:sz w:val="21"/>
                      <w:szCs w:val="21"/>
                    </w:rPr>
                  </w:pPr>
                </w:p>
              </w:tc>
              <w:tc>
                <w:tcPr>
                  <w:tcW w:w="404" w:type="pct"/>
                  <w:vAlign w:val="center"/>
                </w:tcPr>
                <w:p w14:paraId="7FFC911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59902DC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547" w:type="pct"/>
                  <w:vAlign w:val="center"/>
                </w:tcPr>
                <w:p w14:paraId="21F22D2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副产品</w:t>
                  </w:r>
                </w:p>
              </w:tc>
              <w:tc>
                <w:tcPr>
                  <w:tcW w:w="1040" w:type="pct"/>
                  <w:vAlign w:val="center"/>
                </w:tcPr>
                <w:p w14:paraId="12A1B13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判定依据</w:t>
                  </w:r>
                </w:p>
              </w:tc>
            </w:tr>
            <w:tr w14:paraId="49B6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28C07C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8" w:type="pct"/>
                  <w:vAlign w:val="center"/>
                </w:tcPr>
                <w:p w14:paraId="547A54A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561" w:type="pct"/>
                  <w:vAlign w:val="center"/>
                </w:tcPr>
                <w:p w14:paraId="2A33CB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办公、生活</w:t>
                  </w:r>
                </w:p>
              </w:tc>
              <w:tc>
                <w:tcPr>
                  <w:tcW w:w="394" w:type="pct"/>
                  <w:vAlign w:val="center"/>
                </w:tcPr>
                <w:p w14:paraId="7A2F7E9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半固态</w:t>
                  </w:r>
                </w:p>
              </w:tc>
              <w:tc>
                <w:tcPr>
                  <w:tcW w:w="552" w:type="pct"/>
                  <w:vAlign w:val="center"/>
                </w:tcPr>
                <w:p w14:paraId="3DF124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废塑料、废纸等</w:t>
                  </w:r>
                </w:p>
              </w:tc>
              <w:tc>
                <w:tcPr>
                  <w:tcW w:w="566" w:type="pct"/>
                  <w:vAlign w:val="center"/>
                </w:tcPr>
                <w:p w14:paraId="620D3EA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404" w:type="pct"/>
                  <w:vAlign w:val="center"/>
                </w:tcPr>
                <w:p w14:paraId="1A8A49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A073A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restart"/>
                  <w:vAlign w:val="center"/>
                </w:tcPr>
                <w:p w14:paraId="7FDABD2D">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《固体废物鉴别标准通则》（GB34330-2017）</w:t>
                  </w:r>
                </w:p>
              </w:tc>
            </w:tr>
            <w:tr w14:paraId="2E95B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70D209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8" w:type="pct"/>
                  <w:vAlign w:val="center"/>
                </w:tcPr>
                <w:p w14:paraId="47BAE14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硅钢片边角料</w:t>
                  </w:r>
                </w:p>
              </w:tc>
              <w:tc>
                <w:tcPr>
                  <w:tcW w:w="561" w:type="pct"/>
                  <w:vAlign w:val="center"/>
                </w:tcPr>
                <w:p w14:paraId="775ADA0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394" w:type="pct"/>
                  <w:vAlign w:val="center"/>
                </w:tcPr>
                <w:p w14:paraId="7A3C26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2" w:type="pct"/>
                  <w:vAlign w:val="center"/>
                </w:tcPr>
                <w:p w14:paraId="7203B9E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硅钢片</w:t>
                  </w:r>
                </w:p>
              </w:tc>
              <w:tc>
                <w:tcPr>
                  <w:tcW w:w="566" w:type="pct"/>
                  <w:vAlign w:val="center"/>
                </w:tcPr>
                <w:p w14:paraId="0518496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404" w:type="pct"/>
                  <w:vAlign w:val="center"/>
                </w:tcPr>
                <w:p w14:paraId="4A29A87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0DBDE4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4364AF46">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603AE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24EE9E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78" w:type="pct"/>
                  <w:vAlign w:val="center"/>
                </w:tcPr>
                <w:p w14:paraId="33CB5B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BMC边角料</w:t>
                  </w:r>
                </w:p>
              </w:tc>
              <w:tc>
                <w:tcPr>
                  <w:tcW w:w="561" w:type="pct"/>
                  <w:vAlign w:val="center"/>
                </w:tcPr>
                <w:p w14:paraId="2E23EF1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封装</w:t>
                  </w:r>
                </w:p>
              </w:tc>
              <w:tc>
                <w:tcPr>
                  <w:tcW w:w="394" w:type="pct"/>
                  <w:vAlign w:val="center"/>
                </w:tcPr>
                <w:p w14:paraId="6365034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552" w:type="pct"/>
                  <w:vAlign w:val="center"/>
                </w:tcPr>
                <w:p w14:paraId="21FC4A5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BMC</w:t>
                  </w:r>
                </w:p>
              </w:tc>
              <w:tc>
                <w:tcPr>
                  <w:tcW w:w="566" w:type="pct"/>
                  <w:vAlign w:val="center"/>
                </w:tcPr>
                <w:p w14:paraId="55F01A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404" w:type="pct"/>
                  <w:vAlign w:val="center"/>
                </w:tcPr>
                <w:p w14:paraId="4F6646F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68307B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4CE023EB">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3026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28DEED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78" w:type="pct"/>
                  <w:vAlign w:val="center"/>
                </w:tcPr>
                <w:p w14:paraId="59533F6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钢材边角料</w:t>
                  </w:r>
                </w:p>
              </w:tc>
              <w:tc>
                <w:tcPr>
                  <w:tcW w:w="561" w:type="pct"/>
                  <w:vAlign w:val="center"/>
                </w:tcPr>
                <w:p w14:paraId="3318FAC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394" w:type="pct"/>
                  <w:vAlign w:val="center"/>
                </w:tcPr>
                <w:p w14:paraId="1EE7935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固态</w:t>
                  </w:r>
                </w:p>
              </w:tc>
              <w:tc>
                <w:tcPr>
                  <w:tcW w:w="552" w:type="pct"/>
                  <w:vAlign w:val="center"/>
                </w:tcPr>
                <w:p w14:paraId="79F9398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钢材</w:t>
                  </w:r>
                </w:p>
              </w:tc>
              <w:tc>
                <w:tcPr>
                  <w:tcW w:w="566" w:type="pct"/>
                  <w:vAlign w:val="center"/>
                </w:tcPr>
                <w:p w14:paraId="77CB8E2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404" w:type="pct"/>
                  <w:vAlign w:val="center"/>
                </w:tcPr>
                <w:p w14:paraId="5E0586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7A44190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3EB561A1">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3CB84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6AE791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78" w:type="pct"/>
                  <w:vAlign w:val="center"/>
                </w:tcPr>
                <w:p w14:paraId="3EC5D2D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不合格品</w:t>
                  </w:r>
                </w:p>
              </w:tc>
              <w:tc>
                <w:tcPr>
                  <w:tcW w:w="561" w:type="pct"/>
                  <w:vAlign w:val="center"/>
                </w:tcPr>
                <w:p w14:paraId="100E515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测试</w:t>
                  </w:r>
                </w:p>
              </w:tc>
              <w:tc>
                <w:tcPr>
                  <w:tcW w:w="394" w:type="pct"/>
                  <w:vAlign w:val="center"/>
                </w:tcPr>
                <w:p w14:paraId="6EAB7A6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6ABA63C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66" w:type="pct"/>
                  <w:vAlign w:val="center"/>
                </w:tcPr>
                <w:p w14:paraId="1A1F965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04" w:type="pct"/>
                  <w:vAlign w:val="center"/>
                </w:tcPr>
                <w:p w14:paraId="79FAEE7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C2D621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61CA41EC">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6AD7D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0DB4DA0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678" w:type="pct"/>
                  <w:shd w:val="clear" w:color="auto" w:fill="auto"/>
                  <w:vAlign w:val="center"/>
                </w:tcPr>
                <w:p w14:paraId="78F546F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废布袋</w:t>
                  </w:r>
                </w:p>
              </w:tc>
              <w:tc>
                <w:tcPr>
                  <w:tcW w:w="561" w:type="pct"/>
                  <w:shd w:val="clear" w:color="auto" w:fill="auto"/>
                  <w:vAlign w:val="center"/>
                </w:tcPr>
                <w:p w14:paraId="6A142B9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73061A7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shd w:val="clear" w:color="auto" w:fill="auto"/>
                  <w:vAlign w:val="center"/>
                </w:tcPr>
                <w:p w14:paraId="0A379EB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66" w:type="pct"/>
                  <w:shd w:val="clear" w:color="auto" w:fill="auto"/>
                  <w:vAlign w:val="center"/>
                </w:tcPr>
                <w:p w14:paraId="3B5910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404" w:type="pct"/>
                  <w:shd w:val="clear" w:color="auto" w:fill="auto"/>
                  <w:vAlign w:val="center"/>
                </w:tcPr>
                <w:p w14:paraId="1B3B933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shd w:val="clear" w:color="auto" w:fill="auto"/>
                  <w:vAlign w:val="center"/>
                </w:tcPr>
                <w:p w14:paraId="51D0AC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0" w:type="pct"/>
                  <w:vMerge w:val="continue"/>
                  <w:vAlign w:val="center"/>
                </w:tcPr>
                <w:p w14:paraId="59C7FA23">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55D87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1A7C6D6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678" w:type="pct"/>
                  <w:shd w:val="clear" w:color="auto" w:fill="auto"/>
                  <w:vAlign w:val="center"/>
                </w:tcPr>
                <w:p w14:paraId="499B1E9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561" w:type="pct"/>
                  <w:shd w:val="clear" w:color="auto" w:fill="auto"/>
                  <w:vAlign w:val="center"/>
                </w:tcPr>
                <w:p w14:paraId="5DB6B1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1888003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shd w:val="clear" w:color="auto" w:fill="auto"/>
                  <w:vAlign w:val="center"/>
                </w:tcPr>
                <w:p w14:paraId="66CB695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66" w:type="pct"/>
                  <w:shd w:val="clear" w:color="auto" w:fill="auto"/>
                  <w:vAlign w:val="center"/>
                </w:tcPr>
                <w:p w14:paraId="7D97B5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0.2085</w:t>
                  </w:r>
                </w:p>
              </w:tc>
              <w:tc>
                <w:tcPr>
                  <w:tcW w:w="404" w:type="pct"/>
                  <w:shd w:val="clear" w:color="auto" w:fill="auto"/>
                  <w:vAlign w:val="center"/>
                </w:tcPr>
                <w:p w14:paraId="70D0FE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shd w:val="clear" w:color="auto" w:fill="auto"/>
                  <w:vAlign w:val="center"/>
                </w:tcPr>
                <w:p w14:paraId="3424B94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0" w:type="pct"/>
                  <w:vMerge w:val="continue"/>
                  <w:vAlign w:val="center"/>
                </w:tcPr>
                <w:p w14:paraId="37D6CB28">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04761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48ACA9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678" w:type="pct"/>
                  <w:vAlign w:val="center"/>
                </w:tcPr>
                <w:p w14:paraId="2E8BCAA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废乳化液</w:t>
                  </w:r>
                </w:p>
              </w:tc>
              <w:tc>
                <w:tcPr>
                  <w:tcW w:w="561" w:type="pct"/>
                  <w:vAlign w:val="center"/>
                </w:tcPr>
                <w:p w14:paraId="47A0A23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p>
              </w:tc>
              <w:tc>
                <w:tcPr>
                  <w:tcW w:w="394" w:type="pct"/>
                  <w:vAlign w:val="center"/>
                </w:tcPr>
                <w:p w14:paraId="7F0414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552" w:type="pct"/>
                  <w:vAlign w:val="center"/>
                </w:tcPr>
                <w:p w14:paraId="021E79C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乳化液</w:t>
                  </w:r>
                </w:p>
              </w:tc>
              <w:tc>
                <w:tcPr>
                  <w:tcW w:w="566" w:type="pct"/>
                  <w:vAlign w:val="center"/>
                </w:tcPr>
                <w:p w14:paraId="5AED921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404" w:type="pct"/>
                  <w:vAlign w:val="center"/>
                </w:tcPr>
                <w:p w14:paraId="7C34511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E3500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44876C59">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22C90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53121AE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678" w:type="pct"/>
                  <w:vAlign w:val="center"/>
                </w:tcPr>
                <w:p w14:paraId="6C482DD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清洗废液</w:t>
                  </w:r>
                </w:p>
              </w:tc>
              <w:tc>
                <w:tcPr>
                  <w:tcW w:w="561" w:type="pct"/>
                  <w:vAlign w:val="center"/>
                </w:tcPr>
                <w:p w14:paraId="05233E7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w:t>
                  </w:r>
                </w:p>
              </w:tc>
              <w:tc>
                <w:tcPr>
                  <w:tcW w:w="394" w:type="pct"/>
                  <w:vAlign w:val="center"/>
                </w:tcPr>
                <w:p w14:paraId="1974E93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552" w:type="pct"/>
                  <w:vAlign w:val="center"/>
                </w:tcPr>
                <w:p w14:paraId="5785CB0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清洗剂</w:t>
                  </w:r>
                </w:p>
              </w:tc>
              <w:tc>
                <w:tcPr>
                  <w:tcW w:w="566" w:type="pct"/>
                  <w:vAlign w:val="center"/>
                </w:tcPr>
                <w:p w14:paraId="4A29146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404" w:type="pct"/>
                  <w:vAlign w:val="center"/>
                </w:tcPr>
                <w:p w14:paraId="0F9CDB9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14B701D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1BDF5F06">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4B8E1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04EB73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678" w:type="pct"/>
                  <w:vAlign w:val="center"/>
                </w:tcPr>
                <w:p w14:paraId="11A9631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研磨废</w:t>
                  </w:r>
                  <w:r>
                    <w:rPr>
                      <w:rFonts w:hint="eastAsia" w:ascii="Times New Roman" w:hAnsi="Times New Roman" w:eastAsia="宋体" w:cs="Times New Roman"/>
                      <w:color w:val="auto"/>
                      <w:sz w:val="21"/>
                      <w:szCs w:val="21"/>
                      <w:lang w:val="en-US" w:eastAsia="zh-CN"/>
                    </w:rPr>
                    <w:t>渣</w:t>
                  </w:r>
                </w:p>
              </w:tc>
              <w:tc>
                <w:tcPr>
                  <w:tcW w:w="561" w:type="pct"/>
                  <w:vAlign w:val="center"/>
                </w:tcPr>
                <w:p w14:paraId="5756C02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研磨</w:t>
                  </w:r>
                </w:p>
              </w:tc>
              <w:tc>
                <w:tcPr>
                  <w:tcW w:w="394" w:type="pct"/>
                  <w:vAlign w:val="center"/>
                </w:tcPr>
                <w:p w14:paraId="5229F18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6A6E174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乳化液、钢材</w:t>
                  </w:r>
                </w:p>
              </w:tc>
              <w:tc>
                <w:tcPr>
                  <w:tcW w:w="566" w:type="pct"/>
                  <w:vAlign w:val="center"/>
                </w:tcPr>
                <w:p w14:paraId="30C5B7B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04" w:type="pct"/>
                  <w:vAlign w:val="center"/>
                </w:tcPr>
                <w:p w14:paraId="2E04FD8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56E0B2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0" w:type="pct"/>
                  <w:vMerge w:val="continue"/>
                  <w:vAlign w:val="center"/>
                </w:tcPr>
                <w:p w14:paraId="4F14A4F7">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0805B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6D5779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678" w:type="pct"/>
                  <w:vAlign w:val="center"/>
                </w:tcPr>
                <w:p w14:paraId="27B8D94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废润滑油</w:t>
                  </w:r>
                </w:p>
              </w:tc>
              <w:tc>
                <w:tcPr>
                  <w:tcW w:w="561" w:type="pct"/>
                  <w:vAlign w:val="center"/>
                </w:tcPr>
                <w:p w14:paraId="15E2B16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设备维护</w:t>
                  </w:r>
                </w:p>
              </w:tc>
              <w:tc>
                <w:tcPr>
                  <w:tcW w:w="394" w:type="pct"/>
                  <w:vAlign w:val="center"/>
                </w:tcPr>
                <w:p w14:paraId="07B2B73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18349B2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66" w:type="pct"/>
                  <w:vAlign w:val="center"/>
                </w:tcPr>
                <w:p w14:paraId="5ED19E4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404" w:type="pct"/>
                  <w:vAlign w:val="center"/>
                </w:tcPr>
                <w:p w14:paraId="0781FD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4E70FC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0" w:type="pct"/>
                  <w:vMerge w:val="continue"/>
                  <w:vAlign w:val="center"/>
                </w:tcPr>
                <w:p w14:paraId="0941BF30">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6B412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708A30D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78" w:type="pct"/>
                  <w:vAlign w:val="center"/>
                </w:tcPr>
                <w:p w14:paraId="0C5668C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废桶</w:t>
                  </w:r>
                </w:p>
              </w:tc>
              <w:tc>
                <w:tcPr>
                  <w:tcW w:w="561" w:type="pct"/>
                  <w:vAlign w:val="center"/>
                </w:tcPr>
                <w:p w14:paraId="79229A8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w:t>
                  </w:r>
                </w:p>
              </w:tc>
              <w:tc>
                <w:tcPr>
                  <w:tcW w:w="394" w:type="pct"/>
                  <w:vAlign w:val="center"/>
                </w:tcPr>
                <w:p w14:paraId="06009D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4A0F29A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66" w:type="pct"/>
                  <w:vAlign w:val="center"/>
                </w:tcPr>
                <w:p w14:paraId="48EBF2D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404" w:type="pct"/>
                  <w:vAlign w:val="center"/>
                </w:tcPr>
                <w:p w14:paraId="6A38C01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C1FA5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0D1D8210">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5E12C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5F03BAB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678" w:type="pct"/>
                  <w:vAlign w:val="center"/>
                </w:tcPr>
                <w:p w14:paraId="252B47D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含油抹布</w:t>
                  </w:r>
                </w:p>
              </w:tc>
              <w:tc>
                <w:tcPr>
                  <w:tcW w:w="561" w:type="pct"/>
                  <w:vAlign w:val="center"/>
                </w:tcPr>
                <w:p w14:paraId="3FC0B7F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设备维护</w:t>
                  </w:r>
                </w:p>
              </w:tc>
              <w:tc>
                <w:tcPr>
                  <w:tcW w:w="394" w:type="pct"/>
                  <w:vAlign w:val="center"/>
                </w:tcPr>
                <w:p w14:paraId="797A1BD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037C102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66" w:type="pct"/>
                  <w:vAlign w:val="center"/>
                </w:tcPr>
                <w:p w14:paraId="6ECD7E0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0.156</w:t>
                  </w:r>
                </w:p>
              </w:tc>
              <w:tc>
                <w:tcPr>
                  <w:tcW w:w="404" w:type="pct"/>
                  <w:vAlign w:val="center"/>
                </w:tcPr>
                <w:p w14:paraId="68841C1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51F4F34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0" w:type="pct"/>
                  <w:vMerge w:val="continue"/>
                  <w:vAlign w:val="center"/>
                </w:tcPr>
                <w:p w14:paraId="24F837FA">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267A4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3C0F864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678" w:type="pct"/>
                  <w:shd w:val="clear" w:color="auto" w:fill="auto"/>
                  <w:vAlign w:val="center"/>
                </w:tcPr>
                <w:p w14:paraId="7C8F7BA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废活性炭</w:t>
                  </w:r>
                </w:p>
              </w:tc>
              <w:tc>
                <w:tcPr>
                  <w:tcW w:w="561" w:type="pct"/>
                  <w:shd w:val="clear" w:color="auto" w:fill="auto"/>
                  <w:vAlign w:val="center"/>
                </w:tcPr>
                <w:p w14:paraId="19CE968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4676C34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2" w:type="pct"/>
                  <w:shd w:val="clear" w:color="auto" w:fill="auto"/>
                  <w:vAlign w:val="center"/>
                </w:tcPr>
                <w:p w14:paraId="2B22DD6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有机物</w:t>
                  </w:r>
                </w:p>
              </w:tc>
              <w:tc>
                <w:tcPr>
                  <w:tcW w:w="566" w:type="pct"/>
                  <w:shd w:val="clear" w:color="auto" w:fill="auto"/>
                  <w:vAlign w:val="center"/>
                </w:tcPr>
                <w:p w14:paraId="206E0F3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7.93</w:t>
                  </w:r>
                </w:p>
              </w:tc>
              <w:tc>
                <w:tcPr>
                  <w:tcW w:w="404" w:type="pct"/>
                  <w:shd w:val="clear" w:color="auto" w:fill="auto"/>
                  <w:vAlign w:val="center"/>
                </w:tcPr>
                <w:p w14:paraId="32E8686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shd w:val="clear" w:color="auto" w:fill="auto"/>
                  <w:vAlign w:val="center"/>
                </w:tcPr>
                <w:p w14:paraId="1077014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0" w:type="pct"/>
                  <w:vMerge w:val="continue"/>
                  <w:vAlign w:val="center"/>
                </w:tcPr>
                <w:p w14:paraId="5283DDE4">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bl>
          <w:p w14:paraId="3C7FF10E">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3、固体废物产生情况汇总</w:t>
            </w:r>
          </w:p>
          <w:p w14:paraId="34E52D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年版），判定建设项目固体废物是否属于危险固废。本项目固体废物产生情况汇总见表4-</w:t>
            </w:r>
            <w:r>
              <w:rPr>
                <w:rFonts w:hint="eastAsia"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rPr>
              <w:t>。</w:t>
            </w:r>
          </w:p>
          <w:p w14:paraId="39373B3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19</w:t>
            </w:r>
            <w:r>
              <w:rPr>
                <w:rFonts w:hint="default" w:ascii="Times New Roman" w:hAnsi="Times New Roman" w:eastAsia="宋体" w:cs="Times New Roman"/>
                <w:b/>
                <w:color w:val="auto"/>
                <w:sz w:val="24"/>
              </w:rPr>
              <w:t xml:space="preserve">  固体废物类别判定表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113"/>
              <w:gridCol w:w="560"/>
              <w:gridCol w:w="762"/>
              <w:gridCol w:w="488"/>
              <w:gridCol w:w="1016"/>
              <w:gridCol w:w="789"/>
              <w:gridCol w:w="880"/>
              <w:gridCol w:w="1423"/>
              <w:gridCol w:w="891"/>
            </w:tblGrid>
            <w:tr w14:paraId="2414C7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73EFAE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66" w:type="pct"/>
                  <w:vAlign w:val="center"/>
                </w:tcPr>
                <w:p w14:paraId="1E7050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335" w:type="pct"/>
                  <w:vAlign w:val="center"/>
                </w:tcPr>
                <w:p w14:paraId="51CC43C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456" w:type="pct"/>
                  <w:vAlign w:val="center"/>
                </w:tcPr>
                <w:p w14:paraId="047C143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292" w:type="pct"/>
                  <w:vAlign w:val="center"/>
                </w:tcPr>
                <w:p w14:paraId="2C21960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608" w:type="pct"/>
                  <w:vAlign w:val="center"/>
                </w:tcPr>
                <w:p w14:paraId="41C18F6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472" w:type="pct"/>
                  <w:vAlign w:val="center"/>
                </w:tcPr>
                <w:p w14:paraId="4BF6819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527" w:type="pct"/>
                  <w:vAlign w:val="center"/>
                </w:tcPr>
                <w:p w14:paraId="00BF82B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废物类别</w:t>
                  </w:r>
                </w:p>
              </w:tc>
              <w:tc>
                <w:tcPr>
                  <w:tcW w:w="852" w:type="pct"/>
                  <w:vAlign w:val="center"/>
                </w:tcPr>
                <w:p w14:paraId="3AA9E1E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533" w:type="pct"/>
                  <w:vAlign w:val="center"/>
                </w:tcPr>
                <w:p w14:paraId="01AEF44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估算产生量（t/a）</w:t>
                  </w:r>
                </w:p>
              </w:tc>
            </w:tr>
            <w:tr w14:paraId="58074A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247962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66" w:type="pct"/>
                  <w:shd w:val="clear" w:color="auto" w:fill="auto"/>
                  <w:vAlign w:val="center"/>
                </w:tcPr>
                <w:p w14:paraId="4B8BF25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废乳化液</w:t>
                  </w:r>
                </w:p>
              </w:tc>
              <w:tc>
                <w:tcPr>
                  <w:tcW w:w="335" w:type="pct"/>
                  <w:vMerge w:val="restart"/>
                  <w:vAlign w:val="center"/>
                </w:tcPr>
                <w:p w14:paraId="7F68C4D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w:t>
                  </w:r>
                </w:p>
              </w:tc>
              <w:tc>
                <w:tcPr>
                  <w:tcW w:w="456" w:type="pct"/>
                  <w:shd w:val="clear" w:color="auto" w:fill="auto"/>
                  <w:vAlign w:val="center"/>
                </w:tcPr>
                <w:p w14:paraId="4D97CAD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w:t>
                  </w:r>
                </w:p>
              </w:tc>
              <w:tc>
                <w:tcPr>
                  <w:tcW w:w="292" w:type="pct"/>
                  <w:shd w:val="clear" w:color="auto" w:fill="auto"/>
                  <w:vAlign w:val="center"/>
                </w:tcPr>
                <w:p w14:paraId="7148ACD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08" w:type="pct"/>
                  <w:shd w:val="clear" w:color="auto" w:fill="auto"/>
                  <w:vAlign w:val="center"/>
                </w:tcPr>
                <w:p w14:paraId="248757D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乳化液</w:t>
                  </w:r>
                </w:p>
              </w:tc>
              <w:tc>
                <w:tcPr>
                  <w:tcW w:w="472" w:type="pct"/>
                  <w:vAlign w:val="center"/>
                </w:tcPr>
                <w:p w14:paraId="0503A59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18"/>
                      <w:sz w:val="21"/>
                      <w:szCs w:val="21"/>
                      <w:highlight w:val="none"/>
                      <w:lang w:val="en-US" w:eastAsia="zh-CN" w:bidi="ar"/>
                    </w:rPr>
                    <w:t>T</w:t>
                  </w:r>
                </w:p>
              </w:tc>
              <w:tc>
                <w:tcPr>
                  <w:tcW w:w="527" w:type="pct"/>
                  <w:shd w:val="clear" w:color="auto" w:fill="auto"/>
                  <w:vAlign w:val="center"/>
                </w:tcPr>
                <w:p w14:paraId="0BC43399">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tc>
              <w:tc>
                <w:tcPr>
                  <w:tcW w:w="852" w:type="pct"/>
                  <w:shd w:val="clear" w:color="auto" w:fill="auto"/>
                  <w:vAlign w:val="center"/>
                </w:tcPr>
                <w:p w14:paraId="581C080A">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900-00</w:t>
                  </w:r>
                  <w:r>
                    <w:rPr>
                      <w:rFonts w:hint="eastAsia" w:ascii="Times New Roman" w:hAnsi="Times New Roman"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-09</w:t>
                  </w:r>
                </w:p>
              </w:tc>
              <w:tc>
                <w:tcPr>
                  <w:tcW w:w="533" w:type="pct"/>
                  <w:shd w:val="clear" w:color="auto" w:fill="auto"/>
                  <w:vAlign w:val="center"/>
                </w:tcPr>
                <w:p w14:paraId="384AB0A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1.76</w:t>
                  </w:r>
                </w:p>
              </w:tc>
            </w:tr>
            <w:tr w14:paraId="3EFC77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23D470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66" w:type="pct"/>
                  <w:shd w:val="clear" w:color="auto" w:fill="auto"/>
                  <w:vAlign w:val="center"/>
                </w:tcPr>
                <w:p w14:paraId="3F4BC0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清洗废液</w:t>
                  </w:r>
                </w:p>
              </w:tc>
              <w:tc>
                <w:tcPr>
                  <w:tcW w:w="335" w:type="pct"/>
                  <w:vMerge w:val="continue"/>
                  <w:vAlign w:val="center"/>
                </w:tcPr>
                <w:p w14:paraId="7DDC6877">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4A44E1A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清洗</w:t>
                  </w:r>
                </w:p>
              </w:tc>
              <w:tc>
                <w:tcPr>
                  <w:tcW w:w="292" w:type="pct"/>
                  <w:shd w:val="clear" w:color="auto" w:fill="auto"/>
                  <w:vAlign w:val="center"/>
                </w:tcPr>
                <w:p w14:paraId="5A69E6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08" w:type="pct"/>
                  <w:shd w:val="clear" w:color="auto" w:fill="auto"/>
                  <w:vAlign w:val="center"/>
                </w:tcPr>
                <w:p w14:paraId="211AE75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清洗剂</w:t>
                  </w:r>
                </w:p>
              </w:tc>
              <w:tc>
                <w:tcPr>
                  <w:tcW w:w="472" w:type="pct"/>
                  <w:vAlign w:val="center"/>
                </w:tcPr>
                <w:p w14:paraId="68B681F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18"/>
                      <w:sz w:val="21"/>
                      <w:szCs w:val="21"/>
                      <w:highlight w:val="none"/>
                      <w:lang w:val="en-US" w:eastAsia="zh-CN" w:bidi="ar"/>
                    </w:rPr>
                    <w:t>T</w:t>
                  </w:r>
                </w:p>
              </w:tc>
              <w:tc>
                <w:tcPr>
                  <w:tcW w:w="527" w:type="pct"/>
                  <w:shd w:val="clear" w:color="auto" w:fill="auto"/>
                  <w:vAlign w:val="center"/>
                </w:tcPr>
                <w:p w14:paraId="6518842F">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w:t>
                  </w:r>
                  <w:r>
                    <w:rPr>
                      <w:rFonts w:hint="eastAsia" w:ascii="Times New Roman" w:hAnsi="Times New Roman" w:cs="Times New Roman"/>
                      <w:b w:val="0"/>
                      <w:bCs/>
                      <w:color w:val="auto"/>
                      <w:kern w:val="18"/>
                      <w:sz w:val="21"/>
                      <w:szCs w:val="21"/>
                      <w:highlight w:val="none"/>
                      <w:lang w:val="en-US" w:eastAsia="zh-CN" w:bidi="ar"/>
                    </w:rPr>
                    <w:t>9</w:t>
                  </w:r>
                </w:p>
              </w:tc>
              <w:tc>
                <w:tcPr>
                  <w:tcW w:w="852" w:type="pct"/>
                  <w:shd w:val="clear" w:color="auto" w:fill="auto"/>
                  <w:vAlign w:val="center"/>
                </w:tcPr>
                <w:p w14:paraId="23152D47">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w:t>
                  </w:r>
                  <w:r>
                    <w:rPr>
                      <w:rFonts w:hint="eastAsia" w:ascii="Times New Roman" w:hAnsi="Times New Roman" w:cs="Times New Roman"/>
                      <w:b w:val="0"/>
                      <w:bCs/>
                      <w:color w:val="auto"/>
                      <w:sz w:val="21"/>
                      <w:szCs w:val="21"/>
                      <w:highlight w:val="none"/>
                      <w:lang w:val="en-US" w:eastAsia="zh-CN"/>
                    </w:rPr>
                    <w:t>007</w:t>
                  </w:r>
                  <w:r>
                    <w:rPr>
                      <w:rFonts w:hint="eastAsia" w:ascii="Times New Roman" w:hAnsi="Times New Roman" w:eastAsia="宋体" w:cs="Times New Roman"/>
                      <w:b w:val="0"/>
                      <w:bCs/>
                      <w:color w:val="auto"/>
                      <w:sz w:val="21"/>
                      <w:szCs w:val="21"/>
                      <w:highlight w:val="none"/>
                      <w:lang w:val="en-US" w:eastAsia="zh-CN"/>
                    </w:rPr>
                    <w:t>-0</w:t>
                  </w:r>
                  <w:r>
                    <w:rPr>
                      <w:rFonts w:hint="eastAsia" w:ascii="Times New Roman" w:hAnsi="Times New Roman" w:cs="Times New Roman"/>
                      <w:b w:val="0"/>
                      <w:bCs/>
                      <w:color w:val="auto"/>
                      <w:sz w:val="21"/>
                      <w:szCs w:val="21"/>
                      <w:highlight w:val="none"/>
                      <w:lang w:val="en-US" w:eastAsia="zh-CN"/>
                    </w:rPr>
                    <w:t>9</w:t>
                  </w:r>
                </w:p>
              </w:tc>
              <w:tc>
                <w:tcPr>
                  <w:tcW w:w="533" w:type="pct"/>
                  <w:shd w:val="clear" w:color="auto" w:fill="auto"/>
                  <w:vAlign w:val="center"/>
                </w:tcPr>
                <w:p w14:paraId="0DEB7D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1.68</w:t>
                  </w:r>
                </w:p>
              </w:tc>
            </w:tr>
            <w:tr w14:paraId="127AD0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CD6CC8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666" w:type="pct"/>
                  <w:shd w:val="clear" w:color="auto" w:fill="auto"/>
                  <w:vAlign w:val="center"/>
                </w:tcPr>
                <w:p w14:paraId="45EC29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w:t>
                  </w:r>
                  <w:r>
                    <w:rPr>
                      <w:rFonts w:hint="eastAsia" w:ascii="Times New Roman" w:hAnsi="Times New Roman" w:eastAsia="宋体" w:cs="Times New Roman"/>
                      <w:color w:val="auto"/>
                      <w:sz w:val="21"/>
                      <w:szCs w:val="21"/>
                      <w:lang w:val="en-US" w:eastAsia="zh-CN"/>
                    </w:rPr>
                    <w:t>渣</w:t>
                  </w:r>
                </w:p>
              </w:tc>
              <w:tc>
                <w:tcPr>
                  <w:tcW w:w="335" w:type="pct"/>
                  <w:vMerge w:val="continue"/>
                  <w:vAlign w:val="center"/>
                </w:tcPr>
                <w:p w14:paraId="277E2798">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45CA30F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研磨</w:t>
                  </w:r>
                </w:p>
              </w:tc>
              <w:tc>
                <w:tcPr>
                  <w:tcW w:w="292" w:type="pct"/>
                  <w:shd w:val="clear" w:color="auto" w:fill="auto"/>
                  <w:vAlign w:val="center"/>
                </w:tcPr>
                <w:p w14:paraId="759EE1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588F811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乳化液、钢材</w:t>
                  </w:r>
                </w:p>
              </w:tc>
              <w:tc>
                <w:tcPr>
                  <w:tcW w:w="472" w:type="pct"/>
                  <w:shd w:val="clear" w:color="auto" w:fill="auto"/>
                  <w:vAlign w:val="center"/>
                </w:tcPr>
                <w:p w14:paraId="5751E92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val="en-US" w:eastAsia="zh-CN"/>
                    </w:rPr>
                    <w:t>/C</w:t>
                  </w:r>
                </w:p>
              </w:tc>
              <w:tc>
                <w:tcPr>
                  <w:tcW w:w="527" w:type="pct"/>
                  <w:shd w:val="clear" w:color="auto" w:fill="auto"/>
                  <w:vAlign w:val="center"/>
                </w:tcPr>
                <w:p w14:paraId="5CEDBE62">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w:t>
                  </w:r>
                  <w:r>
                    <w:rPr>
                      <w:rFonts w:hint="eastAsia" w:ascii="Times New Roman" w:hAnsi="Times New Roman" w:cs="Times New Roman"/>
                      <w:b w:val="0"/>
                      <w:bCs/>
                      <w:color w:val="auto"/>
                      <w:kern w:val="18"/>
                      <w:sz w:val="21"/>
                      <w:szCs w:val="21"/>
                      <w:highlight w:val="none"/>
                      <w:lang w:val="en-US" w:eastAsia="zh-CN" w:bidi="ar"/>
                    </w:rPr>
                    <w:t>17</w:t>
                  </w:r>
                </w:p>
              </w:tc>
              <w:tc>
                <w:tcPr>
                  <w:tcW w:w="852" w:type="pct"/>
                  <w:shd w:val="clear" w:color="auto" w:fill="auto"/>
                  <w:vAlign w:val="center"/>
                </w:tcPr>
                <w:p w14:paraId="73B3B49E">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336</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064</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17</w:t>
                  </w:r>
                </w:p>
              </w:tc>
              <w:tc>
                <w:tcPr>
                  <w:tcW w:w="533" w:type="pct"/>
                  <w:shd w:val="clear" w:color="auto" w:fill="auto"/>
                  <w:vAlign w:val="center"/>
                </w:tcPr>
                <w:p w14:paraId="6DEAEF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r>
            <w:tr w14:paraId="17DB15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23894D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66" w:type="pct"/>
                  <w:shd w:val="clear" w:color="auto" w:fill="auto"/>
                  <w:vAlign w:val="center"/>
                </w:tcPr>
                <w:p w14:paraId="66AECBE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w:t>
                  </w:r>
                </w:p>
              </w:tc>
              <w:tc>
                <w:tcPr>
                  <w:tcW w:w="335" w:type="pct"/>
                  <w:vMerge w:val="continue"/>
                  <w:vAlign w:val="center"/>
                </w:tcPr>
                <w:p w14:paraId="2C31FC16">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351062D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设备维护</w:t>
                  </w:r>
                </w:p>
              </w:tc>
              <w:tc>
                <w:tcPr>
                  <w:tcW w:w="292" w:type="pct"/>
                  <w:shd w:val="clear" w:color="auto" w:fill="auto"/>
                  <w:vAlign w:val="center"/>
                </w:tcPr>
                <w:p w14:paraId="4A4435A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33435DA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矿物油</w:t>
                  </w:r>
                </w:p>
              </w:tc>
              <w:tc>
                <w:tcPr>
                  <w:tcW w:w="472" w:type="pct"/>
                  <w:shd w:val="clear" w:color="auto" w:fill="auto"/>
                  <w:vAlign w:val="center"/>
                </w:tcPr>
                <w:p w14:paraId="6E03CFB3">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T、I</w:t>
                  </w:r>
                </w:p>
              </w:tc>
              <w:tc>
                <w:tcPr>
                  <w:tcW w:w="527" w:type="pct"/>
                  <w:shd w:val="clear" w:color="auto" w:fill="auto"/>
                  <w:vAlign w:val="center"/>
                </w:tcPr>
                <w:p w14:paraId="4FDABF24">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HW08</w:t>
                  </w:r>
                </w:p>
              </w:tc>
              <w:tc>
                <w:tcPr>
                  <w:tcW w:w="852" w:type="pct"/>
                  <w:shd w:val="clear" w:color="auto" w:fill="auto"/>
                  <w:vAlign w:val="center"/>
                </w:tcPr>
                <w:p w14:paraId="2EDC598E">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900-249-08</w:t>
                  </w:r>
                </w:p>
              </w:tc>
              <w:tc>
                <w:tcPr>
                  <w:tcW w:w="533" w:type="pct"/>
                  <w:shd w:val="clear" w:color="auto" w:fill="auto"/>
                  <w:vAlign w:val="center"/>
                </w:tcPr>
                <w:p w14:paraId="5EA2210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r>
            <w:tr w14:paraId="24B8D8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45B1F56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666" w:type="pct"/>
                  <w:shd w:val="clear" w:color="auto" w:fill="auto"/>
                  <w:vAlign w:val="center"/>
                </w:tcPr>
                <w:p w14:paraId="76AB4B7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废桶</w:t>
                  </w:r>
                </w:p>
              </w:tc>
              <w:tc>
                <w:tcPr>
                  <w:tcW w:w="335" w:type="pct"/>
                  <w:vMerge w:val="continue"/>
                  <w:vAlign w:val="center"/>
                </w:tcPr>
                <w:p w14:paraId="2F034E94">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5FA84BB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生产</w:t>
                  </w:r>
                </w:p>
              </w:tc>
              <w:tc>
                <w:tcPr>
                  <w:tcW w:w="292" w:type="pct"/>
                  <w:shd w:val="clear" w:color="auto" w:fill="auto"/>
                  <w:vAlign w:val="center"/>
                </w:tcPr>
                <w:p w14:paraId="23B5A4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43F39B8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矿物油</w:t>
                  </w:r>
                </w:p>
              </w:tc>
              <w:tc>
                <w:tcPr>
                  <w:tcW w:w="472" w:type="pct"/>
                  <w:shd w:val="clear" w:color="auto" w:fill="auto"/>
                  <w:vAlign w:val="center"/>
                </w:tcPr>
                <w:p w14:paraId="6DADCB2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w:t>
                  </w:r>
                </w:p>
              </w:tc>
              <w:tc>
                <w:tcPr>
                  <w:tcW w:w="527" w:type="pct"/>
                  <w:shd w:val="clear" w:color="auto" w:fill="auto"/>
                  <w:vAlign w:val="center"/>
                </w:tcPr>
                <w:p w14:paraId="3FC56AE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52" w:type="pct"/>
                  <w:shd w:val="clear" w:color="auto" w:fill="auto"/>
                  <w:vAlign w:val="center"/>
                </w:tcPr>
                <w:p w14:paraId="0007497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33" w:type="pct"/>
                  <w:shd w:val="clear" w:color="auto" w:fill="auto"/>
                  <w:vAlign w:val="center"/>
                </w:tcPr>
                <w:p w14:paraId="05DD156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r>
            <w:tr w14:paraId="66D4F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5F539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666" w:type="pct"/>
                  <w:shd w:val="clear" w:color="auto" w:fill="auto"/>
                  <w:vAlign w:val="center"/>
                </w:tcPr>
                <w:p w14:paraId="7947BAB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含油抹布</w:t>
                  </w:r>
                </w:p>
              </w:tc>
              <w:tc>
                <w:tcPr>
                  <w:tcW w:w="335" w:type="pct"/>
                  <w:vMerge w:val="continue"/>
                  <w:vAlign w:val="center"/>
                </w:tcPr>
                <w:p w14:paraId="57A6EC7C">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6F0DA69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设备维护</w:t>
                  </w:r>
                </w:p>
              </w:tc>
              <w:tc>
                <w:tcPr>
                  <w:tcW w:w="292" w:type="pct"/>
                  <w:shd w:val="clear" w:color="auto" w:fill="auto"/>
                  <w:vAlign w:val="center"/>
                </w:tcPr>
                <w:p w14:paraId="2B37FA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6CF67B8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矿物油</w:t>
                  </w:r>
                </w:p>
              </w:tc>
              <w:tc>
                <w:tcPr>
                  <w:tcW w:w="472" w:type="pct"/>
                  <w:shd w:val="clear" w:color="auto" w:fill="auto"/>
                  <w:vAlign w:val="center"/>
                </w:tcPr>
                <w:p w14:paraId="5BC9A71A">
                  <w:pPr>
                    <w:tabs>
                      <w:tab w:val="left" w:pos="2340"/>
                    </w:tabs>
                    <w:autoSpaceDE w:val="0"/>
                    <w:autoSpaceDN w:val="0"/>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Cs w:val="21"/>
                    </w:rPr>
                    <w:t>T/In</w:t>
                  </w:r>
                </w:p>
              </w:tc>
              <w:tc>
                <w:tcPr>
                  <w:tcW w:w="527" w:type="pct"/>
                  <w:shd w:val="clear" w:color="auto" w:fill="auto"/>
                  <w:vAlign w:val="center"/>
                </w:tcPr>
                <w:p w14:paraId="2107D5A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HW49</w:t>
                  </w:r>
                </w:p>
              </w:tc>
              <w:tc>
                <w:tcPr>
                  <w:tcW w:w="852" w:type="pct"/>
                  <w:shd w:val="clear" w:color="auto" w:fill="auto"/>
                  <w:vAlign w:val="center"/>
                </w:tcPr>
                <w:p w14:paraId="1441C0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900-041-49</w:t>
                  </w:r>
                </w:p>
              </w:tc>
              <w:tc>
                <w:tcPr>
                  <w:tcW w:w="533" w:type="pct"/>
                  <w:shd w:val="clear" w:color="auto" w:fill="auto"/>
                  <w:vAlign w:val="center"/>
                </w:tcPr>
                <w:p w14:paraId="381DD8D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0.156</w:t>
                  </w:r>
                </w:p>
              </w:tc>
            </w:tr>
            <w:tr w14:paraId="791ED0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335305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666" w:type="pct"/>
                  <w:shd w:val="clear" w:color="auto" w:fill="auto"/>
                  <w:vAlign w:val="center"/>
                </w:tcPr>
                <w:p w14:paraId="661499B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335" w:type="pct"/>
                  <w:vMerge w:val="continue"/>
                  <w:shd w:val="clear" w:color="auto" w:fill="auto"/>
                  <w:vAlign w:val="center"/>
                </w:tcPr>
                <w:p w14:paraId="3E3DB300">
                  <w:pPr>
                    <w:jc w:val="center"/>
                    <w:rPr>
                      <w:rFonts w:hint="default" w:ascii="Times New Roman" w:hAnsi="Times New Roman" w:eastAsia="宋体" w:cs="Times New Roman"/>
                      <w:color w:val="auto"/>
                      <w:kern w:val="2"/>
                      <w:sz w:val="21"/>
                      <w:szCs w:val="21"/>
                      <w:lang w:val="en-US" w:eastAsia="zh-CN" w:bidi="ar-SA"/>
                    </w:rPr>
                  </w:pPr>
                </w:p>
              </w:tc>
              <w:tc>
                <w:tcPr>
                  <w:tcW w:w="456" w:type="pct"/>
                  <w:shd w:val="clear" w:color="auto" w:fill="auto"/>
                  <w:vAlign w:val="center"/>
                </w:tcPr>
                <w:p w14:paraId="7DF9B784">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废气处理</w:t>
                  </w:r>
                </w:p>
              </w:tc>
              <w:tc>
                <w:tcPr>
                  <w:tcW w:w="292" w:type="pct"/>
                  <w:shd w:val="clear" w:color="auto" w:fill="auto"/>
                  <w:vAlign w:val="center"/>
                </w:tcPr>
                <w:p w14:paraId="38BCA07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w:t>
                  </w:r>
                </w:p>
              </w:tc>
              <w:tc>
                <w:tcPr>
                  <w:tcW w:w="608" w:type="pct"/>
                  <w:shd w:val="clear" w:color="auto" w:fill="auto"/>
                  <w:vAlign w:val="center"/>
                </w:tcPr>
                <w:p w14:paraId="1708F9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有机物</w:t>
                  </w:r>
                </w:p>
              </w:tc>
              <w:tc>
                <w:tcPr>
                  <w:tcW w:w="472" w:type="pct"/>
                  <w:shd w:val="clear" w:color="auto" w:fill="auto"/>
                  <w:vAlign w:val="center"/>
                </w:tcPr>
                <w:p w14:paraId="18D94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T/In</w:t>
                  </w:r>
                </w:p>
              </w:tc>
              <w:tc>
                <w:tcPr>
                  <w:tcW w:w="527" w:type="pct"/>
                  <w:shd w:val="clear" w:color="auto" w:fill="auto"/>
                  <w:vAlign w:val="center"/>
                </w:tcPr>
                <w:p w14:paraId="0E5E6ED9">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52" w:type="pct"/>
                  <w:shd w:val="clear" w:color="auto" w:fill="auto"/>
                  <w:vAlign w:val="center"/>
                </w:tcPr>
                <w:p w14:paraId="62F39F5E">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533" w:type="pct"/>
                  <w:shd w:val="clear" w:color="auto" w:fill="auto"/>
                  <w:vAlign w:val="center"/>
                </w:tcPr>
                <w:p w14:paraId="58743C5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7.93</w:t>
                  </w:r>
                </w:p>
              </w:tc>
            </w:tr>
            <w:tr w14:paraId="25562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BA9DA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666" w:type="pct"/>
                  <w:shd w:val="clear" w:color="auto" w:fill="auto"/>
                  <w:vAlign w:val="center"/>
                </w:tcPr>
                <w:p w14:paraId="4203A1C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硅钢片边角料</w:t>
                  </w:r>
                </w:p>
              </w:tc>
              <w:tc>
                <w:tcPr>
                  <w:tcW w:w="335" w:type="pct"/>
                  <w:vMerge w:val="restart"/>
                  <w:vAlign w:val="center"/>
                </w:tcPr>
                <w:p w14:paraId="7A9876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456" w:type="pct"/>
                  <w:shd w:val="clear" w:color="auto" w:fill="auto"/>
                  <w:vAlign w:val="center"/>
                </w:tcPr>
                <w:p w14:paraId="53FCBFF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292" w:type="pct"/>
                  <w:shd w:val="clear" w:color="auto" w:fill="auto"/>
                  <w:vAlign w:val="center"/>
                </w:tcPr>
                <w:p w14:paraId="382C48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08" w:type="pct"/>
                  <w:shd w:val="clear" w:color="auto" w:fill="auto"/>
                  <w:vAlign w:val="center"/>
                </w:tcPr>
                <w:p w14:paraId="321C564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硅钢片</w:t>
                  </w:r>
                </w:p>
              </w:tc>
              <w:tc>
                <w:tcPr>
                  <w:tcW w:w="472" w:type="pct"/>
                  <w:vAlign w:val="center"/>
                </w:tcPr>
                <w:p w14:paraId="3CC6434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27" w:type="pct"/>
                  <w:vAlign w:val="center"/>
                </w:tcPr>
                <w:p w14:paraId="2D6AEDF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3C8560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可再生类废物</w:t>
                  </w:r>
                </w:p>
              </w:tc>
              <w:tc>
                <w:tcPr>
                  <w:tcW w:w="852" w:type="pct"/>
                  <w:vAlign w:val="center"/>
                </w:tcPr>
                <w:p w14:paraId="1B0B8C1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-S17</w:t>
                  </w:r>
                </w:p>
              </w:tc>
              <w:tc>
                <w:tcPr>
                  <w:tcW w:w="533" w:type="pct"/>
                  <w:shd w:val="clear" w:color="auto" w:fill="auto"/>
                  <w:vAlign w:val="center"/>
                </w:tcPr>
                <w:p w14:paraId="4831E2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9.6</w:t>
                  </w:r>
                </w:p>
              </w:tc>
            </w:tr>
            <w:tr w14:paraId="1192DB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465316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666" w:type="pct"/>
                  <w:shd w:val="clear" w:color="auto" w:fill="auto"/>
                  <w:vAlign w:val="center"/>
                </w:tcPr>
                <w:p w14:paraId="7A5BDC9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BMC边角料</w:t>
                  </w:r>
                </w:p>
              </w:tc>
              <w:tc>
                <w:tcPr>
                  <w:tcW w:w="335" w:type="pct"/>
                  <w:vMerge w:val="continue"/>
                  <w:vAlign w:val="center"/>
                </w:tcPr>
                <w:p w14:paraId="04882EE2">
                  <w:pPr>
                    <w:jc w:val="center"/>
                    <w:rPr>
                      <w:rFonts w:hint="default" w:ascii="Times New Roman" w:hAnsi="Times New Roman" w:eastAsia="宋体" w:cs="Times New Roman"/>
                      <w:color w:val="auto"/>
                      <w:sz w:val="21"/>
                      <w:szCs w:val="21"/>
                    </w:rPr>
                  </w:pPr>
                </w:p>
              </w:tc>
              <w:tc>
                <w:tcPr>
                  <w:tcW w:w="456" w:type="pct"/>
                  <w:shd w:val="clear" w:color="auto" w:fill="auto"/>
                  <w:vAlign w:val="center"/>
                </w:tcPr>
                <w:p w14:paraId="34D14E8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封装</w:t>
                  </w:r>
                </w:p>
              </w:tc>
              <w:tc>
                <w:tcPr>
                  <w:tcW w:w="292" w:type="pct"/>
                  <w:shd w:val="clear" w:color="auto" w:fill="auto"/>
                  <w:vAlign w:val="center"/>
                </w:tcPr>
                <w:p w14:paraId="6D20E5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08" w:type="pct"/>
                  <w:shd w:val="clear" w:color="auto" w:fill="auto"/>
                  <w:vAlign w:val="center"/>
                </w:tcPr>
                <w:p w14:paraId="23E3511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BMC</w:t>
                  </w:r>
                </w:p>
              </w:tc>
              <w:tc>
                <w:tcPr>
                  <w:tcW w:w="472" w:type="pct"/>
                  <w:vAlign w:val="center"/>
                </w:tcPr>
                <w:p w14:paraId="0EA3EC4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27" w:type="pct"/>
                  <w:vAlign w:val="center"/>
                </w:tcPr>
                <w:p w14:paraId="34BD18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6BD0D9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可再生类废物</w:t>
                  </w:r>
                </w:p>
              </w:tc>
              <w:tc>
                <w:tcPr>
                  <w:tcW w:w="852" w:type="pct"/>
                  <w:vAlign w:val="center"/>
                </w:tcPr>
                <w:p w14:paraId="2A504E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-S17</w:t>
                  </w:r>
                </w:p>
              </w:tc>
              <w:tc>
                <w:tcPr>
                  <w:tcW w:w="533" w:type="pct"/>
                  <w:shd w:val="clear" w:color="auto" w:fill="auto"/>
                  <w:vAlign w:val="center"/>
                </w:tcPr>
                <w:p w14:paraId="4C08ED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4.5</w:t>
                  </w:r>
                </w:p>
              </w:tc>
            </w:tr>
            <w:tr w14:paraId="0092D1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034C6D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666" w:type="pct"/>
                  <w:shd w:val="clear" w:color="auto" w:fill="auto"/>
                  <w:vAlign w:val="center"/>
                </w:tcPr>
                <w:p w14:paraId="5BE11C1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钢材边角料</w:t>
                  </w:r>
                </w:p>
              </w:tc>
              <w:tc>
                <w:tcPr>
                  <w:tcW w:w="335" w:type="pct"/>
                  <w:vMerge w:val="continue"/>
                  <w:vAlign w:val="center"/>
                </w:tcPr>
                <w:p w14:paraId="61E3D934">
                  <w:pPr>
                    <w:jc w:val="center"/>
                    <w:rPr>
                      <w:rFonts w:hint="default" w:ascii="Times New Roman" w:hAnsi="Times New Roman" w:eastAsia="宋体" w:cs="Times New Roman"/>
                      <w:color w:val="auto"/>
                      <w:sz w:val="21"/>
                      <w:szCs w:val="21"/>
                    </w:rPr>
                  </w:pPr>
                </w:p>
              </w:tc>
              <w:tc>
                <w:tcPr>
                  <w:tcW w:w="456" w:type="pct"/>
                  <w:shd w:val="clear" w:color="auto" w:fill="auto"/>
                  <w:vAlign w:val="center"/>
                </w:tcPr>
                <w:p w14:paraId="4A3BB03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292" w:type="pct"/>
                  <w:shd w:val="clear" w:color="auto" w:fill="auto"/>
                  <w:vAlign w:val="center"/>
                </w:tcPr>
                <w:p w14:paraId="48E6E2B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固态</w:t>
                  </w:r>
                </w:p>
              </w:tc>
              <w:tc>
                <w:tcPr>
                  <w:tcW w:w="608" w:type="pct"/>
                  <w:shd w:val="clear" w:color="auto" w:fill="auto"/>
                  <w:vAlign w:val="center"/>
                </w:tcPr>
                <w:p w14:paraId="613FF80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钢材</w:t>
                  </w:r>
                </w:p>
              </w:tc>
              <w:tc>
                <w:tcPr>
                  <w:tcW w:w="472" w:type="pct"/>
                  <w:vAlign w:val="center"/>
                </w:tcPr>
                <w:p w14:paraId="7CC95A3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27" w:type="pct"/>
                  <w:vAlign w:val="center"/>
                </w:tcPr>
                <w:p w14:paraId="755E75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7C5D66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可再生类废物</w:t>
                  </w:r>
                </w:p>
              </w:tc>
              <w:tc>
                <w:tcPr>
                  <w:tcW w:w="852" w:type="pct"/>
                  <w:vAlign w:val="center"/>
                </w:tcPr>
                <w:p w14:paraId="38E2BC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-S17</w:t>
                  </w:r>
                </w:p>
              </w:tc>
              <w:tc>
                <w:tcPr>
                  <w:tcW w:w="533" w:type="pct"/>
                  <w:shd w:val="clear" w:color="auto" w:fill="auto"/>
                  <w:vAlign w:val="center"/>
                </w:tcPr>
                <w:p w14:paraId="731B32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r>
            <w:tr w14:paraId="14B35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C7CBE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666" w:type="pct"/>
                  <w:shd w:val="clear" w:color="auto" w:fill="auto"/>
                  <w:vAlign w:val="center"/>
                </w:tcPr>
                <w:p w14:paraId="779AFA0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不合格品</w:t>
                  </w:r>
                </w:p>
              </w:tc>
              <w:tc>
                <w:tcPr>
                  <w:tcW w:w="335" w:type="pct"/>
                  <w:vMerge w:val="continue"/>
                  <w:vAlign w:val="center"/>
                </w:tcPr>
                <w:p w14:paraId="7B88B615">
                  <w:pPr>
                    <w:jc w:val="center"/>
                    <w:rPr>
                      <w:rFonts w:hint="default" w:ascii="Times New Roman" w:hAnsi="Times New Roman" w:eastAsia="宋体" w:cs="Times New Roman"/>
                      <w:color w:val="auto"/>
                      <w:sz w:val="21"/>
                      <w:szCs w:val="21"/>
                    </w:rPr>
                  </w:pPr>
                </w:p>
              </w:tc>
              <w:tc>
                <w:tcPr>
                  <w:tcW w:w="456" w:type="pct"/>
                  <w:shd w:val="clear" w:color="auto" w:fill="auto"/>
                  <w:vAlign w:val="center"/>
                </w:tcPr>
                <w:p w14:paraId="72F206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测试</w:t>
                  </w:r>
                </w:p>
              </w:tc>
              <w:tc>
                <w:tcPr>
                  <w:tcW w:w="292" w:type="pct"/>
                  <w:shd w:val="clear" w:color="auto" w:fill="auto"/>
                  <w:vAlign w:val="center"/>
                </w:tcPr>
                <w:p w14:paraId="7BEECC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0B69C4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472" w:type="pct"/>
                  <w:vAlign w:val="center"/>
                </w:tcPr>
                <w:p w14:paraId="2573636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7" w:type="pct"/>
                  <w:vAlign w:val="center"/>
                </w:tcPr>
                <w:p w14:paraId="2332684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141393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可再生类废物</w:t>
                  </w:r>
                </w:p>
              </w:tc>
              <w:tc>
                <w:tcPr>
                  <w:tcW w:w="852" w:type="pct"/>
                  <w:vAlign w:val="center"/>
                </w:tcPr>
                <w:p w14:paraId="60F766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-S17</w:t>
                  </w:r>
                </w:p>
              </w:tc>
              <w:tc>
                <w:tcPr>
                  <w:tcW w:w="533" w:type="pct"/>
                  <w:shd w:val="clear" w:color="auto" w:fill="auto"/>
                  <w:vAlign w:val="center"/>
                </w:tcPr>
                <w:p w14:paraId="41A2E96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r>
            <w:tr w14:paraId="7D42D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160545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666" w:type="pct"/>
                  <w:shd w:val="clear" w:color="auto" w:fill="auto"/>
                  <w:vAlign w:val="center"/>
                </w:tcPr>
                <w:p w14:paraId="3CBD5E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废布袋</w:t>
                  </w:r>
                </w:p>
              </w:tc>
              <w:tc>
                <w:tcPr>
                  <w:tcW w:w="335" w:type="pct"/>
                  <w:vMerge w:val="continue"/>
                  <w:vAlign w:val="center"/>
                </w:tcPr>
                <w:p w14:paraId="4865B321">
                  <w:pPr>
                    <w:jc w:val="center"/>
                    <w:rPr>
                      <w:rFonts w:hint="default" w:ascii="Times New Roman" w:hAnsi="Times New Roman" w:eastAsia="宋体" w:cs="Times New Roman"/>
                      <w:color w:val="auto"/>
                      <w:sz w:val="21"/>
                      <w:szCs w:val="21"/>
                    </w:rPr>
                  </w:pPr>
                </w:p>
              </w:tc>
              <w:tc>
                <w:tcPr>
                  <w:tcW w:w="456" w:type="pct"/>
                  <w:shd w:val="clear" w:color="auto" w:fill="auto"/>
                  <w:vAlign w:val="center"/>
                </w:tcPr>
                <w:p w14:paraId="6E489D9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292" w:type="pct"/>
                  <w:shd w:val="clear" w:color="auto" w:fill="auto"/>
                  <w:vAlign w:val="center"/>
                </w:tcPr>
                <w:p w14:paraId="70AB51F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4206AA9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472" w:type="pct"/>
                  <w:vAlign w:val="center"/>
                </w:tcPr>
                <w:p w14:paraId="49ABF30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27" w:type="pct"/>
                  <w:vAlign w:val="center"/>
                </w:tcPr>
                <w:p w14:paraId="76C5DA5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SW59</w:t>
                  </w:r>
                </w:p>
                <w:p w14:paraId="5E55FAD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其他工业固体</w:t>
                  </w:r>
                </w:p>
                <w:p w14:paraId="3C0639C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废物</w:t>
                  </w:r>
                </w:p>
              </w:tc>
              <w:tc>
                <w:tcPr>
                  <w:tcW w:w="852" w:type="pct"/>
                  <w:vAlign w:val="center"/>
                </w:tcPr>
                <w:p w14:paraId="1C56FA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900-009-S59</w:t>
                  </w:r>
                </w:p>
              </w:tc>
              <w:tc>
                <w:tcPr>
                  <w:tcW w:w="533" w:type="pct"/>
                  <w:shd w:val="clear" w:color="auto" w:fill="auto"/>
                  <w:vAlign w:val="center"/>
                </w:tcPr>
                <w:p w14:paraId="6F85CD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r>
            <w:tr w14:paraId="4616E1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40C25FA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w:t>
                  </w:r>
                </w:p>
              </w:tc>
              <w:tc>
                <w:tcPr>
                  <w:tcW w:w="666" w:type="pct"/>
                  <w:shd w:val="clear" w:color="auto" w:fill="auto"/>
                  <w:vAlign w:val="center"/>
                </w:tcPr>
                <w:p w14:paraId="283E5E6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335" w:type="pct"/>
                  <w:vMerge w:val="continue"/>
                  <w:vAlign w:val="center"/>
                </w:tcPr>
                <w:p w14:paraId="40F814EB">
                  <w:pPr>
                    <w:jc w:val="center"/>
                    <w:rPr>
                      <w:rFonts w:hint="default" w:ascii="Times New Roman" w:hAnsi="Times New Roman" w:eastAsia="宋体" w:cs="Times New Roman"/>
                      <w:color w:val="auto"/>
                      <w:sz w:val="21"/>
                      <w:szCs w:val="21"/>
                    </w:rPr>
                  </w:pPr>
                </w:p>
              </w:tc>
              <w:tc>
                <w:tcPr>
                  <w:tcW w:w="456" w:type="pct"/>
                  <w:shd w:val="clear" w:color="auto" w:fill="auto"/>
                  <w:vAlign w:val="center"/>
                </w:tcPr>
                <w:p w14:paraId="1E8D3D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292" w:type="pct"/>
                  <w:shd w:val="clear" w:color="auto" w:fill="auto"/>
                  <w:vAlign w:val="center"/>
                </w:tcPr>
                <w:p w14:paraId="4DC1B7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08" w:type="pct"/>
                  <w:shd w:val="clear" w:color="auto" w:fill="auto"/>
                  <w:vAlign w:val="center"/>
                </w:tcPr>
                <w:p w14:paraId="184CF78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472" w:type="pct"/>
                  <w:vAlign w:val="center"/>
                </w:tcPr>
                <w:p w14:paraId="14D9C1A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27" w:type="pct"/>
                  <w:vAlign w:val="center"/>
                </w:tcPr>
                <w:p w14:paraId="4D493AE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SW59</w:t>
                  </w:r>
                </w:p>
                <w:p w14:paraId="50C9478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其他工业固体</w:t>
                  </w:r>
                </w:p>
                <w:p w14:paraId="41A445C6">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废物</w:t>
                  </w:r>
                </w:p>
              </w:tc>
              <w:tc>
                <w:tcPr>
                  <w:tcW w:w="852" w:type="pct"/>
                  <w:vAlign w:val="center"/>
                </w:tcPr>
                <w:p w14:paraId="38C6F6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color w:val="auto"/>
                      <w:kern w:val="2"/>
                      <w:sz w:val="21"/>
                      <w:szCs w:val="21"/>
                      <w:lang w:val="en-US" w:eastAsia="zh-CN" w:bidi="ar-SA"/>
                    </w:rPr>
                    <w:t>9-S59</w:t>
                  </w:r>
                </w:p>
              </w:tc>
              <w:tc>
                <w:tcPr>
                  <w:tcW w:w="533" w:type="pct"/>
                  <w:shd w:val="clear" w:color="auto" w:fill="auto"/>
                  <w:vAlign w:val="center"/>
                </w:tcPr>
                <w:p w14:paraId="6818B9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0.2085</w:t>
                  </w:r>
                </w:p>
              </w:tc>
            </w:tr>
            <w:tr w14:paraId="108EAA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48318C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p>
              </w:tc>
              <w:tc>
                <w:tcPr>
                  <w:tcW w:w="666" w:type="pct"/>
                  <w:vAlign w:val="center"/>
                </w:tcPr>
                <w:p w14:paraId="47579F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35" w:type="pct"/>
                  <w:vAlign w:val="center"/>
                </w:tcPr>
                <w:p w14:paraId="195160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456" w:type="pct"/>
                  <w:vAlign w:val="center"/>
                </w:tcPr>
                <w:p w14:paraId="6A1338C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员工生活、办公</w:t>
                  </w:r>
                </w:p>
              </w:tc>
              <w:tc>
                <w:tcPr>
                  <w:tcW w:w="292" w:type="pct"/>
                  <w:vAlign w:val="center"/>
                </w:tcPr>
                <w:p w14:paraId="7C3795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608" w:type="pct"/>
                  <w:vAlign w:val="center"/>
                </w:tcPr>
                <w:p w14:paraId="493C7C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办公及生活废物</w:t>
                  </w:r>
                </w:p>
              </w:tc>
              <w:tc>
                <w:tcPr>
                  <w:tcW w:w="472" w:type="pct"/>
                  <w:vAlign w:val="center"/>
                </w:tcPr>
                <w:p w14:paraId="6195D0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27" w:type="pct"/>
                  <w:vAlign w:val="center"/>
                </w:tcPr>
                <w:p w14:paraId="0664761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SW64其他垃圾</w:t>
                  </w:r>
                </w:p>
              </w:tc>
              <w:tc>
                <w:tcPr>
                  <w:tcW w:w="852" w:type="pct"/>
                  <w:vAlign w:val="center"/>
                </w:tcPr>
                <w:p w14:paraId="2BAC2C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277-004-S64</w:t>
                  </w:r>
                </w:p>
              </w:tc>
              <w:tc>
                <w:tcPr>
                  <w:tcW w:w="533" w:type="pct"/>
                  <w:vAlign w:val="center"/>
                </w:tcPr>
                <w:p w14:paraId="743EE70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bl>
          <w:p w14:paraId="30A0CA02">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、固体废物贮存和处置方式</w:t>
            </w:r>
          </w:p>
          <w:p w14:paraId="4DA08C8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的固体废物应分类收集、分类贮存、并张贴标签贮存在专门的场所内，危险固废、一般固废和生活垃圾分开，不得混放。本项目产生的危险废物纳入“江苏省危险废物全生命周期监控系统”管理，在项目营运期间按照相关要求进行管理计划申报，在危废产生后进行产废申报与贮存申报。本项目产生的固废经安全收集，都得到妥善处理，不会对周围环境产生二次污染。本项目危废库房</w:t>
            </w: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rPr>
              <w:t>面积为</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，设置合理。实施危险废物转移时，应执行危险废物转移联单制度，并加强对运输单位及处置单位的跟踪检查，确保符合环保要求。</w:t>
            </w:r>
          </w:p>
          <w:p w14:paraId="74E2036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本项目危险废物贮存场所基本情况详见下表：</w:t>
            </w:r>
          </w:p>
          <w:p w14:paraId="46C805E2">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20</w:t>
            </w:r>
            <w:r>
              <w:rPr>
                <w:rFonts w:hint="default" w:ascii="Times New Roman" w:hAnsi="Times New Roman" w:eastAsia="宋体" w:cs="Times New Roman"/>
                <w:b/>
                <w:color w:val="auto"/>
                <w:sz w:val="24"/>
              </w:rPr>
              <w:t xml:space="preserve">  企业危险废物贮存场所（设施）基本情况表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078"/>
              <w:gridCol w:w="1217"/>
              <w:gridCol w:w="1252"/>
              <w:gridCol w:w="684"/>
              <w:gridCol w:w="881"/>
              <w:gridCol w:w="849"/>
              <w:gridCol w:w="958"/>
              <w:gridCol w:w="1003"/>
            </w:tblGrid>
            <w:tr w14:paraId="584222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6C8F3F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645" w:type="pct"/>
                  <w:vAlign w:val="center"/>
                </w:tcPr>
                <w:p w14:paraId="122A70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贮存场所（设施）名称</w:t>
                  </w:r>
                </w:p>
              </w:tc>
              <w:tc>
                <w:tcPr>
                  <w:tcW w:w="728" w:type="pct"/>
                  <w:vAlign w:val="center"/>
                </w:tcPr>
                <w:p w14:paraId="764DD9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危险废物</w:t>
                  </w:r>
                </w:p>
                <w:p w14:paraId="4B3141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名称</w:t>
                  </w:r>
                </w:p>
              </w:tc>
              <w:tc>
                <w:tcPr>
                  <w:tcW w:w="749" w:type="pct"/>
                  <w:vAlign w:val="center"/>
                </w:tcPr>
                <w:p w14:paraId="66104E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危废代码</w:t>
                  </w:r>
                </w:p>
              </w:tc>
              <w:tc>
                <w:tcPr>
                  <w:tcW w:w="409" w:type="pct"/>
                  <w:vAlign w:val="center"/>
                </w:tcPr>
                <w:p w14:paraId="5357B0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位置</w:t>
                  </w:r>
                </w:p>
              </w:tc>
              <w:tc>
                <w:tcPr>
                  <w:tcW w:w="527" w:type="pct"/>
                  <w:shd w:val="clear" w:color="auto" w:fill="auto"/>
                  <w:vAlign w:val="center"/>
                </w:tcPr>
                <w:p w14:paraId="2E43FF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占地</w:t>
                  </w:r>
                </w:p>
                <w:p w14:paraId="766CAA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面积</w:t>
                  </w: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2</w:t>
                  </w:r>
                  <w:r>
                    <w:rPr>
                      <w:rFonts w:hint="default" w:ascii="Times New Roman" w:hAnsi="Times New Roman" w:eastAsia="宋体" w:cs="Times New Roman"/>
                      <w:b/>
                      <w:color w:val="auto"/>
                      <w:lang w:eastAsia="zh-CN"/>
                    </w:rPr>
                    <w:t>）</w:t>
                  </w:r>
                </w:p>
              </w:tc>
              <w:tc>
                <w:tcPr>
                  <w:tcW w:w="508" w:type="pct"/>
                  <w:shd w:val="clear" w:color="auto" w:fill="auto"/>
                  <w:vAlign w:val="center"/>
                </w:tcPr>
                <w:p w14:paraId="46C83B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贮存能力</w:t>
                  </w:r>
                </w:p>
                <w:p w14:paraId="49A153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吨</w:t>
                  </w:r>
                  <w:r>
                    <w:rPr>
                      <w:rFonts w:hint="default" w:ascii="Times New Roman" w:hAnsi="Times New Roman" w:eastAsia="宋体" w:cs="Times New Roman"/>
                      <w:b/>
                      <w:color w:val="auto"/>
                      <w:lang w:eastAsia="zh-CN"/>
                    </w:rPr>
                    <w:t>）</w:t>
                  </w:r>
                </w:p>
              </w:tc>
              <w:tc>
                <w:tcPr>
                  <w:tcW w:w="573" w:type="pct"/>
                  <w:vAlign w:val="center"/>
                </w:tcPr>
                <w:p w14:paraId="16D59B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包装方式</w:t>
                  </w:r>
                </w:p>
              </w:tc>
              <w:tc>
                <w:tcPr>
                  <w:tcW w:w="600" w:type="pct"/>
                  <w:vAlign w:val="center"/>
                </w:tcPr>
                <w:p w14:paraId="59776D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w:t>
                  </w:r>
                </w:p>
                <w:p w14:paraId="2D4679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周期</w:t>
                  </w:r>
                </w:p>
              </w:tc>
            </w:tr>
            <w:tr w14:paraId="5DB3A3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6C92C0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45" w:type="pct"/>
                  <w:vMerge w:val="restart"/>
                  <w:vAlign w:val="center"/>
                </w:tcPr>
                <w:p w14:paraId="121504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危废仓库</w:t>
                  </w:r>
                </w:p>
              </w:tc>
              <w:tc>
                <w:tcPr>
                  <w:tcW w:w="728" w:type="pct"/>
                  <w:shd w:val="clear" w:color="auto" w:fill="auto"/>
                  <w:vAlign w:val="center"/>
                </w:tcPr>
                <w:p w14:paraId="2C4781A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废乳化液</w:t>
                  </w:r>
                </w:p>
              </w:tc>
              <w:tc>
                <w:tcPr>
                  <w:tcW w:w="749" w:type="pct"/>
                  <w:shd w:val="clear" w:color="auto" w:fill="auto"/>
                  <w:vAlign w:val="center"/>
                </w:tcPr>
                <w:p w14:paraId="3F24BE49">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p w14:paraId="737AEA9F">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900-00</w:t>
                  </w:r>
                  <w:r>
                    <w:rPr>
                      <w:rFonts w:hint="eastAsia" w:ascii="Times New Roman" w:hAnsi="Times New Roman"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-09</w:t>
                  </w:r>
                </w:p>
              </w:tc>
              <w:tc>
                <w:tcPr>
                  <w:tcW w:w="409" w:type="pct"/>
                  <w:vMerge w:val="restart"/>
                  <w:vAlign w:val="center"/>
                </w:tcPr>
                <w:p w14:paraId="481B74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生产车间内</w:t>
                  </w:r>
                </w:p>
              </w:tc>
              <w:tc>
                <w:tcPr>
                  <w:tcW w:w="527" w:type="pct"/>
                  <w:shd w:val="clear" w:color="auto" w:fill="auto"/>
                  <w:vAlign w:val="center"/>
                </w:tcPr>
                <w:p w14:paraId="452A8A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1.5</w:t>
                  </w:r>
                </w:p>
              </w:tc>
              <w:tc>
                <w:tcPr>
                  <w:tcW w:w="508" w:type="pct"/>
                  <w:shd w:val="clear" w:color="auto" w:fill="auto"/>
                  <w:vAlign w:val="center"/>
                </w:tcPr>
                <w:p w14:paraId="293CB7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5</w:t>
                  </w:r>
                </w:p>
              </w:tc>
              <w:tc>
                <w:tcPr>
                  <w:tcW w:w="573" w:type="pct"/>
                  <w:vAlign w:val="center"/>
                </w:tcPr>
                <w:p w14:paraId="0FC07F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堆放</w:t>
                  </w:r>
                </w:p>
              </w:tc>
              <w:tc>
                <w:tcPr>
                  <w:tcW w:w="600" w:type="pct"/>
                  <w:vAlign w:val="center"/>
                </w:tcPr>
                <w:p w14:paraId="4F5ED9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351E27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1BE207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45" w:type="pct"/>
                  <w:vMerge w:val="continue"/>
                  <w:vAlign w:val="center"/>
                </w:tcPr>
                <w:p w14:paraId="457778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42C1184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清洗废液</w:t>
                  </w:r>
                </w:p>
              </w:tc>
              <w:tc>
                <w:tcPr>
                  <w:tcW w:w="749" w:type="pct"/>
                  <w:shd w:val="clear" w:color="auto" w:fill="auto"/>
                  <w:vAlign w:val="center"/>
                </w:tcPr>
                <w:p w14:paraId="1F59901B">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p w14:paraId="34CCECEB">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900-007-09</w:t>
                  </w:r>
                </w:p>
              </w:tc>
              <w:tc>
                <w:tcPr>
                  <w:tcW w:w="409" w:type="pct"/>
                  <w:vMerge w:val="continue"/>
                  <w:vAlign w:val="center"/>
                </w:tcPr>
                <w:p w14:paraId="5483C1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6F19CE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1.5</w:t>
                  </w:r>
                </w:p>
              </w:tc>
              <w:tc>
                <w:tcPr>
                  <w:tcW w:w="508" w:type="pct"/>
                  <w:shd w:val="clear" w:color="auto" w:fill="auto"/>
                  <w:vAlign w:val="center"/>
                </w:tcPr>
                <w:p w14:paraId="1105F6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5</w:t>
                  </w:r>
                </w:p>
              </w:tc>
              <w:tc>
                <w:tcPr>
                  <w:tcW w:w="573" w:type="pct"/>
                  <w:vAlign w:val="center"/>
                </w:tcPr>
                <w:p w14:paraId="3ADAB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堆放</w:t>
                  </w:r>
                </w:p>
              </w:tc>
              <w:tc>
                <w:tcPr>
                  <w:tcW w:w="600" w:type="pct"/>
                  <w:vAlign w:val="center"/>
                </w:tcPr>
                <w:p w14:paraId="5BB0E0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6F2F2D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594031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645" w:type="pct"/>
                  <w:vMerge w:val="continue"/>
                  <w:vAlign w:val="center"/>
                </w:tcPr>
                <w:p w14:paraId="6C0B1E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4BB384D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w:t>
                  </w:r>
                  <w:r>
                    <w:rPr>
                      <w:rFonts w:hint="eastAsia" w:ascii="Times New Roman" w:hAnsi="Times New Roman" w:eastAsia="宋体" w:cs="Times New Roman"/>
                      <w:color w:val="auto"/>
                      <w:sz w:val="21"/>
                      <w:szCs w:val="21"/>
                      <w:lang w:val="en-US" w:eastAsia="zh-CN"/>
                    </w:rPr>
                    <w:t>渣</w:t>
                  </w:r>
                </w:p>
              </w:tc>
              <w:tc>
                <w:tcPr>
                  <w:tcW w:w="749" w:type="pct"/>
                  <w:shd w:val="clear" w:color="auto" w:fill="auto"/>
                  <w:vAlign w:val="center"/>
                </w:tcPr>
                <w:p w14:paraId="20B80061">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w:t>
                  </w:r>
                  <w:r>
                    <w:rPr>
                      <w:rFonts w:hint="eastAsia" w:ascii="Times New Roman" w:hAnsi="Times New Roman" w:cs="Times New Roman"/>
                      <w:b w:val="0"/>
                      <w:bCs/>
                      <w:color w:val="auto"/>
                      <w:kern w:val="18"/>
                      <w:sz w:val="21"/>
                      <w:szCs w:val="21"/>
                      <w:highlight w:val="none"/>
                      <w:lang w:val="en-US" w:eastAsia="zh-CN" w:bidi="ar"/>
                    </w:rPr>
                    <w:t>17</w:t>
                  </w:r>
                </w:p>
                <w:p w14:paraId="4334F87F">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cs="Times New Roman"/>
                      <w:b w:val="0"/>
                      <w:bCs/>
                      <w:color w:val="auto"/>
                      <w:sz w:val="21"/>
                      <w:szCs w:val="21"/>
                      <w:highlight w:val="none"/>
                      <w:lang w:val="en-US" w:eastAsia="zh-CN"/>
                    </w:rPr>
                    <w:t>336</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064</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17</w:t>
                  </w:r>
                </w:p>
              </w:tc>
              <w:tc>
                <w:tcPr>
                  <w:tcW w:w="409" w:type="pct"/>
                  <w:vMerge w:val="continue"/>
                  <w:vAlign w:val="center"/>
                </w:tcPr>
                <w:p w14:paraId="188BBE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304C6F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508" w:type="pct"/>
                  <w:shd w:val="clear" w:color="auto" w:fill="auto"/>
                  <w:vAlign w:val="center"/>
                </w:tcPr>
                <w:p w14:paraId="35F3A9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5</w:t>
                  </w:r>
                </w:p>
              </w:tc>
              <w:tc>
                <w:tcPr>
                  <w:tcW w:w="573" w:type="pct"/>
                  <w:vAlign w:val="center"/>
                </w:tcPr>
                <w:p w14:paraId="5BC2F3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桶</w:t>
                  </w:r>
                  <w:r>
                    <w:rPr>
                      <w:rFonts w:hint="default" w:ascii="Times New Roman" w:hAnsi="Times New Roman" w:eastAsia="宋体" w:cs="Times New Roman"/>
                      <w:color w:val="auto"/>
                      <w:lang w:val="en-US" w:eastAsia="zh-CN"/>
                    </w:rPr>
                    <w:t>装</w:t>
                  </w:r>
                </w:p>
              </w:tc>
              <w:tc>
                <w:tcPr>
                  <w:tcW w:w="600" w:type="pct"/>
                  <w:vAlign w:val="center"/>
                </w:tcPr>
                <w:p w14:paraId="689D5A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1118BA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3AF8E9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4</w:t>
                  </w:r>
                </w:p>
              </w:tc>
              <w:tc>
                <w:tcPr>
                  <w:tcW w:w="645" w:type="pct"/>
                  <w:vMerge w:val="continue"/>
                  <w:vAlign w:val="center"/>
                </w:tcPr>
                <w:p w14:paraId="0979CB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6A589E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w:t>
                  </w:r>
                </w:p>
              </w:tc>
              <w:tc>
                <w:tcPr>
                  <w:tcW w:w="749" w:type="pct"/>
                  <w:shd w:val="clear" w:color="auto" w:fill="auto"/>
                  <w:vAlign w:val="center"/>
                </w:tcPr>
                <w:p w14:paraId="2B68A869">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HW08</w:t>
                  </w:r>
                </w:p>
                <w:p w14:paraId="4836B114">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900-249-08</w:t>
                  </w:r>
                </w:p>
              </w:tc>
              <w:tc>
                <w:tcPr>
                  <w:tcW w:w="409" w:type="pct"/>
                  <w:vMerge w:val="continue"/>
                  <w:vAlign w:val="center"/>
                </w:tcPr>
                <w:p w14:paraId="62152D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6ADE30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0.5</w:t>
                  </w:r>
                </w:p>
              </w:tc>
              <w:tc>
                <w:tcPr>
                  <w:tcW w:w="508" w:type="pct"/>
                  <w:shd w:val="clear" w:color="auto" w:fill="auto"/>
                  <w:vAlign w:val="center"/>
                </w:tcPr>
                <w:p w14:paraId="473DF4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vAlign w:val="center"/>
                </w:tcPr>
                <w:p w14:paraId="5B3384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堆放</w:t>
                  </w:r>
                </w:p>
              </w:tc>
              <w:tc>
                <w:tcPr>
                  <w:tcW w:w="600" w:type="pct"/>
                  <w:vAlign w:val="center"/>
                </w:tcPr>
                <w:p w14:paraId="7277F0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76905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2D70AB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645" w:type="pct"/>
                  <w:vMerge w:val="continue"/>
                  <w:vAlign w:val="center"/>
                </w:tcPr>
                <w:p w14:paraId="73C1A9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6040B2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废桶</w:t>
                  </w:r>
                </w:p>
              </w:tc>
              <w:tc>
                <w:tcPr>
                  <w:tcW w:w="749" w:type="pct"/>
                  <w:shd w:val="clear" w:color="auto" w:fill="auto"/>
                  <w:vAlign w:val="center"/>
                </w:tcPr>
                <w:p w14:paraId="6320F38F">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27215EF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409" w:type="pct"/>
                  <w:vMerge w:val="continue"/>
                  <w:vAlign w:val="center"/>
                </w:tcPr>
                <w:p w14:paraId="79380E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0E4319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0.5</w:t>
                  </w:r>
                </w:p>
              </w:tc>
              <w:tc>
                <w:tcPr>
                  <w:tcW w:w="508" w:type="pct"/>
                  <w:shd w:val="clear" w:color="auto" w:fill="auto"/>
                  <w:vAlign w:val="center"/>
                </w:tcPr>
                <w:p w14:paraId="048C43B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vAlign w:val="center"/>
                </w:tcPr>
                <w:p w14:paraId="11E5A0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600" w:type="pct"/>
                  <w:vAlign w:val="center"/>
                </w:tcPr>
                <w:p w14:paraId="60B7B8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r w14:paraId="104AE0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08BFF8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645" w:type="pct"/>
                  <w:vMerge w:val="continue"/>
                  <w:vAlign w:val="center"/>
                </w:tcPr>
                <w:p w14:paraId="69841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20BC3D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含油抹布</w:t>
                  </w:r>
                </w:p>
              </w:tc>
              <w:tc>
                <w:tcPr>
                  <w:tcW w:w="749" w:type="pct"/>
                  <w:shd w:val="clear" w:color="auto" w:fill="auto"/>
                  <w:vAlign w:val="center"/>
                </w:tcPr>
                <w:p w14:paraId="05A44D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55FB3B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409" w:type="pct"/>
                  <w:vMerge w:val="continue"/>
                  <w:shd w:val="clear" w:color="auto" w:fill="auto"/>
                  <w:vAlign w:val="center"/>
                </w:tcPr>
                <w:p w14:paraId="27AAC4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p>
              </w:tc>
              <w:tc>
                <w:tcPr>
                  <w:tcW w:w="527" w:type="pct"/>
                  <w:shd w:val="clear" w:color="auto" w:fill="auto"/>
                  <w:vAlign w:val="center"/>
                </w:tcPr>
                <w:p w14:paraId="4ADA26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0.5</w:t>
                  </w:r>
                </w:p>
              </w:tc>
              <w:tc>
                <w:tcPr>
                  <w:tcW w:w="508" w:type="pct"/>
                  <w:shd w:val="clear" w:color="auto" w:fill="auto"/>
                  <w:vAlign w:val="center"/>
                </w:tcPr>
                <w:p w14:paraId="27722F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shd w:val="clear" w:color="auto" w:fill="auto"/>
                  <w:vAlign w:val="center"/>
                </w:tcPr>
                <w:p w14:paraId="1DEAF3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袋装</w:t>
                  </w:r>
                </w:p>
              </w:tc>
              <w:tc>
                <w:tcPr>
                  <w:tcW w:w="600" w:type="pct"/>
                  <w:shd w:val="clear" w:color="auto" w:fill="auto"/>
                  <w:vAlign w:val="center"/>
                </w:tcPr>
                <w:p w14:paraId="6B8755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r w14:paraId="7A8B6A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7D491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645" w:type="pct"/>
                  <w:vMerge w:val="continue"/>
                  <w:vAlign w:val="center"/>
                </w:tcPr>
                <w:p w14:paraId="5120D7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010987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749" w:type="pct"/>
                  <w:shd w:val="clear" w:color="auto" w:fill="auto"/>
                  <w:vAlign w:val="center"/>
                </w:tcPr>
                <w:p w14:paraId="394E08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75F05D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409" w:type="pct"/>
                  <w:vMerge w:val="continue"/>
                  <w:shd w:val="clear" w:color="auto" w:fill="auto"/>
                  <w:vAlign w:val="center"/>
                </w:tcPr>
                <w:p w14:paraId="0CD651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p>
              </w:tc>
              <w:tc>
                <w:tcPr>
                  <w:tcW w:w="527" w:type="pct"/>
                  <w:shd w:val="clear" w:color="auto" w:fill="auto"/>
                  <w:vAlign w:val="center"/>
                </w:tcPr>
                <w:p w14:paraId="3A67C7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508" w:type="pct"/>
                  <w:shd w:val="clear" w:color="auto" w:fill="auto"/>
                  <w:vAlign w:val="center"/>
                </w:tcPr>
                <w:p w14:paraId="6F34F3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1.32</w:t>
                  </w:r>
                </w:p>
              </w:tc>
              <w:tc>
                <w:tcPr>
                  <w:tcW w:w="573" w:type="pct"/>
                  <w:shd w:val="clear" w:color="auto" w:fill="auto"/>
                  <w:vAlign w:val="center"/>
                </w:tcPr>
                <w:p w14:paraId="65C1EE8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袋装</w:t>
                  </w:r>
                </w:p>
              </w:tc>
              <w:tc>
                <w:tcPr>
                  <w:tcW w:w="600" w:type="pct"/>
                  <w:shd w:val="clear" w:color="auto" w:fill="auto"/>
                  <w:vAlign w:val="center"/>
                </w:tcPr>
                <w:p w14:paraId="6ED1B1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bl>
          <w:p w14:paraId="0504967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设置占地</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，最多可容纳约</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t危险废物，项目全厂一个贮存周期的危险废物的产生量约为</w:t>
            </w:r>
            <w:r>
              <w:rPr>
                <w:rFonts w:hint="eastAsia" w:ascii="Times New Roman" w:hAnsi="Times New Roman" w:eastAsia="宋体" w:cs="Times New Roman"/>
                <w:color w:val="auto"/>
                <w:sz w:val="24"/>
                <w:lang w:val="en-US" w:eastAsia="zh-CN"/>
              </w:rPr>
              <w:t>3.3065</w:t>
            </w:r>
            <w:r>
              <w:rPr>
                <w:rFonts w:hint="default" w:ascii="Times New Roman" w:hAnsi="Times New Roman" w:eastAsia="宋体" w:cs="Times New Roman"/>
                <w:color w:val="auto"/>
                <w:sz w:val="24"/>
              </w:rPr>
              <w:t>t，因此企业危废暂存场所可以满足项目产生的危废暂存需求。</w:t>
            </w:r>
          </w:p>
          <w:p w14:paraId="30A3BD5D">
            <w:pPr>
              <w:jc w:val="center"/>
              <w:rPr>
                <w:rFonts w:hint="default" w:ascii="Times New Roman" w:hAnsi="Times New Roman" w:eastAsia="宋体" w:cs="Times New Roman"/>
                <w:b/>
                <w:color w:val="auto"/>
                <w:sz w:val="24"/>
              </w:rPr>
            </w:pPr>
          </w:p>
          <w:p w14:paraId="2FF71F1D">
            <w:pPr>
              <w:jc w:val="center"/>
              <w:rPr>
                <w:rFonts w:hint="default" w:ascii="Times New Roman" w:hAnsi="Times New Roman" w:eastAsia="宋体" w:cs="Times New Roman"/>
                <w:b/>
                <w:color w:val="auto"/>
                <w:sz w:val="24"/>
              </w:rPr>
            </w:pPr>
          </w:p>
          <w:p w14:paraId="426BBB4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21</w:t>
            </w:r>
            <w:r>
              <w:rPr>
                <w:rFonts w:hint="default" w:ascii="Times New Roman" w:hAnsi="Times New Roman" w:eastAsia="宋体" w:cs="Times New Roman"/>
                <w:b/>
                <w:color w:val="auto"/>
                <w:sz w:val="24"/>
              </w:rPr>
              <w:t xml:space="preserve">  本项目固体废物利用处置方式评价表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0"/>
              <w:gridCol w:w="1664"/>
              <w:gridCol w:w="1109"/>
              <w:gridCol w:w="1109"/>
              <w:gridCol w:w="1423"/>
              <w:gridCol w:w="949"/>
              <w:gridCol w:w="1544"/>
            </w:tblGrid>
            <w:tr w14:paraId="7DB85A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0952F23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996" w:type="pct"/>
                  <w:vAlign w:val="center"/>
                </w:tcPr>
                <w:p w14:paraId="6E729FC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664" w:type="pct"/>
                  <w:vAlign w:val="center"/>
                </w:tcPr>
                <w:p w14:paraId="1152527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664" w:type="pct"/>
                  <w:vAlign w:val="center"/>
                </w:tcPr>
                <w:p w14:paraId="18CE325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852" w:type="pct"/>
                  <w:vAlign w:val="center"/>
                </w:tcPr>
                <w:p w14:paraId="3A61FC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危废代码</w:t>
                  </w:r>
                </w:p>
              </w:tc>
              <w:tc>
                <w:tcPr>
                  <w:tcW w:w="568" w:type="pct"/>
                  <w:vAlign w:val="center"/>
                </w:tcPr>
                <w:p w14:paraId="05DEA26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924" w:type="pct"/>
                  <w:vAlign w:val="center"/>
                </w:tcPr>
                <w:p w14:paraId="1302251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w:t>
                  </w:r>
                </w:p>
              </w:tc>
            </w:tr>
            <w:tr w14:paraId="45AF1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58862B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96" w:type="pct"/>
                  <w:shd w:val="clear" w:color="auto" w:fill="auto"/>
                  <w:vAlign w:val="center"/>
                </w:tcPr>
                <w:p w14:paraId="1BE9AB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废乳化液</w:t>
                  </w:r>
                </w:p>
              </w:tc>
              <w:tc>
                <w:tcPr>
                  <w:tcW w:w="664" w:type="pct"/>
                  <w:shd w:val="clear" w:color="auto" w:fill="auto"/>
                  <w:vAlign w:val="center"/>
                </w:tcPr>
                <w:p w14:paraId="5542BC0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w:t>
                  </w:r>
                </w:p>
              </w:tc>
              <w:tc>
                <w:tcPr>
                  <w:tcW w:w="664" w:type="pct"/>
                  <w:vMerge w:val="restart"/>
                  <w:vAlign w:val="center"/>
                </w:tcPr>
                <w:p w14:paraId="6067C4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52" w:type="pct"/>
                  <w:shd w:val="clear" w:color="auto" w:fill="auto"/>
                  <w:vAlign w:val="center"/>
                </w:tcPr>
                <w:p w14:paraId="28920669">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p w14:paraId="4E876A25">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900-00</w:t>
                  </w:r>
                  <w:r>
                    <w:rPr>
                      <w:rFonts w:hint="eastAsia" w:ascii="Times New Roman" w:hAnsi="Times New Roman"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-09</w:t>
                  </w:r>
                </w:p>
              </w:tc>
              <w:tc>
                <w:tcPr>
                  <w:tcW w:w="568" w:type="pct"/>
                  <w:shd w:val="clear" w:color="auto" w:fill="auto"/>
                  <w:vAlign w:val="center"/>
                </w:tcPr>
                <w:p w14:paraId="3F91FFD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1.76</w:t>
                  </w:r>
                </w:p>
              </w:tc>
              <w:tc>
                <w:tcPr>
                  <w:tcW w:w="924" w:type="pct"/>
                  <w:vAlign w:val="center"/>
                </w:tcPr>
                <w:p w14:paraId="5DBD87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3823F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5735DD1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996" w:type="pct"/>
                  <w:shd w:val="clear" w:color="auto" w:fill="auto"/>
                  <w:vAlign w:val="center"/>
                </w:tcPr>
                <w:p w14:paraId="0294F95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清洗废液</w:t>
                  </w:r>
                </w:p>
              </w:tc>
              <w:tc>
                <w:tcPr>
                  <w:tcW w:w="664" w:type="pct"/>
                  <w:shd w:val="clear" w:color="auto" w:fill="auto"/>
                  <w:vAlign w:val="center"/>
                </w:tcPr>
                <w:p w14:paraId="5C3AB9E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清洗</w:t>
                  </w:r>
                </w:p>
              </w:tc>
              <w:tc>
                <w:tcPr>
                  <w:tcW w:w="664" w:type="pct"/>
                  <w:vMerge w:val="continue"/>
                  <w:vAlign w:val="center"/>
                </w:tcPr>
                <w:p w14:paraId="7BAD7232">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5917F864">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p w14:paraId="41F9FE37">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900-007-09</w:t>
                  </w:r>
                </w:p>
              </w:tc>
              <w:tc>
                <w:tcPr>
                  <w:tcW w:w="568" w:type="pct"/>
                  <w:shd w:val="clear" w:color="auto" w:fill="auto"/>
                  <w:vAlign w:val="center"/>
                </w:tcPr>
                <w:p w14:paraId="35ED15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924" w:type="pct"/>
                  <w:vAlign w:val="center"/>
                </w:tcPr>
                <w:p w14:paraId="6CE4C9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2699D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3BAD6F9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996" w:type="pct"/>
                  <w:shd w:val="clear" w:color="auto" w:fill="auto"/>
                  <w:vAlign w:val="center"/>
                </w:tcPr>
                <w:p w14:paraId="6851D2F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w:t>
                  </w:r>
                  <w:r>
                    <w:rPr>
                      <w:rFonts w:hint="eastAsia" w:ascii="Times New Roman" w:hAnsi="Times New Roman" w:eastAsia="宋体" w:cs="Times New Roman"/>
                      <w:color w:val="auto"/>
                      <w:sz w:val="21"/>
                      <w:szCs w:val="21"/>
                      <w:lang w:val="en-US" w:eastAsia="zh-CN"/>
                    </w:rPr>
                    <w:t>渣</w:t>
                  </w:r>
                </w:p>
              </w:tc>
              <w:tc>
                <w:tcPr>
                  <w:tcW w:w="664" w:type="pct"/>
                  <w:shd w:val="clear" w:color="auto" w:fill="auto"/>
                  <w:vAlign w:val="center"/>
                </w:tcPr>
                <w:p w14:paraId="3E26432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研磨</w:t>
                  </w:r>
                </w:p>
              </w:tc>
              <w:tc>
                <w:tcPr>
                  <w:tcW w:w="664" w:type="pct"/>
                  <w:vMerge w:val="continue"/>
                  <w:vAlign w:val="center"/>
                </w:tcPr>
                <w:p w14:paraId="66527BAF">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2DEFD484">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w:t>
                  </w:r>
                  <w:r>
                    <w:rPr>
                      <w:rFonts w:hint="eastAsia" w:ascii="Times New Roman" w:hAnsi="Times New Roman" w:cs="Times New Roman"/>
                      <w:b w:val="0"/>
                      <w:bCs/>
                      <w:color w:val="auto"/>
                      <w:kern w:val="18"/>
                      <w:sz w:val="21"/>
                      <w:szCs w:val="21"/>
                      <w:highlight w:val="none"/>
                      <w:lang w:val="en-US" w:eastAsia="zh-CN" w:bidi="ar"/>
                    </w:rPr>
                    <w:t>17</w:t>
                  </w:r>
                </w:p>
                <w:p w14:paraId="1BFD1997">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cs="Times New Roman"/>
                      <w:b w:val="0"/>
                      <w:bCs/>
                      <w:color w:val="auto"/>
                      <w:sz w:val="21"/>
                      <w:szCs w:val="21"/>
                      <w:highlight w:val="none"/>
                      <w:lang w:val="en-US" w:eastAsia="zh-CN"/>
                    </w:rPr>
                    <w:t>336</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064</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17</w:t>
                  </w:r>
                </w:p>
              </w:tc>
              <w:tc>
                <w:tcPr>
                  <w:tcW w:w="568" w:type="pct"/>
                  <w:shd w:val="clear" w:color="auto" w:fill="auto"/>
                  <w:vAlign w:val="center"/>
                </w:tcPr>
                <w:p w14:paraId="483612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924" w:type="pct"/>
                  <w:vAlign w:val="center"/>
                </w:tcPr>
                <w:p w14:paraId="31563A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273BE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212B928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996" w:type="pct"/>
                  <w:shd w:val="clear" w:color="auto" w:fill="auto"/>
                  <w:vAlign w:val="center"/>
                </w:tcPr>
                <w:p w14:paraId="145853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w:t>
                  </w:r>
                </w:p>
              </w:tc>
              <w:tc>
                <w:tcPr>
                  <w:tcW w:w="664" w:type="pct"/>
                  <w:shd w:val="clear" w:color="auto" w:fill="auto"/>
                  <w:vAlign w:val="center"/>
                </w:tcPr>
                <w:p w14:paraId="0BFAE5A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设备维护</w:t>
                  </w:r>
                </w:p>
              </w:tc>
              <w:tc>
                <w:tcPr>
                  <w:tcW w:w="664" w:type="pct"/>
                  <w:vMerge w:val="continue"/>
                  <w:vAlign w:val="center"/>
                </w:tcPr>
                <w:p w14:paraId="619A84A9">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49C0D7A2">
                  <w:pPr>
                    <w:pStyle w:val="22"/>
                    <w:widowControl w:val="0"/>
                    <w:adjustRightInd w:val="0"/>
                    <w:snapToGrid w:val="0"/>
                    <w:spacing w:before="0" w:beforeAutospacing="0" w:after="0" w:afterAutospacing="0" w:line="240" w:lineRule="auto"/>
                    <w:ind w:left="-30" w:leftChars="0" w:right="-30" w:rightChars="0"/>
                    <w:jc w:val="center"/>
                    <w:rPr>
                      <w:rFonts w:hint="eastAsia"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HW08</w:t>
                  </w:r>
                </w:p>
                <w:p w14:paraId="486069DA">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900-249-08</w:t>
                  </w:r>
                </w:p>
              </w:tc>
              <w:tc>
                <w:tcPr>
                  <w:tcW w:w="568" w:type="pct"/>
                  <w:shd w:val="clear" w:color="auto" w:fill="auto"/>
                  <w:vAlign w:val="center"/>
                </w:tcPr>
                <w:p w14:paraId="01824B3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924" w:type="pct"/>
                  <w:vAlign w:val="center"/>
                </w:tcPr>
                <w:p w14:paraId="668254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32A98B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18730E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996" w:type="pct"/>
                  <w:shd w:val="clear" w:color="auto" w:fill="auto"/>
                  <w:vAlign w:val="center"/>
                </w:tcPr>
                <w:p w14:paraId="4E7134E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废桶</w:t>
                  </w:r>
                </w:p>
              </w:tc>
              <w:tc>
                <w:tcPr>
                  <w:tcW w:w="664" w:type="pct"/>
                  <w:shd w:val="clear" w:color="auto" w:fill="auto"/>
                  <w:vAlign w:val="center"/>
                </w:tcPr>
                <w:p w14:paraId="13864D5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生产</w:t>
                  </w:r>
                </w:p>
              </w:tc>
              <w:tc>
                <w:tcPr>
                  <w:tcW w:w="664" w:type="pct"/>
                  <w:vMerge w:val="continue"/>
                  <w:vAlign w:val="center"/>
                </w:tcPr>
                <w:p w14:paraId="5D755AEC">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71C4CB55">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77B63D4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68" w:type="pct"/>
                  <w:shd w:val="clear" w:color="auto" w:fill="auto"/>
                  <w:vAlign w:val="center"/>
                </w:tcPr>
                <w:p w14:paraId="6339F4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924" w:type="pct"/>
                  <w:vAlign w:val="center"/>
                </w:tcPr>
                <w:p w14:paraId="6E2132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7D7FDB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7F464EF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996" w:type="pct"/>
                  <w:shd w:val="clear" w:color="auto" w:fill="auto"/>
                  <w:vAlign w:val="center"/>
                </w:tcPr>
                <w:p w14:paraId="3CF0ACE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含油抹布</w:t>
                  </w:r>
                </w:p>
              </w:tc>
              <w:tc>
                <w:tcPr>
                  <w:tcW w:w="664" w:type="pct"/>
                  <w:shd w:val="clear" w:color="auto" w:fill="auto"/>
                  <w:vAlign w:val="center"/>
                </w:tcPr>
                <w:p w14:paraId="39393DE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设备维护</w:t>
                  </w:r>
                </w:p>
              </w:tc>
              <w:tc>
                <w:tcPr>
                  <w:tcW w:w="664" w:type="pct"/>
                  <w:vMerge w:val="continue"/>
                  <w:vAlign w:val="center"/>
                </w:tcPr>
                <w:p w14:paraId="4134D5E2">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1136AE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100999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568" w:type="pct"/>
                  <w:shd w:val="clear" w:color="auto" w:fill="auto"/>
                  <w:vAlign w:val="center"/>
                </w:tcPr>
                <w:p w14:paraId="378DA9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0.156</w:t>
                  </w:r>
                </w:p>
              </w:tc>
              <w:tc>
                <w:tcPr>
                  <w:tcW w:w="924" w:type="pct"/>
                  <w:vAlign w:val="center"/>
                </w:tcPr>
                <w:p w14:paraId="572812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170ED1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22C640B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996" w:type="pct"/>
                  <w:shd w:val="clear" w:color="auto" w:fill="auto"/>
                  <w:vAlign w:val="center"/>
                </w:tcPr>
                <w:p w14:paraId="671A961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664" w:type="pct"/>
                  <w:shd w:val="clear" w:color="auto" w:fill="auto"/>
                  <w:vAlign w:val="center"/>
                </w:tcPr>
                <w:p w14:paraId="6CFC89BA">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废气处理</w:t>
                  </w:r>
                </w:p>
              </w:tc>
              <w:tc>
                <w:tcPr>
                  <w:tcW w:w="664" w:type="pct"/>
                  <w:vMerge w:val="continue"/>
                  <w:shd w:val="clear" w:color="auto" w:fill="auto"/>
                  <w:vAlign w:val="center"/>
                </w:tcPr>
                <w:p w14:paraId="601F0EC5">
                  <w:pPr>
                    <w:jc w:val="center"/>
                    <w:rPr>
                      <w:rFonts w:hint="default" w:ascii="Times New Roman" w:hAnsi="Times New Roman" w:eastAsia="宋体" w:cs="Times New Roman"/>
                      <w:color w:val="auto"/>
                      <w:kern w:val="2"/>
                      <w:sz w:val="21"/>
                      <w:szCs w:val="21"/>
                      <w:lang w:val="en-US" w:eastAsia="zh-CN" w:bidi="ar-SA"/>
                    </w:rPr>
                  </w:pPr>
                </w:p>
              </w:tc>
              <w:tc>
                <w:tcPr>
                  <w:tcW w:w="852" w:type="pct"/>
                  <w:shd w:val="clear" w:color="auto" w:fill="auto"/>
                  <w:vAlign w:val="center"/>
                </w:tcPr>
                <w:p w14:paraId="09ACC7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31E3F2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w:t>
                  </w:r>
                  <w:r>
                    <w:rPr>
                      <w:rFonts w:hint="default" w:ascii="Times New Roman" w:hAnsi="Times New Roman" w:cs="Times New Roman"/>
                      <w:color w:val="auto"/>
                      <w:lang w:val="en-US" w:eastAsia="zh-CN"/>
                    </w:rPr>
                    <w:t>39</w:t>
                  </w:r>
                  <w:r>
                    <w:rPr>
                      <w:rFonts w:hint="default" w:ascii="Times New Roman" w:hAnsi="Times New Roman" w:eastAsia="宋体" w:cs="Times New Roman"/>
                      <w:color w:val="auto"/>
                      <w:szCs w:val="21"/>
                    </w:rPr>
                    <w:t>-49</w:t>
                  </w:r>
                </w:p>
              </w:tc>
              <w:tc>
                <w:tcPr>
                  <w:tcW w:w="568" w:type="pct"/>
                  <w:shd w:val="clear" w:color="auto" w:fill="auto"/>
                  <w:vAlign w:val="center"/>
                </w:tcPr>
                <w:p w14:paraId="0E40C10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7.93</w:t>
                  </w:r>
                </w:p>
              </w:tc>
              <w:tc>
                <w:tcPr>
                  <w:tcW w:w="924" w:type="pct"/>
                  <w:shd w:val="clear" w:color="auto" w:fill="auto"/>
                  <w:vAlign w:val="center"/>
                </w:tcPr>
                <w:p w14:paraId="1A536D5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委托有资质单位处置</w:t>
                  </w:r>
                </w:p>
              </w:tc>
            </w:tr>
            <w:tr w14:paraId="2F74C5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69118BE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996" w:type="pct"/>
                  <w:shd w:val="clear" w:color="auto" w:fill="auto"/>
                  <w:vAlign w:val="center"/>
                </w:tcPr>
                <w:p w14:paraId="0E143AC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硅钢片边角料</w:t>
                  </w:r>
                </w:p>
              </w:tc>
              <w:tc>
                <w:tcPr>
                  <w:tcW w:w="664" w:type="pct"/>
                  <w:shd w:val="clear" w:color="auto" w:fill="auto"/>
                  <w:vAlign w:val="center"/>
                </w:tcPr>
                <w:p w14:paraId="2296AED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664" w:type="pct"/>
                  <w:vMerge w:val="restart"/>
                  <w:vAlign w:val="center"/>
                </w:tcPr>
                <w:p w14:paraId="2FA11E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vAlign w:val="center"/>
                </w:tcPr>
                <w:p w14:paraId="4A2618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67F26A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9.6</w:t>
                  </w:r>
                </w:p>
              </w:tc>
              <w:tc>
                <w:tcPr>
                  <w:tcW w:w="924" w:type="pct"/>
                  <w:vAlign w:val="center"/>
                </w:tcPr>
                <w:p w14:paraId="4866E0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09D1AE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4BDE512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996" w:type="pct"/>
                  <w:shd w:val="clear" w:color="auto" w:fill="auto"/>
                  <w:vAlign w:val="center"/>
                </w:tcPr>
                <w:p w14:paraId="0710EAE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BMC边角料</w:t>
                  </w:r>
                </w:p>
              </w:tc>
              <w:tc>
                <w:tcPr>
                  <w:tcW w:w="664" w:type="pct"/>
                  <w:shd w:val="clear" w:color="auto" w:fill="auto"/>
                  <w:vAlign w:val="center"/>
                </w:tcPr>
                <w:p w14:paraId="28D0DB3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封装</w:t>
                  </w:r>
                </w:p>
              </w:tc>
              <w:tc>
                <w:tcPr>
                  <w:tcW w:w="664" w:type="pct"/>
                  <w:vMerge w:val="continue"/>
                  <w:vAlign w:val="center"/>
                </w:tcPr>
                <w:p w14:paraId="5240ADD2">
                  <w:pPr>
                    <w:jc w:val="center"/>
                    <w:rPr>
                      <w:rFonts w:hint="default" w:ascii="Times New Roman" w:hAnsi="Times New Roman" w:eastAsia="宋体" w:cs="Times New Roman"/>
                      <w:color w:val="auto"/>
                      <w:sz w:val="21"/>
                      <w:szCs w:val="21"/>
                    </w:rPr>
                  </w:pPr>
                </w:p>
              </w:tc>
              <w:tc>
                <w:tcPr>
                  <w:tcW w:w="852" w:type="pct"/>
                  <w:vAlign w:val="center"/>
                </w:tcPr>
                <w:p w14:paraId="763ACD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124FB09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924" w:type="pct"/>
                  <w:vAlign w:val="center"/>
                </w:tcPr>
                <w:p w14:paraId="24BBF6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6F24DE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48E8ACE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996" w:type="pct"/>
                  <w:shd w:val="clear" w:color="auto" w:fill="auto"/>
                  <w:vAlign w:val="center"/>
                </w:tcPr>
                <w:p w14:paraId="4A7AAB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钢材边角料</w:t>
                  </w:r>
                </w:p>
              </w:tc>
              <w:tc>
                <w:tcPr>
                  <w:tcW w:w="664" w:type="pct"/>
                  <w:shd w:val="clear" w:color="auto" w:fill="auto"/>
                  <w:vAlign w:val="center"/>
                </w:tcPr>
                <w:p w14:paraId="30A668E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机加工</w:t>
                  </w:r>
                </w:p>
              </w:tc>
              <w:tc>
                <w:tcPr>
                  <w:tcW w:w="664" w:type="pct"/>
                  <w:vMerge w:val="continue"/>
                  <w:vAlign w:val="center"/>
                </w:tcPr>
                <w:p w14:paraId="7EA4B5BE">
                  <w:pPr>
                    <w:jc w:val="center"/>
                    <w:rPr>
                      <w:rFonts w:hint="default" w:ascii="Times New Roman" w:hAnsi="Times New Roman" w:eastAsia="宋体" w:cs="Times New Roman"/>
                      <w:color w:val="auto"/>
                      <w:sz w:val="21"/>
                      <w:szCs w:val="21"/>
                    </w:rPr>
                  </w:pPr>
                </w:p>
              </w:tc>
              <w:tc>
                <w:tcPr>
                  <w:tcW w:w="852" w:type="pct"/>
                  <w:vAlign w:val="center"/>
                </w:tcPr>
                <w:p w14:paraId="011D16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4411B8C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924" w:type="pct"/>
                  <w:vAlign w:val="center"/>
                </w:tcPr>
                <w:p w14:paraId="034067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3A8A46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330401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996" w:type="pct"/>
                  <w:shd w:val="clear" w:color="auto" w:fill="auto"/>
                  <w:vAlign w:val="center"/>
                </w:tcPr>
                <w:p w14:paraId="2FEF8DA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不合格品</w:t>
                  </w:r>
                </w:p>
              </w:tc>
              <w:tc>
                <w:tcPr>
                  <w:tcW w:w="664" w:type="pct"/>
                  <w:shd w:val="clear" w:color="auto" w:fill="auto"/>
                  <w:vAlign w:val="center"/>
                </w:tcPr>
                <w:p w14:paraId="79E8BC1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测试</w:t>
                  </w:r>
                </w:p>
              </w:tc>
              <w:tc>
                <w:tcPr>
                  <w:tcW w:w="664" w:type="pct"/>
                  <w:vMerge w:val="continue"/>
                  <w:vAlign w:val="center"/>
                </w:tcPr>
                <w:p w14:paraId="79B79EC1">
                  <w:pPr>
                    <w:jc w:val="center"/>
                    <w:rPr>
                      <w:rFonts w:hint="default" w:ascii="Times New Roman" w:hAnsi="Times New Roman" w:eastAsia="宋体" w:cs="Times New Roman"/>
                      <w:color w:val="auto"/>
                      <w:sz w:val="21"/>
                      <w:szCs w:val="21"/>
                    </w:rPr>
                  </w:pPr>
                </w:p>
              </w:tc>
              <w:tc>
                <w:tcPr>
                  <w:tcW w:w="852" w:type="pct"/>
                  <w:vAlign w:val="center"/>
                </w:tcPr>
                <w:p w14:paraId="105825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1E2887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924" w:type="pct"/>
                  <w:vAlign w:val="center"/>
                </w:tcPr>
                <w:p w14:paraId="5AFF0C83">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外售综合利用</w:t>
                  </w:r>
                </w:p>
              </w:tc>
            </w:tr>
            <w:tr w14:paraId="4FBDB7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471DB0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996" w:type="pct"/>
                  <w:shd w:val="clear" w:color="auto" w:fill="auto"/>
                  <w:vAlign w:val="center"/>
                </w:tcPr>
                <w:p w14:paraId="68915C7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废布袋</w:t>
                  </w:r>
                </w:p>
              </w:tc>
              <w:tc>
                <w:tcPr>
                  <w:tcW w:w="664" w:type="pct"/>
                  <w:shd w:val="clear" w:color="auto" w:fill="auto"/>
                  <w:vAlign w:val="center"/>
                </w:tcPr>
                <w:p w14:paraId="69D9173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664" w:type="pct"/>
                  <w:vMerge w:val="continue"/>
                  <w:vAlign w:val="center"/>
                </w:tcPr>
                <w:p w14:paraId="455CE0C1">
                  <w:pPr>
                    <w:jc w:val="center"/>
                    <w:rPr>
                      <w:rFonts w:hint="default" w:ascii="Times New Roman" w:hAnsi="Times New Roman" w:eastAsia="宋体" w:cs="Times New Roman"/>
                      <w:color w:val="auto"/>
                      <w:sz w:val="21"/>
                      <w:szCs w:val="21"/>
                    </w:rPr>
                  </w:pPr>
                </w:p>
              </w:tc>
              <w:tc>
                <w:tcPr>
                  <w:tcW w:w="852" w:type="pct"/>
                  <w:vAlign w:val="center"/>
                </w:tcPr>
                <w:p w14:paraId="218F69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2FAFA72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924" w:type="pct"/>
                  <w:vAlign w:val="center"/>
                </w:tcPr>
                <w:p w14:paraId="79D27D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051E7C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52E39B3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w:t>
                  </w:r>
                </w:p>
              </w:tc>
              <w:tc>
                <w:tcPr>
                  <w:tcW w:w="996" w:type="pct"/>
                  <w:shd w:val="clear" w:color="auto" w:fill="auto"/>
                  <w:vAlign w:val="center"/>
                </w:tcPr>
                <w:p w14:paraId="72F6AC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664" w:type="pct"/>
                  <w:shd w:val="clear" w:color="auto" w:fill="auto"/>
                  <w:vAlign w:val="center"/>
                </w:tcPr>
                <w:p w14:paraId="1B6D9CB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664" w:type="pct"/>
                  <w:vMerge w:val="continue"/>
                  <w:vAlign w:val="center"/>
                </w:tcPr>
                <w:p w14:paraId="007E1748">
                  <w:pPr>
                    <w:jc w:val="center"/>
                    <w:rPr>
                      <w:rFonts w:hint="default" w:ascii="Times New Roman" w:hAnsi="Times New Roman" w:eastAsia="宋体" w:cs="Times New Roman"/>
                      <w:color w:val="auto"/>
                      <w:sz w:val="21"/>
                      <w:szCs w:val="21"/>
                    </w:rPr>
                  </w:pPr>
                </w:p>
              </w:tc>
              <w:tc>
                <w:tcPr>
                  <w:tcW w:w="852" w:type="pct"/>
                  <w:vAlign w:val="center"/>
                </w:tcPr>
                <w:p w14:paraId="4D3DBE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367BB2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0.2085</w:t>
                  </w:r>
                </w:p>
              </w:tc>
              <w:tc>
                <w:tcPr>
                  <w:tcW w:w="924" w:type="pct"/>
                  <w:vAlign w:val="center"/>
                </w:tcPr>
                <w:p w14:paraId="17D406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74E78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33878D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p>
              </w:tc>
              <w:tc>
                <w:tcPr>
                  <w:tcW w:w="996" w:type="pct"/>
                  <w:vAlign w:val="center"/>
                </w:tcPr>
                <w:p w14:paraId="369BBE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664" w:type="pct"/>
                  <w:shd w:val="clear" w:color="auto" w:fill="auto"/>
                  <w:vAlign w:val="center"/>
                </w:tcPr>
                <w:p w14:paraId="637B665C">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员工生活、办公</w:t>
                  </w:r>
                </w:p>
              </w:tc>
              <w:tc>
                <w:tcPr>
                  <w:tcW w:w="664" w:type="pct"/>
                  <w:vAlign w:val="center"/>
                </w:tcPr>
                <w:p w14:paraId="11C7C3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52" w:type="pct"/>
                  <w:vAlign w:val="center"/>
                </w:tcPr>
                <w:p w14:paraId="44FB57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shd w:val="clear" w:color="auto" w:fill="auto"/>
                  <w:vAlign w:val="center"/>
                </w:tcPr>
                <w:p w14:paraId="1EF7BA9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924" w:type="pct"/>
                  <w:vAlign w:val="center"/>
                </w:tcPr>
                <w:p w14:paraId="3B5C05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环卫部门统一清运</w:t>
                  </w:r>
                </w:p>
              </w:tc>
            </w:tr>
          </w:tbl>
          <w:p w14:paraId="120574D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5、固体废物污染防治措施</w:t>
            </w:r>
          </w:p>
          <w:p w14:paraId="44AC1A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（1）危险固体废物</w:t>
            </w:r>
          </w:p>
          <w:p w14:paraId="0064CE0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1）危险废物处置方式</w:t>
            </w:r>
          </w:p>
          <w:p w14:paraId="4F693CB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年版）以及危险废物鉴别标准，本项目危险废物为</w:t>
            </w:r>
            <w:r>
              <w:rPr>
                <w:rFonts w:hint="eastAsia" w:ascii="Times New Roman" w:hAnsi="Times New Roman" w:eastAsia="宋体" w:cs="Times New Roman"/>
                <w:color w:val="auto"/>
                <w:sz w:val="24"/>
                <w:lang w:val="en-US" w:eastAsia="zh-CN"/>
              </w:rPr>
              <w:t>含油</w:t>
            </w:r>
            <w:r>
              <w:rPr>
                <w:rFonts w:hint="default" w:ascii="Times New Roman" w:hAnsi="Times New Roman" w:eastAsia="宋体" w:cs="Times New Roman"/>
                <w:color w:val="auto"/>
                <w:sz w:val="24"/>
                <w:lang w:val="en-US" w:eastAsia="zh-CN"/>
              </w:rPr>
              <w:t>抹布</w:t>
            </w:r>
            <w:r>
              <w:rPr>
                <w:rFonts w:hint="default" w:ascii="Times New Roman" w:hAnsi="Times New Roman" w:eastAsia="宋体" w:cs="Times New Roman"/>
                <w:color w:val="auto"/>
                <w:sz w:val="24"/>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900-041-49）</w:t>
            </w:r>
            <w:r>
              <w:rPr>
                <w:rFonts w:hint="eastAsia" w:ascii="Times New Roman" w:hAnsi="Times New Roman" w:eastAsia="宋体" w:cs="Times New Roman"/>
                <w:color w:val="auto"/>
                <w:sz w:val="24"/>
                <w:lang w:val="en-US" w:eastAsia="zh-CN"/>
              </w:rPr>
              <w:t>0.156</w:t>
            </w:r>
            <w:r>
              <w:rPr>
                <w:rFonts w:hint="default" w:ascii="Times New Roman" w:hAnsi="Times New Roman" w:eastAsia="宋体" w:cs="Times New Roman"/>
                <w:color w:val="auto"/>
                <w:sz w:val="24"/>
              </w:rPr>
              <w:t>t/a、废桶（HW</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900-</w:t>
            </w:r>
            <w:r>
              <w:rPr>
                <w:rFonts w:hint="eastAsia" w:ascii="Times New Roman" w:hAnsi="Times New Roman" w:eastAsia="宋体" w:cs="Times New Roman"/>
                <w:color w:val="auto"/>
                <w:sz w:val="24"/>
                <w:lang w:val="en-US" w:eastAsia="zh-CN"/>
              </w:rPr>
              <w:t>249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val="en-US" w:eastAsia="zh-CN"/>
              </w:rPr>
              <w:t>废</w:t>
            </w:r>
            <w:r>
              <w:rPr>
                <w:rFonts w:hint="eastAsia" w:ascii="Times New Roman" w:hAnsi="Times New Roman" w:eastAsia="宋体" w:cs="Times New Roman"/>
                <w:color w:val="auto"/>
                <w:sz w:val="24"/>
                <w:lang w:val="en-US" w:eastAsia="zh-CN"/>
              </w:rPr>
              <w:t>润滑</w:t>
            </w:r>
            <w:r>
              <w:rPr>
                <w:rFonts w:hint="default" w:ascii="Times New Roman" w:hAnsi="Times New Roman" w:eastAsia="宋体" w:cs="Times New Roman"/>
                <w:color w:val="auto"/>
                <w:sz w:val="24"/>
                <w:lang w:val="en-US" w:eastAsia="zh-CN"/>
              </w:rPr>
              <w:t>油</w:t>
            </w:r>
            <w:r>
              <w:rPr>
                <w:rFonts w:hint="default" w:ascii="Times New Roman" w:hAnsi="Times New Roman" w:eastAsia="宋体" w:cs="Times New Roman"/>
                <w:color w:val="auto"/>
                <w:sz w:val="24"/>
              </w:rPr>
              <w:t>（HW08</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900-249-08）</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研磨废渣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HW17</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336-064-17</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清洗废液</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HW09</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900-007-09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1.68</w:t>
            </w:r>
            <w:r>
              <w:rPr>
                <w:rFonts w:hint="default" w:ascii="Times New Roman" w:hAnsi="Times New Roman" w:eastAsia="宋体" w:cs="Times New Roman"/>
                <w:color w:val="auto"/>
                <w:sz w:val="24"/>
              </w:rPr>
              <w:t>t/a、废</w:t>
            </w:r>
            <w:r>
              <w:rPr>
                <w:rFonts w:hint="eastAsia" w:ascii="Times New Roman" w:hAnsi="Times New Roman" w:eastAsia="宋体" w:cs="Times New Roman"/>
                <w:color w:val="auto"/>
                <w:sz w:val="24"/>
                <w:lang w:val="en-US" w:eastAsia="zh-CN"/>
              </w:rPr>
              <w:t>乳化液</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HW09</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900-00</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-09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1.76</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废活性炭</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900-0</w:t>
            </w:r>
            <w:r>
              <w:rPr>
                <w:rFonts w:hint="eastAsia" w:ascii="Times New Roman" w:hAnsi="Times New Roman" w:eastAsia="宋体" w:cs="Times New Roman"/>
                <w:color w:val="auto"/>
                <w:sz w:val="24"/>
                <w:lang w:val="en-US" w:eastAsia="zh-CN"/>
              </w:rPr>
              <w:t>39</w:t>
            </w:r>
            <w:r>
              <w:rPr>
                <w:rFonts w:hint="default" w:ascii="Times New Roman" w:hAnsi="Times New Roman" w:eastAsia="宋体" w:cs="Times New Roman"/>
                <w:color w:val="auto"/>
                <w:sz w:val="24"/>
                <w:lang w:eastAsia="zh-CN"/>
              </w:rPr>
              <w:t>-49</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7.93</w:t>
            </w:r>
            <w:r>
              <w:rPr>
                <w:rFonts w:hint="default" w:ascii="Times New Roman" w:hAnsi="Times New Roman" w:eastAsia="宋体" w:cs="Times New Roman"/>
                <w:color w:val="auto"/>
                <w:sz w:val="24"/>
              </w:rPr>
              <w:t>t/a，须委托具备处置资质和处置能力的单位进行无害化处置，并在本项目正式投产前落实危险废物处置途径，签订危废处置协议。</w:t>
            </w:r>
          </w:p>
          <w:p w14:paraId="12B425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2）贮存场所（设施）污染防治措施</w:t>
            </w:r>
          </w:p>
          <w:p w14:paraId="005FCF8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本项目拟在生产车间</w:t>
            </w: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lang w:val="en-US" w:eastAsia="zh-CN"/>
              </w:rPr>
              <w:t>侧</w:t>
            </w:r>
            <w:r>
              <w:rPr>
                <w:rFonts w:hint="default" w:ascii="Times New Roman" w:hAnsi="Times New Roman" w:eastAsia="宋体" w:cs="Times New Roman"/>
                <w:color w:val="auto"/>
                <w:sz w:val="24"/>
              </w:rPr>
              <w:t>设置一个</w:t>
            </w: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对各类危险废物进行安全暂存。危废仓库应按《危险废物贮存污染控制标准》（GB18597-2023）、《危险废物识别标志设置技术规范》（HJ1276-2022）、省生态环境厅关于印发《江苏省固体废物全过程环境监管工作意见》的通知&gt;（苏环办[2024]16号）等要求进行设置</w:t>
            </w:r>
            <w:r>
              <w:rPr>
                <w:rFonts w:hint="default" w:ascii="Times New Roman" w:hAnsi="Times New Roman" w:eastAsia="宋体" w:cs="Times New Roman"/>
                <w:color w:val="auto"/>
                <w:sz w:val="24"/>
                <w:lang w:eastAsia="zh-CN"/>
              </w:rPr>
              <w:t>：</w:t>
            </w:r>
          </w:p>
          <w:p w14:paraId="1C8727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①按照《环境保护图形标志—固体废物贮存（处置）场》（GB15562.2-1995）（2023年修订）和《危险废物识别标志设置技术规范》（HJ1276-2022）设置标志，并配备通讯设备、照明设施和消防设施。</w:t>
            </w:r>
          </w:p>
          <w:p w14:paraId="51A44E1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②贮存设施应根据危险废物的形态、物理化学性质、包装形式和污染物迁移途径，采取必要的防风、防晒、防雨、防漏、防渗、防腐以及其他环境污染防治措施，不应露天堆放危险废物。</w:t>
            </w:r>
          </w:p>
          <w:p w14:paraId="20BDC1F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③贮存设施应根据危险废物的类别、数量、形态、物理化学性质和污染防治等要求设置必要的贮存分区，避免不相容的危险废物接触、混合。</w:t>
            </w:r>
          </w:p>
          <w:p w14:paraId="1B2B6BF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④贮存设施或贮存分区内地面、墙面裙脚、堵截泄漏的围堰、接触危险废物的隔板和墙体等应采用坚固的材料建造，表面无裂缝。</w:t>
            </w:r>
          </w:p>
          <w:p w14:paraId="2FBF1D8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cm/s)，或至少2mm厚高密度聚乙烯膜等人工防渗材料(渗透系数不大于10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cm/s），或其他防渗性能等效的材料。</w:t>
            </w:r>
          </w:p>
          <w:p w14:paraId="2087AE3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⑥同一贮存设施宜采用相同的防渗、防腐工艺（包括防渗、防腐结构或材料），防渗、防腐材料应覆盖所有可能与废物及其渗滤液、渗漏液等接触的构筑物表面；采用不同防渗、防腐工艺应分别建设贮存分区。</w:t>
            </w:r>
          </w:p>
          <w:p w14:paraId="7109012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⑦贮存设施应采取技术和管理措施防止无关人员进入。</w:t>
            </w:r>
          </w:p>
          <w:p w14:paraId="5E5C668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⑧贮存库内不同贮存分区之间应采取隔离措施。隔离措施可根据危险废物特性采用过道、隔板或隔墙等方式。</w:t>
            </w:r>
          </w:p>
          <w:p w14:paraId="38CD1D8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732E83C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⑩贮存易产生粉尘、VOCs、酸雾、有毒有害大气污染物和刺激性气味气体的危险废物贮存库，应设置气体收集装置和气体净化设施；气体净化设施的排气筒高度应符合GB 16297要求。</w:t>
            </w:r>
          </w:p>
          <w:p w14:paraId="73A5CA0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⑪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168D370F">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22</w:t>
            </w:r>
            <w:r>
              <w:rPr>
                <w:rFonts w:hint="default" w:ascii="Times New Roman" w:hAnsi="Times New Roman" w:eastAsia="宋体" w:cs="Times New Roman"/>
                <w:b/>
                <w:bCs/>
                <w:color w:val="auto"/>
                <w:sz w:val="24"/>
              </w:rPr>
              <w:t xml:space="preserve">  危险废物贮存场所基本情况表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9"/>
              <w:gridCol w:w="1176"/>
              <w:gridCol w:w="1624"/>
              <w:gridCol w:w="1148"/>
              <w:gridCol w:w="789"/>
              <w:gridCol w:w="760"/>
              <w:gridCol w:w="1118"/>
              <w:gridCol w:w="984"/>
            </w:tblGrid>
            <w:tr w14:paraId="2909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448" w:type="pct"/>
                  <w:vAlign w:val="center"/>
                </w:tcPr>
                <w:p w14:paraId="46757C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贮存场所名称</w:t>
                  </w:r>
                </w:p>
              </w:tc>
              <w:tc>
                <w:tcPr>
                  <w:tcW w:w="704" w:type="pct"/>
                  <w:vAlign w:val="center"/>
                </w:tcPr>
                <w:p w14:paraId="64F93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972" w:type="pct"/>
                  <w:vAlign w:val="center"/>
                </w:tcPr>
                <w:p w14:paraId="2E777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687" w:type="pct"/>
                  <w:vAlign w:val="center"/>
                </w:tcPr>
                <w:p w14:paraId="4B56B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472" w:type="pct"/>
                  <w:vAlign w:val="center"/>
                </w:tcPr>
                <w:p w14:paraId="16501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455" w:type="pct"/>
                  <w:vAlign w:val="center"/>
                </w:tcPr>
                <w:p w14:paraId="75030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占地面积</w:t>
                  </w:r>
                </w:p>
                <w:p w14:paraId="109AB7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669" w:type="pct"/>
                  <w:vAlign w:val="center"/>
                </w:tcPr>
                <w:p w14:paraId="5C726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589" w:type="pct"/>
                  <w:vAlign w:val="center"/>
                </w:tcPr>
                <w:p w14:paraId="26CC0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贮存周期</w:t>
                  </w:r>
                </w:p>
              </w:tc>
            </w:tr>
            <w:tr w14:paraId="7649E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48" w:type="pct"/>
                  <w:vMerge w:val="restart"/>
                  <w:vAlign w:val="center"/>
                </w:tcPr>
                <w:p w14:paraId="2C302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危险固废暂存场</w:t>
                  </w:r>
                </w:p>
              </w:tc>
              <w:tc>
                <w:tcPr>
                  <w:tcW w:w="704" w:type="pct"/>
                  <w:shd w:val="clear" w:color="auto" w:fill="auto"/>
                  <w:vAlign w:val="center"/>
                </w:tcPr>
                <w:p w14:paraId="3463D24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废乳化液</w:t>
                  </w:r>
                </w:p>
              </w:tc>
              <w:tc>
                <w:tcPr>
                  <w:tcW w:w="1624" w:type="dxa"/>
                  <w:shd w:val="clear" w:color="auto" w:fill="auto"/>
                  <w:vAlign w:val="center"/>
                </w:tcPr>
                <w:p w14:paraId="09827952">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HW09</w:t>
                  </w:r>
                </w:p>
              </w:tc>
              <w:tc>
                <w:tcPr>
                  <w:tcW w:w="1148" w:type="dxa"/>
                  <w:shd w:val="clear" w:color="auto" w:fill="auto"/>
                  <w:vAlign w:val="center"/>
                </w:tcPr>
                <w:p w14:paraId="4B9CFAC5">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900-00</w:t>
                  </w:r>
                  <w:r>
                    <w:rPr>
                      <w:rFonts w:hint="eastAsia" w:ascii="Times New Roman" w:hAnsi="Times New Roman"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-09</w:t>
                  </w:r>
                </w:p>
              </w:tc>
              <w:tc>
                <w:tcPr>
                  <w:tcW w:w="472" w:type="pct"/>
                  <w:vMerge w:val="restart"/>
                  <w:vAlign w:val="center"/>
                </w:tcPr>
                <w:p w14:paraId="01D93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侧</w:t>
                  </w:r>
                </w:p>
              </w:tc>
              <w:tc>
                <w:tcPr>
                  <w:tcW w:w="455" w:type="pct"/>
                  <w:vMerge w:val="restart"/>
                  <w:vAlign w:val="center"/>
                </w:tcPr>
                <w:p w14:paraId="3C00C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69" w:type="pct"/>
                  <w:vAlign w:val="center"/>
                </w:tcPr>
                <w:p w14:paraId="26440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restart"/>
                  <w:vAlign w:val="center"/>
                </w:tcPr>
                <w:p w14:paraId="5BC08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不超过</w:t>
                  </w:r>
                </w:p>
                <w:p w14:paraId="51518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90天</w:t>
                  </w:r>
                </w:p>
              </w:tc>
            </w:tr>
            <w:tr w14:paraId="242D7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1CC41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3E1DC4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清洗废液</w:t>
                  </w:r>
                </w:p>
              </w:tc>
              <w:tc>
                <w:tcPr>
                  <w:tcW w:w="1624" w:type="dxa"/>
                  <w:shd w:val="clear" w:color="auto" w:fill="auto"/>
                  <w:vAlign w:val="center"/>
                </w:tcPr>
                <w:p w14:paraId="0B9BACE8">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w:t>
                  </w:r>
                  <w:r>
                    <w:rPr>
                      <w:rFonts w:hint="eastAsia" w:ascii="Times New Roman" w:hAnsi="Times New Roman" w:cs="Times New Roman"/>
                      <w:b w:val="0"/>
                      <w:bCs/>
                      <w:color w:val="auto"/>
                      <w:kern w:val="18"/>
                      <w:sz w:val="21"/>
                      <w:szCs w:val="21"/>
                      <w:highlight w:val="none"/>
                      <w:lang w:val="en-US" w:eastAsia="zh-CN" w:bidi="ar"/>
                    </w:rPr>
                    <w:t>9</w:t>
                  </w:r>
                </w:p>
              </w:tc>
              <w:tc>
                <w:tcPr>
                  <w:tcW w:w="1148" w:type="dxa"/>
                  <w:shd w:val="clear" w:color="auto" w:fill="auto"/>
                  <w:vAlign w:val="center"/>
                </w:tcPr>
                <w:p w14:paraId="6A2F3E01">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w:t>
                  </w:r>
                  <w:r>
                    <w:rPr>
                      <w:rFonts w:hint="eastAsia" w:ascii="Times New Roman" w:hAnsi="Times New Roman" w:cs="Times New Roman"/>
                      <w:b w:val="0"/>
                      <w:bCs/>
                      <w:color w:val="auto"/>
                      <w:sz w:val="21"/>
                      <w:szCs w:val="21"/>
                      <w:highlight w:val="none"/>
                      <w:lang w:val="en-US" w:eastAsia="zh-CN"/>
                    </w:rPr>
                    <w:t>007</w:t>
                  </w:r>
                  <w:r>
                    <w:rPr>
                      <w:rFonts w:hint="eastAsia" w:ascii="Times New Roman" w:hAnsi="Times New Roman" w:eastAsia="宋体" w:cs="Times New Roman"/>
                      <w:b w:val="0"/>
                      <w:bCs/>
                      <w:color w:val="auto"/>
                      <w:sz w:val="21"/>
                      <w:szCs w:val="21"/>
                      <w:highlight w:val="none"/>
                      <w:lang w:val="en-US" w:eastAsia="zh-CN"/>
                    </w:rPr>
                    <w:t>-0</w:t>
                  </w:r>
                  <w:r>
                    <w:rPr>
                      <w:rFonts w:hint="eastAsia" w:ascii="Times New Roman" w:hAnsi="Times New Roman" w:cs="Times New Roman"/>
                      <w:b w:val="0"/>
                      <w:bCs/>
                      <w:color w:val="auto"/>
                      <w:sz w:val="21"/>
                      <w:szCs w:val="21"/>
                      <w:highlight w:val="none"/>
                      <w:lang w:val="en-US" w:eastAsia="zh-CN"/>
                    </w:rPr>
                    <w:t>9</w:t>
                  </w:r>
                </w:p>
              </w:tc>
              <w:tc>
                <w:tcPr>
                  <w:tcW w:w="472" w:type="pct"/>
                  <w:vMerge w:val="continue"/>
                  <w:vAlign w:val="center"/>
                </w:tcPr>
                <w:p w14:paraId="55448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6FA2B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5D58D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23A48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380D7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003F2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61C36C8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w:t>
                  </w:r>
                  <w:r>
                    <w:rPr>
                      <w:rFonts w:hint="eastAsia" w:ascii="Times New Roman" w:hAnsi="Times New Roman" w:eastAsia="宋体" w:cs="Times New Roman"/>
                      <w:color w:val="auto"/>
                      <w:sz w:val="21"/>
                      <w:szCs w:val="21"/>
                      <w:lang w:val="en-US" w:eastAsia="zh-CN"/>
                    </w:rPr>
                    <w:t>渣</w:t>
                  </w:r>
                </w:p>
              </w:tc>
              <w:tc>
                <w:tcPr>
                  <w:tcW w:w="1624" w:type="dxa"/>
                  <w:shd w:val="clear" w:color="auto" w:fill="auto"/>
                  <w:vAlign w:val="center"/>
                </w:tcPr>
                <w:p w14:paraId="203F5182">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w:t>
                  </w:r>
                  <w:r>
                    <w:rPr>
                      <w:rFonts w:hint="eastAsia" w:ascii="Times New Roman" w:hAnsi="Times New Roman" w:cs="Times New Roman"/>
                      <w:b w:val="0"/>
                      <w:bCs/>
                      <w:color w:val="auto"/>
                      <w:kern w:val="18"/>
                      <w:sz w:val="21"/>
                      <w:szCs w:val="21"/>
                      <w:highlight w:val="none"/>
                      <w:lang w:val="en-US" w:eastAsia="zh-CN" w:bidi="ar"/>
                    </w:rPr>
                    <w:t>17</w:t>
                  </w:r>
                </w:p>
              </w:tc>
              <w:tc>
                <w:tcPr>
                  <w:tcW w:w="1148" w:type="dxa"/>
                  <w:shd w:val="clear" w:color="auto" w:fill="auto"/>
                  <w:vAlign w:val="center"/>
                </w:tcPr>
                <w:p w14:paraId="620C43B9">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336</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064</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17</w:t>
                  </w:r>
                </w:p>
              </w:tc>
              <w:tc>
                <w:tcPr>
                  <w:tcW w:w="472" w:type="pct"/>
                  <w:vMerge w:val="continue"/>
                  <w:vAlign w:val="center"/>
                </w:tcPr>
                <w:p w14:paraId="752C7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4BB2F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76F9E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100446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7CF82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4DCFA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704" w:type="pct"/>
                  <w:shd w:val="clear" w:color="auto" w:fill="auto"/>
                  <w:vAlign w:val="center"/>
                </w:tcPr>
                <w:p w14:paraId="0E56127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废润滑油</w:t>
                  </w:r>
                </w:p>
              </w:tc>
              <w:tc>
                <w:tcPr>
                  <w:tcW w:w="972" w:type="pct"/>
                  <w:shd w:val="clear" w:color="auto" w:fill="auto"/>
                  <w:vAlign w:val="center"/>
                </w:tcPr>
                <w:p w14:paraId="47A743B0">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18"/>
                      <w:sz w:val="21"/>
                      <w:szCs w:val="21"/>
                      <w:highlight w:val="none"/>
                      <w:lang w:val="en-US" w:eastAsia="zh-CN" w:bidi="ar"/>
                    </w:rPr>
                  </w:pPr>
                  <w:r>
                    <w:rPr>
                      <w:rFonts w:hint="eastAsia" w:ascii="Times New Roman" w:hAnsi="Times New Roman" w:eastAsia="宋体" w:cs="Times New Roman"/>
                      <w:b w:val="0"/>
                      <w:bCs/>
                      <w:color w:val="auto"/>
                      <w:kern w:val="18"/>
                      <w:sz w:val="21"/>
                      <w:szCs w:val="21"/>
                      <w:highlight w:val="none"/>
                      <w:lang w:val="en-US" w:eastAsia="zh-CN" w:bidi="ar"/>
                    </w:rPr>
                    <w:t>HW08</w:t>
                  </w:r>
                </w:p>
              </w:tc>
              <w:tc>
                <w:tcPr>
                  <w:tcW w:w="687" w:type="pct"/>
                  <w:shd w:val="clear" w:color="auto" w:fill="auto"/>
                  <w:vAlign w:val="center"/>
                </w:tcPr>
                <w:p w14:paraId="7BB12B3E">
                  <w:pPr>
                    <w:pStyle w:val="22"/>
                    <w:widowControl w:val="0"/>
                    <w:adjustRightInd w:val="0"/>
                    <w:snapToGrid w:val="0"/>
                    <w:spacing w:before="0" w:beforeAutospacing="0" w:after="0" w:afterAutospacing="0" w:line="240" w:lineRule="auto"/>
                    <w:ind w:left="-30" w:leftChars="0" w:right="-3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900-249-08</w:t>
                  </w:r>
                </w:p>
              </w:tc>
              <w:tc>
                <w:tcPr>
                  <w:tcW w:w="472" w:type="pct"/>
                  <w:vMerge w:val="continue"/>
                  <w:vAlign w:val="center"/>
                </w:tcPr>
                <w:p w14:paraId="05EB4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1F09A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704F3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69209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9C76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437A3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696D81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废桶</w:t>
                  </w:r>
                </w:p>
              </w:tc>
              <w:tc>
                <w:tcPr>
                  <w:tcW w:w="972" w:type="pct"/>
                  <w:shd w:val="clear" w:color="auto" w:fill="auto"/>
                  <w:vAlign w:val="center"/>
                </w:tcPr>
                <w:p w14:paraId="0C2856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687" w:type="pct"/>
                  <w:shd w:val="clear" w:color="auto" w:fill="auto"/>
                  <w:vAlign w:val="center"/>
                </w:tcPr>
                <w:p w14:paraId="081C6C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472" w:type="pct"/>
                  <w:vMerge w:val="continue"/>
                  <w:vAlign w:val="center"/>
                </w:tcPr>
                <w:p w14:paraId="14A89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6F185E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61D750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托盘装，分区放置</w:t>
                  </w:r>
                </w:p>
              </w:tc>
              <w:tc>
                <w:tcPr>
                  <w:tcW w:w="589" w:type="pct"/>
                  <w:vMerge w:val="continue"/>
                  <w:vAlign w:val="center"/>
                </w:tcPr>
                <w:p w14:paraId="3307E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059E2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48" w:type="pct"/>
                  <w:vMerge w:val="continue"/>
                  <w:vAlign w:val="center"/>
                </w:tcPr>
                <w:p w14:paraId="0084C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7314BB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含油抹布</w:t>
                  </w:r>
                </w:p>
              </w:tc>
              <w:tc>
                <w:tcPr>
                  <w:tcW w:w="972" w:type="pct"/>
                  <w:shd w:val="clear" w:color="auto" w:fill="auto"/>
                  <w:vAlign w:val="center"/>
                </w:tcPr>
                <w:p w14:paraId="44049A9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HW49</w:t>
                  </w:r>
                </w:p>
              </w:tc>
              <w:tc>
                <w:tcPr>
                  <w:tcW w:w="687" w:type="pct"/>
                  <w:shd w:val="clear" w:color="auto" w:fill="auto"/>
                  <w:vAlign w:val="center"/>
                </w:tcPr>
                <w:p w14:paraId="5B5DBD2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900-041-49</w:t>
                  </w:r>
                </w:p>
              </w:tc>
              <w:tc>
                <w:tcPr>
                  <w:tcW w:w="472" w:type="pct"/>
                  <w:vMerge w:val="continue"/>
                  <w:vAlign w:val="center"/>
                </w:tcPr>
                <w:p w14:paraId="2E453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172A0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2149B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袋装密封</w:t>
                  </w:r>
                  <w:r>
                    <w:rPr>
                      <w:rFonts w:hint="default" w:ascii="Times New Roman" w:hAnsi="Times New Roman" w:eastAsia="宋体" w:cs="Times New Roman"/>
                      <w:color w:val="auto"/>
                      <w:sz w:val="21"/>
                      <w:szCs w:val="21"/>
                    </w:rPr>
                    <w:t>，分区放置</w:t>
                  </w:r>
                </w:p>
              </w:tc>
              <w:tc>
                <w:tcPr>
                  <w:tcW w:w="589" w:type="pct"/>
                  <w:vMerge w:val="continue"/>
                  <w:vAlign w:val="center"/>
                </w:tcPr>
                <w:p w14:paraId="03CC7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1502C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48" w:type="pct"/>
                  <w:vMerge w:val="continue"/>
                  <w:vAlign w:val="center"/>
                </w:tcPr>
                <w:p w14:paraId="7C1A1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305C76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972" w:type="pct"/>
                  <w:shd w:val="clear" w:color="auto" w:fill="auto"/>
                  <w:vAlign w:val="center"/>
                </w:tcPr>
                <w:p w14:paraId="24ECA385">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687" w:type="pct"/>
                  <w:shd w:val="clear" w:color="auto" w:fill="auto"/>
                  <w:vAlign w:val="center"/>
                </w:tcPr>
                <w:p w14:paraId="32D5013F">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472" w:type="pct"/>
                  <w:vMerge w:val="continue"/>
                  <w:shd w:val="clear" w:color="auto" w:fill="auto"/>
                  <w:vAlign w:val="center"/>
                </w:tcPr>
                <w:p w14:paraId="7AE55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455" w:type="pct"/>
                  <w:vMerge w:val="continue"/>
                  <w:shd w:val="clear" w:color="auto" w:fill="auto"/>
                  <w:vAlign w:val="center"/>
                </w:tcPr>
                <w:p w14:paraId="1AF15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69" w:type="pct"/>
                  <w:shd w:val="clear" w:color="auto" w:fill="auto"/>
                  <w:vAlign w:val="center"/>
                </w:tcPr>
                <w:p w14:paraId="6029F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袋装密封、分区放置</w:t>
                  </w:r>
                </w:p>
              </w:tc>
              <w:tc>
                <w:tcPr>
                  <w:tcW w:w="589" w:type="pct"/>
                  <w:vMerge w:val="continue"/>
                  <w:vAlign w:val="center"/>
                </w:tcPr>
                <w:p w14:paraId="03506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bl>
          <w:p w14:paraId="54DEFB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贮存能力可行性分析：</w:t>
            </w:r>
          </w:p>
          <w:p w14:paraId="546978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本项目拟设置一个占地面积约为</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对危废进行暂存，危废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所应做到“四防”，即：防风、防雨、防晒、防渗漏，危废仓库地面与裙脚为坚固、防渗材料，建筑材料与危险废物相容。</w:t>
            </w:r>
          </w:p>
          <w:p w14:paraId="59C29F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本项目设</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，最多可容纳约</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t危险废物，项目全厂一个贮存周期的危险废物的产生量约为</w:t>
            </w:r>
            <w:r>
              <w:rPr>
                <w:rFonts w:hint="eastAsia" w:ascii="Times New Roman" w:hAnsi="Times New Roman" w:eastAsia="宋体" w:cs="Times New Roman"/>
                <w:color w:val="auto"/>
                <w:sz w:val="24"/>
                <w:lang w:val="en-US" w:eastAsia="zh-CN"/>
              </w:rPr>
              <w:t>3.3065</w:t>
            </w:r>
            <w:r>
              <w:rPr>
                <w:rFonts w:hint="default" w:ascii="Times New Roman" w:hAnsi="Times New Roman" w:eastAsia="宋体" w:cs="Times New Roman"/>
                <w:color w:val="auto"/>
                <w:sz w:val="24"/>
              </w:rPr>
              <w:t>t，因此企业危废暂存场所可以满足项目产生的危废暂存需求。</w:t>
            </w:r>
          </w:p>
          <w:p w14:paraId="7A5594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贮存安全可行性分析：</w:t>
            </w:r>
          </w:p>
          <w:p w14:paraId="09790AB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本项目产生并贮存于危废仓库的危险废物主要为</w:t>
            </w:r>
            <w:r>
              <w:rPr>
                <w:rFonts w:hint="default" w:ascii="Times New Roman" w:hAnsi="Times New Roman" w:eastAsia="宋体" w:cs="Times New Roman"/>
                <w:color w:val="auto"/>
                <w:sz w:val="24"/>
                <w:lang w:val="en-US" w:eastAsia="zh-CN"/>
              </w:rPr>
              <w:t>废抹布、废胶桶、</w:t>
            </w:r>
            <w:r>
              <w:rPr>
                <w:rFonts w:hint="default" w:ascii="Times New Roman" w:hAnsi="Times New Roman" w:eastAsia="宋体" w:cs="Times New Roman"/>
                <w:color w:val="auto"/>
                <w:sz w:val="24"/>
              </w:rPr>
              <w:t>废活性炭</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，企业根据各危险废物的形态和危险特性，用专用编织袋</w:t>
            </w:r>
            <w:r>
              <w:rPr>
                <w:rFonts w:hint="default" w:ascii="Times New Roman" w:hAnsi="Times New Roman" w:eastAsia="宋体" w:cs="Times New Roman"/>
                <w:color w:val="auto"/>
                <w:sz w:val="24"/>
                <w:lang w:val="en-US" w:eastAsia="zh-CN"/>
              </w:rPr>
              <w:t>和密封吨桶</w:t>
            </w:r>
            <w:r>
              <w:rPr>
                <w:rFonts w:hint="default" w:ascii="Times New Roman" w:hAnsi="Times New Roman" w:eastAsia="宋体" w:cs="Times New Roman"/>
                <w:color w:val="auto"/>
                <w:sz w:val="24"/>
              </w:rPr>
              <w:t>等包装容器盛装，并在盛装容器上粘贴标签，分开存放。贮存场所内设有隔离间隔断，并设置危险废物识别标志，且应满足“四防”。综上所述，本项目危废按上述要求贮存于该危废仓库可行。</w:t>
            </w:r>
          </w:p>
          <w:p w14:paraId="5E2B075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3）容器和包装物污染控制要求</w:t>
            </w:r>
          </w:p>
          <w:p w14:paraId="501BD61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18597-2023），危险废物容器和包装物污染控制要求如下：</w:t>
            </w:r>
          </w:p>
          <w:p w14:paraId="19177CB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①容器和包装物材质、内衬应与盛装的危险废物相容。</w:t>
            </w:r>
          </w:p>
          <w:p w14:paraId="3372C69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②针对不同类别、形态、物理化学性质的危险废物，其容器和包装物应满足相应的防渗、防漏、防腐和强度等要求。</w:t>
            </w:r>
          </w:p>
          <w:p w14:paraId="4FBDBA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③硬质容器和包装物及其支护结构堆叠码放时不应有明显变形，无破损泄漏。</w:t>
            </w:r>
          </w:p>
          <w:p w14:paraId="2C16123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④柔性容器和包装物堆叠码放时应封口严密，无破损泄漏。</w:t>
            </w:r>
          </w:p>
          <w:p w14:paraId="13466D4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⑤使用容器盛装液态、半固态危险废物时，容器内部应留有适当的空间，以适应因温度变化等可能引发的收缩和膨胀，防止其导致容器渗漏或永久变形。</w:t>
            </w:r>
          </w:p>
          <w:p w14:paraId="79C8400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⑥容器和包装物外表面应保持清洁。</w:t>
            </w:r>
          </w:p>
          <w:p w14:paraId="22FD75F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4）贮存过程要求</w:t>
            </w:r>
          </w:p>
          <w:p w14:paraId="6857624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18597-2023），危险废物贮存过程污染控制要求如下：</w:t>
            </w:r>
          </w:p>
          <w:p w14:paraId="71BA08D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①在常温常压下不易水解、不易挥发的固态危险废物可分类堆放贮存，其他固态危险废物应装入容器或包装物内贮存。</w:t>
            </w:r>
          </w:p>
          <w:p w14:paraId="29D8960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②液态危险废物应装入容器内贮存，或直接采用贮存池、贮存罐区贮存。</w:t>
            </w:r>
          </w:p>
          <w:p w14:paraId="6B6AAAF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③半固态危险废物应装入容器或包装袋内贮存，或者采用贮存池贮存。</w:t>
            </w:r>
          </w:p>
          <w:p w14:paraId="1D09591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④具有热塑性的危险废物应装入容器或包装袋内进行贮存。</w:t>
            </w:r>
          </w:p>
          <w:p w14:paraId="1F2D357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危险废物贮存过程中易产生粉尘等无组织排放的，应采取抑尘等有效措施。</w:t>
            </w:r>
          </w:p>
          <w:p w14:paraId="7EC94D7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5）运输过程的污染防治措施</w:t>
            </w:r>
          </w:p>
          <w:p w14:paraId="5C45926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危险废物运输必须按照《危险废物收集 贮存 运输技术规范》（HJ2025-2012）的要求并做到以下几点：</w:t>
            </w:r>
          </w:p>
          <w:p w14:paraId="311F8A1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①危险废物运输应由持有危险废物经营许可证的单位按照其许可证的经营范围组织实施，承担危险废物运输的单位应获得交通运输部门颁发的危险货物运输资质。</w:t>
            </w:r>
          </w:p>
          <w:p w14:paraId="4241E0A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②危险废物公路运输应按照《道路危险货物运输管理规定》（交通部令[2015年]第9号）、JT617以及JT618执行。</w:t>
            </w:r>
          </w:p>
          <w:p w14:paraId="4F96D8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③运输单位在承运危险废物时，应在危险废物包装上按照GB18597附录A设置标志。</w:t>
            </w:r>
          </w:p>
          <w:p w14:paraId="76A0BD9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④危险废物公路运输时，运输车辆按GB13392设置车辆标志。铁路运输和水路运输危险废物时应在集装箱外按GB190规定悬挂标志。</w:t>
            </w:r>
          </w:p>
          <w:p w14:paraId="590BC19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⑤危险废物运输时的中转、装卸过程应遵守如下技术要求：</w:t>
            </w:r>
          </w:p>
          <w:p w14:paraId="6BE87C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装卸区的工作人员应熟悉废物的危险特性，并配备适当的个人防护装备，装卸剧毒废物应配备特殊的防护装备；</w:t>
            </w:r>
          </w:p>
          <w:p w14:paraId="3050A89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装卸区应配备必要的消防设备和设施，并设置明显的指示标志；</w:t>
            </w:r>
          </w:p>
          <w:p w14:paraId="735E6E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危险废物装卸区应设置隔离设施，液态废物装卸区应设置收集槽和缓冲罐。</w:t>
            </w:r>
          </w:p>
          <w:p w14:paraId="65FE476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（2）一般工业固体废物</w:t>
            </w:r>
          </w:p>
          <w:p w14:paraId="3B46D3D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本项目一般工业固废主要为</w:t>
            </w:r>
            <w:r>
              <w:rPr>
                <w:rFonts w:hint="eastAsia" w:ascii="Times New Roman" w:hAnsi="Times New Roman" w:eastAsia="宋体" w:cs="Times New Roman"/>
                <w:color w:val="auto"/>
                <w:sz w:val="24"/>
                <w:lang w:val="en-US" w:eastAsia="zh-CN"/>
              </w:rPr>
              <w:t>硅钢片边角料9.6</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BMC边角料4.5t/a、钢材边角料4.5t/a、不合格品5t/a、废布袋0.05t/a、布袋收尘0.2085t/a</w:t>
            </w:r>
            <w:r>
              <w:rPr>
                <w:rFonts w:hint="default" w:ascii="Times New Roman" w:hAnsi="Times New Roman" w:eastAsia="宋体" w:cs="Times New Roman"/>
                <w:color w:val="auto"/>
                <w:sz w:val="24"/>
              </w:rPr>
              <w:t>，均定期外卖综合利用。一般固废仓库应按照《一般工业固体废物贮存和填埋污染控制标准》（GB18599-2020）、《省生态环境厅关于进一步完善一般工业固体废物环境管理的通知》（苏环办[2023]327号）要求建设，具体技术要求如下：</w:t>
            </w:r>
          </w:p>
          <w:p w14:paraId="74B6677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①根据建设、运行、封场等污染控制技术要求不同，贮存场、填埋场分为I类场和</w:t>
            </w:r>
            <w:r>
              <w:rPr>
                <w:rFonts w:hint="default" w:ascii="Times New Roman" w:hAnsi="Times New Roman" w:eastAsia="宋体" w:cs="Times New Roman"/>
                <w:color w:val="auto"/>
                <w:sz w:val="24"/>
                <w:lang w:eastAsia="zh-CN"/>
              </w:rPr>
              <w:t>Ⅱ类</w:t>
            </w:r>
            <w:r>
              <w:rPr>
                <w:rFonts w:hint="default" w:ascii="Times New Roman" w:hAnsi="Times New Roman" w:eastAsia="宋体" w:cs="Times New Roman"/>
                <w:color w:val="auto"/>
                <w:sz w:val="24"/>
              </w:rPr>
              <w:t>场。</w:t>
            </w:r>
          </w:p>
          <w:p w14:paraId="55F908B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②贮存场、填埋场的防洪标准应按重现期不小于50年一遇的洪水位设计，国家已有标准提出更高要求的除外。</w:t>
            </w:r>
          </w:p>
          <w:p w14:paraId="6D6C99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③贮存场和填埋场一般应包括以下单元：</w:t>
            </w:r>
          </w:p>
          <w:p w14:paraId="612413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a)防渗系统、渗滤液收集和导排系统；</w:t>
            </w:r>
          </w:p>
          <w:p w14:paraId="6B2291C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b)雨污分流系统；</w:t>
            </w:r>
          </w:p>
          <w:p w14:paraId="0E6A4AB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c)分析化验与环境监测系统；</w:t>
            </w:r>
          </w:p>
          <w:p w14:paraId="69D18A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d)公用工程和配套设施；</w:t>
            </w:r>
          </w:p>
          <w:p w14:paraId="0FEFB4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e)地下水导排系统和废水处理系统（根据具体情况选择设置）。</w:t>
            </w:r>
          </w:p>
          <w:p w14:paraId="63737E6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④贮存场及填埋场施工方案中应包括施工质量保证和施工质量控制内容，明确环保条款和责任，作为项目竣工环境保护验收的依据，同时可作为建设环境监理的主要内容。</w:t>
            </w:r>
          </w:p>
          <w:p w14:paraId="573A57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场及填埋场在施工完毕后应保存施工报告、全套竣工图、所有材料的现场及实验室检测报告。采用高密度聚乙烯膜作为人工合成材料衬层的贮存场及填埋场还应提交人工防渗衬层完整性检测报告。上述材料连同施工质量保证书作为竣工环境保护验收的依据。</w:t>
            </w:r>
          </w:p>
          <w:p w14:paraId="3C8C15D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⑥贮存场及填埋场渗滤液收集池的防渗要求应不低于对应贮存场、填埋场的防渗要求。</w:t>
            </w:r>
          </w:p>
          <w:p w14:paraId="0E3BC2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⑦贮存场除应符合标准规定污染控制技术要求之外，其设计、施工、运行、封场等还应符合相关行政法规规定、国家及行业标准要求。</w:t>
            </w:r>
          </w:p>
          <w:p w14:paraId="29410B6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食品制造业、纺织服装和服饰业、造纸和纸制品业、农副食品加工业等为日常生活提供服务的活动中产生的与生活垃圾性质相近的一般工业固体废物，以及有机质含量超过5%的一般工业固体废物（煤矸石除外），其直接贮存、填埋处置应符合GB16889要求。</w:t>
            </w:r>
          </w:p>
          <w:p w14:paraId="6EAC7CC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（3）生活垃圾</w:t>
            </w:r>
          </w:p>
          <w:p w14:paraId="6D2EC03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职工生活垃圾</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t/a，由环卫部门定期清运，可得到有效处置。</w:t>
            </w:r>
          </w:p>
          <w:p w14:paraId="1901090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综上，本项目产生的各类固废均可得到有效处置，固废污染防治措施可行，对周围环境影响较小。</w:t>
            </w:r>
          </w:p>
          <w:p w14:paraId="42C71687">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五、地下水、土壤</w:t>
            </w:r>
          </w:p>
          <w:p w14:paraId="73D5C6E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1、污染源、污染类型、污染途径</w:t>
            </w:r>
          </w:p>
          <w:p w14:paraId="23ADB6F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本项目土壤和地下水污染源主要为液态辅料（</w:t>
            </w:r>
            <w:r>
              <w:rPr>
                <w:rFonts w:hint="eastAsia" w:ascii="Times New Roman" w:hAnsi="Times New Roman" w:eastAsia="宋体" w:cs="Times New Roman"/>
                <w:color w:val="auto"/>
                <w:sz w:val="24"/>
                <w:lang w:val="en-US" w:eastAsia="zh-CN"/>
              </w:rPr>
              <w:t>润滑油、乳化液</w:t>
            </w:r>
            <w:r>
              <w:rPr>
                <w:rFonts w:hint="default" w:ascii="Times New Roman" w:hAnsi="Times New Roman" w:eastAsia="宋体" w:cs="Times New Roman"/>
                <w:color w:val="auto"/>
                <w:sz w:val="24"/>
              </w:rPr>
              <w:t>）、液态危险废物（废</w:t>
            </w:r>
            <w:r>
              <w:rPr>
                <w:rFonts w:hint="eastAsia" w:ascii="Times New Roman" w:hAnsi="Times New Roman" w:eastAsia="宋体" w:cs="Times New Roman"/>
                <w:color w:val="auto"/>
                <w:sz w:val="24"/>
                <w:lang w:val="en-US" w:eastAsia="zh-CN"/>
              </w:rPr>
              <w:t>润滑</w:t>
            </w:r>
            <w:r>
              <w:rPr>
                <w:rFonts w:hint="default" w:ascii="Times New Roman" w:hAnsi="Times New Roman" w:eastAsia="宋体" w:cs="Times New Roman"/>
                <w:color w:val="auto"/>
                <w:sz w:val="24"/>
                <w:lang w:val="en-US" w:eastAsia="zh-CN"/>
              </w:rPr>
              <w:t>油</w:t>
            </w:r>
            <w:r>
              <w:rPr>
                <w:rFonts w:hint="eastAsia"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）；可能产生土壤和地下水污染的设施、设备主要为</w:t>
            </w:r>
            <w:r>
              <w:rPr>
                <w:rFonts w:hint="eastAsia" w:ascii="Times New Roman" w:hAnsi="Times New Roman" w:eastAsia="宋体" w:cs="Times New Roman"/>
                <w:color w:val="auto"/>
                <w:sz w:val="24"/>
                <w:lang w:val="en-US" w:eastAsia="zh-CN"/>
              </w:rPr>
              <w:t>原料仓库</w:t>
            </w:r>
            <w:r>
              <w:rPr>
                <w:rFonts w:hint="default" w:ascii="Times New Roman" w:hAnsi="Times New Roman" w:eastAsia="宋体" w:cs="Times New Roman"/>
                <w:color w:val="auto"/>
                <w:sz w:val="24"/>
              </w:rPr>
              <w:t>和危废仓库。</w:t>
            </w:r>
          </w:p>
          <w:p w14:paraId="0FB6E7D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本项目废水主要为生活污水，污染物浓度较低</w:t>
            </w:r>
            <w:r>
              <w:rPr>
                <w:rFonts w:hint="default" w:ascii="Times New Roman" w:hAnsi="Times New Roman" w:eastAsia="宋体" w:cs="Times New Roman"/>
                <w:color w:val="auto"/>
                <w:sz w:val="24"/>
              </w:rPr>
              <w:t>，不会对土壤和地下水造成不利影响。</w:t>
            </w:r>
          </w:p>
          <w:p w14:paraId="773780E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本项目运营期间可能出现的土壤和地下水污染情况分析：</w:t>
            </w:r>
          </w:p>
          <w:p w14:paraId="2C62B3F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①本项目</w:t>
            </w:r>
            <w:r>
              <w:rPr>
                <w:rFonts w:hint="eastAsia" w:ascii="Times New Roman" w:hAnsi="Times New Roman" w:eastAsia="宋体" w:cs="Times New Roman"/>
                <w:color w:val="auto"/>
                <w:sz w:val="24"/>
                <w:lang w:val="en-US" w:eastAsia="zh-CN"/>
              </w:rPr>
              <w:t>润滑油、乳化液</w:t>
            </w:r>
            <w:r>
              <w:rPr>
                <w:rFonts w:hint="default" w:ascii="Times New Roman" w:hAnsi="Times New Roman" w:eastAsia="宋体" w:cs="Times New Roman"/>
                <w:color w:val="auto"/>
                <w:sz w:val="24"/>
              </w:rPr>
              <w:t>的单桶包装规格均较小，全厂地面均设置防腐水泥、防渗漏涂层等措施；液体物料一旦发生泄漏均可控制在厂界范围内，不存在可能造成土壤和地下水污染的途径。</w:t>
            </w:r>
          </w:p>
          <w:p w14:paraId="69014E2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②厂内若发生火灾、爆炸事故，事故状态下事故废水外溢，通过地表漫流途径及地下水渗流途径导致项目周边土壤和地下水的污染。</w:t>
            </w:r>
          </w:p>
          <w:p w14:paraId="771AF43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2、土壤、地下水环境保护污染防控措施</w:t>
            </w:r>
          </w:p>
          <w:p w14:paraId="547F17D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63FC1D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①源头控制</w:t>
            </w:r>
          </w:p>
          <w:p w14:paraId="3D1A93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16C7AC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②过程控制措施</w:t>
            </w:r>
          </w:p>
          <w:p w14:paraId="1F83DBC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泄露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5A742B7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③分区防控</w:t>
            </w:r>
          </w:p>
          <w:p w14:paraId="772D2B0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根据防渗参照的标准和规范，结合目前施工过程中的可操作性和技术水平，针对不同的防渗区域采用典型防渗措施，在具体设计中将根据实际情况在满足防渗标准的前提下做必要的调整。</w:t>
            </w:r>
          </w:p>
          <w:p w14:paraId="156D45F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本项目针对污染特点设置土壤、地下水一般污染防渗区和重点防渗区，防渗分区情况下表。</w:t>
            </w:r>
          </w:p>
          <w:p w14:paraId="394AFFDF">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 xml:space="preserve">-23 </w:t>
            </w:r>
            <w:r>
              <w:rPr>
                <w:rFonts w:hint="default" w:ascii="Times New Roman" w:hAnsi="Times New Roman" w:eastAsia="宋体" w:cs="Times New Roman"/>
                <w:b/>
                <w:color w:val="auto"/>
                <w:sz w:val="24"/>
              </w:rPr>
              <w:t xml:space="preserve"> 本项目污染防渗区划分</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9"/>
              <w:gridCol w:w="952"/>
              <w:gridCol w:w="1987"/>
              <w:gridCol w:w="2554"/>
              <w:gridCol w:w="2293"/>
            </w:tblGrid>
            <w:tr w14:paraId="2B12A8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5" w:type="pct"/>
                  <w:gridSpan w:val="2"/>
                  <w:vAlign w:val="center"/>
                </w:tcPr>
                <w:p w14:paraId="3F697081">
                  <w:pPr>
                    <w:pStyle w:val="2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分区</w:t>
                  </w:r>
                </w:p>
              </w:tc>
              <w:tc>
                <w:tcPr>
                  <w:tcW w:w="1190" w:type="pct"/>
                  <w:vAlign w:val="center"/>
                </w:tcPr>
                <w:p w14:paraId="4109F3E7">
                  <w:pPr>
                    <w:pStyle w:val="2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定义</w:t>
                  </w:r>
                </w:p>
              </w:tc>
              <w:tc>
                <w:tcPr>
                  <w:tcW w:w="1530" w:type="pct"/>
                  <w:vAlign w:val="center"/>
                </w:tcPr>
                <w:p w14:paraId="390D44EC">
                  <w:pPr>
                    <w:pStyle w:val="2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厂内分区</w:t>
                  </w:r>
                </w:p>
              </w:tc>
              <w:tc>
                <w:tcPr>
                  <w:tcW w:w="1373" w:type="pct"/>
                  <w:vAlign w:val="center"/>
                </w:tcPr>
                <w:p w14:paraId="2799307D">
                  <w:pPr>
                    <w:pStyle w:val="2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防渗等级</w:t>
                  </w:r>
                </w:p>
              </w:tc>
            </w:tr>
            <w:tr w14:paraId="7B5771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restart"/>
                  <w:vAlign w:val="center"/>
                </w:tcPr>
                <w:p w14:paraId="7882F069">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污染区</w:t>
                  </w:r>
                </w:p>
              </w:tc>
              <w:tc>
                <w:tcPr>
                  <w:tcW w:w="569" w:type="pct"/>
                  <w:vAlign w:val="center"/>
                </w:tcPr>
                <w:p w14:paraId="55632D9C">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重点防渗区</w:t>
                  </w:r>
                </w:p>
              </w:tc>
              <w:tc>
                <w:tcPr>
                  <w:tcW w:w="1190" w:type="pct"/>
                  <w:vAlign w:val="center"/>
                </w:tcPr>
                <w:p w14:paraId="7F01AA57">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危害性大，污染物较大的生产装置区，污染控制难度较难</w:t>
                  </w:r>
                </w:p>
              </w:tc>
              <w:tc>
                <w:tcPr>
                  <w:tcW w:w="1530" w:type="pct"/>
                  <w:vAlign w:val="center"/>
                </w:tcPr>
                <w:p w14:paraId="1AF74628">
                  <w:pPr>
                    <w:pStyle w:val="22"/>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原料仓库</w:t>
                  </w:r>
                  <w:r>
                    <w:rPr>
                      <w:rFonts w:hint="default" w:ascii="Times New Roman" w:hAnsi="Times New Roman" w:cs="Times New Roman"/>
                      <w:b w:val="0"/>
                      <w:color w:val="auto"/>
                      <w:sz w:val="21"/>
                      <w:szCs w:val="21"/>
                    </w:rPr>
                    <w:t>、危废仓库、</w:t>
                  </w:r>
                  <w:r>
                    <w:rPr>
                      <w:rFonts w:hint="default" w:ascii="Times New Roman" w:hAnsi="Times New Roman" w:cs="Times New Roman"/>
                      <w:b w:val="0"/>
                      <w:color w:val="auto"/>
                      <w:sz w:val="21"/>
                      <w:szCs w:val="21"/>
                      <w:lang w:val="en-US" w:eastAsia="zh-CN"/>
                    </w:rPr>
                    <w:t>生产区</w:t>
                  </w:r>
                </w:p>
              </w:tc>
              <w:tc>
                <w:tcPr>
                  <w:tcW w:w="1373" w:type="pct"/>
                  <w:vAlign w:val="center"/>
                </w:tcPr>
                <w:p w14:paraId="47A94796">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-10</w:t>
                  </w:r>
                  <w:r>
                    <w:rPr>
                      <w:rFonts w:hint="default" w:ascii="Times New Roman" w:hAnsi="Times New Roman" w:cs="Times New Roman"/>
                      <w:b w:val="0"/>
                      <w:color w:val="auto"/>
                      <w:sz w:val="21"/>
                      <w:szCs w:val="21"/>
                    </w:rPr>
                    <w:t>cm/s，等效黏土防渗层Mb≥6.0m</w:t>
                  </w:r>
                </w:p>
              </w:tc>
            </w:tr>
            <w:tr w14:paraId="3C158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continue"/>
                  <w:vAlign w:val="center"/>
                </w:tcPr>
                <w:p w14:paraId="5AF224B3">
                  <w:pPr>
                    <w:pStyle w:val="22"/>
                    <w:jc w:val="center"/>
                    <w:rPr>
                      <w:rFonts w:hint="default" w:ascii="Times New Roman" w:hAnsi="Times New Roman" w:cs="Times New Roman"/>
                      <w:b w:val="0"/>
                      <w:color w:val="auto"/>
                      <w:sz w:val="21"/>
                      <w:szCs w:val="21"/>
                    </w:rPr>
                  </w:pPr>
                </w:p>
              </w:tc>
              <w:tc>
                <w:tcPr>
                  <w:tcW w:w="569" w:type="pct"/>
                  <w:vAlign w:val="center"/>
                </w:tcPr>
                <w:p w14:paraId="7AE126BA">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一般防渗区</w:t>
                  </w:r>
                </w:p>
              </w:tc>
              <w:tc>
                <w:tcPr>
                  <w:tcW w:w="1190" w:type="pct"/>
                  <w:vAlign w:val="center"/>
                </w:tcPr>
                <w:p w14:paraId="7A2C23EB">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无毒性或毒性小的生产装置区、装置区外管廊区，污染控制难度较易</w:t>
                  </w:r>
                </w:p>
              </w:tc>
              <w:tc>
                <w:tcPr>
                  <w:tcW w:w="1530" w:type="pct"/>
                  <w:vAlign w:val="center"/>
                </w:tcPr>
                <w:p w14:paraId="0B7E9D79">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除重点防渗区以外</w:t>
                  </w:r>
                </w:p>
              </w:tc>
              <w:tc>
                <w:tcPr>
                  <w:tcW w:w="1373" w:type="pct"/>
                  <w:vAlign w:val="center"/>
                </w:tcPr>
                <w:p w14:paraId="64B7AD81">
                  <w:pPr>
                    <w:pStyle w:val="22"/>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-7</w:t>
                  </w:r>
                  <w:r>
                    <w:rPr>
                      <w:rFonts w:hint="default" w:ascii="Times New Roman" w:hAnsi="Times New Roman" w:cs="Times New Roman"/>
                      <w:b w:val="0"/>
                      <w:color w:val="auto"/>
                      <w:sz w:val="21"/>
                      <w:szCs w:val="21"/>
                    </w:rPr>
                    <w:t>cm/s，等效黏土防渗层Mb≥1.5m</w:t>
                  </w:r>
                </w:p>
              </w:tc>
            </w:tr>
          </w:tbl>
          <w:p w14:paraId="49B19282">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防渗区自上而下采用人工大理石或水泥防渗结构，车间地面全部进行粘土夯实、混凝硬化。如采取粘土铺底，再在上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防渗剖面见图4-</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139E6ED8">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5170805" cy="18853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171429" cy="1885714"/>
                          </a:xfrm>
                          <a:prstGeom prst="rect">
                            <a:avLst/>
                          </a:prstGeom>
                        </pic:spPr>
                      </pic:pic>
                    </a:graphicData>
                  </a:graphic>
                </wp:inline>
              </w:drawing>
            </w:r>
          </w:p>
          <w:p w14:paraId="61B3B37D">
            <w:pPr>
              <w:spacing w:line="36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重点区域防渗层剖面图</w:t>
            </w:r>
          </w:p>
          <w:p w14:paraId="4E7D4C3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④应急响应措施</w:t>
            </w:r>
          </w:p>
          <w:p w14:paraId="4F7546D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1AFA835E">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六、环境风险</w:t>
            </w:r>
          </w:p>
          <w:p w14:paraId="79322B03">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1、建设项目风险源调查</w:t>
            </w:r>
          </w:p>
          <w:p w14:paraId="650CAEA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参照《建设项目环境风险评价技术导则》（HJ169-2018）及其附录B，本项目所涉及的危险物质主要为原辅料中的</w:t>
            </w:r>
            <w:r>
              <w:rPr>
                <w:rFonts w:hint="eastAsia" w:ascii="Times New Roman" w:hAnsi="Times New Roman" w:eastAsia="宋体" w:cs="Times New Roman"/>
                <w:color w:val="auto"/>
                <w:sz w:val="24"/>
                <w:lang w:val="en-US" w:eastAsia="zh-CN"/>
              </w:rPr>
              <w:t>焊锡膏、乳化液、润滑油，以及危险废物</w:t>
            </w:r>
            <w:r>
              <w:rPr>
                <w:rFonts w:hint="default" w:ascii="Times New Roman" w:hAnsi="Times New Roman" w:eastAsia="宋体" w:cs="Times New Roman"/>
                <w:color w:val="auto"/>
                <w:sz w:val="24"/>
              </w:rPr>
              <w:t>。危险物质危险性识别见下表。</w:t>
            </w:r>
          </w:p>
          <w:p w14:paraId="2DC5C976">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-24</w:t>
            </w:r>
            <w:r>
              <w:rPr>
                <w:rFonts w:hint="default" w:ascii="Times New Roman" w:hAnsi="Times New Roman" w:eastAsia="宋体" w:cs="Times New Roman"/>
                <w:b/>
                <w:color w:val="auto"/>
                <w:sz w:val="24"/>
              </w:rPr>
              <w:t xml:space="preserve">  危险物质危险性识别表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4"/>
              <w:gridCol w:w="1971"/>
              <w:gridCol w:w="3103"/>
              <w:gridCol w:w="2020"/>
            </w:tblGrid>
            <w:tr w14:paraId="4C6C3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40C81291">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物质类别</w:t>
                  </w:r>
                </w:p>
              </w:tc>
              <w:tc>
                <w:tcPr>
                  <w:tcW w:w="1180" w:type="pct"/>
                  <w:vAlign w:val="center"/>
                </w:tcPr>
                <w:p w14:paraId="576F0D5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物质名称</w:t>
                  </w:r>
                </w:p>
              </w:tc>
              <w:tc>
                <w:tcPr>
                  <w:tcW w:w="1858" w:type="pct"/>
                  <w:vAlign w:val="center"/>
                </w:tcPr>
                <w:p w14:paraId="4C901E27">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毒理性质</w:t>
                  </w:r>
                </w:p>
              </w:tc>
              <w:tc>
                <w:tcPr>
                  <w:tcW w:w="1209" w:type="pct"/>
                  <w:vAlign w:val="center"/>
                </w:tcPr>
                <w:p w14:paraId="00161647">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燃爆性质</w:t>
                  </w:r>
                </w:p>
              </w:tc>
            </w:tr>
            <w:tr w14:paraId="03E4F2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restart"/>
                  <w:vAlign w:val="center"/>
                </w:tcPr>
                <w:p w14:paraId="12F99E16">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原辅材料</w:t>
                  </w:r>
                </w:p>
              </w:tc>
              <w:tc>
                <w:tcPr>
                  <w:tcW w:w="1180" w:type="pct"/>
                  <w:vAlign w:val="center"/>
                </w:tcPr>
                <w:p w14:paraId="08A873BE">
                  <w:pPr>
                    <w:jc w:val="center"/>
                    <w:rPr>
                      <w:rFonts w:hint="default" w:ascii="Times New Roman" w:hAnsi="Times New Roman" w:eastAsia="宋体" w:cs="Times New Roman"/>
                      <w:bCs/>
                      <w:color w:val="auto"/>
                    </w:rPr>
                  </w:pPr>
                  <w:r>
                    <w:rPr>
                      <w:rFonts w:hint="default" w:ascii="Times New Roman" w:hAnsi="Times New Roman" w:eastAsia="宋体" w:cs="Times New Roman"/>
                      <w:color w:val="auto"/>
                      <w:spacing w:val="-2"/>
                      <w:sz w:val="21"/>
                      <w:szCs w:val="21"/>
                    </w:rPr>
                    <w:t>焊锡膏</w:t>
                  </w:r>
                </w:p>
              </w:tc>
              <w:tc>
                <w:tcPr>
                  <w:tcW w:w="1858" w:type="pct"/>
                  <w:vAlign w:val="center"/>
                </w:tcPr>
                <w:p w14:paraId="59A0812F">
                  <w:pP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1209" w:type="pct"/>
                  <w:vAlign w:val="center"/>
                </w:tcPr>
                <w:p w14:paraId="6AF3CD36">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可燃</w:t>
                  </w:r>
                </w:p>
              </w:tc>
            </w:tr>
            <w:tr w14:paraId="4888E3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44C1433D">
                  <w:pPr>
                    <w:jc w:val="center"/>
                    <w:rPr>
                      <w:rFonts w:hint="default" w:ascii="Times New Roman" w:hAnsi="Times New Roman" w:eastAsia="宋体" w:cs="Times New Roman"/>
                      <w:bCs/>
                      <w:color w:val="auto"/>
                    </w:rPr>
                  </w:pPr>
                </w:p>
              </w:tc>
              <w:tc>
                <w:tcPr>
                  <w:tcW w:w="1180" w:type="pct"/>
                  <w:vAlign w:val="center"/>
                </w:tcPr>
                <w:p w14:paraId="3058AD19">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rPr>
                  </w:pPr>
                  <w:r>
                    <w:rPr>
                      <w:rFonts w:hint="default" w:ascii="Times New Roman" w:hAnsi="Times New Roman" w:eastAsia="宋体" w:cs="Times New Roman"/>
                      <w:color w:val="auto"/>
                      <w:spacing w:val="-3"/>
                      <w:sz w:val="21"/>
                      <w:szCs w:val="21"/>
                    </w:rPr>
                    <w:t>乳化液</w:t>
                  </w:r>
                </w:p>
              </w:tc>
              <w:tc>
                <w:tcPr>
                  <w:tcW w:w="1858" w:type="pct"/>
                  <w:vAlign w:val="center"/>
                </w:tcPr>
                <w:p w14:paraId="7456699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09" w:type="pct"/>
                  <w:vAlign w:val="center"/>
                </w:tcPr>
                <w:p w14:paraId="53043135">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易燃</w:t>
                  </w:r>
                </w:p>
              </w:tc>
            </w:tr>
            <w:tr w14:paraId="5C177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751" w:type="pct"/>
                  <w:vMerge w:val="continue"/>
                  <w:vAlign w:val="center"/>
                </w:tcPr>
                <w:p w14:paraId="36C92111">
                  <w:pPr>
                    <w:jc w:val="center"/>
                    <w:rPr>
                      <w:rFonts w:hint="default" w:ascii="Times New Roman" w:hAnsi="Times New Roman" w:eastAsia="宋体" w:cs="Times New Roman"/>
                      <w:bCs/>
                      <w:color w:val="auto"/>
                    </w:rPr>
                  </w:pPr>
                </w:p>
              </w:tc>
              <w:tc>
                <w:tcPr>
                  <w:tcW w:w="1180" w:type="pct"/>
                  <w:vAlign w:val="center"/>
                </w:tcPr>
                <w:p w14:paraId="7726EE6F">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spacing w:val="-2"/>
                      <w:sz w:val="21"/>
                      <w:szCs w:val="21"/>
                    </w:rPr>
                    <w:t>润滑油</w:t>
                  </w:r>
                </w:p>
              </w:tc>
              <w:tc>
                <w:tcPr>
                  <w:tcW w:w="1858" w:type="pct"/>
                  <w:vAlign w:val="center"/>
                </w:tcPr>
                <w:p w14:paraId="3391783D">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09" w:type="pct"/>
                  <w:vAlign w:val="center"/>
                </w:tcPr>
                <w:p w14:paraId="47E8B984">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易燃</w:t>
                  </w:r>
                </w:p>
              </w:tc>
            </w:tr>
            <w:tr w14:paraId="4A17A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0A984039">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危险废物</w:t>
                  </w:r>
                </w:p>
              </w:tc>
              <w:tc>
                <w:tcPr>
                  <w:tcW w:w="1180" w:type="pct"/>
                  <w:vAlign w:val="center"/>
                </w:tcPr>
                <w:p w14:paraId="4574B26E">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color w:val="auto"/>
                      <w:szCs w:val="21"/>
                      <w:lang w:val="en-US" w:eastAsia="zh-CN"/>
                    </w:rPr>
                    <w:t>废乳化液、废活性炭等</w:t>
                  </w:r>
                </w:p>
              </w:tc>
              <w:tc>
                <w:tcPr>
                  <w:tcW w:w="1858" w:type="pct"/>
                  <w:vAlign w:val="center"/>
                </w:tcPr>
                <w:p w14:paraId="2B647A6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09" w:type="pct"/>
                  <w:shd w:val="clear" w:color="auto" w:fill="auto"/>
                  <w:vAlign w:val="center"/>
                </w:tcPr>
                <w:p w14:paraId="0CEBA4B1">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易燃</w:t>
                  </w:r>
                </w:p>
              </w:tc>
            </w:tr>
          </w:tbl>
          <w:p w14:paraId="7614FA96">
            <w:pPr>
              <w:spacing w:before="156" w:beforeLines="5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2、危险物质数量与临界量比值</w:t>
            </w:r>
          </w:p>
          <w:p w14:paraId="19AA19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参照《建设项目环境风险评价技术导则》（HJ169-2018）附录C，计算所涉及的每种危险物质在厂界内的最大存在总量与其在附录B中对应临界量的比值Q。</w:t>
            </w:r>
          </w:p>
          <w:p w14:paraId="68E7F85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当存在多种危险物质时，使用以下公式计算物质总量与临界量的比值Q：</w:t>
            </w:r>
          </w:p>
          <w:p w14:paraId="3A637A20">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9"/>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5F867AFD">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p>
          <w:p w14:paraId="2693BE4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——每种危险物质的最大存在总量，t；</w:t>
            </w:r>
          </w:p>
          <w:p w14:paraId="581F8A31">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——每种危险物质的临界量，t。</w:t>
            </w:r>
          </w:p>
          <w:p w14:paraId="58ADDA22">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当Q＜1时，该项目环境风险潜势为Ⅰ。</w:t>
            </w:r>
          </w:p>
          <w:p w14:paraId="6554E33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当Q≥1时，将Q值划分为：（1）1≤Q＜10；（2）10≤Q＜100；（3）Q≥100。</w:t>
            </w:r>
          </w:p>
          <w:p w14:paraId="4EA0B1B3">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本项目Q值计算结果见下表。</w:t>
            </w:r>
          </w:p>
          <w:p w14:paraId="165C142A">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4-25</w:t>
            </w:r>
            <w:r>
              <w:rPr>
                <w:rFonts w:hint="default" w:ascii="Times New Roman" w:hAnsi="Times New Roman" w:eastAsia="宋体" w:cs="Times New Roman"/>
                <w:b/>
                <w:bCs/>
                <w:color w:val="auto"/>
                <w:sz w:val="24"/>
              </w:rPr>
              <w:t xml:space="preserve">  危险物质数量与临界量比值结果表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1543"/>
              <w:gridCol w:w="1416"/>
              <w:gridCol w:w="2702"/>
              <w:gridCol w:w="1017"/>
            </w:tblGrid>
            <w:tr w14:paraId="6FDF9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1E68AD7B">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危险物质名称</w:t>
                  </w:r>
                </w:p>
              </w:tc>
              <w:tc>
                <w:tcPr>
                  <w:tcW w:w="924" w:type="pct"/>
                  <w:vAlign w:val="center"/>
                </w:tcPr>
                <w:p w14:paraId="57ECFDB8">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最大储存量 t</w:t>
                  </w:r>
                </w:p>
              </w:tc>
              <w:tc>
                <w:tcPr>
                  <w:tcW w:w="848" w:type="pct"/>
                  <w:vAlign w:val="center"/>
                </w:tcPr>
                <w:p w14:paraId="216766A9">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临界量 t</w:t>
                  </w:r>
                </w:p>
              </w:tc>
              <w:tc>
                <w:tcPr>
                  <w:tcW w:w="1618" w:type="pct"/>
                  <w:vAlign w:val="center"/>
                </w:tcPr>
                <w:p w14:paraId="4A2A920A">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临界量依据</w:t>
                  </w:r>
                </w:p>
              </w:tc>
              <w:tc>
                <w:tcPr>
                  <w:tcW w:w="609" w:type="pct"/>
                  <w:vAlign w:val="center"/>
                </w:tcPr>
                <w:p w14:paraId="3B99AB4C">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q/Q</w:t>
                  </w:r>
                </w:p>
              </w:tc>
            </w:tr>
            <w:tr w14:paraId="518DE8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1CE691B1">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color w:val="auto"/>
                      <w:spacing w:val="-2"/>
                      <w:sz w:val="21"/>
                      <w:szCs w:val="21"/>
                    </w:rPr>
                    <w:t>焊锡膏</w:t>
                  </w:r>
                </w:p>
              </w:tc>
              <w:tc>
                <w:tcPr>
                  <w:tcW w:w="924" w:type="pct"/>
                  <w:vAlign w:val="center"/>
                </w:tcPr>
                <w:p w14:paraId="0BED7E72">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0.02</w:t>
                  </w:r>
                </w:p>
              </w:tc>
              <w:tc>
                <w:tcPr>
                  <w:tcW w:w="848" w:type="pct"/>
                  <w:vAlign w:val="center"/>
                </w:tcPr>
                <w:p w14:paraId="3EB225F8">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50</w:t>
                  </w:r>
                </w:p>
              </w:tc>
              <w:tc>
                <w:tcPr>
                  <w:tcW w:w="1618" w:type="pct"/>
                  <w:vAlign w:val="center"/>
                </w:tcPr>
                <w:p w14:paraId="56F3CB33">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264DDF62">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w:t>
                  </w:r>
                </w:p>
              </w:tc>
            </w:tr>
            <w:tr w14:paraId="4B04A7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63B9151F">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color w:val="auto"/>
                      <w:spacing w:val="-3"/>
                      <w:sz w:val="21"/>
                      <w:szCs w:val="21"/>
                    </w:rPr>
                    <w:t>乳化液</w:t>
                  </w:r>
                </w:p>
              </w:tc>
              <w:tc>
                <w:tcPr>
                  <w:tcW w:w="1543" w:type="dxa"/>
                  <w:vAlign w:val="center"/>
                </w:tcPr>
                <w:p w14:paraId="06A3B3E4">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spacing w:val="-3"/>
                      <w:sz w:val="21"/>
                      <w:szCs w:val="21"/>
                    </w:rPr>
                    <w:t>0.2</w:t>
                  </w:r>
                </w:p>
              </w:tc>
              <w:tc>
                <w:tcPr>
                  <w:tcW w:w="848" w:type="pct"/>
                  <w:vAlign w:val="center"/>
                </w:tcPr>
                <w:p w14:paraId="40372597">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50</w:t>
                  </w:r>
                </w:p>
              </w:tc>
              <w:tc>
                <w:tcPr>
                  <w:tcW w:w="1618" w:type="pct"/>
                  <w:vAlign w:val="center"/>
                </w:tcPr>
                <w:p w14:paraId="53FA46AE">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2B5638FB">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p>
              </w:tc>
            </w:tr>
            <w:tr w14:paraId="219D1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6B947955">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color w:val="auto"/>
                      <w:spacing w:val="-2"/>
                      <w:sz w:val="21"/>
                      <w:szCs w:val="21"/>
                    </w:rPr>
                    <w:t>润滑油</w:t>
                  </w:r>
                </w:p>
              </w:tc>
              <w:tc>
                <w:tcPr>
                  <w:tcW w:w="1543" w:type="dxa"/>
                  <w:vAlign w:val="center"/>
                </w:tcPr>
                <w:p w14:paraId="3CBB3D54">
                  <w:pPr>
                    <w:pStyle w:val="7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spacing w:val="-2"/>
                      <w:sz w:val="21"/>
                      <w:szCs w:val="21"/>
                    </w:rPr>
                    <w:t>0.15</w:t>
                  </w:r>
                </w:p>
              </w:tc>
              <w:tc>
                <w:tcPr>
                  <w:tcW w:w="848" w:type="pct"/>
                  <w:vAlign w:val="center"/>
                </w:tcPr>
                <w:p w14:paraId="46B52D2A">
                  <w:pPr>
                    <w:jc w:val="center"/>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rPr>
                    <w:t>2500</w:t>
                  </w:r>
                </w:p>
              </w:tc>
              <w:tc>
                <w:tcPr>
                  <w:tcW w:w="1618" w:type="pct"/>
                  <w:vAlign w:val="center"/>
                </w:tcPr>
                <w:p w14:paraId="01EEEBCD">
                  <w:pPr>
                    <w:jc w:val="center"/>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4961B2E1">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0.00006</w:t>
                  </w:r>
                </w:p>
              </w:tc>
            </w:tr>
            <w:tr w14:paraId="5855D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6C7D61F8">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危险废物</w:t>
                  </w:r>
                </w:p>
              </w:tc>
              <w:tc>
                <w:tcPr>
                  <w:tcW w:w="924" w:type="pct"/>
                  <w:vAlign w:val="center"/>
                </w:tcPr>
                <w:p w14:paraId="7BE33505">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3.3065</w:t>
                  </w:r>
                </w:p>
              </w:tc>
              <w:tc>
                <w:tcPr>
                  <w:tcW w:w="848" w:type="pct"/>
                  <w:shd w:val="clear" w:color="auto" w:fill="auto"/>
                  <w:vAlign w:val="center"/>
                </w:tcPr>
                <w:p w14:paraId="7F9CA11A">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50</w:t>
                  </w:r>
                </w:p>
              </w:tc>
              <w:tc>
                <w:tcPr>
                  <w:tcW w:w="1618" w:type="pct"/>
                  <w:shd w:val="clear" w:color="auto" w:fill="auto"/>
                  <w:vAlign w:val="center"/>
                </w:tcPr>
                <w:p w14:paraId="5A806FE2">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1C4B2157">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6613</w:t>
                  </w:r>
                </w:p>
              </w:tc>
            </w:tr>
            <w:tr w14:paraId="66BE59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90" w:type="pct"/>
                  <w:gridSpan w:val="4"/>
                  <w:vAlign w:val="center"/>
                </w:tcPr>
                <w:p w14:paraId="3C43B392">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合计</w:t>
                  </w:r>
                </w:p>
              </w:tc>
              <w:tc>
                <w:tcPr>
                  <w:tcW w:w="1017" w:type="dxa"/>
                  <w:shd w:val="clear" w:color="auto" w:fill="auto"/>
                  <w:vAlign w:val="center"/>
                </w:tcPr>
                <w:p w14:paraId="54D221E6">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7059</w:t>
                  </w:r>
                </w:p>
              </w:tc>
            </w:tr>
          </w:tbl>
          <w:p w14:paraId="311B979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由上表可知，本项目Q=</w:t>
            </w:r>
            <w:r>
              <w:rPr>
                <w:rFonts w:hint="eastAsia" w:ascii="Times New Roman" w:hAnsi="Times New Roman" w:eastAsia="宋体" w:cs="Times New Roman"/>
                <w:color w:val="auto"/>
                <w:sz w:val="24"/>
                <w:lang w:val="en-US" w:eastAsia="zh-CN"/>
              </w:rPr>
              <w:t>0.07059</w:t>
            </w:r>
            <w:r>
              <w:rPr>
                <w:rFonts w:hint="default" w:ascii="Times New Roman" w:hAnsi="Times New Roman" w:eastAsia="宋体" w:cs="Times New Roman"/>
                <w:color w:val="auto"/>
                <w:sz w:val="24"/>
              </w:rPr>
              <w:t>＜1，故不设置风险专项。</w:t>
            </w:r>
          </w:p>
          <w:p w14:paraId="0FB0C233">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3、风险源分布情况分析</w:t>
            </w:r>
          </w:p>
          <w:p w14:paraId="062D43E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本项目风险源识别结果见下表。</w:t>
            </w:r>
          </w:p>
          <w:p w14:paraId="51096D7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-26</w:t>
            </w:r>
            <w:r>
              <w:rPr>
                <w:rFonts w:hint="default" w:ascii="Times New Roman" w:hAnsi="Times New Roman" w:eastAsia="宋体" w:cs="Times New Roman"/>
                <w:b/>
                <w:color w:val="auto"/>
                <w:sz w:val="24"/>
              </w:rPr>
              <w:t xml:space="preserve">  环境风险源识别结果及影响途径汇总表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9"/>
              <w:gridCol w:w="1134"/>
              <w:gridCol w:w="1559"/>
              <w:gridCol w:w="1848"/>
              <w:gridCol w:w="1574"/>
              <w:gridCol w:w="1574"/>
            </w:tblGrid>
            <w:tr w14:paraId="17D58F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6A22F616">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679" w:type="pct"/>
                  <w:vAlign w:val="center"/>
                </w:tcPr>
                <w:p w14:paraId="3AFD582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位置</w:t>
                  </w:r>
                </w:p>
              </w:tc>
              <w:tc>
                <w:tcPr>
                  <w:tcW w:w="933" w:type="pct"/>
                  <w:vAlign w:val="center"/>
                </w:tcPr>
                <w:p w14:paraId="7A941E3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风险源</w:t>
                  </w:r>
                </w:p>
              </w:tc>
              <w:tc>
                <w:tcPr>
                  <w:tcW w:w="1106" w:type="pct"/>
                  <w:vAlign w:val="center"/>
                </w:tcPr>
                <w:p w14:paraId="3ACBFA6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主要危险物质</w:t>
                  </w:r>
                </w:p>
              </w:tc>
              <w:tc>
                <w:tcPr>
                  <w:tcW w:w="942" w:type="pct"/>
                  <w:vAlign w:val="center"/>
                </w:tcPr>
                <w:p w14:paraId="7D5C178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环境风险类型</w:t>
                  </w:r>
                </w:p>
              </w:tc>
              <w:tc>
                <w:tcPr>
                  <w:tcW w:w="942" w:type="pct"/>
                  <w:vAlign w:val="center"/>
                </w:tcPr>
                <w:p w14:paraId="586B588C">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环境影响途径</w:t>
                  </w:r>
                </w:p>
              </w:tc>
            </w:tr>
            <w:tr w14:paraId="365DCD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1DBBC6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679" w:type="pct"/>
                  <w:vAlign w:val="center"/>
                </w:tcPr>
                <w:p w14:paraId="71B81C2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生产车间</w:t>
                  </w:r>
                </w:p>
              </w:tc>
              <w:tc>
                <w:tcPr>
                  <w:tcW w:w="933" w:type="pct"/>
                  <w:vAlign w:val="center"/>
                </w:tcPr>
                <w:p w14:paraId="402BCA7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原料</w:t>
                  </w:r>
                  <w:r>
                    <w:rPr>
                      <w:rFonts w:hint="default" w:ascii="Times New Roman" w:hAnsi="Times New Roman" w:eastAsia="宋体" w:cs="Times New Roman"/>
                      <w:bCs/>
                      <w:color w:val="auto"/>
                      <w:szCs w:val="21"/>
                      <w:lang w:val="en-US" w:eastAsia="zh-CN"/>
                    </w:rPr>
                    <w:t>车间</w:t>
                  </w:r>
                </w:p>
              </w:tc>
              <w:tc>
                <w:tcPr>
                  <w:tcW w:w="1106" w:type="pct"/>
                  <w:vAlign w:val="center"/>
                </w:tcPr>
                <w:p w14:paraId="6CBB6C5E">
                  <w:pPr>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焊锡膏、乳化液、润滑油</w:t>
                  </w:r>
                </w:p>
              </w:tc>
              <w:tc>
                <w:tcPr>
                  <w:tcW w:w="942" w:type="pct"/>
                  <w:vAlign w:val="center"/>
                </w:tcPr>
                <w:p w14:paraId="350C8FE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泄漏、火灾、爆炸、中毒</w:t>
                  </w:r>
                </w:p>
              </w:tc>
              <w:tc>
                <w:tcPr>
                  <w:tcW w:w="942" w:type="pct"/>
                  <w:vAlign w:val="center"/>
                </w:tcPr>
                <w:p w14:paraId="2D541E1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大气、地表水、地下水、土壤</w:t>
                  </w:r>
                </w:p>
              </w:tc>
            </w:tr>
            <w:tr w14:paraId="03B132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3919C7F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679" w:type="pct"/>
                  <w:vAlign w:val="center"/>
                </w:tcPr>
                <w:p w14:paraId="39A52B80">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废气处理装置</w:t>
                  </w:r>
                </w:p>
              </w:tc>
              <w:tc>
                <w:tcPr>
                  <w:tcW w:w="933" w:type="pct"/>
                  <w:vAlign w:val="center"/>
                </w:tcPr>
                <w:p w14:paraId="7AB3A95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布袋除尘器</w:t>
                  </w:r>
                </w:p>
              </w:tc>
              <w:tc>
                <w:tcPr>
                  <w:tcW w:w="1106" w:type="pct"/>
                  <w:vAlign w:val="center"/>
                </w:tcPr>
                <w:p w14:paraId="17244DB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w:t>
                  </w:r>
                </w:p>
              </w:tc>
              <w:tc>
                <w:tcPr>
                  <w:tcW w:w="942" w:type="pct"/>
                  <w:vAlign w:val="center"/>
                </w:tcPr>
                <w:p w14:paraId="3E674608">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火灾、爆炸</w:t>
                  </w:r>
                </w:p>
              </w:tc>
              <w:tc>
                <w:tcPr>
                  <w:tcW w:w="942" w:type="pct"/>
                  <w:vAlign w:val="center"/>
                </w:tcPr>
                <w:p w14:paraId="7C19245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w:t>
                  </w:r>
                </w:p>
              </w:tc>
            </w:tr>
            <w:tr w14:paraId="58AFCC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BB1ACB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679" w:type="pct"/>
                  <w:vAlign w:val="center"/>
                </w:tcPr>
                <w:p w14:paraId="038B62E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危废库</w:t>
                  </w:r>
                </w:p>
              </w:tc>
              <w:tc>
                <w:tcPr>
                  <w:tcW w:w="933" w:type="pct"/>
                  <w:vAlign w:val="center"/>
                </w:tcPr>
                <w:p w14:paraId="3EC00D2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危险废物</w:t>
                  </w:r>
                </w:p>
              </w:tc>
              <w:tc>
                <w:tcPr>
                  <w:tcW w:w="1106" w:type="pct"/>
                  <w:vAlign w:val="center"/>
                </w:tcPr>
                <w:p w14:paraId="40BBA66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废润滑油、废乳化液等</w:t>
                  </w:r>
                </w:p>
              </w:tc>
              <w:tc>
                <w:tcPr>
                  <w:tcW w:w="942" w:type="pct"/>
                  <w:vAlign w:val="center"/>
                </w:tcPr>
                <w:p w14:paraId="4E9F942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泄漏、火灾、爆炸</w:t>
                  </w:r>
                </w:p>
              </w:tc>
              <w:tc>
                <w:tcPr>
                  <w:tcW w:w="942" w:type="pct"/>
                  <w:vAlign w:val="center"/>
                </w:tcPr>
                <w:p w14:paraId="3D31EEBC">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大气、地表水、地下水、土壤</w:t>
                  </w:r>
                </w:p>
              </w:tc>
            </w:tr>
          </w:tbl>
          <w:p w14:paraId="6DF37248">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4、风险事故影响途径分析</w:t>
            </w:r>
          </w:p>
          <w:p w14:paraId="3A2742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①火灾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爆炸</w:t>
            </w:r>
            <w:r>
              <w:rPr>
                <w:rFonts w:hint="default" w:ascii="Times New Roman" w:hAnsi="Times New Roman" w:eastAsia="宋体" w:cs="Times New Roman"/>
                <w:color w:val="auto"/>
                <w:kern w:val="0"/>
                <w:sz w:val="24"/>
                <w:szCs w:val="24"/>
              </w:rPr>
              <w:t>影响</w:t>
            </w:r>
          </w:p>
          <w:p w14:paraId="4C6092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本项目部分原辅材料是易燃易爆物质，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0ACDA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kern w:val="0"/>
                <w:sz w:val="24"/>
                <w:szCs w:val="24"/>
                <w:lang w:eastAsia="zh-CN"/>
              </w:rPr>
              <w:t>泄露影响</w:t>
            </w:r>
          </w:p>
          <w:p w14:paraId="09698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本项目使用</w:t>
            </w:r>
            <w:r>
              <w:rPr>
                <w:rFonts w:hint="default" w:ascii="Times New Roman" w:hAnsi="Times New Roman" w:eastAsia="宋体" w:cs="Times New Roman"/>
                <w:color w:val="auto"/>
                <w:kern w:val="0"/>
                <w:sz w:val="24"/>
                <w:szCs w:val="24"/>
                <w:lang w:val="en-US" w:eastAsia="zh-CN"/>
              </w:rPr>
              <w:t>各类</w:t>
            </w:r>
            <w:r>
              <w:rPr>
                <w:rFonts w:hint="default" w:ascii="Times New Roman" w:hAnsi="Times New Roman" w:eastAsia="宋体" w:cs="Times New Roman"/>
                <w:color w:val="auto"/>
                <w:kern w:val="0"/>
                <w:sz w:val="24"/>
                <w:szCs w:val="24"/>
                <w:lang w:eastAsia="zh-CN"/>
              </w:rPr>
              <w:t>原料</w:t>
            </w:r>
            <w:r>
              <w:rPr>
                <w:rFonts w:hint="default" w:ascii="Times New Roman" w:hAnsi="Times New Roman" w:eastAsia="宋体" w:cs="Times New Roman"/>
                <w:color w:val="auto"/>
                <w:kern w:val="0"/>
                <w:sz w:val="24"/>
                <w:szCs w:val="24"/>
                <w:lang w:val="en-US" w:eastAsia="zh-CN"/>
              </w:rPr>
              <w:t>存放</w:t>
            </w:r>
            <w:r>
              <w:rPr>
                <w:rFonts w:hint="default" w:ascii="Times New Roman" w:hAnsi="Times New Roman" w:eastAsia="宋体" w:cs="Times New Roman"/>
                <w:color w:val="auto"/>
                <w:kern w:val="0"/>
                <w:sz w:val="24"/>
                <w:szCs w:val="24"/>
              </w:rPr>
              <w:t>于</w:t>
            </w:r>
            <w:r>
              <w:rPr>
                <w:rFonts w:hint="default" w:ascii="Times New Roman" w:hAnsi="Times New Roman" w:eastAsia="宋体" w:cs="Times New Roman"/>
                <w:color w:val="auto"/>
                <w:kern w:val="0"/>
                <w:sz w:val="24"/>
                <w:szCs w:val="24"/>
                <w:lang w:eastAsia="zh-CN"/>
              </w:rPr>
              <w:t>生产车间内的原料</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，危废存放于危废仓库</w:t>
            </w:r>
            <w:r>
              <w:rPr>
                <w:rFonts w:hint="default" w:ascii="Times New Roman" w:hAnsi="Times New Roman" w:eastAsia="宋体" w:cs="Times New Roman"/>
                <w:color w:val="auto"/>
                <w:kern w:val="0"/>
                <w:sz w:val="24"/>
                <w:szCs w:val="24"/>
              </w:rPr>
              <w:t>，包装桶破损易导致各类液体原料或危废泄露，通过地表径流，影响地表水、地下水以及土壤影响环境</w:t>
            </w:r>
            <w:r>
              <w:rPr>
                <w:rFonts w:hint="default" w:ascii="Times New Roman" w:hAnsi="Times New Roman" w:eastAsia="宋体" w:cs="Times New Roman"/>
                <w:color w:val="auto"/>
                <w:kern w:val="0"/>
                <w:sz w:val="24"/>
                <w:szCs w:val="24"/>
                <w:lang w:eastAsia="zh-CN"/>
              </w:rPr>
              <w:t>。</w:t>
            </w:r>
          </w:p>
          <w:p w14:paraId="27C408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③火灾爆炸事故次生/伴生影响分析</w:t>
            </w:r>
          </w:p>
          <w:p w14:paraId="4246BB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发生火灾、爆炸也必须具备如下三个条件：一是爆炸性气体、液体蒸汽和空气混合后达到爆炸极限范围；二是场所内有足以激发混合物爆炸的能量；三是要有足够的助燃物。</w:t>
            </w:r>
          </w:p>
          <w:p w14:paraId="0E3D67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火灾爆炸事故发生有如下几种类型：</w:t>
            </w:r>
          </w:p>
          <w:p w14:paraId="496096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立即起火：如果泄漏点处存在引火源，易燃气体从容器中往外泄出时即被点燃，发生扩散燃烧，产生喷射性火焰或形成火球，它能迅速地危及泄漏现场，但很少会影响到厂区的外部。</w:t>
            </w:r>
          </w:p>
          <w:p w14:paraId="4B9F1B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滞后起火：如果泄漏点处无引火源，易燃气体泄出后与空气混合形成可燃蒸气云团，并随风飘移，遇火源发生爆炸或爆轰，能引起较大范围的破坏。</w:t>
            </w:r>
          </w:p>
          <w:p w14:paraId="0F9767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常温常压下液体泄漏后聚集在防护堤内或地势低洼处形成液池，液体由于池表面风的对流而缓慢蒸发，若遇引火源就会发生池火灾。</w:t>
            </w:r>
          </w:p>
          <w:p w14:paraId="58608D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本项目中有可能存在的点火源为：</w:t>
            </w:r>
          </w:p>
          <w:p w14:paraId="7B788A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a</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kern w:val="0"/>
                <w:sz w:val="24"/>
                <w:szCs w:val="24"/>
                <w:lang w:val="en-US" w:eastAsia="zh-CN"/>
              </w:rPr>
              <w:t>明火：如违章使用的明火、吸烟、打火机火种等；</w:t>
            </w:r>
          </w:p>
          <w:p w14:paraId="72522E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14518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c.静电火花；</w:t>
            </w:r>
          </w:p>
          <w:p w14:paraId="1CF821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d.车辆火花：由于机动车辆未安装防火罩产生的火花；</w:t>
            </w:r>
          </w:p>
          <w:p w14:paraId="6C407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e.工具火花：工具为易产生火花型，由于敲击而产生的火花；</w:t>
            </w:r>
          </w:p>
          <w:p w14:paraId="4D0387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f.雷击；</w:t>
            </w:r>
          </w:p>
          <w:p w14:paraId="65C94C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g.外部散发进入的火种（如烟花爆竹、锅炉飞灰火星等）;</w:t>
            </w:r>
          </w:p>
          <w:p w14:paraId="6B1D88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5947E3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本项目火灾事故主要为①电气设备操作不当引起的；②原辅料存储不当引起的。</w:t>
            </w:r>
          </w:p>
          <w:p w14:paraId="59B39C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本项目有潜在易燃易爆物料（如</w:t>
            </w:r>
            <w:r>
              <w:rPr>
                <w:rFonts w:hint="eastAsia" w:ascii="Times New Roman" w:hAnsi="Times New Roman" w:eastAsia="宋体" w:cs="Times New Roman"/>
                <w:color w:val="auto"/>
                <w:kern w:val="0"/>
                <w:sz w:val="24"/>
                <w:szCs w:val="24"/>
                <w:lang w:val="en-US" w:eastAsia="zh-CN"/>
              </w:rPr>
              <w:t>乳化液、润滑油</w:t>
            </w:r>
            <w:r>
              <w:rPr>
                <w:rFonts w:hint="default" w:ascii="Times New Roman" w:hAnsi="Times New Roman" w:eastAsia="宋体" w:cs="Times New Roman"/>
                <w:color w:val="auto"/>
                <w:kern w:val="0"/>
                <w:sz w:val="24"/>
                <w:szCs w:val="24"/>
                <w:lang w:val="en-US" w:eastAsia="zh-CN"/>
              </w:rPr>
              <w:t>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3ACC5B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生产车间或</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中的易燃物料若发生火灾事故，燃烧烟气中的一氧化碳</w:t>
            </w:r>
            <w:r>
              <w:rPr>
                <w:rFonts w:hint="default" w:ascii="Times New Roman" w:hAnsi="Times New Roman" w:eastAsia="宋体" w:cs="Times New Roman"/>
                <w:color w:val="auto"/>
                <w:kern w:val="0"/>
                <w:sz w:val="24"/>
                <w:szCs w:val="24"/>
                <w:lang w:val="en-US" w:eastAsia="zh-CN"/>
              </w:rPr>
              <w:t>等次生污染物</w:t>
            </w:r>
            <w:r>
              <w:rPr>
                <w:rFonts w:hint="default" w:ascii="Times New Roman" w:hAnsi="Times New Roman" w:eastAsia="宋体" w:cs="Times New Roman"/>
                <w:color w:val="auto"/>
                <w:kern w:val="0"/>
                <w:sz w:val="24"/>
                <w:szCs w:val="24"/>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2FA2D08E">
            <w:pPr>
              <w:pStyle w:val="1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bCs/>
                <w:color w:val="auto"/>
                <w:kern w:val="0"/>
                <w:sz w:val="24"/>
                <w:szCs w:val="24"/>
              </w:rPr>
              <w:t>环境风险防范措施及应急要求</w:t>
            </w:r>
          </w:p>
          <w:p w14:paraId="4971F006">
            <w:pPr>
              <w:pStyle w:val="12"/>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kern w:val="0"/>
                <w:sz w:val="24"/>
                <w:szCs w:val="24"/>
              </w:rPr>
              <w:t>环境风险防范措施</w:t>
            </w:r>
          </w:p>
          <w:p w14:paraId="3E080CA0">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1）泄漏事故风险防范措施</w:t>
            </w:r>
          </w:p>
          <w:p w14:paraId="5E33DFC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sz w:val="24"/>
                <w:lang w:val="en-US" w:eastAsia="zh-CN"/>
              </w:rPr>
              <w:t>乳化液、润滑油</w:t>
            </w:r>
            <w:r>
              <w:rPr>
                <w:rFonts w:hint="default" w:ascii="Times New Roman" w:hAnsi="Times New Roman" w:eastAsia="宋体" w:cs="Times New Roman"/>
                <w:color w:val="auto"/>
                <w:sz w:val="24"/>
                <w:lang w:val="en-US" w:eastAsia="zh-CN"/>
              </w:rPr>
              <w:t>等原料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桶底部设有托盘，桶底部设有托盘，且仓库地面作防渗处理，同时加强车间巡检，关注各包装桶破损泄漏情况，及时更换破损包装桶，减少泄漏事故的发生。</w:t>
            </w:r>
          </w:p>
          <w:p w14:paraId="599942F7">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2）火灾爆炸事故风险防范措施</w:t>
            </w:r>
          </w:p>
          <w:p w14:paraId="0CABD5F6">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lang w:val="en-US" w:eastAsia="zh-CN"/>
              </w:rPr>
              <w:t>乳化液、润滑油</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szCs w:val="24"/>
              </w:rPr>
              <w:t>具备可燃性。因此建设单位应当做好防范措施。为减少事故的发生和影响建设单位应采取以下措施。</w:t>
            </w:r>
          </w:p>
          <w:p w14:paraId="5926480D">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建设单位需建立健全安全操作规程及值勤制度，设置通讯、报警装置，并确保其处于完好状态；厂区配置合格的消防器材，并确保其处于完好状态。</w:t>
            </w:r>
          </w:p>
          <w:p w14:paraId="796112F9">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加强火源的管理，严禁烟火带入，对设备需进行维修焊接，应经安全部门确认、准许，并有记录。机动车在厂内行驶，须安装阻火器，必要设备安装防火、防爆装置。</w:t>
            </w:r>
          </w:p>
          <w:p w14:paraId="49C8687E">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设备的安全管理：定期对设备进行安全检测，检测内容、时间、人员应有记录保存。安全检测应根据设备的安全性、危险性设定检测频次。</w:t>
            </w:r>
          </w:p>
          <w:p w14:paraId="7A8A518A">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3）危废仓库风险防范措施</w:t>
            </w:r>
          </w:p>
          <w:p w14:paraId="52508A95">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危废暂存场地必须按《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55612D37">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环境风险应急措施</w:t>
            </w:r>
          </w:p>
          <w:p w14:paraId="26A14EB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1）火灾和爆炸事故应急措施</w:t>
            </w:r>
          </w:p>
          <w:p w14:paraId="30C48FF3">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火灾爆炸衍生的消防尾水：</w:t>
            </w:r>
          </w:p>
          <w:p w14:paraId="1B86A90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本次评估依据《事故状态下水体污染的预防与控制规范》（Q/SY08190-2019）计算事故排水量，包括事故时最大泄漏量、消防水量、生产废水量。事故水池容积确定拟参照Q/SY08190-2019确定，计算公式如下：</w:t>
            </w:r>
          </w:p>
          <w:p w14:paraId="1F95F392">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vertAlign w:val="subscript"/>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p>
          <w:p w14:paraId="798CE432">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vertAlign w:val="subscript"/>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×t</w:t>
            </w:r>
            <w:r>
              <w:rPr>
                <w:rFonts w:hint="default" w:ascii="Times New Roman" w:hAnsi="Times New Roman" w:eastAsia="宋体" w:cs="Times New Roman"/>
                <w:color w:val="auto"/>
                <w:kern w:val="0"/>
                <w:sz w:val="24"/>
                <w:szCs w:val="24"/>
                <w:vertAlign w:val="subscript"/>
              </w:rPr>
              <w:t>消</w:t>
            </w:r>
          </w:p>
          <w:p w14:paraId="0D3C1366">
            <w:pPr>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=10qf</w:t>
            </w:r>
          </w:p>
          <w:p w14:paraId="516694E2">
            <w:pPr>
              <w:pStyle w:val="67"/>
              <w:keepNext w:val="0"/>
              <w:keepLines w:val="0"/>
              <w:pageBreakBefore w:val="0"/>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q=q</w:t>
            </w:r>
            <w:r>
              <w:rPr>
                <w:rFonts w:hint="default" w:ascii="Times New Roman" w:hAnsi="Times New Roman" w:eastAsia="宋体" w:cs="Times New Roman"/>
                <w:color w:val="auto"/>
                <w:kern w:val="0"/>
                <w:sz w:val="24"/>
                <w:szCs w:val="24"/>
                <w:vertAlign w:val="subscript"/>
              </w:rPr>
              <w:t>a</w:t>
            </w:r>
            <w:r>
              <w:rPr>
                <w:rFonts w:hint="default" w:ascii="Times New Roman" w:hAnsi="Times New Roman" w:eastAsia="宋体" w:cs="Times New Roman"/>
                <w:color w:val="auto"/>
                <w:kern w:val="0"/>
                <w:sz w:val="24"/>
                <w:szCs w:val="24"/>
              </w:rPr>
              <w:t>/n</w:t>
            </w:r>
          </w:p>
          <w:p w14:paraId="353FB9F8">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—事故缓冲设施总有效容积，单位为立方米（m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3893ABF">
            <w:pPr>
              <w:pStyle w:val="68"/>
              <w:keepNext w:val="0"/>
              <w:keepLines w:val="0"/>
              <w:pageBreakBefore w:val="0"/>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Style w:val="69"/>
                <w:rFonts w:hint="default" w:ascii="Times New Roman" w:hAnsi="Times New Roman" w:eastAsia="宋体" w:cs="Times New Roman"/>
                <w:b w:val="0"/>
                <w:color w:val="auto"/>
                <w:kern w:val="0"/>
                <w:sz w:val="24"/>
                <w:szCs w:val="24"/>
              </w:rPr>
              <w:t>V</w:t>
            </w:r>
            <w:r>
              <w:rPr>
                <w:rStyle w:val="69"/>
                <w:rFonts w:hint="default" w:ascii="Times New Roman" w:hAnsi="Times New Roman" w:eastAsia="宋体" w:cs="Times New Roman"/>
                <w:b w:val="0"/>
                <w:color w:val="auto"/>
                <w:kern w:val="0"/>
                <w:sz w:val="24"/>
                <w:szCs w:val="24"/>
                <w:vertAlign w:val="subscript"/>
              </w:rPr>
              <w:t>1</w:t>
            </w:r>
            <w:r>
              <w:rPr>
                <w:rStyle w:val="69"/>
                <w:rFonts w:hint="default" w:ascii="Times New Roman" w:hAnsi="Times New Roman" w:eastAsia="宋体" w:cs="Times New Roman"/>
                <w:b w:val="0"/>
                <w:color w:val="auto"/>
                <w:kern w:val="0"/>
                <w:sz w:val="24"/>
                <w:szCs w:val="24"/>
              </w:rPr>
              <w:t>—收集系统范围内发生事故的一个罐组或一套装置的物料量，项目无储罐或装置，</w:t>
            </w:r>
            <w:r>
              <w:rPr>
                <w:rFonts w:hint="default" w:ascii="Times New Roman" w:hAnsi="Times New Roman" w:eastAsia="宋体" w:cs="Times New Roman"/>
                <w:b w:val="0"/>
                <w:bCs/>
                <w:color w:val="auto"/>
                <w:kern w:val="0"/>
                <w:sz w:val="24"/>
                <w:szCs w:val="24"/>
              </w:rPr>
              <w:t>因此</w:t>
            </w:r>
            <w:r>
              <w:rPr>
                <w:rFonts w:hint="default" w:ascii="Times New Roman" w:hAnsi="Times New Roman" w:eastAsia="宋体" w:cs="Times New Roman"/>
                <w:bCs/>
                <w:color w:val="auto"/>
                <w:kern w:val="0"/>
                <w:sz w:val="24"/>
                <w:szCs w:val="24"/>
              </w:rPr>
              <w:t>V</w:t>
            </w:r>
            <w:r>
              <w:rPr>
                <w:rFonts w:hint="default" w:ascii="Times New Roman" w:hAnsi="Times New Roman" w:eastAsia="宋体" w:cs="Times New Roman"/>
                <w:bCs/>
                <w:color w:val="auto"/>
                <w:kern w:val="0"/>
                <w:sz w:val="24"/>
                <w:szCs w:val="24"/>
                <w:vertAlign w:val="subscript"/>
              </w:rPr>
              <w:t>1</w:t>
            </w:r>
            <w:r>
              <w:rPr>
                <w:rFonts w:hint="default" w:ascii="Times New Roman" w:hAnsi="Times New Roman" w:eastAsia="宋体" w:cs="Times New Roman"/>
                <w:bCs/>
                <w:color w:val="auto"/>
                <w:kern w:val="0"/>
                <w:sz w:val="24"/>
                <w:szCs w:val="24"/>
              </w:rPr>
              <w:t>=0m</w:t>
            </w:r>
            <w:r>
              <w:rPr>
                <w:rFonts w:hint="default" w:ascii="Times New Roman" w:hAnsi="Times New Roman" w:eastAsia="宋体" w:cs="Times New Roman"/>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EBFDF94">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—发生事故的储罐、装置或铁路、汽车装卸区的消防水量，单位为立方米（m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6B639AD8">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—发生事故的储罐、装置或铁路、汽车装卸区同时使用的消防设施给水流量，单位为立方米每小时（m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p>
          <w:p w14:paraId="4FA3CCD0">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t</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—消防设施对应的设计消防历时，单位为小时（h）；</w:t>
            </w:r>
          </w:p>
          <w:p w14:paraId="6864933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根据《建筑设计防火规范》(GB50016-2014)（2018年修订），在进行城镇、居住区、企事业单位规划和建筑设计时，必须同时设计消防给水系统，消防用水可由给水管网、天然水源或消防水池供给。消防用水流量为1</w:t>
            </w:r>
            <w:r>
              <w:rPr>
                <w:rFonts w:hint="default"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L/s，假设事故持续</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h，则发生一次火灾时厂房室外消防用水量为：1</w:t>
            </w:r>
            <w:r>
              <w:rPr>
                <w:rFonts w:hint="default"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×3600×</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×10</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36</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77652028">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—发生事故时可以转输到其他储存或处理设施的物料量，单位为立方米（m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11F168B8">
            <w:pPr>
              <w:pStyle w:val="68"/>
              <w:keepNext w:val="0"/>
              <w:keepLines w:val="0"/>
              <w:pageBreakBefore w:val="0"/>
              <w:kinsoku/>
              <w:wordWrap/>
              <w:overflowPunct/>
              <w:topLinePunct w:val="0"/>
              <w:bidi w:val="0"/>
              <w:adjustRightInd/>
              <w:snapToGrid/>
              <w:spacing w:line="360" w:lineRule="auto"/>
              <w:ind w:left="0" w:leftChars="0" w:right="0" w:rightChars="0" w:firstLine="480" w:firstLineChars="200"/>
              <w:rPr>
                <w:rStyle w:val="69"/>
                <w:rFonts w:hint="default" w:ascii="Times New Roman" w:hAnsi="Times New Roman" w:eastAsia="宋体" w:cs="Times New Roman"/>
                <w:b w:val="0"/>
                <w:color w:val="auto"/>
                <w:kern w:val="0"/>
                <w:sz w:val="24"/>
                <w:szCs w:val="24"/>
              </w:rPr>
            </w:pPr>
            <w:r>
              <w:rPr>
                <w:rStyle w:val="69"/>
                <w:rFonts w:hint="default" w:ascii="Times New Roman" w:hAnsi="Times New Roman" w:eastAsia="宋体" w:cs="Times New Roman"/>
                <w:b w:val="0"/>
                <w:color w:val="auto"/>
                <w:kern w:val="0"/>
                <w:sz w:val="24"/>
                <w:szCs w:val="24"/>
              </w:rPr>
              <w:t>企业无</w:t>
            </w:r>
            <w:r>
              <w:rPr>
                <w:rFonts w:hint="default" w:ascii="Times New Roman" w:hAnsi="Times New Roman" w:eastAsia="宋体" w:cs="Times New Roman"/>
                <w:b w:val="0"/>
                <w:bCs/>
                <w:color w:val="auto"/>
                <w:kern w:val="0"/>
                <w:sz w:val="24"/>
                <w:szCs w:val="24"/>
              </w:rPr>
              <w:t>其他储存或处理设施，</w:t>
            </w:r>
            <w:r>
              <w:rPr>
                <w:rStyle w:val="69"/>
                <w:rFonts w:hint="default" w:ascii="Times New Roman" w:hAnsi="Times New Roman" w:eastAsia="宋体" w:cs="Times New Roman"/>
                <w:b w:val="0"/>
                <w:color w:val="auto"/>
                <w:kern w:val="0"/>
                <w:sz w:val="24"/>
                <w:szCs w:val="24"/>
              </w:rPr>
              <w:t>故</w:t>
            </w:r>
            <w:r>
              <w:rPr>
                <w:rStyle w:val="69"/>
                <w:rFonts w:hint="default" w:ascii="Times New Roman" w:hAnsi="Times New Roman" w:eastAsia="宋体" w:cs="Times New Roman"/>
                <w:bCs/>
                <w:color w:val="auto"/>
                <w:kern w:val="0"/>
                <w:sz w:val="24"/>
                <w:szCs w:val="24"/>
              </w:rPr>
              <w:t>V</w:t>
            </w:r>
            <w:r>
              <w:rPr>
                <w:rStyle w:val="69"/>
                <w:rFonts w:hint="default" w:ascii="Times New Roman" w:hAnsi="Times New Roman" w:eastAsia="宋体" w:cs="Times New Roman"/>
                <w:bCs/>
                <w:color w:val="auto"/>
                <w:kern w:val="0"/>
                <w:sz w:val="24"/>
                <w:szCs w:val="24"/>
                <w:vertAlign w:val="subscript"/>
              </w:rPr>
              <w:t>3</w:t>
            </w:r>
            <w:r>
              <w:rPr>
                <w:rStyle w:val="69"/>
                <w:rFonts w:hint="default" w:ascii="Times New Roman" w:hAnsi="Times New Roman" w:eastAsia="宋体" w:cs="Times New Roman"/>
                <w:bCs/>
                <w:color w:val="auto"/>
                <w:kern w:val="0"/>
                <w:sz w:val="24"/>
                <w:szCs w:val="24"/>
              </w:rPr>
              <w:t>=0m</w:t>
            </w:r>
            <w:r>
              <w:rPr>
                <w:rStyle w:val="69"/>
                <w:rFonts w:hint="default" w:ascii="Times New Roman" w:hAnsi="Times New Roman" w:eastAsia="宋体" w:cs="Times New Roman"/>
                <w:bCs/>
                <w:color w:val="auto"/>
                <w:kern w:val="0"/>
                <w:sz w:val="24"/>
                <w:szCs w:val="24"/>
                <w:vertAlign w:val="superscript"/>
              </w:rPr>
              <w:t>3</w:t>
            </w:r>
            <w:r>
              <w:rPr>
                <w:rStyle w:val="69"/>
                <w:rFonts w:hint="default" w:ascii="Times New Roman" w:hAnsi="Times New Roman" w:eastAsia="宋体" w:cs="Times New Roman"/>
                <w:b w:val="0"/>
                <w:color w:val="auto"/>
                <w:kern w:val="0"/>
                <w:sz w:val="24"/>
                <w:szCs w:val="24"/>
              </w:rPr>
              <w:t>。</w:t>
            </w:r>
          </w:p>
          <w:p w14:paraId="4CE550D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—发生事故时仍必须进入该收集系统的生产废水量，单位为立方（m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7B5F5E3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全厂无生产废水外排，</w:t>
            </w:r>
            <w:r>
              <w:rPr>
                <w:rFonts w:hint="default" w:ascii="Times New Roman" w:hAnsi="Times New Roman" w:eastAsia="宋体" w:cs="Times New Roman"/>
                <w:b/>
                <w:bCs/>
                <w:color w:val="auto"/>
                <w:kern w:val="0"/>
                <w:sz w:val="24"/>
                <w:szCs w:val="24"/>
              </w:rPr>
              <w:t>V</w:t>
            </w:r>
            <w:r>
              <w:rPr>
                <w:rFonts w:hint="default" w:ascii="Times New Roman" w:hAnsi="Times New Roman" w:eastAsia="宋体" w:cs="Times New Roman"/>
                <w:b/>
                <w:bCs/>
                <w:color w:val="auto"/>
                <w:kern w:val="0"/>
                <w:sz w:val="24"/>
                <w:szCs w:val="24"/>
                <w:vertAlign w:val="subscript"/>
              </w:rPr>
              <w:t>4</w:t>
            </w:r>
            <w:r>
              <w:rPr>
                <w:rFonts w:hint="default" w:ascii="Times New Roman" w:hAnsi="Times New Roman" w:eastAsia="宋体" w:cs="Times New Roman"/>
                <w:b/>
                <w:bCs/>
                <w:color w:val="auto"/>
                <w:kern w:val="0"/>
                <w:sz w:val="24"/>
                <w:szCs w:val="24"/>
              </w:rPr>
              <w:t>=0m</w:t>
            </w:r>
            <w:r>
              <w:rPr>
                <w:rFonts w:hint="default" w:ascii="Times New Roman" w:hAnsi="Times New Roman" w:eastAsia="宋体" w:cs="Times New Roman"/>
                <w:b/>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7DEC5884">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—发生事故时可能进入该收集系统的降雨量，单位为立方米（m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B5D99A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q—降雨强度，按平均日降雨量，单位为毫米（mm）；</w:t>
            </w:r>
          </w:p>
          <w:p w14:paraId="3377D1B9">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a</w:t>
            </w:r>
            <w:r>
              <w:rPr>
                <w:rFonts w:hint="default" w:ascii="Times New Roman" w:hAnsi="Times New Roman" w:eastAsia="宋体" w:cs="Times New Roman"/>
                <w:color w:val="auto"/>
                <w:kern w:val="0"/>
                <w:sz w:val="24"/>
                <w:szCs w:val="24"/>
              </w:rPr>
              <w:t>—年平均降雨量，单位为毫米（mm）；</w:t>
            </w:r>
          </w:p>
          <w:p w14:paraId="2BF87F2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n—年平均降雨日数，单位为天（d）；</w:t>
            </w:r>
          </w:p>
          <w:p w14:paraId="61CD064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f—必须进入事故废水收集系统的雨水汇水面积，单位为公顷（ha）；</w:t>
            </w:r>
          </w:p>
          <w:p w14:paraId="0EFBBF0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企业无露天生产装置，无露天储罐，故初期雨水不需要收集进入事故池。</w:t>
            </w:r>
            <w:r>
              <w:rPr>
                <w:rFonts w:hint="default" w:ascii="Times New Roman" w:hAnsi="Times New Roman" w:eastAsia="宋体" w:cs="Times New Roman"/>
                <w:b/>
                <w:bCs/>
                <w:color w:val="auto"/>
                <w:kern w:val="0"/>
                <w:sz w:val="24"/>
                <w:szCs w:val="24"/>
              </w:rPr>
              <w:t>V5=0m</w:t>
            </w:r>
            <w:r>
              <w:rPr>
                <w:rFonts w:hint="default" w:ascii="Times New Roman" w:hAnsi="Times New Roman" w:eastAsia="宋体" w:cs="Times New Roman"/>
                <w:b/>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0A7482CC">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计算过程：</w:t>
            </w:r>
          </w:p>
          <w:p w14:paraId="28640EA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=（0＋</w:t>
            </w:r>
            <w:r>
              <w:rPr>
                <w:rFonts w:hint="eastAsia" w:ascii="Times New Roman" w:hAnsi="Times New Roman" w:eastAsia="宋体" w:cs="Times New Roman"/>
                <w:color w:val="auto"/>
                <w:kern w:val="0"/>
                <w:sz w:val="24"/>
                <w:szCs w:val="24"/>
                <w:lang w:val="en-US" w:eastAsia="zh-CN"/>
              </w:rPr>
              <w:t>36</w:t>
            </w:r>
            <w:r>
              <w:rPr>
                <w:rFonts w:hint="default" w:ascii="Times New Roman" w:hAnsi="Times New Roman" w:eastAsia="宋体" w:cs="Times New Roman"/>
                <w:color w:val="auto"/>
                <w:kern w:val="0"/>
                <w:sz w:val="24"/>
                <w:szCs w:val="24"/>
              </w:rPr>
              <w:t>－0）＋0＋0=</w:t>
            </w:r>
            <w:r>
              <w:rPr>
                <w:rFonts w:hint="eastAsia" w:ascii="Times New Roman" w:hAnsi="Times New Roman" w:eastAsia="宋体" w:cs="Times New Roman"/>
                <w:color w:val="auto"/>
                <w:kern w:val="0"/>
                <w:sz w:val="24"/>
                <w:szCs w:val="24"/>
                <w:lang w:val="en-US" w:eastAsia="zh-CN"/>
              </w:rPr>
              <w:t>36</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p>
          <w:p w14:paraId="624BA070">
            <w:pPr>
              <w:pStyle w:val="68"/>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color w:val="auto"/>
                <w:kern w:val="0"/>
                <w:sz w:val="24"/>
                <w:szCs w:val="24"/>
              </w:rPr>
              <w:t>经计算，</w:t>
            </w:r>
            <w:r>
              <w:rPr>
                <w:rFonts w:hint="default" w:ascii="Times New Roman" w:hAnsi="Times New Roman" w:eastAsia="宋体" w:cs="Times New Roman"/>
                <w:b w:val="0"/>
                <w:bCs w:val="0"/>
                <w:color w:val="auto"/>
                <w:kern w:val="0"/>
                <w:sz w:val="24"/>
                <w:szCs w:val="24"/>
              </w:rPr>
              <w:t>企业应急事故废水最大量为</w:t>
            </w:r>
            <w:r>
              <w:rPr>
                <w:rFonts w:hint="eastAsia" w:ascii="Times New Roman" w:hAnsi="Times New Roman" w:eastAsia="宋体" w:cs="Times New Roman"/>
                <w:b w:val="0"/>
                <w:bCs w:val="0"/>
                <w:color w:val="auto"/>
                <w:kern w:val="0"/>
                <w:sz w:val="24"/>
                <w:szCs w:val="24"/>
                <w:lang w:val="en-US" w:eastAsia="zh-CN"/>
              </w:rPr>
              <w:t>36</w:t>
            </w:r>
            <w:r>
              <w:rPr>
                <w:rFonts w:hint="default" w:ascii="Times New Roman" w:hAnsi="Times New Roman" w:eastAsia="宋体" w:cs="Times New Roman"/>
                <w:b w:val="0"/>
                <w:bCs w:val="0"/>
                <w:color w:val="auto"/>
                <w:kern w:val="0"/>
                <w:sz w:val="24"/>
                <w:szCs w:val="24"/>
              </w:rPr>
              <w:t>m</w:t>
            </w:r>
            <w:r>
              <w:rPr>
                <w:rFonts w:hint="default" w:ascii="Times New Roman" w:hAnsi="Times New Roman" w:eastAsia="宋体" w:cs="Times New Roman"/>
                <w:b w:val="0"/>
                <w:bCs w:val="0"/>
                <w:color w:val="auto"/>
                <w:kern w:val="0"/>
                <w:sz w:val="24"/>
                <w:szCs w:val="24"/>
                <w:vertAlign w:val="superscript"/>
              </w:rPr>
              <w:t>3</w:t>
            </w:r>
            <w:r>
              <w:rPr>
                <w:rFonts w:hint="default" w:ascii="Times New Roman" w:hAnsi="Times New Roman" w:eastAsia="宋体" w:cs="Times New Roman"/>
                <w:b w:val="0"/>
                <w:bCs w:val="0"/>
                <w:color w:val="auto"/>
                <w:kern w:val="0"/>
                <w:sz w:val="24"/>
                <w:szCs w:val="24"/>
              </w:rPr>
              <w:t>，企业</w:t>
            </w:r>
            <w:r>
              <w:rPr>
                <w:rFonts w:hint="eastAsia" w:ascii="Times New Roman" w:hAnsi="Times New Roman" w:eastAsia="宋体" w:cs="Times New Roman"/>
                <w:b w:val="0"/>
                <w:bCs w:val="0"/>
                <w:color w:val="auto"/>
                <w:kern w:val="0"/>
                <w:sz w:val="24"/>
                <w:szCs w:val="24"/>
                <w:lang w:val="en-US" w:eastAsia="zh-CN"/>
              </w:rPr>
              <w:t>拟新建4</w:t>
            </w:r>
            <w:r>
              <w:rPr>
                <w:rFonts w:hint="default" w:ascii="Times New Roman" w:hAnsi="Times New Roman" w:eastAsia="宋体" w:cs="Times New Roman"/>
                <w:b w:val="0"/>
                <w:bCs w:val="0"/>
                <w:color w:val="auto"/>
                <w:kern w:val="0"/>
                <w:sz w:val="24"/>
                <w:szCs w:val="24"/>
              </w:rPr>
              <w:t>0m</w:t>
            </w:r>
            <w:r>
              <w:rPr>
                <w:rFonts w:hint="default" w:ascii="Times New Roman" w:hAnsi="Times New Roman" w:eastAsia="宋体" w:cs="Times New Roman"/>
                <w:b w:val="0"/>
                <w:bCs w:val="0"/>
                <w:color w:val="auto"/>
                <w:kern w:val="0"/>
                <w:sz w:val="24"/>
                <w:szCs w:val="24"/>
                <w:vertAlign w:val="superscript"/>
              </w:rPr>
              <w:t>3</w:t>
            </w:r>
            <w:r>
              <w:rPr>
                <w:rFonts w:hint="default" w:ascii="Times New Roman" w:hAnsi="Times New Roman" w:eastAsia="宋体" w:cs="Times New Roman"/>
                <w:b w:val="0"/>
                <w:bCs w:val="0"/>
                <w:color w:val="auto"/>
                <w:kern w:val="0"/>
                <w:sz w:val="24"/>
                <w:szCs w:val="24"/>
              </w:rPr>
              <w:t>事故应急池</w:t>
            </w:r>
            <w:r>
              <w:rPr>
                <w:rFonts w:hint="eastAsia" w:ascii="Times New Roman" w:hAnsi="Times New Roman" w:eastAsia="宋体" w:cs="Times New Roman"/>
                <w:b w:val="0"/>
                <w:bCs w:val="0"/>
                <w:color w:val="auto"/>
                <w:kern w:val="0"/>
                <w:sz w:val="24"/>
                <w:szCs w:val="24"/>
                <w:lang w:eastAsia="zh-CN"/>
              </w:rPr>
              <w:t>（</w:t>
            </w:r>
            <w:r>
              <w:rPr>
                <w:rFonts w:hint="eastAsia" w:ascii="Times New Roman" w:hAnsi="Times New Roman" w:eastAsia="宋体" w:cs="Times New Roman"/>
                <w:b w:val="0"/>
                <w:bCs w:val="0"/>
                <w:color w:val="auto"/>
                <w:kern w:val="0"/>
                <w:sz w:val="24"/>
                <w:szCs w:val="24"/>
                <w:lang w:val="en-US" w:eastAsia="zh-CN"/>
              </w:rPr>
              <w:t>并设置截止阀）</w:t>
            </w:r>
            <w:r>
              <w:rPr>
                <w:rFonts w:hint="default" w:ascii="Times New Roman" w:hAnsi="Times New Roman" w:eastAsia="宋体" w:cs="Times New Roman"/>
                <w:b w:val="0"/>
                <w:bCs w:val="0"/>
                <w:color w:val="auto"/>
                <w:sz w:val="24"/>
                <w:szCs w:val="24"/>
                <w:highlight w:val="none"/>
                <w:lang w:val="en-US" w:eastAsia="zh-CN"/>
              </w:rPr>
              <w:t>用于事故状态下事故废水的收集，紧急情况下手动关闭雨水切换阀门，开启通往事故池阀门，事故废水</w:t>
            </w:r>
            <w:r>
              <w:rPr>
                <w:rFonts w:hint="eastAsia" w:ascii="Times New Roman" w:hAnsi="Times New Roman" w:eastAsia="宋体" w:cs="Times New Roman"/>
                <w:b w:val="0"/>
                <w:bCs w:val="0"/>
                <w:color w:val="auto"/>
                <w:sz w:val="24"/>
                <w:szCs w:val="24"/>
                <w:highlight w:val="none"/>
                <w:lang w:val="en-US" w:eastAsia="zh-CN"/>
              </w:rPr>
              <w:t>自流至</w:t>
            </w:r>
            <w:r>
              <w:rPr>
                <w:rFonts w:hint="default" w:ascii="Times New Roman" w:hAnsi="Times New Roman" w:eastAsia="宋体" w:cs="Times New Roman"/>
                <w:b w:val="0"/>
                <w:bCs w:val="0"/>
                <w:color w:val="auto"/>
                <w:sz w:val="24"/>
                <w:szCs w:val="24"/>
                <w:highlight w:val="none"/>
                <w:lang w:val="en-US" w:eastAsia="zh-CN"/>
              </w:rPr>
              <w:t>事故池暂存</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color w:val="auto"/>
                <w:kern w:val="0"/>
                <w:sz w:val="24"/>
                <w:szCs w:val="24"/>
              </w:rPr>
              <w:t>通过完善消防废水收集、处理、排放系统，保证生产车间、仓库以及危废仓库发生火灾事故时，消防废水等能迅速、安全地集中到事故应急池，然后针对水质实际情况进行必要的处理，避免对评价范围内的周围农田和河流造成影响。</w:t>
            </w:r>
          </w:p>
          <w:p w14:paraId="0200D39C">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泄漏事故应急措施</w:t>
            </w:r>
          </w:p>
          <w:p w14:paraId="6753ED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sz w:val="24"/>
                <w:lang w:val="en-US" w:eastAsia="zh-CN"/>
              </w:rPr>
              <w:t>乳化液、润滑油</w:t>
            </w:r>
            <w:r>
              <w:rPr>
                <w:rFonts w:hint="default" w:ascii="Times New Roman" w:hAnsi="Times New Roman" w:eastAsia="宋体" w:cs="Times New Roman"/>
                <w:color w:val="auto"/>
                <w:sz w:val="24"/>
                <w:lang w:val="en-US" w:eastAsia="zh-CN"/>
              </w:rPr>
              <w:t>等原料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采用桶装，桶底部设有托盘，且仓库地面作防渗处理，即便发生泄漏，也可全部收集于托盘中，不会扩散至厂区或厂外环境。</w:t>
            </w:r>
          </w:p>
          <w:p w14:paraId="07BEECC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废气处理装置事故应急措施</w:t>
            </w:r>
          </w:p>
          <w:p w14:paraId="349C4244">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现场操作人员发现废气处理装置发生故障后，应立即停止生产，相关人员对废气处理装置进行故障排除，待故障解决、装置运行正常后再进行生产。</w:t>
            </w:r>
          </w:p>
          <w:p w14:paraId="4D0CEF93">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突发事故对策和应急预案</w:t>
            </w:r>
          </w:p>
          <w:p w14:paraId="1B546180">
            <w:pPr>
              <w:pStyle w:val="34"/>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color w:val="auto"/>
                <w:kern w:val="0"/>
                <w:sz w:val="24"/>
                <w:szCs w:val="24"/>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510403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p>
          <w:p w14:paraId="4160BB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p>
          <w:p w14:paraId="6AE1CC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p>
          <w:p w14:paraId="117121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p>
          <w:p w14:paraId="05D90A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表4-</w:t>
            </w:r>
            <w:r>
              <w:rPr>
                <w:rFonts w:hint="eastAsia" w:ascii="Times New Roman" w:hAnsi="Times New Roman" w:eastAsia="宋体" w:cs="Times New Roman"/>
                <w:b/>
                <w:color w:val="auto"/>
                <w:kern w:val="0"/>
                <w:sz w:val="24"/>
                <w:szCs w:val="24"/>
                <w:lang w:val="en-US" w:eastAsia="zh-CN"/>
              </w:rPr>
              <w:t>27</w:t>
            </w:r>
            <w:r>
              <w:rPr>
                <w:rFonts w:hint="default" w:ascii="Times New Roman" w:hAnsi="Times New Roman" w:eastAsia="宋体" w:cs="Times New Roman"/>
                <w:b/>
                <w:color w:val="auto"/>
                <w:kern w:val="0"/>
                <w:sz w:val="24"/>
                <w:szCs w:val="24"/>
              </w:rPr>
              <w:t xml:space="preserve">   应急预案内容</w:t>
            </w:r>
          </w:p>
          <w:tbl>
            <w:tblPr>
              <w:tblStyle w:val="26"/>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83"/>
              <w:gridCol w:w="2934"/>
              <w:gridCol w:w="4629"/>
            </w:tblGrid>
            <w:tr w14:paraId="598DBD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4525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757" w:type="pct"/>
                  <w:vAlign w:val="center"/>
                </w:tcPr>
                <w:p w14:paraId="2C614C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2772" w:type="pct"/>
                  <w:vAlign w:val="center"/>
                </w:tcPr>
                <w:p w14:paraId="2E85C0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4AD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757" w:type="pct"/>
                  <w:vAlign w:val="center"/>
                </w:tcPr>
                <w:p w14:paraId="38A38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应急计划区</w:t>
                  </w:r>
                </w:p>
              </w:tc>
              <w:tc>
                <w:tcPr>
                  <w:tcW w:w="2772" w:type="pct"/>
                  <w:vAlign w:val="center"/>
                </w:tcPr>
                <w:p w14:paraId="249A38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危险目标：危废仓库、环境保护目标等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ED987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757" w:type="pct"/>
                  <w:vAlign w:val="center"/>
                </w:tcPr>
                <w:p w14:paraId="35283D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应急组织机构、人员</w:t>
                  </w:r>
                </w:p>
              </w:tc>
              <w:tc>
                <w:tcPr>
                  <w:tcW w:w="2772" w:type="pct"/>
                  <w:vAlign w:val="center"/>
                </w:tcPr>
                <w:p w14:paraId="2F8D6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BE974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757" w:type="pct"/>
                  <w:vAlign w:val="center"/>
                </w:tcPr>
                <w:p w14:paraId="16EC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预案分级响应条件</w:t>
                  </w:r>
                </w:p>
              </w:tc>
              <w:tc>
                <w:tcPr>
                  <w:tcW w:w="2772" w:type="pct"/>
                  <w:vAlign w:val="center"/>
                </w:tcPr>
                <w:p w14:paraId="5C6AA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88E3C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757" w:type="pct"/>
                  <w:vAlign w:val="center"/>
                </w:tcPr>
                <w:p w14:paraId="13AC2B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应急救援保障</w:t>
                  </w:r>
                </w:p>
              </w:tc>
              <w:tc>
                <w:tcPr>
                  <w:tcW w:w="2772" w:type="pct"/>
                  <w:vAlign w:val="center"/>
                </w:tcPr>
                <w:p w14:paraId="02E12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169CD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757" w:type="pct"/>
                  <w:vAlign w:val="center"/>
                </w:tcPr>
                <w:p w14:paraId="7F67C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报警、通讯联络方式</w:t>
                  </w:r>
                </w:p>
              </w:tc>
              <w:tc>
                <w:tcPr>
                  <w:tcW w:w="2772" w:type="pct"/>
                  <w:vAlign w:val="center"/>
                </w:tcPr>
                <w:p w14:paraId="67DCF3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62DB0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757" w:type="pct"/>
                  <w:vAlign w:val="center"/>
                </w:tcPr>
                <w:p w14:paraId="3F973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应急检测、防护措施、器材</w:t>
                  </w:r>
                </w:p>
              </w:tc>
              <w:tc>
                <w:tcPr>
                  <w:tcW w:w="2772" w:type="pct"/>
                  <w:vAlign w:val="center"/>
                </w:tcPr>
                <w:p w14:paraId="35F5D055">
                  <w:pPr>
                    <w:pStyle w:val="7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3F9E8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757" w:type="pct"/>
                  <w:vAlign w:val="center"/>
                </w:tcPr>
                <w:p w14:paraId="405AA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人员紧急撤离、疏散，应急剂量控制、撤离组织计划</w:t>
                  </w:r>
                </w:p>
              </w:tc>
              <w:tc>
                <w:tcPr>
                  <w:tcW w:w="2772" w:type="pct"/>
                  <w:vAlign w:val="center"/>
                </w:tcPr>
                <w:p w14:paraId="313B7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C54F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1757" w:type="pct"/>
                  <w:vAlign w:val="center"/>
                </w:tcPr>
                <w:p w14:paraId="21B6DE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事故应急救援关闭程序与恢复措施</w:t>
                  </w:r>
                </w:p>
              </w:tc>
              <w:tc>
                <w:tcPr>
                  <w:tcW w:w="2772" w:type="pct"/>
                  <w:vAlign w:val="center"/>
                </w:tcPr>
                <w:p w14:paraId="04C6F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规定应急状态终止程序</w:t>
                  </w:r>
                </w:p>
                <w:p w14:paraId="760614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事故现场善后处理，恢复措施</w:t>
                  </w:r>
                </w:p>
                <w:p w14:paraId="27048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3B917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1757" w:type="pct"/>
                  <w:vAlign w:val="center"/>
                </w:tcPr>
                <w:p w14:paraId="1D5CF9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应急培训计划</w:t>
                  </w:r>
                </w:p>
              </w:tc>
              <w:tc>
                <w:tcPr>
                  <w:tcW w:w="2772" w:type="pct"/>
                  <w:vAlign w:val="center"/>
                </w:tcPr>
                <w:p w14:paraId="1A3F07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应急计划制定后，平时安排人员培训与演练</w:t>
                  </w:r>
                </w:p>
              </w:tc>
            </w:tr>
          </w:tbl>
          <w:p w14:paraId="0A524A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3DD9F543">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lang w:val="en-US" w:eastAsia="zh-CN"/>
              </w:rPr>
            </w:pPr>
            <w:r>
              <w:rPr>
                <w:rFonts w:hint="eastAsia" w:eastAsia="宋体" w:cs="Times New Roman"/>
                <w:b/>
                <w:bCs/>
                <w:color w:val="auto"/>
                <w:kern w:val="0"/>
                <w:sz w:val="24"/>
                <w:szCs w:val="24"/>
                <w:lang w:val="en-US" w:eastAsia="zh-CN"/>
              </w:rPr>
              <w:t>7、</w:t>
            </w:r>
            <w:r>
              <w:rPr>
                <w:rFonts w:hint="default" w:ascii="Times New Roman" w:hAnsi="Times New Roman" w:eastAsia="宋体" w:cs="Times New Roman"/>
                <w:b/>
                <w:bCs/>
                <w:color w:val="auto"/>
                <w:kern w:val="0"/>
                <w:sz w:val="24"/>
                <w:szCs w:val="24"/>
                <w:lang w:val="en-US" w:eastAsia="zh-CN"/>
              </w:rPr>
              <w:t>企业</w:t>
            </w:r>
            <w:r>
              <w:rPr>
                <w:rFonts w:hint="default" w:ascii="Times New Roman" w:hAnsi="Times New Roman" w:eastAsia="宋体" w:cs="Times New Roman"/>
                <w:b/>
                <w:bCs/>
                <w:color w:val="auto"/>
                <w:kern w:val="0"/>
                <w:sz w:val="24"/>
                <w:szCs w:val="24"/>
              </w:rPr>
              <w:t>环境风险三级防范</w:t>
            </w:r>
            <w:r>
              <w:rPr>
                <w:rFonts w:hint="default" w:ascii="Times New Roman" w:hAnsi="Times New Roman" w:eastAsia="宋体" w:cs="Times New Roman"/>
                <w:b/>
                <w:bCs/>
                <w:color w:val="auto"/>
                <w:kern w:val="0"/>
                <w:sz w:val="24"/>
                <w:szCs w:val="24"/>
                <w:lang w:eastAsia="zh-CN"/>
              </w:rPr>
              <w:t>措施</w:t>
            </w:r>
          </w:p>
          <w:p w14:paraId="2BEC28F4">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根据《建设项目环境风险评价技术导则》（HJ169-2018），事故废水环境风险防范采取“单元-厂区-园区/区域”的三级防控措施，杜绝环境风险事故造成污染事件，将环境风险事故排水及污染物控制在厂区内。</w:t>
            </w:r>
          </w:p>
          <w:p w14:paraId="6DE0CE0B">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一级防控措施将污染物控制在生产区风险单元；二级防控是将污染物控制在厂区；三级防控将污染物控制在区域内，确保生产非正常状态下不发生污染事件。具体设计要求如下：</w:t>
            </w:r>
          </w:p>
          <w:p w14:paraId="71FD8960">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A.一级防控：厂区各风险单元如车间中的清洗区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385C487E">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B.二级防控：厂区</w:t>
            </w:r>
            <w:r>
              <w:rPr>
                <w:rFonts w:hint="eastAsia" w:eastAsia="宋体" w:cs="Times New Roman"/>
                <w:b w:val="0"/>
                <w:bCs w:val="0"/>
                <w:color w:val="auto"/>
                <w:kern w:val="0"/>
                <w:sz w:val="24"/>
                <w:szCs w:val="24"/>
                <w:lang w:val="en-US" w:eastAsia="zh-CN"/>
              </w:rPr>
              <w:t>内新</w:t>
            </w:r>
            <w:r>
              <w:rPr>
                <w:rFonts w:hint="default" w:ascii="Times New Roman" w:hAnsi="Times New Roman" w:eastAsia="宋体" w:cs="Times New Roman"/>
                <w:b w:val="0"/>
                <w:bCs w:val="0"/>
                <w:color w:val="auto"/>
                <w:kern w:val="0"/>
                <w:sz w:val="24"/>
                <w:szCs w:val="24"/>
                <w:lang w:val="en-US" w:eastAsia="zh-CN"/>
              </w:rPr>
              <w:t>建设1个</w:t>
            </w:r>
            <w:r>
              <w:rPr>
                <w:rFonts w:hint="eastAsia" w:eastAsia="宋体" w:cs="Times New Roman"/>
                <w:b w:val="0"/>
                <w:bCs w:val="0"/>
                <w:color w:val="auto"/>
                <w:kern w:val="0"/>
                <w:sz w:val="24"/>
                <w:szCs w:val="24"/>
                <w:lang w:val="en-US" w:eastAsia="zh-CN"/>
              </w:rPr>
              <w:t>4</w:t>
            </w:r>
            <w:r>
              <w:rPr>
                <w:rFonts w:hint="default" w:ascii="Times New Roman" w:hAnsi="Times New Roman" w:eastAsia="宋体" w:cs="Times New Roman"/>
                <w:b w:val="0"/>
                <w:bCs w:val="0"/>
                <w:color w:val="auto"/>
                <w:kern w:val="0"/>
                <w:sz w:val="24"/>
                <w:szCs w:val="24"/>
                <w:lang w:val="en-US" w:eastAsia="zh-CN"/>
              </w:rPr>
              <w:t>0m</w:t>
            </w:r>
            <w:r>
              <w:rPr>
                <w:rFonts w:hint="default" w:ascii="Times New Roman" w:hAnsi="Times New Roman" w:eastAsia="宋体" w:cs="Times New Roman"/>
                <w:b w:val="0"/>
                <w:bCs w:val="0"/>
                <w:color w:val="auto"/>
                <w:kern w:val="0"/>
                <w:sz w:val="24"/>
                <w:szCs w:val="24"/>
                <w:vertAlign w:val="superscript"/>
                <w:lang w:val="en-US" w:eastAsia="zh-CN"/>
              </w:rPr>
              <w:t>3</w:t>
            </w:r>
            <w:r>
              <w:rPr>
                <w:rFonts w:hint="default" w:ascii="Times New Roman" w:hAnsi="Times New Roman" w:eastAsia="宋体" w:cs="Times New Roman"/>
                <w:b w:val="0"/>
                <w:bCs w:val="0"/>
                <w:color w:val="auto"/>
                <w:kern w:val="0"/>
                <w:sz w:val="24"/>
                <w:szCs w:val="24"/>
                <w:lang w:val="en-US" w:eastAsia="zh-CN"/>
              </w:rPr>
              <w:t>的事故应急池，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64A00BEA">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C.三级防控：若未及时收集，消防废水或泄漏物料通过雨水管网流到厂外，立即关闭厂区雨水排放口阀门，同时上报企业应急管理机构，迅速向上级管理部门报告并请求外部增援。</w:t>
            </w:r>
          </w:p>
          <w:p w14:paraId="42B297AB">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1BB2A6F4">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三级防控体系能确保事故状态下的泄漏物料、消防废水等全部处于受控状态，实现对事故废水源头、过程和终端的预防和控制，使环境风险可控，降低对厂区外界环境造成的影响。</w:t>
            </w:r>
          </w:p>
          <w:p w14:paraId="13F00C6B">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eastAsia" w:eastAsia="宋体" w:cs="Times New Roman"/>
                <w:b/>
                <w:bCs/>
                <w:color w:val="auto"/>
                <w:kern w:val="0"/>
                <w:sz w:val="24"/>
                <w:szCs w:val="24"/>
                <w:lang w:val="en-US" w:eastAsia="zh-CN"/>
              </w:rPr>
              <w:t>8</w:t>
            </w:r>
            <w:r>
              <w:rPr>
                <w:rFonts w:hint="default"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rPr>
              <w:t>与常州市金坛区应急管理局的联动</w:t>
            </w:r>
          </w:p>
          <w:p w14:paraId="452167B4">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根据《省生态环境厅关于做好安全生产专项整治工作实施方案》(苏环办</w:t>
            </w:r>
            <w:r>
              <w:rPr>
                <w:rFonts w:hint="default" w:ascii="Times New Roman" w:hAnsi="Times New Roman" w:eastAsia="宋体" w:cs="Times New Roman"/>
                <w:b w:val="0"/>
                <w:bCs w:val="0"/>
                <w:color w:val="auto"/>
                <w:kern w:val="0"/>
                <w:sz w:val="24"/>
                <w:szCs w:val="24"/>
                <w:lang w:eastAsia="zh-CN"/>
              </w:rPr>
              <w:t>〔2020〕16号</w:t>
            </w:r>
            <w:r>
              <w:rPr>
                <w:rFonts w:hint="default" w:ascii="Times New Roman" w:hAnsi="Times New Roman" w:eastAsia="宋体" w:cs="Times New Roman"/>
                <w:b w:val="0"/>
                <w:bCs w:val="0"/>
                <w:color w:val="auto"/>
                <w:kern w:val="0"/>
                <w:sz w:val="24"/>
                <w:szCs w:val="24"/>
              </w:rPr>
              <w:t>)、《关于做好生态环境和应急管理部门联动工作的意见》（苏环办</w:t>
            </w:r>
            <w:r>
              <w:rPr>
                <w:rFonts w:hint="default" w:ascii="Times New Roman" w:hAnsi="Times New Roman" w:eastAsia="宋体" w:cs="Times New Roman"/>
                <w:b w:val="0"/>
                <w:bCs w:val="0"/>
                <w:color w:val="auto"/>
                <w:kern w:val="0"/>
                <w:sz w:val="24"/>
                <w:szCs w:val="24"/>
                <w:lang w:eastAsia="zh-CN"/>
              </w:rPr>
              <w:t>〔2020〕101号</w:t>
            </w:r>
            <w:r>
              <w:rPr>
                <w:rFonts w:hint="default" w:ascii="Times New Roman" w:hAnsi="Times New Roman" w:eastAsia="宋体" w:cs="Times New Roman"/>
                <w:b w:val="0"/>
                <w:bCs w:val="0"/>
                <w:color w:val="auto"/>
                <w:kern w:val="0"/>
                <w:sz w:val="24"/>
                <w:szCs w:val="24"/>
              </w:rPr>
              <w:t>）相关要求，项目建成后需开展大气、固废等污染防治措施安全论证并获得常州市金坛区应急管理局的许可。</w:t>
            </w:r>
          </w:p>
          <w:p w14:paraId="1B8F82C2">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eastAsia" w:eastAsia="宋体" w:cs="Times New Roman"/>
                <w:b/>
                <w:bCs/>
                <w:color w:val="auto"/>
                <w:kern w:val="0"/>
                <w:sz w:val="24"/>
                <w:szCs w:val="24"/>
                <w:lang w:val="en-US" w:eastAsia="zh-CN"/>
              </w:rPr>
              <w:t>9</w:t>
            </w:r>
            <w:r>
              <w:rPr>
                <w:rFonts w:hint="default"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rPr>
              <w:t>突发环境事件应急预案风险应急计划</w:t>
            </w:r>
          </w:p>
          <w:p w14:paraId="46A50553">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rPr>
              <w:t>项目建成后，</w:t>
            </w:r>
            <w:r>
              <w:rPr>
                <w:rFonts w:hint="default" w:ascii="Times New Roman" w:hAnsi="Times New Roman" w:eastAsia="宋体" w:cs="Times New Roman"/>
                <w:b w:val="0"/>
                <w:bCs w:val="0"/>
                <w:color w:val="auto"/>
                <w:kern w:val="0"/>
                <w:sz w:val="24"/>
                <w:szCs w:val="24"/>
              </w:rPr>
              <w:t>企业可委托有资质单位</w:t>
            </w:r>
            <w:r>
              <w:rPr>
                <w:rFonts w:hint="default" w:ascii="Times New Roman" w:hAnsi="Times New Roman" w:eastAsia="宋体" w:cs="Times New Roman"/>
                <w:b w:val="0"/>
                <w:bCs w:val="0"/>
                <w:color w:val="auto"/>
                <w:kern w:val="0"/>
                <w:sz w:val="24"/>
                <w:szCs w:val="24"/>
                <w:lang w:val="en-US" w:eastAsia="zh-CN"/>
              </w:rPr>
              <w:t>修</w:t>
            </w:r>
            <w:r>
              <w:rPr>
                <w:rFonts w:hint="default" w:ascii="Times New Roman" w:hAnsi="Times New Roman" w:eastAsia="宋体" w:cs="Times New Roman"/>
                <w:b w:val="0"/>
                <w:bCs w:val="0"/>
                <w:color w:val="auto"/>
                <w:kern w:val="0"/>
                <w:sz w:val="24"/>
                <w:szCs w:val="24"/>
              </w:rPr>
              <w:t>编突发环境事件应急预案，并按规定报县级以上生态环境主管部门备案。</w:t>
            </w:r>
          </w:p>
          <w:p w14:paraId="5A221284">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eastAsia" w:eastAsia="宋体" w:cs="Times New Roman"/>
                <w:b/>
                <w:bCs/>
                <w:color w:val="auto"/>
                <w:kern w:val="0"/>
                <w:sz w:val="24"/>
                <w:szCs w:val="24"/>
                <w:lang w:val="en-US" w:eastAsia="zh-CN"/>
              </w:rPr>
              <w:t>10、</w:t>
            </w:r>
            <w:r>
              <w:rPr>
                <w:rFonts w:hint="default" w:ascii="Times New Roman" w:hAnsi="Times New Roman" w:eastAsia="宋体" w:cs="Times New Roman"/>
                <w:b/>
                <w:bCs/>
                <w:color w:val="auto"/>
                <w:kern w:val="0"/>
                <w:sz w:val="24"/>
                <w:szCs w:val="24"/>
              </w:rPr>
              <w:t>环境风险结论</w:t>
            </w:r>
          </w:p>
          <w:p w14:paraId="3BFB9E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2766554D">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七、电磁辐射</w:t>
            </w:r>
          </w:p>
          <w:p w14:paraId="502519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本项目不涉及电磁辐射。</w:t>
            </w:r>
          </w:p>
        </w:tc>
      </w:tr>
    </w:tbl>
    <w:p w14:paraId="788A8F2A">
      <w:pPr>
        <w:rPr>
          <w:rFonts w:hint="default" w:ascii="Times New Roman" w:hAnsi="Times New Roman" w:eastAsia="宋体" w:cs="Times New Roman"/>
          <w:color w:val="auto"/>
          <w:sz w:val="24"/>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3DD8A7F">
      <w:pPr>
        <w:pStyle w:val="4"/>
        <w:rPr>
          <w:rFonts w:hint="default" w:ascii="Times New Roman" w:hAnsi="Times New Roman" w:cs="Times New Roman"/>
          <w:color w:val="auto"/>
        </w:rPr>
      </w:pPr>
      <w:r>
        <w:rPr>
          <w:rFonts w:hint="default" w:ascii="Times New Roman" w:hAnsi="Times New Roman" w:cs="Times New Roman"/>
          <w:color w:val="auto"/>
        </w:rPr>
        <w:t>五、环境保护措施监督检查清单</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17"/>
        <w:gridCol w:w="1078"/>
        <w:gridCol w:w="1548"/>
        <w:gridCol w:w="1962"/>
        <w:gridCol w:w="1757"/>
      </w:tblGrid>
      <w:tr w14:paraId="75A72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4" w:space="0"/>
              <w:bottom w:val="single" w:color="auto" w:sz="4" w:space="0"/>
              <w:tl2br w:val="single" w:color="auto" w:sz="4" w:space="0"/>
            </w:tcBorders>
          </w:tcPr>
          <w:p w14:paraId="6E499CF0">
            <w:pPr>
              <w:adjustRightInd w:val="0"/>
              <w:snapToGrid w:val="0"/>
              <w:ind w:firstLine="84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610F2648">
            <w:pPr>
              <w:adjustRightInd w:val="0"/>
              <w:snapToGrid w:val="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995" w:type="dxa"/>
            <w:gridSpan w:val="2"/>
            <w:vAlign w:val="center"/>
          </w:tcPr>
          <w:p w14:paraId="6627DB24">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w:t>
            </w:r>
          </w:p>
          <w:p w14:paraId="4E62B414">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548" w:type="dxa"/>
            <w:vAlign w:val="center"/>
          </w:tcPr>
          <w:p w14:paraId="37D748D6">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962" w:type="dxa"/>
            <w:vAlign w:val="center"/>
          </w:tcPr>
          <w:p w14:paraId="71D0970C">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757" w:type="dxa"/>
            <w:vAlign w:val="center"/>
          </w:tcPr>
          <w:p w14:paraId="4DBFCA90">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400B7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53233EC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917" w:type="dxa"/>
            <w:vMerge w:val="restart"/>
            <w:tcBorders>
              <w:right w:val="single" w:color="auto" w:sz="4" w:space="0"/>
            </w:tcBorders>
            <w:vAlign w:val="center"/>
          </w:tcPr>
          <w:p w14:paraId="3256A24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有组织</w:t>
            </w:r>
          </w:p>
        </w:tc>
        <w:tc>
          <w:tcPr>
            <w:tcW w:w="1078" w:type="dxa"/>
            <w:tcBorders>
              <w:left w:val="single" w:color="auto" w:sz="4" w:space="0"/>
            </w:tcBorders>
            <w:vAlign w:val="center"/>
          </w:tcPr>
          <w:p w14:paraId="0A1DB40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排气筒</w:t>
            </w:r>
          </w:p>
        </w:tc>
        <w:tc>
          <w:tcPr>
            <w:tcW w:w="1548" w:type="dxa"/>
            <w:vAlign w:val="center"/>
          </w:tcPr>
          <w:p w14:paraId="2DEF0EB1">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非甲烷总烃、苯乙烯（苯系物）、臭气浓度</w:t>
            </w:r>
          </w:p>
        </w:tc>
        <w:tc>
          <w:tcPr>
            <w:tcW w:w="1962" w:type="dxa"/>
            <w:vAlign w:val="center"/>
          </w:tcPr>
          <w:p w14:paraId="742D92D4">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二级活性炭吸附装置</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排放</w:t>
            </w:r>
          </w:p>
        </w:tc>
        <w:tc>
          <w:tcPr>
            <w:tcW w:w="1757" w:type="dxa"/>
            <w:vAlign w:val="center"/>
          </w:tcPr>
          <w:p w14:paraId="01D59697">
            <w:pPr>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《大气污染物综合排放标准》（DB32/4041-2021）中表</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、《恶臭污染物排放标准》（GB14554-93）</w:t>
            </w:r>
          </w:p>
        </w:tc>
      </w:tr>
      <w:tr w14:paraId="23A88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7CEA20A1">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0D528D74">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0271A8B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排气筒</w:t>
            </w:r>
          </w:p>
        </w:tc>
        <w:tc>
          <w:tcPr>
            <w:tcW w:w="1548" w:type="dxa"/>
            <w:vAlign w:val="center"/>
          </w:tcPr>
          <w:p w14:paraId="21FC91B6">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颗粒物、</w:t>
            </w:r>
            <w:r>
              <w:rPr>
                <w:rFonts w:hint="eastAsia" w:ascii="Times New Roman" w:hAnsi="Times New Roman" w:eastAsia="宋体" w:cs="Times New Roman"/>
                <w:color w:val="auto"/>
                <w:sz w:val="24"/>
                <w:szCs w:val="24"/>
                <w:lang w:val="en-US" w:eastAsia="zh-CN"/>
              </w:rPr>
              <w:t>非甲烷总烃、锡及其化合物</w:t>
            </w:r>
          </w:p>
        </w:tc>
        <w:tc>
          <w:tcPr>
            <w:tcW w:w="1962" w:type="dxa"/>
            <w:vAlign w:val="center"/>
          </w:tcPr>
          <w:p w14:paraId="0F4E8A95">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排放</w:t>
            </w:r>
          </w:p>
        </w:tc>
        <w:tc>
          <w:tcPr>
            <w:tcW w:w="1757" w:type="dxa"/>
            <w:vAlign w:val="center"/>
          </w:tcPr>
          <w:p w14:paraId="38719604">
            <w:pPr>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《大气污染物综合排放标准》（DB32/4041-2021）中表</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标准</w:t>
            </w:r>
          </w:p>
        </w:tc>
      </w:tr>
      <w:tr w14:paraId="271CC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7AC0EDE4">
            <w:pPr>
              <w:adjustRightInd w:val="0"/>
              <w:snapToGrid w:val="0"/>
              <w:jc w:val="center"/>
              <w:rPr>
                <w:rFonts w:hint="default" w:ascii="Times New Roman" w:hAnsi="Times New Roman" w:eastAsia="宋体" w:cs="Times New Roman"/>
                <w:color w:val="auto"/>
                <w:sz w:val="24"/>
                <w:szCs w:val="24"/>
              </w:rPr>
            </w:pPr>
          </w:p>
        </w:tc>
        <w:tc>
          <w:tcPr>
            <w:tcW w:w="917" w:type="dxa"/>
            <w:vMerge w:val="restart"/>
            <w:tcBorders>
              <w:right w:val="single" w:color="auto" w:sz="4" w:space="0"/>
            </w:tcBorders>
            <w:vAlign w:val="center"/>
          </w:tcPr>
          <w:p w14:paraId="79DDF0DF">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1078" w:type="dxa"/>
            <w:tcBorders>
              <w:left w:val="single" w:color="auto" w:sz="4" w:space="0"/>
            </w:tcBorders>
            <w:vAlign w:val="center"/>
          </w:tcPr>
          <w:p w14:paraId="5382564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p>
        </w:tc>
        <w:tc>
          <w:tcPr>
            <w:tcW w:w="1548" w:type="dxa"/>
            <w:vAlign w:val="center"/>
          </w:tcPr>
          <w:p w14:paraId="532F7025">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苯乙烯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颗粒物、臭气浓度、锡及其化合物</w:t>
            </w:r>
          </w:p>
        </w:tc>
        <w:tc>
          <w:tcPr>
            <w:tcW w:w="1962" w:type="dxa"/>
            <w:vAlign w:val="center"/>
          </w:tcPr>
          <w:p w14:paraId="6EF778C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50586311">
            <w:pPr>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rPr>
              <w:t>《大气污染物综合排放标准》（DB32/4041-2021）中表</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、《恶臭污染物排放标准》（GB14554-93）</w:t>
            </w:r>
          </w:p>
        </w:tc>
      </w:tr>
      <w:tr w14:paraId="19BC9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1EC6E941">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2B27FE0E">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1343016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厂区内</w:t>
            </w:r>
          </w:p>
        </w:tc>
        <w:tc>
          <w:tcPr>
            <w:tcW w:w="1548" w:type="dxa"/>
            <w:vAlign w:val="center"/>
          </w:tcPr>
          <w:p w14:paraId="0CF287A4">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非甲烷总烃</w:t>
            </w:r>
          </w:p>
        </w:tc>
        <w:tc>
          <w:tcPr>
            <w:tcW w:w="1962" w:type="dxa"/>
            <w:vAlign w:val="center"/>
          </w:tcPr>
          <w:p w14:paraId="5E5BEAEB">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544631FC">
            <w:pPr>
              <w:snapToGrid w:val="0"/>
              <w:jc w:val="center"/>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《大气污染物综合排放标准》（DB32/4041-2021）表2浓度限值</w:t>
            </w:r>
          </w:p>
        </w:tc>
      </w:tr>
      <w:tr w14:paraId="40725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tcBorders>
            <w:vAlign w:val="center"/>
          </w:tcPr>
          <w:p w14:paraId="7D8B7D4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995" w:type="dxa"/>
            <w:gridSpan w:val="2"/>
            <w:vAlign w:val="center"/>
          </w:tcPr>
          <w:p w14:paraId="5E2A109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p>
        </w:tc>
        <w:tc>
          <w:tcPr>
            <w:tcW w:w="1548" w:type="dxa"/>
            <w:vAlign w:val="center"/>
          </w:tcPr>
          <w:p w14:paraId="647521E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pH、COD、SS、氨氮、总磷、总氮</w:t>
            </w:r>
          </w:p>
        </w:tc>
        <w:tc>
          <w:tcPr>
            <w:tcW w:w="1962" w:type="dxa"/>
            <w:vAlign w:val="center"/>
          </w:tcPr>
          <w:p w14:paraId="2965735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en-US" w:eastAsia="zh-CN"/>
              </w:rPr>
              <w:t>经市政污水管网接至</w:t>
            </w:r>
            <w:r>
              <w:rPr>
                <w:rFonts w:hint="default" w:ascii="Times New Roman" w:hAnsi="Times New Roman" w:eastAsia="宋体" w:cs="Times New Roman"/>
                <w:color w:val="auto"/>
                <w:sz w:val="24"/>
                <w:szCs w:val="24"/>
              </w:rPr>
              <w:t>常州市金坛区第二污水处理厂集中处理</w:t>
            </w:r>
          </w:p>
        </w:tc>
        <w:tc>
          <w:tcPr>
            <w:tcW w:w="1757" w:type="dxa"/>
            <w:vAlign w:val="center"/>
          </w:tcPr>
          <w:p w14:paraId="799003F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《污水排入城镇下水道水质标准》（GB/T 31962-2015）表1中B等级标准</w:t>
            </w:r>
          </w:p>
        </w:tc>
      </w:tr>
      <w:tr w14:paraId="25EC4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restart"/>
            <w:tcBorders>
              <w:top w:val="single" w:color="auto" w:sz="4" w:space="0"/>
              <w:left w:val="single" w:color="auto" w:sz="4" w:space="0"/>
            </w:tcBorders>
            <w:vAlign w:val="center"/>
          </w:tcPr>
          <w:p w14:paraId="064E603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995" w:type="dxa"/>
            <w:gridSpan w:val="2"/>
            <w:shd w:val="clear" w:color="auto" w:fill="auto"/>
            <w:vAlign w:val="center"/>
          </w:tcPr>
          <w:p w14:paraId="4AD13AC5">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机加工</w:t>
            </w:r>
          </w:p>
        </w:tc>
        <w:tc>
          <w:tcPr>
            <w:tcW w:w="1548" w:type="dxa"/>
            <w:tcBorders>
              <w:bottom w:val="single" w:color="auto" w:sz="4" w:space="0"/>
            </w:tcBorders>
            <w:shd w:val="clear" w:color="auto" w:fill="auto"/>
            <w:vAlign w:val="center"/>
          </w:tcPr>
          <w:p w14:paraId="6398A94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硅钢片边角料</w:t>
            </w:r>
          </w:p>
        </w:tc>
        <w:tc>
          <w:tcPr>
            <w:tcW w:w="1962" w:type="dxa"/>
            <w:shd w:val="clear" w:color="auto" w:fill="auto"/>
            <w:vAlign w:val="center"/>
          </w:tcPr>
          <w:p w14:paraId="0A30DB9A">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外售综合利用</w:t>
            </w:r>
          </w:p>
        </w:tc>
        <w:tc>
          <w:tcPr>
            <w:tcW w:w="1757" w:type="dxa"/>
            <w:vMerge w:val="restart"/>
            <w:vAlign w:val="center"/>
          </w:tcPr>
          <w:p w14:paraId="2B1DD00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有效处置</w:t>
            </w:r>
          </w:p>
        </w:tc>
      </w:tr>
      <w:tr w14:paraId="069CF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C74EB51">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450253FE">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封装</w:t>
            </w:r>
          </w:p>
        </w:tc>
        <w:tc>
          <w:tcPr>
            <w:tcW w:w="1548" w:type="dxa"/>
            <w:tcBorders>
              <w:bottom w:val="single" w:color="auto" w:sz="4" w:space="0"/>
            </w:tcBorders>
            <w:shd w:val="clear" w:color="auto" w:fill="auto"/>
            <w:vAlign w:val="center"/>
          </w:tcPr>
          <w:p w14:paraId="0D837D92">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BMC边角料</w:t>
            </w:r>
          </w:p>
        </w:tc>
        <w:tc>
          <w:tcPr>
            <w:tcW w:w="1962" w:type="dxa"/>
            <w:shd w:val="clear" w:color="auto" w:fill="auto"/>
            <w:vAlign w:val="center"/>
          </w:tcPr>
          <w:p w14:paraId="65374FB2">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外售综合利用</w:t>
            </w:r>
          </w:p>
        </w:tc>
        <w:tc>
          <w:tcPr>
            <w:tcW w:w="1757" w:type="dxa"/>
            <w:vMerge w:val="continue"/>
            <w:vAlign w:val="center"/>
          </w:tcPr>
          <w:p w14:paraId="02CA91FB">
            <w:pPr>
              <w:adjustRightInd w:val="0"/>
              <w:snapToGrid w:val="0"/>
              <w:jc w:val="center"/>
              <w:rPr>
                <w:rFonts w:hint="default" w:ascii="Times New Roman" w:hAnsi="Times New Roman" w:eastAsia="宋体" w:cs="Times New Roman"/>
                <w:color w:val="auto"/>
                <w:sz w:val="24"/>
                <w:szCs w:val="24"/>
              </w:rPr>
            </w:pPr>
          </w:p>
        </w:tc>
      </w:tr>
      <w:tr w14:paraId="6FA57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130E4EB">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03B2567">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机加工</w:t>
            </w:r>
          </w:p>
        </w:tc>
        <w:tc>
          <w:tcPr>
            <w:tcW w:w="1548" w:type="dxa"/>
            <w:tcBorders>
              <w:bottom w:val="single" w:color="auto" w:sz="4" w:space="0"/>
            </w:tcBorders>
            <w:shd w:val="clear" w:color="auto" w:fill="auto"/>
            <w:vAlign w:val="center"/>
          </w:tcPr>
          <w:p w14:paraId="3959C37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rPr>
              <w:t>钢材边角料</w:t>
            </w:r>
          </w:p>
        </w:tc>
        <w:tc>
          <w:tcPr>
            <w:tcW w:w="1962" w:type="dxa"/>
            <w:shd w:val="clear" w:color="auto" w:fill="auto"/>
            <w:vAlign w:val="center"/>
          </w:tcPr>
          <w:p w14:paraId="7C5D0B13">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外售综合利用</w:t>
            </w:r>
          </w:p>
        </w:tc>
        <w:tc>
          <w:tcPr>
            <w:tcW w:w="1757" w:type="dxa"/>
            <w:vMerge w:val="continue"/>
            <w:vAlign w:val="center"/>
          </w:tcPr>
          <w:p w14:paraId="3DD8B872">
            <w:pPr>
              <w:adjustRightInd w:val="0"/>
              <w:snapToGrid w:val="0"/>
              <w:jc w:val="center"/>
              <w:rPr>
                <w:rFonts w:hint="default" w:ascii="Times New Roman" w:hAnsi="Times New Roman" w:eastAsia="宋体" w:cs="Times New Roman"/>
                <w:color w:val="auto"/>
                <w:sz w:val="24"/>
                <w:szCs w:val="24"/>
              </w:rPr>
            </w:pPr>
          </w:p>
        </w:tc>
      </w:tr>
      <w:tr w14:paraId="50A8B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43058647">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B88DD50">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测试</w:t>
            </w:r>
          </w:p>
        </w:tc>
        <w:tc>
          <w:tcPr>
            <w:tcW w:w="1548" w:type="dxa"/>
            <w:tcBorders>
              <w:bottom w:val="single" w:color="auto" w:sz="4" w:space="0"/>
            </w:tcBorders>
            <w:shd w:val="clear" w:color="auto" w:fill="auto"/>
            <w:vAlign w:val="center"/>
          </w:tcPr>
          <w:p w14:paraId="4997043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不合格品</w:t>
            </w:r>
          </w:p>
        </w:tc>
        <w:tc>
          <w:tcPr>
            <w:tcW w:w="1962" w:type="dxa"/>
            <w:shd w:val="clear" w:color="auto" w:fill="auto"/>
            <w:vAlign w:val="center"/>
          </w:tcPr>
          <w:p w14:paraId="2D82DD4B">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返修</w:t>
            </w:r>
          </w:p>
        </w:tc>
        <w:tc>
          <w:tcPr>
            <w:tcW w:w="1757" w:type="dxa"/>
            <w:vMerge w:val="continue"/>
            <w:vAlign w:val="center"/>
          </w:tcPr>
          <w:p w14:paraId="6243B245">
            <w:pPr>
              <w:adjustRightInd w:val="0"/>
              <w:snapToGrid w:val="0"/>
              <w:jc w:val="center"/>
              <w:rPr>
                <w:rFonts w:hint="default" w:ascii="Times New Roman" w:hAnsi="Times New Roman" w:eastAsia="宋体" w:cs="Times New Roman"/>
                <w:color w:val="auto"/>
                <w:sz w:val="24"/>
                <w:szCs w:val="24"/>
              </w:rPr>
            </w:pPr>
          </w:p>
        </w:tc>
      </w:tr>
      <w:tr w14:paraId="2AE34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16514805">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5E702E9">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废气处理</w:t>
            </w:r>
          </w:p>
        </w:tc>
        <w:tc>
          <w:tcPr>
            <w:tcW w:w="1548" w:type="dxa"/>
            <w:tcBorders>
              <w:bottom w:val="single" w:color="auto" w:sz="4" w:space="0"/>
            </w:tcBorders>
            <w:shd w:val="clear" w:color="auto" w:fill="auto"/>
            <w:vAlign w:val="center"/>
          </w:tcPr>
          <w:p w14:paraId="2596B7C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废布袋</w:t>
            </w:r>
          </w:p>
        </w:tc>
        <w:tc>
          <w:tcPr>
            <w:tcW w:w="1962" w:type="dxa"/>
            <w:shd w:val="clear" w:color="auto" w:fill="auto"/>
            <w:vAlign w:val="center"/>
          </w:tcPr>
          <w:p w14:paraId="0BA2B26D">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外售综合利用</w:t>
            </w:r>
          </w:p>
        </w:tc>
        <w:tc>
          <w:tcPr>
            <w:tcW w:w="1757" w:type="dxa"/>
            <w:vMerge w:val="continue"/>
            <w:vAlign w:val="center"/>
          </w:tcPr>
          <w:p w14:paraId="6722D36C">
            <w:pPr>
              <w:adjustRightInd w:val="0"/>
              <w:snapToGrid w:val="0"/>
              <w:jc w:val="center"/>
              <w:rPr>
                <w:rFonts w:hint="default" w:ascii="Times New Roman" w:hAnsi="Times New Roman" w:eastAsia="宋体" w:cs="Times New Roman"/>
                <w:color w:val="auto"/>
                <w:sz w:val="24"/>
                <w:szCs w:val="24"/>
              </w:rPr>
            </w:pPr>
          </w:p>
        </w:tc>
      </w:tr>
      <w:tr w14:paraId="7B754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E9616D9">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ABBCE43">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废气处理</w:t>
            </w:r>
          </w:p>
        </w:tc>
        <w:tc>
          <w:tcPr>
            <w:tcW w:w="1548" w:type="dxa"/>
            <w:tcBorders>
              <w:bottom w:val="single" w:color="auto" w:sz="4" w:space="0"/>
            </w:tcBorders>
            <w:shd w:val="clear" w:color="auto" w:fill="auto"/>
            <w:vAlign w:val="center"/>
          </w:tcPr>
          <w:p w14:paraId="0B045B71">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布袋收尘</w:t>
            </w:r>
          </w:p>
        </w:tc>
        <w:tc>
          <w:tcPr>
            <w:tcW w:w="1962" w:type="dxa"/>
            <w:shd w:val="clear" w:color="auto" w:fill="auto"/>
            <w:vAlign w:val="center"/>
          </w:tcPr>
          <w:p w14:paraId="560140E6">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外售综合利用</w:t>
            </w:r>
          </w:p>
        </w:tc>
        <w:tc>
          <w:tcPr>
            <w:tcW w:w="1757" w:type="dxa"/>
            <w:vMerge w:val="continue"/>
            <w:vAlign w:val="center"/>
          </w:tcPr>
          <w:p w14:paraId="2D9D54A5">
            <w:pPr>
              <w:adjustRightInd w:val="0"/>
              <w:snapToGrid w:val="0"/>
              <w:jc w:val="center"/>
              <w:rPr>
                <w:rFonts w:hint="default" w:ascii="Times New Roman" w:hAnsi="Times New Roman" w:eastAsia="宋体" w:cs="Times New Roman"/>
                <w:color w:val="auto"/>
                <w:sz w:val="24"/>
                <w:szCs w:val="24"/>
              </w:rPr>
            </w:pPr>
          </w:p>
        </w:tc>
      </w:tr>
      <w:tr w14:paraId="41856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0FE1DB5">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D873216">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生产</w:t>
            </w:r>
          </w:p>
        </w:tc>
        <w:tc>
          <w:tcPr>
            <w:tcW w:w="1548" w:type="dxa"/>
            <w:tcBorders>
              <w:bottom w:val="single" w:color="auto" w:sz="4" w:space="0"/>
            </w:tcBorders>
            <w:shd w:val="clear" w:color="auto" w:fill="auto"/>
            <w:vAlign w:val="center"/>
          </w:tcPr>
          <w:p w14:paraId="64A19CA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废乳化液</w:t>
            </w:r>
          </w:p>
        </w:tc>
        <w:tc>
          <w:tcPr>
            <w:tcW w:w="1962" w:type="dxa"/>
            <w:vMerge w:val="restart"/>
            <w:vAlign w:val="center"/>
          </w:tcPr>
          <w:p w14:paraId="017048F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委托有资质单位处置</w:t>
            </w:r>
          </w:p>
        </w:tc>
        <w:tc>
          <w:tcPr>
            <w:tcW w:w="1757" w:type="dxa"/>
            <w:vMerge w:val="continue"/>
            <w:vAlign w:val="center"/>
          </w:tcPr>
          <w:p w14:paraId="40989224">
            <w:pPr>
              <w:adjustRightInd w:val="0"/>
              <w:snapToGrid w:val="0"/>
              <w:jc w:val="center"/>
              <w:rPr>
                <w:rFonts w:hint="default" w:ascii="Times New Roman" w:hAnsi="Times New Roman" w:eastAsia="宋体" w:cs="Times New Roman"/>
                <w:color w:val="auto"/>
                <w:sz w:val="24"/>
                <w:szCs w:val="24"/>
              </w:rPr>
            </w:pPr>
          </w:p>
        </w:tc>
      </w:tr>
      <w:tr w14:paraId="2024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A181170">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C342D4F">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清洗</w:t>
            </w:r>
          </w:p>
        </w:tc>
        <w:tc>
          <w:tcPr>
            <w:tcW w:w="1548" w:type="dxa"/>
            <w:tcBorders>
              <w:bottom w:val="single" w:color="auto" w:sz="4" w:space="0"/>
            </w:tcBorders>
            <w:shd w:val="clear" w:color="auto" w:fill="auto"/>
            <w:vAlign w:val="center"/>
          </w:tcPr>
          <w:p w14:paraId="10A732E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清洗废液</w:t>
            </w:r>
          </w:p>
        </w:tc>
        <w:tc>
          <w:tcPr>
            <w:tcW w:w="1962" w:type="dxa"/>
            <w:vMerge w:val="continue"/>
            <w:vAlign w:val="center"/>
          </w:tcPr>
          <w:p w14:paraId="785E42D8">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6F600EE6">
            <w:pPr>
              <w:adjustRightInd w:val="0"/>
              <w:snapToGrid w:val="0"/>
              <w:jc w:val="center"/>
              <w:rPr>
                <w:rFonts w:hint="default" w:ascii="Times New Roman" w:hAnsi="Times New Roman" w:eastAsia="宋体" w:cs="Times New Roman"/>
                <w:color w:val="auto"/>
                <w:sz w:val="24"/>
                <w:szCs w:val="24"/>
              </w:rPr>
            </w:pPr>
          </w:p>
        </w:tc>
      </w:tr>
      <w:tr w14:paraId="26745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5E3119E1">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0E95672">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研磨</w:t>
            </w:r>
          </w:p>
        </w:tc>
        <w:tc>
          <w:tcPr>
            <w:tcW w:w="1548" w:type="dxa"/>
            <w:tcBorders>
              <w:bottom w:val="single" w:color="auto" w:sz="4" w:space="0"/>
            </w:tcBorders>
            <w:shd w:val="clear" w:color="auto" w:fill="auto"/>
            <w:vAlign w:val="center"/>
          </w:tcPr>
          <w:p w14:paraId="0D8800A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研磨废</w:t>
            </w:r>
            <w:r>
              <w:rPr>
                <w:rFonts w:hint="eastAsia" w:ascii="Times New Roman" w:hAnsi="Times New Roman" w:eastAsia="宋体" w:cs="Times New Roman"/>
                <w:color w:val="auto"/>
                <w:sz w:val="24"/>
                <w:szCs w:val="24"/>
                <w:lang w:val="en-US" w:eastAsia="zh-CN"/>
              </w:rPr>
              <w:t>渣</w:t>
            </w:r>
          </w:p>
        </w:tc>
        <w:tc>
          <w:tcPr>
            <w:tcW w:w="1962" w:type="dxa"/>
            <w:vMerge w:val="continue"/>
            <w:vAlign w:val="center"/>
          </w:tcPr>
          <w:p w14:paraId="64174B42">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2E265AF9">
            <w:pPr>
              <w:adjustRightInd w:val="0"/>
              <w:snapToGrid w:val="0"/>
              <w:jc w:val="center"/>
              <w:rPr>
                <w:rFonts w:hint="default" w:ascii="Times New Roman" w:hAnsi="Times New Roman" w:eastAsia="宋体" w:cs="Times New Roman"/>
                <w:color w:val="auto"/>
                <w:sz w:val="24"/>
                <w:szCs w:val="24"/>
              </w:rPr>
            </w:pPr>
          </w:p>
        </w:tc>
      </w:tr>
      <w:tr w14:paraId="0293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EFB1F03">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1DA25409">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设备维护</w:t>
            </w:r>
          </w:p>
        </w:tc>
        <w:tc>
          <w:tcPr>
            <w:tcW w:w="1548" w:type="dxa"/>
            <w:tcBorders>
              <w:bottom w:val="single" w:color="auto" w:sz="4" w:space="0"/>
            </w:tcBorders>
            <w:shd w:val="clear" w:color="auto" w:fill="auto"/>
            <w:vAlign w:val="center"/>
          </w:tcPr>
          <w:p w14:paraId="738A22E3">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废润滑油</w:t>
            </w:r>
          </w:p>
        </w:tc>
        <w:tc>
          <w:tcPr>
            <w:tcW w:w="1962" w:type="dxa"/>
            <w:vMerge w:val="continue"/>
            <w:vAlign w:val="center"/>
          </w:tcPr>
          <w:p w14:paraId="56A3F1D5">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27D2526E">
            <w:pPr>
              <w:adjustRightInd w:val="0"/>
              <w:snapToGrid w:val="0"/>
              <w:jc w:val="center"/>
              <w:rPr>
                <w:rFonts w:hint="default" w:ascii="Times New Roman" w:hAnsi="Times New Roman" w:eastAsia="宋体" w:cs="Times New Roman"/>
                <w:color w:val="auto"/>
                <w:sz w:val="24"/>
                <w:szCs w:val="24"/>
              </w:rPr>
            </w:pPr>
          </w:p>
        </w:tc>
      </w:tr>
      <w:tr w14:paraId="6F1F9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497A5A7">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5D596DC9">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生产</w:t>
            </w:r>
          </w:p>
        </w:tc>
        <w:tc>
          <w:tcPr>
            <w:tcW w:w="1548" w:type="dxa"/>
            <w:tcBorders>
              <w:bottom w:val="single" w:color="auto" w:sz="4" w:space="0"/>
            </w:tcBorders>
            <w:shd w:val="clear" w:color="auto" w:fill="auto"/>
            <w:vAlign w:val="center"/>
          </w:tcPr>
          <w:p w14:paraId="4391F179">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废桶</w:t>
            </w:r>
          </w:p>
        </w:tc>
        <w:tc>
          <w:tcPr>
            <w:tcW w:w="1962" w:type="dxa"/>
            <w:vMerge w:val="continue"/>
            <w:vAlign w:val="center"/>
          </w:tcPr>
          <w:p w14:paraId="467324E2">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442BE048">
            <w:pPr>
              <w:adjustRightInd w:val="0"/>
              <w:snapToGrid w:val="0"/>
              <w:jc w:val="center"/>
              <w:rPr>
                <w:rFonts w:hint="default" w:ascii="Times New Roman" w:hAnsi="Times New Roman" w:eastAsia="宋体" w:cs="Times New Roman"/>
                <w:color w:val="auto"/>
                <w:sz w:val="24"/>
                <w:szCs w:val="24"/>
              </w:rPr>
            </w:pPr>
          </w:p>
        </w:tc>
      </w:tr>
      <w:tr w14:paraId="209F9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46CEEE65">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724C7061">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设备维护</w:t>
            </w:r>
          </w:p>
        </w:tc>
        <w:tc>
          <w:tcPr>
            <w:tcW w:w="1548" w:type="dxa"/>
            <w:tcBorders>
              <w:bottom w:val="single" w:color="auto" w:sz="4" w:space="0"/>
            </w:tcBorders>
            <w:shd w:val="clear" w:color="auto" w:fill="auto"/>
            <w:vAlign w:val="center"/>
          </w:tcPr>
          <w:p w14:paraId="7556447E">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含油抹布</w:t>
            </w:r>
          </w:p>
        </w:tc>
        <w:tc>
          <w:tcPr>
            <w:tcW w:w="1962" w:type="dxa"/>
            <w:vMerge w:val="continue"/>
            <w:vAlign w:val="center"/>
          </w:tcPr>
          <w:p w14:paraId="00C81BAE">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70E478DA">
            <w:pPr>
              <w:adjustRightInd w:val="0"/>
              <w:snapToGrid w:val="0"/>
              <w:jc w:val="center"/>
              <w:rPr>
                <w:rFonts w:hint="default" w:ascii="Times New Roman" w:hAnsi="Times New Roman" w:eastAsia="宋体" w:cs="Times New Roman"/>
                <w:color w:val="auto"/>
                <w:sz w:val="24"/>
                <w:szCs w:val="24"/>
              </w:rPr>
            </w:pPr>
          </w:p>
        </w:tc>
      </w:tr>
      <w:tr w14:paraId="42CFE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33F6D166">
            <w:pPr>
              <w:adjustRightInd w:val="0"/>
              <w:snapToGrid w:val="0"/>
              <w:jc w:val="center"/>
              <w:rPr>
                <w:rFonts w:hint="default" w:ascii="Times New Roman" w:hAnsi="Times New Roman" w:eastAsia="宋体" w:cs="Times New Roman"/>
                <w:color w:val="auto"/>
                <w:sz w:val="24"/>
                <w:szCs w:val="24"/>
              </w:rPr>
            </w:pPr>
          </w:p>
        </w:tc>
        <w:tc>
          <w:tcPr>
            <w:tcW w:w="1995" w:type="dxa"/>
            <w:gridSpan w:val="2"/>
            <w:vAlign w:val="center"/>
          </w:tcPr>
          <w:p w14:paraId="4AC07AE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办公、生活</w:t>
            </w:r>
          </w:p>
        </w:tc>
        <w:tc>
          <w:tcPr>
            <w:tcW w:w="1548" w:type="dxa"/>
            <w:tcBorders>
              <w:bottom w:val="single" w:color="auto" w:sz="4" w:space="0"/>
            </w:tcBorders>
            <w:vAlign w:val="center"/>
          </w:tcPr>
          <w:p w14:paraId="66EAED2B">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w:t>
            </w:r>
          </w:p>
        </w:tc>
        <w:tc>
          <w:tcPr>
            <w:tcW w:w="1962" w:type="dxa"/>
            <w:vAlign w:val="center"/>
          </w:tcPr>
          <w:p w14:paraId="471438D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环卫清运</w:t>
            </w:r>
          </w:p>
        </w:tc>
        <w:tc>
          <w:tcPr>
            <w:tcW w:w="1757" w:type="dxa"/>
            <w:vMerge w:val="continue"/>
            <w:vAlign w:val="center"/>
          </w:tcPr>
          <w:p w14:paraId="0F7E670C">
            <w:pPr>
              <w:adjustRightInd w:val="0"/>
              <w:snapToGrid w:val="0"/>
              <w:jc w:val="center"/>
              <w:rPr>
                <w:rFonts w:hint="default" w:ascii="Times New Roman" w:hAnsi="Times New Roman" w:eastAsia="宋体" w:cs="Times New Roman"/>
                <w:color w:val="auto"/>
                <w:sz w:val="24"/>
                <w:szCs w:val="24"/>
              </w:rPr>
            </w:pPr>
          </w:p>
        </w:tc>
      </w:tr>
      <w:tr w14:paraId="7DBAD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62959BD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995" w:type="dxa"/>
            <w:gridSpan w:val="2"/>
            <w:vAlign w:val="center"/>
          </w:tcPr>
          <w:p w14:paraId="0AC0FCB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生产及公辅设备</w:t>
            </w:r>
          </w:p>
        </w:tc>
        <w:tc>
          <w:tcPr>
            <w:tcW w:w="1548" w:type="dxa"/>
            <w:vAlign w:val="center"/>
          </w:tcPr>
          <w:p w14:paraId="3F9F45A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厂界噪声</w:t>
            </w:r>
          </w:p>
        </w:tc>
        <w:tc>
          <w:tcPr>
            <w:tcW w:w="1962" w:type="dxa"/>
            <w:vAlign w:val="center"/>
          </w:tcPr>
          <w:p w14:paraId="096DEB2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厂房隔声、减振措施</w:t>
            </w:r>
          </w:p>
        </w:tc>
        <w:tc>
          <w:tcPr>
            <w:tcW w:w="1757" w:type="dxa"/>
            <w:vAlign w:val="center"/>
          </w:tcPr>
          <w:p w14:paraId="68CB6E1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《工业企业厂界环境噪声排放标准》（GB12348-2008）表1中3类标准限值</w:t>
            </w:r>
          </w:p>
        </w:tc>
      </w:tr>
      <w:tr w14:paraId="231FE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5944540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995" w:type="dxa"/>
            <w:gridSpan w:val="2"/>
            <w:vAlign w:val="center"/>
          </w:tcPr>
          <w:p w14:paraId="523DE29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548" w:type="dxa"/>
            <w:vAlign w:val="center"/>
          </w:tcPr>
          <w:p w14:paraId="3014AF8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962" w:type="dxa"/>
            <w:vAlign w:val="center"/>
          </w:tcPr>
          <w:p w14:paraId="025B2A95">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7C450AF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0F617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38" w:type="dxa"/>
            <w:tcBorders>
              <w:top w:val="single" w:color="auto" w:sz="4" w:space="0"/>
              <w:left w:val="single" w:color="auto" w:sz="4" w:space="0"/>
              <w:bottom w:val="single" w:color="auto" w:sz="4" w:space="0"/>
            </w:tcBorders>
            <w:vAlign w:val="center"/>
          </w:tcPr>
          <w:p w14:paraId="4A31C3C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262" w:type="dxa"/>
            <w:gridSpan w:val="5"/>
            <w:vAlign w:val="center"/>
          </w:tcPr>
          <w:p w14:paraId="6854520E">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（1）从设计、管理各种工艺设备和物料运输线路上，防止和减少污染物的跑冒滴漏，合理布局，减少污染物泄漏途径；</w:t>
            </w:r>
          </w:p>
          <w:p w14:paraId="0E9E9BBF">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（2）根据需要做好车间、仓库的防渗工作；</w:t>
            </w:r>
          </w:p>
          <w:p w14:paraId="79C7CC52">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（3）在厂区占地范围内采取绿化措施，以种植具有较强吸附能力的植物为主。</w:t>
            </w:r>
          </w:p>
          <w:p w14:paraId="6FF93EBF">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项目采取以上措施后，可有效防止废气沉降或经雨水淋溶渗漏至土壤，避免对其产生污染。</w:t>
            </w:r>
          </w:p>
        </w:tc>
      </w:tr>
      <w:tr w14:paraId="02459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38" w:type="dxa"/>
            <w:tcBorders>
              <w:top w:val="single" w:color="auto" w:sz="4" w:space="0"/>
              <w:left w:val="single" w:color="auto" w:sz="4" w:space="0"/>
              <w:bottom w:val="single" w:color="auto" w:sz="4" w:space="0"/>
            </w:tcBorders>
            <w:vAlign w:val="center"/>
          </w:tcPr>
          <w:p w14:paraId="4D5C511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262" w:type="dxa"/>
            <w:gridSpan w:val="5"/>
            <w:vAlign w:val="center"/>
          </w:tcPr>
          <w:p w14:paraId="6CF2FAD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1ABA4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38" w:type="dxa"/>
            <w:tcBorders>
              <w:top w:val="single" w:color="auto" w:sz="4" w:space="0"/>
              <w:left w:val="single" w:color="auto" w:sz="4" w:space="0"/>
              <w:bottom w:val="single" w:color="auto" w:sz="4" w:space="0"/>
            </w:tcBorders>
            <w:vAlign w:val="center"/>
          </w:tcPr>
          <w:p w14:paraId="7D2E4A72">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64AD1989">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262" w:type="dxa"/>
            <w:gridSpan w:val="5"/>
            <w:vAlign w:val="center"/>
          </w:tcPr>
          <w:p w14:paraId="016D3E4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做好厂区环境风险管理、风险应急物质配备，定期进行应急演练。</w:t>
            </w:r>
          </w:p>
        </w:tc>
      </w:tr>
      <w:tr w14:paraId="1FF4E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4" w:space="0"/>
              <w:bottom w:val="single" w:color="auto" w:sz="8" w:space="0"/>
            </w:tcBorders>
            <w:vAlign w:val="center"/>
          </w:tcPr>
          <w:p w14:paraId="21AC5F15">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14:paraId="5146CD69">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262" w:type="dxa"/>
            <w:gridSpan w:val="5"/>
            <w:vAlign w:val="center"/>
          </w:tcPr>
          <w:p w14:paraId="52B6672D">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1、厂区卫生防护距离是以</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车间边界外扩</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0m范围。该范围内无居民、学校等环境敏感保护目标，可满足卫生防护距离设置要求，将来在该卫生防护距离范围也不得新建居民、学校、医院等属于环境保护目标的项目。</w:t>
            </w:r>
          </w:p>
          <w:p w14:paraId="26234A46">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2、企业对污染治理设施和管理必须与生产经营活动一起纳入企业的日常管理中，要建立岗位责任制，制定操作规程，建立管理台帐，并对排污口进行规范化设置。</w:t>
            </w:r>
          </w:p>
        </w:tc>
      </w:tr>
    </w:tbl>
    <w:p w14:paraId="00112942">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C3639B4">
      <w:pPr>
        <w:pStyle w:val="4"/>
        <w:rPr>
          <w:rFonts w:hint="default" w:ascii="Times New Roman" w:hAnsi="Times New Roman" w:cs="Times New Roman"/>
          <w:color w:val="auto"/>
        </w:rPr>
      </w:pPr>
      <w:r>
        <w:rPr>
          <w:rFonts w:hint="default" w:ascii="Times New Roman" w:hAnsi="Times New Roman" w:cs="Times New Roman"/>
          <w:color w:val="auto"/>
        </w:rPr>
        <w:t>六、结论</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418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006E9FA6">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104C4DD">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因此，在企业严格落实环保“三同时”措施后，本项目的建设，从环保的角度看是可行的。</w:t>
            </w:r>
          </w:p>
        </w:tc>
      </w:tr>
    </w:tbl>
    <w:p w14:paraId="7D80B0B0">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F077F86">
      <w:pPr>
        <w:pStyle w:val="4"/>
        <w:jc w:val="left"/>
        <w:rPr>
          <w:rFonts w:hint="default" w:ascii="Times New Roman" w:hAnsi="Times New Roman" w:cs="Times New Roman"/>
          <w:color w:val="auto"/>
        </w:rPr>
      </w:pPr>
      <w:r>
        <w:rPr>
          <w:rFonts w:hint="default" w:ascii="Times New Roman" w:hAnsi="Times New Roman" w:cs="Times New Roman"/>
          <w:color w:val="auto"/>
        </w:rPr>
        <w:t>附表</w:t>
      </w:r>
    </w:p>
    <w:p w14:paraId="391F1B00">
      <w:pPr>
        <w:jc w:val="center"/>
        <w:rPr>
          <w:rFonts w:hint="default" w:ascii="Times New Roman" w:hAnsi="Times New Roman" w:eastAsia="宋体" w:cs="Times New Roman"/>
          <w:b/>
          <w:snapToGrid w:val="0"/>
          <w:color w:val="auto"/>
          <w:sz w:val="32"/>
          <w:szCs w:val="32"/>
        </w:rPr>
      </w:pPr>
      <w:r>
        <w:rPr>
          <w:rFonts w:hint="default" w:ascii="Times New Roman" w:hAnsi="Times New Roman" w:eastAsia="宋体" w:cs="Times New Roman"/>
          <w:b/>
          <w:snapToGrid w:val="0"/>
          <w:color w:val="auto"/>
          <w:sz w:val="32"/>
          <w:szCs w:val="32"/>
        </w:rPr>
        <w:t>建设项目污染物排放量汇总表  单位：t/a</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785"/>
        <w:gridCol w:w="1000"/>
      </w:tblGrid>
      <w:tr w14:paraId="778C9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14:paraId="739C6F2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lang w:val="en-US" w:eastAsia="zh-CN"/>
              </w:rPr>
              <w:t xml:space="preserve">       </w:t>
            </w:r>
            <w:r>
              <w:rPr>
                <w:rFonts w:hint="default" w:ascii="Times New Roman" w:hAnsi="Times New Roman" w:eastAsia="宋体" w:cs="Times New Roman"/>
                <w:b/>
                <w:bCs/>
                <w:snapToGrid w:val="0"/>
                <w:color w:val="auto"/>
                <w:spacing w:val="-6"/>
                <w:kern w:val="21"/>
                <w:sz w:val="24"/>
                <w:szCs w:val="24"/>
              </w:rPr>
              <w:t>项目</w:t>
            </w:r>
          </w:p>
          <w:p w14:paraId="5C510B8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分类</w:t>
            </w:r>
          </w:p>
        </w:tc>
        <w:tc>
          <w:tcPr>
            <w:tcW w:w="1701" w:type="dxa"/>
            <w:tcMar>
              <w:left w:w="28" w:type="dxa"/>
              <w:right w:w="28" w:type="dxa"/>
            </w:tcMar>
            <w:vAlign w:val="center"/>
          </w:tcPr>
          <w:p w14:paraId="5657C03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污染物名称</w:t>
            </w:r>
          </w:p>
        </w:tc>
        <w:tc>
          <w:tcPr>
            <w:tcW w:w="1701" w:type="dxa"/>
            <w:tcMar>
              <w:left w:w="28" w:type="dxa"/>
              <w:right w:w="28" w:type="dxa"/>
            </w:tcMar>
            <w:vAlign w:val="center"/>
          </w:tcPr>
          <w:p w14:paraId="714B2C0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1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snapToGrid w:val="0"/>
                <w:color w:val="auto"/>
                <w:spacing w:val="-6"/>
                <w:kern w:val="21"/>
                <w:sz w:val="24"/>
                <w:szCs w:val="24"/>
              </w:rPr>
              <w:fldChar w:fldCharType="end"/>
            </w:r>
          </w:p>
        </w:tc>
        <w:tc>
          <w:tcPr>
            <w:tcW w:w="1276" w:type="dxa"/>
            <w:tcMar>
              <w:left w:w="28" w:type="dxa"/>
              <w:right w:w="28" w:type="dxa"/>
            </w:tcMar>
            <w:vAlign w:val="center"/>
          </w:tcPr>
          <w:p w14:paraId="35B31C6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现有工程许可排放量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2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snapToGrid w:val="0"/>
                <w:color w:val="auto"/>
                <w:spacing w:val="-6"/>
                <w:kern w:val="21"/>
                <w:sz w:val="24"/>
                <w:szCs w:val="24"/>
              </w:rPr>
              <w:t>②</w:t>
            </w:r>
            <w:r>
              <w:rPr>
                <w:rFonts w:hint="default" w:ascii="Times New Roman" w:hAnsi="Times New Roman" w:eastAsia="宋体" w:cs="Times New Roman"/>
                <w:b/>
                <w:bCs/>
                <w:snapToGrid w:val="0"/>
                <w:color w:val="auto"/>
                <w:spacing w:val="-6"/>
                <w:kern w:val="21"/>
                <w:sz w:val="24"/>
                <w:szCs w:val="24"/>
              </w:rPr>
              <w:fldChar w:fldCharType="end"/>
            </w:r>
          </w:p>
        </w:tc>
        <w:tc>
          <w:tcPr>
            <w:tcW w:w="1701" w:type="dxa"/>
            <w:tcMar>
              <w:left w:w="28" w:type="dxa"/>
              <w:right w:w="28" w:type="dxa"/>
            </w:tcMar>
            <w:vAlign w:val="center"/>
          </w:tcPr>
          <w:p w14:paraId="3B4E2AF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在建工程排放量（固体废物产生量）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3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③</w:t>
            </w:r>
            <w:r>
              <w:rPr>
                <w:rFonts w:hint="default" w:ascii="Times New Roman" w:hAnsi="Times New Roman" w:eastAsia="宋体" w:cs="Times New Roman"/>
                <w:b/>
                <w:bCs/>
                <w:snapToGrid w:val="0"/>
                <w:color w:val="auto"/>
                <w:spacing w:val="-6"/>
                <w:kern w:val="21"/>
                <w:sz w:val="24"/>
                <w:szCs w:val="24"/>
              </w:rPr>
              <w:fldChar w:fldCharType="end"/>
            </w:r>
          </w:p>
        </w:tc>
        <w:tc>
          <w:tcPr>
            <w:tcW w:w="1559" w:type="dxa"/>
            <w:tcMar>
              <w:left w:w="28" w:type="dxa"/>
              <w:right w:w="28" w:type="dxa"/>
            </w:tcMar>
            <w:vAlign w:val="center"/>
          </w:tcPr>
          <w:p w14:paraId="2D4FD2F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本项目排放量（固体废物产生量）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4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④</w:t>
            </w:r>
            <w:r>
              <w:rPr>
                <w:rFonts w:hint="default" w:ascii="Times New Roman" w:hAnsi="Times New Roman" w:eastAsia="宋体" w:cs="Times New Roman"/>
                <w:b/>
                <w:bCs/>
                <w:snapToGrid w:val="0"/>
                <w:color w:val="auto"/>
                <w:spacing w:val="-6"/>
                <w:kern w:val="21"/>
                <w:sz w:val="24"/>
                <w:szCs w:val="24"/>
              </w:rPr>
              <w:fldChar w:fldCharType="end"/>
            </w:r>
          </w:p>
        </w:tc>
        <w:tc>
          <w:tcPr>
            <w:tcW w:w="1761" w:type="dxa"/>
            <w:tcMar>
              <w:left w:w="28" w:type="dxa"/>
              <w:right w:w="28" w:type="dxa"/>
            </w:tcMar>
            <w:vAlign w:val="center"/>
          </w:tcPr>
          <w:p w14:paraId="5319574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以新带老削减量（新建项目不填）</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5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sz w:val="24"/>
                <w:szCs w:val="24"/>
              </w:rPr>
              <w:t>⑤</w:t>
            </w:r>
            <w:r>
              <w:rPr>
                <w:rFonts w:hint="default" w:ascii="Times New Roman" w:hAnsi="Times New Roman" w:eastAsia="宋体" w:cs="Times New Roman"/>
                <w:b/>
                <w:bCs/>
                <w:snapToGrid w:val="0"/>
                <w:color w:val="auto"/>
                <w:spacing w:val="-16"/>
                <w:kern w:val="21"/>
                <w:sz w:val="24"/>
                <w:szCs w:val="24"/>
              </w:rPr>
              <w:fldChar w:fldCharType="end"/>
            </w:r>
          </w:p>
        </w:tc>
        <w:tc>
          <w:tcPr>
            <w:tcW w:w="1785" w:type="dxa"/>
            <w:tcMar>
              <w:left w:w="28" w:type="dxa"/>
              <w:right w:w="28" w:type="dxa"/>
            </w:tcMar>
            <w:vAlign w:val="center"/>
          </w:tcPr>
          <w:p w14:paraId="5995302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本项目建成后全厂排放量（固体废物产生量）</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6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sz w:val="24"/>
                <w:szCs w:val="24"/>
              </w:rPr>
              <w:t>⑥</w:t>
            </w:r>
            <w:r>
              <w:rPr>
                <w:rFonts w:hint="default" w:ascii="Times New Roman" w:hAnsi="Times New Roman" w:eastAsia="宋体" w:cs="Times New Roman"/>
                <w:b/>
                <w:bCs/>
                <w:snapToGrid w:val="0"/>
                <w:color w:val="auto"/>
                <w:spacing w:val="-16"/>
                <w:kern w:val="21"/>
                <w:sz w:val="24"/>
                <w:szCs w:val="24"/>
              </w:rPr>
              <w:fldChar w:fldCharType="end"/>
            </w:r>
          </w:p>
        </w:tc>
        <w:tc>
          <w:tcPr>
            <w:tcW w:w="1000" w:type="dxa"/>
            <w:tcMar>
              <w:left w:w="28" w:type="dxa"/>
              <w:right w:w="28" w:type="dxa"/>
            </w:tcMar>
            <w:vAlign w:val="center"/>
          </w:tcPr>
          <w:p w14:paraId="7787094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变化量</w:t>
            </w:r>
          </w:p>
          <w:p w14:paraId="1DC2E00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7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⑦</w:t>
            </w:r>
            <w:r>
              <w:rPr>
                <w:rFonts w:hint="default" w:ascii="Times New Roman" w:hAnsi="Times New Roman" w:eastAsia="宋体" w:cs="Times New Roman"/>
                <w:b/>
                <w:bCs/>
                <w:snapToGrid w:val="0"/>
                <w:color w:val="auto"/>
                <w:spacing w:val="-6"/>
                <w:kern w:val="21"/>
                <w:sz w:val="24"/>
                <w:szCs w:val="24"/>
              </w:rPr>
              <w:fldChar w:fldCharType="end"/>
            </w:r>
          </w:p>
        </w:tc>
      </w:tr>
      <w:tr w14:paraId="2FD4E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0B142A4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eastAsia="宋体" w:cs="Times New Roman"/>
                <w:snapToGrid w:val="0"/>
                <w:color w:val="auto"/>
                <w:kern w:val="21"/>
                <w:sz w:val="24"/>
                <w:szCs w:val="24"/>
              </w:rPr>
              <w:t>废气</w:t>
            </w:r>
            <w:r>
              <w:rPr>
                <w:rFonts w:hint="default" w:ascii="Times New Roman" w:hAnsi="Times New Roman" w:eastAsia="宋体" w:cs="Times New Roman"/>
                <w:snapToGrid w:val="0"/>
                <w:color w:val="auto"/>
                <w:kern w:val="21"/>
                <w:sz w:val="24"/>
                <w:szCs w:val="24"/>
                <w:lang w:eastAsia="zh-CN"/>
              </w:rPr>
              <w:t>（</w:t>
            </w:r>
            <w:r>
              <w:rPr>
                <w:rFonts w:hint="default" w:ascii="Times New Roman" w:hAnsi="Times New Roman" w:eastAsia="宋体" w:cs="Times New Roman"/>
                <w:snapToGrid w:val="0"/>
                <w:color w:val="auto"/>
                <w:kern w:val="21"/>
                <w:sz w:val="24"/>
                <w:szCs w:val="24"/>
                <w:lang w:val="en-US" w:eastAsia="zh-CN"/>
              </w:rPr>
              <w:t>有组织</w:t>
            </w:r>
            <w:r>
              <w:rPr>
                <w:rFonts w:hint="default" w:ascii="Times New Roman" w:hAnsi="Times New Roman" w:eastAsia="宋体" w:cs="Times New Roman"/>
                <w:snapToGrid w:val="0"/>
                <w:color w:val="auto"/>
                <w:kern w:val="21"/>
                <w:sz w:val="24"/>
                <w:szCs w:val="24"/>
                <w:lang w:eastAsia="zh-CN"/>
              </w:rPr>
              <w:t>）</w:t>
            </w:r>
          </w:p>
        </w:tc>
        <w:tc>
          <w:tcPr>
            <w:tcW w:w="1701" w:type="dxa"/>
            <w:vAlign w:val="center"/>
          </w:tcPr>
          <w:p w14:paraId="6F852D17">
            <w:pPr>
              <w:contextualSpacing/>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颗粒物（含锡及其化合物）</w:t>
            </w:r>
          </w:p>
        </w:tc>
        <w:tc>
          <w:tcPr>
            <w:tcW w:w="1701" w:type="dxa"/>
            <w:vAlign w:val="center"/>
          </w:tcPr>
          <w:p w14:paraId="30312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5D87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6E6840E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506835E6">
            <w:pPr>
              <w:contextualSpacing/>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0.0219</w:t>
            </w:r>
          </w:p>
        </w:tc>
        <w:tc>
          <w:tcPr>
            <w:tcW w:w="1761" w:type="dxa"/>
            <w:vAlign w:val="center"/>
          </w:tcPr>
          <w:p w14:paraId="5AD12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F98E22F">
            <w:pPr>
              <w:contextualSpacing/>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0.0219</w:t>
            </w:r>
          </w:p>
        </w:tc>
        <w:tc>
          <w:tcPr>
            <w:tcW w:w="1000" w:type="dxa"/>
            <w:shd w:val="clear" w:color="auto" w:fill="auto"/>
            <w:vAlign w:val="center"/>
          </w:tcPr>
          <w:p w14:paraId="0B3DEB77">
            <w:pPr>
              <w:contextualSpacing/>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+0.0219</w:t>
            </w:r>
          </w:p>
        </w:tc>
      </w:tr>
      <w:tr w14:paraId="46B15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BA7218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12403122">
            <w:pPr>
              <w:contextualSpacing/>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非甲烷总烃（含苯乙烯）</w:t>
            </w:r>
          </w:p>
        </w:tc>
        <w:tc>
          <w:tcPr>
            <w:tcW w:w="1701" w:type="dxa"/>
            <w:shd w:val="clear" w:color="auto" w:fill="auto"/>
            <w:vAlign w:val="center"/>
          </w:tcPr>
          <w:p w14:paraId="308C2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napToGrid w:val="0"/>
                <w:color w:val="auto"/>
                <w:kern w:val="21"/>
                <w:sz w:val="24"/>
                <w:szCs w:val="24"/>
              </w:rPr>
              <w:t>0</w:t>
            </w:r>
          </w:p>
        </w:tc>
        <w:tc>
          <w:tcPr>
            <w:tcW w:w="1276" w:type="dxa"/>
            <w:shd w:val="clear" w:color="auto" w:fill="auto"/>
            <w:vAlign w:val="center"/>
          </w:tcPr>
          <w:p w14:paraId="391BA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napToGrid w:val="0"/>
                <w:color w:val="auto"/>
                <w:kern w:val="21"/>
                <w:sz w:val="24"/>
                <w:szCs w:val="24"/>
              </w:rPr>
              <w:t>0</w:t>
            </w:r>
          </w:p>
        </w:tc>
        <w:tc>
          <w:tcPr>
            <w:tcW w:w="1701" w:type="dxa"/>
            <w:shd w:val="clear" w:color="auto" w:fill="auto"/>
            <w:vAlign w:val="center"/>
          </w:tcPr>
          <w:p w14:paraId="0E784915">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4"/>
                <w:szCs w:val="24"/>
                <w:lang w:val="en-US" w:eastAsia="zh-CN" w:bidi="ar-SA"/>
              </w:rPr>
            </w:pPr>
            <w:r>
              <w:rPr>
                <w:rFonts w:hint="default" w:ascii="Times New Roman" w:hAnsi="Times New Roman" w:eastAsia="宋体" w:cs="Times New Roman"/>
                <w:snapToGrid w:val="0"/>
                <w:color w:val="auto"/>
                <w:kern w:val="21"/>
                <w:sz w:val="24"/>
                <w:szCs w:val="24"/>
              </w:rPr>
              <w:t>0</w:t>
            </w:r>
          </w:p>
        </w:tc>
        <w:tc>
          <w:tcPr>
            <w:tcW w:w="1559" w:type="dxa"/>
            <w:vAlign w:val="center"/>
          </w:tcPr>
          <w:p w14:paraId="6AD3BA57">
            <w:pPr>
              <w:contextualSpacing/>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0.099</w:t>
            </w:r>
          </w:p>
        </w:tc>
        <w:tc>
          <w:tcPr>
            <w:tcW w:w="1761" w:type="dxa"/>
            <w:vAlign w:val="center"/>
          </w:tcPr>
          <w:p w14:paraId="38DC6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1838221B">
            <w:pPr>
              <w:contextualSpacing/>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0.099</w:t>
            </w:r>
          </w:p>
        </w:tc>
        <w:tc>
          <w:tcPr>
            <w:tcW w:w="1000" w:type="dxa"/>
            <w:shd w:val="clear" w:color="auto" w:fill="auto"/>
            <w:vAlign w:val="center"/>
          </w:tcPr>
          <w:p w14:paraId="2A4E0FBF">
            <w:pPr>
              <w:contextualSpacing/>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2"/>
                <w:sz w:val="24"/>
                <w:szCs w:val="24"/>
                <w:lang w:val="en-US" w:eastAsia="zh-CN" w:bidi="ar-SA"/>
              </w:rPr>
              <w:t>+0.099</w:t>
            </w:r>
          </w:p>
        </w:tc>
      </w:tr>
      <w:tr w14:paraId="5B052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31CB253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r>
              <w:rPr>
                <w:rFonts w:hint="default" w:ascii="Times New Roman" w:hAnsi="Times New Roman" w:eastAsia="宋体" w:cs="Times New Roman"/>
                <w:snapToGrid w:val="0"/>
                <w:color w:val="auto"/>
                <w:kern w:val="21"/>
                <w:sz w:val="24"/>
                <w:szCs w:val="24"/>
                <w:lang w:eastAsia="zh-CN"/>
              </w:rPr>
              <w:t>（</w:t>
            </w:r>
            <w:r>
              <w:rPr>
                <w:rFonts w:hint="default" w:ascii="Times New Roman" w:hAnsi="Times New Roman" w:eastAsia="宋体" w:cs="Times New Roman"/>
                <w:snapToGrid w:val="0"/>
                <w:color w:val="auto"/>
                <w:kern w:val="21"/>
                <w:sz w:val="24"/>
                <w:szCs w:val="24"/>
                <w:lang w:val="en-US" w:eastAsia="zh-CN"/>
              </w:rPr>
              <w:t>无组织</w:t>
            </w:r>
            <w:r>
              <w:rPr>
                <w:rFonts w:hint="default" w:ascii="Times New Roman" w:hAnsi="Times New Roman" w:eastAsia="宋体" w:cs="Times New Roman"/>
                <w:snapToGrid w:val="0"/>
                <w:color w:val="auto"/>
                <w:kern w:val="21"/>
                <w:sz w:val="24"/>
                <w:szCs w:val="24"/>
                <w:lang w:eastAsia="zh-CN"/>
              </w:rPr>
              <w:t>）</w:t>
            </w:r>
          </w:p>
        </w:tc>
        <w:tc>
          <w:tcPr>
            <w:tcW w:w="1701" w:type="dxa"/>
            <w:vAlign w:val="center"/>
          </w:tcPr>
          <w:p w14:paraId="5F72E595">
            <w:pPr>
              <w:adjustRightInd w:val="0"/>
              <w:snapToGrid w:val="0"/>
              <w:spacing w:line="276" w:lineRule="auto"/>
              <w:ind w:left="-105" w:leftChars="-5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颗粒物（含锡及其化合物）</w:t>
            </w:r>
          </w:p>
        </w:tc>
        <w:tc>
          <w:tcPr>
            <w:tcW w:w="1701" w:type="dxa"/>
            <w:vAlign w:val="center"/>
          </w:tcPr>
          <w:p w14:paraId="4CCBD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9009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61859C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0EA3B68E">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0.024</w:t>
            </w:r>
          </w:p>
        </w:tc>
        <w:tc>
          <w:tcPr>
            <w:tcW w:w="1761" w:type="dxa"/>
            <w:vAlign w:val="center"/>
          </w:tcPr>
          <w:p w14:paraId="2F913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E6A296D">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0.024</w:t>
            </w:r>
          </w:p>
        </w:tc>
        <w:tc>
          <w:tcPr>
            <w:tcW w:w="1000" w:type="dxa"/>
            <w:shd w:val="clear" w:color="auto" w:fill="auto"/>
            <w:vAlign w:val="center"/>
          </w:tcPr>
          <w:p w14:paraId="0C76AB74">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+0.024</w:t>
            </w:r>
          </w:p>
        </w:tc>
      </w:tr>
      <w:tr w14:paraId="755C6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502688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14359FB8">
            <w:pPr>
              <w:contextualSpacing/>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非甲烷总烃（含苯乙烯）</w:t>
            </w:r>
          </w:p>
        </w:tc>
        <w:tc>
          <w:tcPr>
            <w:tcW w:w="1701" w:type="dxa"/>
            <w:vAlign w:val="center"/>
          </w:tcPr>
          <w:p w14:paraId="60A42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797D1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0B7BD95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4310F64A">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0.097</w:t>
            </w:r>
          </w:p>
        </w:tc>
        <w:tc>
          <w:tcPr>
            <w:tcW w:w="1761" w:type="dxa"/>
            <w:vAlign w:val="center"/>
          </w:tcPr>
          <w:p w14:paraId="7687E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47BD87A7">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0.097</w:t>
            </w:r>
          </w:p>
        </w:tc>
        <w:tc>
          <w:tcPr>
            <w:tcW w:w="1000" w:type="dxa"/>
            <w:shd w:val="clear" w:color="auto" w:fill="auto"/>
            <w:vAlign w:val="center"/>
          </w:tcPr>
          <w:p w14:paraId="193DD4AC">
            <w:pPr>
              <w:spacing w:line="276"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+0.097</w:t>
            </w:r>
          </w:p>
        </w:tc>
      </w:tr>
      <w:tr w14:paraId="70185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14D6D34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1701" w:type="dxa"/>
            <w:vAlign w:val="center"/>
          </w:tcPr>
          <w:p w14:paraId="3DF2617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COD</w:t>
            </w:r>
          </w:p>
        </w:tc>
        <w:tc>
          <w:tcPr>
            <w:tcW w:w="1701" w:type="dxa"/>
            <w:vAlign w:val="center"/>
          </w:tcPr>
          <w:p w14:paraId="0F44277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27F5CEA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52ABED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5DAC5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0.768</w:t>
            </w:r>
          </w:p>
        </w:tc>
        <w:tc>
          <w:tcPr>
            <w:tcW w:w="1761" w:type="dxa"/>
            <w:vAlign w:val="center"/>
          </w:tcPr>
          <w:p w14:paraId="4DCEB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25E58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0.768</w:t>
            </w:r>
          </w:p>
        </w:tc>
        <w:tc>
          <w:tcPr>
            <w:tcW w:w="1000" w:type="dxa"/>
            <w:shd w:val="clear" w:color="auto" w:fill="auto"/>
            <w:vAlign w:val="center"/>
          </w:tcPr>
          <w:p w14:paraId="0549D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0.768</w:t>
            </w:r>
          </w:p>
        </w:tc>
      </w:tr>
      <w:tr w14:paraId="018B2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4971AB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594CC15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氨氮</w:t>
            </w:r>
          </w:p>
        </w:tc>
        <w:tc>
          <w:tcPr>
            <w:tcW w:w="1701" w:type="dxa"/>
            <w:vAlign w:val="center"/>
          </w:tcPr>
          <w:p w14:paraId="4021D36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51B97F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73CEBCB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3A080733">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0.0576</w:t>
            </w:r>
          </w:p>
        </w:tc>
        <w:tc>
          <w:tcPr>
            <w:tcW w:w="1761" w:type="dxa"/>
            <w:vAlign w:val="center"/>
          </w:tcPr>
          <w:p w14:paraId="155B1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49DFEBEA">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0.0576</w:t>
            </w:r>
          </w:p>
        </w:tc>
        <w:tc>
          <w:tcPr>
            <w:tcW w:w="1000" w:type="dxa"/>
            <w:shd w:val="clear" w:color="auto" w:fill="auto"/>
            <w:vAlign w:val="center"/>
          </w:tcPr>
          <w:p w14:paraId="7C3F0D1F">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0.0576</w:t>
            </w:r>
          </w:p>
        </w:tc>
      </w:tr>
      <w:tr w14:paraId="1A71E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F31A46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0B5EE935">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总氮</w:t>
            </w:r>
          </w:p>
        </w:tc>
        <w:tc>
          <w:tcPr>
            <w:tcW w:w="1701" w:type="dxa"/>
            <w:vAlign w:val="center"/>
          </w:tcPr>
          <w:p w14:paraId="251A643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63036C3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6B59681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412E4500">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0.0768</w:t>
            </w:r>
          </w:p>
        </w:tc>
        <w:tc>
          <w:tcPr>
            <w:tcW w:w="1761" w:type="dxa"/>
            <w:vAlign w:val="center"/>
          </w:tcPr>
          <w:p w14:paraId="698B8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131606F1">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0.0768</w:t>
            </w:r>
          </w:p>
        </w:tc>
        <w:tc>
          <w:tcPr>
            <w:tcW w:w="1000" w:type="dxa"/>
            <w:shd w:val="clear" w:color="auto" w:fill="auto"/>
            <w:vAlign w:val="center"/>
          </w:tcPr>
          <w:p w14:paraId="5E217BD5">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0.0768</w:t>
            </w:r>
          </w:p>
        </w:tc>
      </w:tr>
      <w:tr w14:paraId="2ABDB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00B9EC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4E85B22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总磷</w:t>
            </w:r>
          </w:p>
        </w:tc>
        <w:tc>
          <w:tcPr>
            <w:tcW w:w="1701" w:type="dxa"/>
            <w:vAlign w:val="center"/>
          </w:tcPr>
          <w:p w14:paraId="7B752D8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E4E56C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5F85274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2D3980A9">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0.00384</w:t>
            </w:r>
          </w:p>
        </w:tc>
        <w:tc>
          <w:tcPr>
            <w:tcW w:w="1761" w:type="dxa"/>
            <w:vAlign w:val="center"/>
          </w:tcPr>
          <w:p w14:paraId="584F2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0F3FE65">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0.00384</w:t>
            </w:r>
          </w:p>
        </w:tc>
        <w:tc>
          <w:tcPr>
            <w:tcW w:w="1000" w:type="dxa"/>
            <w:shd w:val="clear" w:color="auto" w:fill="auto"/>
            <w:vAlign w:val="center"/>
          </w:tcPr>
          <w:p w14:paraId="3ADFBF44">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0.00384</w:t>
            </w:r>
          </w:p>
        </w:tc>
      </w:tr>
      <w:tr w14:paraId="31EBA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734CE0E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生活垃圾</w:t>
            </w:r>
          </w:p>
        </w:tc>
        <w:tc>
          <w:tcPr>
            <w:tcW w:w="1701" w:type="dxa"/>
            <w:tcBorders>
              <w:bottom w:val="single" w:color="auto" w:sz="4" w:space="0"/>
            </w:tcBorders>
            <w:vAlign w:val="center"/>
          </w:tcPr>
          <w:p w14:paraId="09EE629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生活垃圾</w:t>
            </w:r>
          </w:p>
        </w:tc>
        <w:tc>
          <w:tcPr>
            <w:tcW w:w="1701" w:type="dxa"/>
            <w:vAlign w:val="center"/>
          </w:tcPr>
          <w:p w14:paraId="29392D0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6D03B7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297ED2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295381D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eastAsia" w:asci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.0</w:t>
            </w:r>
          </w:p>
        </w:tc>
        <w:tc>
          <w:tcPr>
            <w:tcW w:w="1761" w:type="dxa"/>
            <w:vAlign w:val="center"/>
          </w:tcPr>
          <w:p w14:paraId="6E81E6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E1D122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4"/>
                <w:szCs w:val="24"/>
                <w:lang w:val="en-US" w:eastAsia="zh-CN" w:bidi="ar-SA"/>
              </w:rPr>
            </w:pPr>
            <w:r>
              <w:rPr>
                <w:rFonts w:hint="eastAsia" w:asci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.0</w:t>
            </w:r>
          </w:p>
        </w:tc>
        <w:tc>
          <w:tcPr>
            <w:tcW w:w="1000" w:type="dxa"/>
            <w:shd w:val="clear" w:color="auto" w:fill="auto"/>
            <w:vAlign w:val="center"/>
          </w:tcPr>
          <w:p w14:paraId="746FDE1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4"/>
                <w:szCs w:val="24"/>
                <w:lang w:val="en-US" w:eastAsia="zh-CN" w:bidi="ar-SA"/>
              </w:rPr>
            </w:pPr>
            <w:r>
              <w:rPr>
                <w:rFonts w:hint="eastAsia" w:ascii="Times New Roman" w:hAnsi="Times New Roman" w:eastAsia="宋体" w:cs="Times New Roman"/>
                <w:color w:val="auto"/>
                <w:sz w:val="24"/>
                <w:szCs w:val="24"/>
                <w:lang w:val="en-US" w:eastAsia="zh-CN"/>
              </w:rPr>
              <w:t>+</w:t>
            </w:r>
            <w:r>
              <w:rPr>
                <w:rFonts w:hint="eastAsia" w:asci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.0</w:t>
            </w:r>
          </w:p>
        </w:tc>
      </w:tr>
      <w:tr w14:paraId="38F25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3B52161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14:paraId="50DB05B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1701" w:type="dxa"/>
            <w:tcBorders>
              <w:bottom w:val="single" w:color="auto" w:sz="4" w:space="0"/>
            </w:tcBorders>
            <w:shd w:val="clear" w:color="auto" w:fill="auto"/>
            <w:vAlign w:val="center"/>
          </w:tcPr>
          <w:p w14:paraId="0F53479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硅钢片边角料</w:t>
            </w:r>
          </w:p>
        </w:tc>
        <w:tc>
          <w:tcPr>
            <w:tcW w:w="1701" w:type="dxa"/>
            <w:vAlign w:val="center"/>
          </w:tcPr>
          <w:p w14:paraId="3D2E8D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63482E1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158779C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30916DA2">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9.6</w:t>
            </w:r>
          </w:p>
        </w:tc>
        <w:tc>
          <w:tcPr>
            <w:tcW w:w="1761" w:type="dxa"/>
            <w:vAlign w:val="center"/>
          </w:tcPr>
          <w:p w14:paraId="262D99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043FA702">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9.6</w:t>
            </w:r>
          </w:p>
        </w:tc>
        <w:tc>
          <w:tcPr>
            <w:tcW w:w="1000" w:type="dxa"/>
            <w:shd w:val="clear" w:color="auto" w:fill="auto"/>
            <w:vAlign w:val="center"/>
          </w:tcPr>
          <w:p w14:paraId="734DA24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+9.6</w:t>
            </w:r>
          </w:p>
        </w:tc>
      </w:tr>
      <w:tr w14:paraId="5A13A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199D4C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bottom w:val="single" w:color="auto" w:sz="4" w:space="0"/>
            </w:tcBorders>
            <w:shd w:val="clear" w:color="auto" w:fill="auto"/>
            <w:vAlign w:val="center"/>
          </w:tcPr>
          <w:p w14:paraId="456029E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BMC边角料</w:t>
            </w:r>
          </w:p>
        </w:tc>
        <w:tc>
          <w:tcPr>
            <w:tcW w:w="1701" w:type="dxa"/>
            <w:vAlign w:val="center"/>
          </w:tcPr>
          <w:p w14:paraId="655861F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5B21B39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08BB573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3B1EE03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4.5</w:t>
            </w:r>
          </w:p>
        </w:tc>
        <w:tc>
          <w:tcPr>
            <w:tcW w:w="1761" w:type="dxa"/>
            <w:vAlign w:val="center"/>
          </w:tcPr>
          <w:p w14:paraId="364C618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56BF9714">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4.5</w:t>
            </w:r>
          </w:p>
        </w:tc>
        <w:tc>
          <w:tcPr>
            <w:tcW w:w="1000" w:type="dxa"/>
            <w:shd w:val="clear" w:color="auto" w:fill="auto"/>
            <w:vAlign w:val="center"/>
          </w:tcPr>
          <w:p w14:paraId="05CD430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+4.5</w:t>
            </w:r>
          </w:p>
        </w:tc>
      </w:tr>
      <w:tr w14:paraId="104CA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40BAB2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bottom w:val="single" w:color="auto" w:sz="4" w:space="0"/>
            </w:tcBorders>
            <w:shd w:val="clear" w:color="auto" w:fill="auto"/>
            <w:vAlign w:val="center"/>
          </w:tcPr>
          <w:p w14:paraId="2A42CBF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rPr>
              <w:t>钢材边角料</w:t>
            </w:r>
          </w:p>
        </w:tc>
        <w:tc>
          <w:tcPr>
            <w:tcW w:w="1701" w:type="dxa"/>
            <w:vAlign w:val="center"/>
          </w:tcPr>
          <w:p w14:paraId="66AA59E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76B2C9A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60AA0D4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1705EAD3">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50</w:t>
            </w:r>
          </w:p>
        </w:tc>
        <w:tc>
          <w:tcPr>
            <w:tcW w:w="1761" w:type="dxa"/>
            <w:vAlign w:val="center"/>
          </w:tcPr>
          <w:p w14:paraId="48BB31E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19A6E24A">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50</w:t>
            </w:r>
          </w:p>
        </w:tc>
        <w:tc>
          <w:tcPr>
            <w:tcW w:w="1000" w:type="dxa"/>
            <w:shd w:val="clear" w:color="auto" w:fill="auto"/>
            <w:vAlign w:val="center"/>
          </w:tcPr>
          <w:p w14:paraId="66D2F1B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+50</w:t>
            </w:r>
          </w:p>
        </w:tc>
      </w:tr>
      <w:tr w14:paraId="740A4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EC3161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bottom w:val="single" w:color="auto" w:sz="4" w:space="0"/>
            </w:tcBorders>
            <w:shd w:val="clear" w:color="auto" w:fill="auto"/>
            <w:vAlign w:val="center"/>
          </w:tcPr>
          <w:p w14:paraId="3710C86E">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不合格品</w:t>
            </w:r>
          </w:p>
        </w:tc>
        <w:tc>
          <w:tcPr>
            <w:tcW w:w="1701" w:type="dxa"/>
            <w:vAlign w:val="center"/>
          </w:tcPr>
          <w:p w14:paraId="6235718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47539B2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02C494C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5909887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p>
        </w:tc>
        <w:tc>
          <w:tcPr>
            <w:tcW w:w="1761" w:type="dxa"/>
            <w:vAlign w:val="center"/>
          </w:tcPr>
          <w:p w14:paraId="28E8183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77B8198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p>
        </w:tc>
        <w:tc>
          <w:tcPr>
            <w:tcW w:w="1000" w:type="dxa"/>
            <w:shd w:val="clear" w:color="auto" w:fill="auto"/>
            <w:vAlign w:val="center"/>
          </w:tcPr>
          <w:p w14:paraId="706D056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p>
        </w:tc>
      </w:tr>
      <w:tr w14:paraId="2A82D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41069F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bottom w:val="single" w:color="auto" w:sz="4" w:space="0"/>
            </w:tcBorders>
            <w:shd w:val="clear" w:color="auto" w:fill="auto"/>
            <w:vAlign w:val="center"/>
          </w:tcPr>
          <w:p w14:paraId="63D6049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废布袋</w:t>
            </w:r>
          </w:p>
        </w:tc>
        <w:tc>
          <w:tcPr>
            <w:tcW w:w="1701" w:type="dxa"/>
            <w:vAlign w:val="center"/>
          </w:tcPr>
          <w:p w14:paraId="3465AF4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6769D79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4D07DAE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21843F0D">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0.05</w:t>
            </w:r>
          </w:p>
        </w:tc>
        <w:tc>
          <w:tcPr>
            <w:tcW w:w="1761" w:type="dxa"/>
            <w:vAlign w:val="center"/>
          </w:tcPr>
          <w:p w14:paraId="06A5C40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7A338A63">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0.05</w:t>
            </w:r>
          </w:p>
        </w:tc>
        <w:tc>
          <w:tcPr>
            <w:tcW w:w="1000" w:type="dxa"/>
            <w:shd w:val="clear" w:color="auto" w:fill="auto"/>
            <w:vAlign w:val="center"/>
          </w:tcPr>
          <w:p w14:paraId="4583EB0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+0.05</w:t>
            </w:r>
          </w:p>
        </w:tc>
      </w:tr>
      <w:tr w14:paraId="108BD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8C6CB56">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bottom w:val="single" w:color="auto" w:sz="4" w:space="0"/>
            </w:tcBorders>
            <w:shd w:val="clear" w:color="auto" w:fill="auto"/>
            <w:vAlign w:val="center"/>
          </w:tcPr>
          <w:p w14:paraId="22A88BD4">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布袋收尘</w:t>
            </w:r>
          </w:p>
        </w:tc>
        <w:tc>
          <w:tcPr>
            <w:tcW w:w="1701" w:type="dxa"/>
            <w:vAlign w:val="center"/>
          </w:tcPr>
          <w:p w14:paraId="680EB5B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6E2712D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6CC0FFF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1CCAFA12">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0.2085</w:t>
            </w:r>
          </w:p>
        </w:tc>
        <w:tc>
          <w:tcPr>
            <w:tcW w:w="1761" w:type="dxa"/>
            <w:vAlign w:val="center"/>
          </w:tcPr>
          <w:p w14:paraId="314FA26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7554557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0.2085</w:t>
            </w:r>
          </w:p>
        </w:tc>
        <w:tc>
          <w:tcPr>
            <w:tcW w:w="1000" w:type="dxa"/>
            <w:shd w:val="clear" w:color="auto" w:fill="auto"/>
            <w:vAlign w:val="center"/>
          </w:tcPr>
          <w:p w14:paraId="532EAB3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+0.2085</w:t>
            </w:r>
          </w:p>
        </w:tc>
      </w:tr>
      <w:tr w14:paraId="496E3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tcBorders>
              <w:top w:val="single" w:color="auto" w:sz="4" w:space="0"/>
            </w:tcBorders>
            <w:vAlign w:val="center"/>
          </w:tcPr>
          <w:p w14:paraId="1431A3C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1701" w:type="dxa"/>
            <w:tcBorders>
              <w:top w:val="single" w:color="auto" w:sz="4" w:space="0"/>
              <w:bottom w:val="single" w:color="auto" w:sz="4" w:space="0"/>
            </w:tcBorders>
            <w:shd w:val="clear" w:color="auto" w:fill="auto"/>
            <w:vAlign w:val="center"/>
          </w:tcPr>
          <w:p w14:paraId="7EA4DCA3">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废乳化液</w:t>
            </w:r>
          </w:p>
        </w:tc>
        <w:tc>
          <w:tcPr>
            <w:tcW w:w="1701" w:type="dxa"/>
            <w:vAlign w:val="center"/>
          </w:tcPr>
          <w:p w14:paraId="1A639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53ABB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0226A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78FD6770">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1.76</w:t>
            </w:r>
          </w:p>
        </w:tc>
        <w:tc>
          <w:tcPr>
            <w:tcW w:w="1761" w:type="dxa"/>
            <w:vAlign w:val="center"/>
          </w:tcPr>
          <w:p w14:paraId="10800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057C4728">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1.76</w:t>
            </w:r>
          </w:p>
        </w:tc>
        <w:tc>
          <w:tcPr>
            <w:tcW w:w="1000" w:type="dxa"/>
            <w:shd w:val="clear" w:color="auto" w:fill="auto"/>
            <w:vAlign w:val="center"/>
          </w:tcPr>
          <w:p w14:paraId="782A285F">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+1.76</w:t>
            </w:r>
          </w:p>
        </w:tc>
      </w:tr>
      <w:tr w14:paraId="69A96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850262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10CF0B51">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清洗废液</w:t>
            </w:r>
          </w:p>
        </w:tc>
        <w:tc>
          <w:tcPr>
            <w:tcW w:w="1701" w:type="dxa"/>
            <w:vAlign w:val="center"/>
          </w:tcPr>
          <w:p w14:paraId="5A416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24BAC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05DA7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72D4455B">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1.68</w:t>
            </w:r>
          </w:p>
        </w:tc>
        <w:tc>
          <w:tcPr>
            <w:tcW w:w="1761" w:type="dxa"/>
            <w:vAlign w:val="center"/>
          </w:tcPr>
          <w:p w14:paraId="36436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1B6912E7">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1.68</w:t>
            </w:r>
          </w:p>
        </w:tc>
        <w:tc>
          <w:tcPr>
            <w:tcW w:w="1000" w:type="dxa"/>
            <w:shd w:val="clear" w:color="auto" w:fill="auto"/>
            <w:vAlign w:val="center"/>
          </w:tcPr>
          <w:p w14:paraId="7E53B65B">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+1.68</w:t>
            </w:r>
          </w:p>
        </w:tc>
      </w:tr>
      <w:tr w14:paraId="4376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FA5F19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7EAEDD56">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研磨废</w:t>
            </w:r>
            <w:r>
              <w:rPr>
                <w:rFonts w:hint="eastAsia" w:ascii="Times New Roman" w:hAnsi="Times New Roman" w:eastAsia="宋体" w:cs="Times New Roman"/>
                <w:color w:val="auto"/>
                <w:sz w:val="24"/>
                <w:szCs w:val="24"/>
                <w:lang w:val="en-US" w:eastAsia="zh-CN"/>
              </w:rPr>
              <w:t>渣</w:t>
            </w:r>
          </w:p>
        </w:tc>
        <w:tc>
          <w:tcPr>
            <w:tcW w:w="1701" w:type="dxa"/>
            <w:vAlign w:val="center"/>
          </w:tcPr>
          <w:p w14:paraId="46DD7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7C150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22E127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15B8DF6E">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1.5</w:t>
            </w:r>
          </w:p>
        </w:tc>
        <w:tc>
          <w:tcPr>
            <w:tcW w:w="1761" w:type="dxa"/>
            <w:vAlign w:val="center"/>
          </w:tcPr>
          <w:p w14:paraId="4C119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2EA96114">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1.5</w:t>
            </w:r>
          </w:p>
        </w:tc>
        <w:tc>
          <w:tcPr>
            <w:tcW w:w="1000" w:type="dxa"/>
            <w:shd w:val="clear" w:color="auto" w:fill="auto"/>
            <w:vAlign w:val="center"/>
          </w:tcPr>
          <w:p w14:paraId="2F59EC0E">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+1.5</w:t>
            </w:r>
          </w:p>
        </w:tc>
      </w:tr>
      <w:tr w14:paraId="179D4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DF47D4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5CB27CDC">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废润滑油</w:t>
            </w:r>
          </w:p>
        </w:tc>
        <w:tc>
          <w:tcPr>
            <w:tcW w:w="1701" w:type="dxa"/>
            <w:vAlign w:val="center"/>
          </w:tcPr>
          <w:p w14:paraId="294C6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1F25B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553EF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1B71E26F">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1761" w:type="dxa"/>
            <w:vAlign w:val="center"/>
          </w:tcPr>
          <w:p w14:paraId="242574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01D5F44">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1000" w:type="dxa"/>
            <w:shd w:val="clear" w:color="auto" w:fill="auto"/>
            <w:vAlign w:val="center"/>
          </w:tcPr>
          <w:p w14:paraId="4DD2C50D">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r>
      <w:tr w14:paraId="41C2D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0D9909F">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00EDAA04">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废桶</w:t>
            </w:r>
          </w:p>
        </w:tc>
        <w:tc>
          <w:tcPr>
            <w:tcW w:w="1701" w:type="dxa"/>
            <w:vAlign w:val="center"/>
          </w:tcPr>
          <w:p w14:paraId="7CAC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5B186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794DF4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7A7AC176">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1761" w:type="dxa"/>
            <w:vAlign w:val="center"/>
          </w:tcPr>
          <w:p w14:paraId="01806E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5ECBBA9">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1000" w:type="dxa"/>
            <w:shd w:val="clear" w:color="auto" w:fill="auto"/>
            <w:vAlign w:val="center"/>
          </w:tcPr>
          <w:p w14:paraId="6427732F">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r>
      <w:tr w14:paraId="22E52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A0A252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1701" w:type="dxa"/>
            <w:tcBorders>
              <w:top w:val="single" w:color="auto" w:sz="4" w:space="0"/>
            </w:tcBorders>
            <w:shd w:val="clear" w:color="auto" w:fill="auto"/>
            <w:vAlign w:val="center"/>
          </w:tcPr>
          <w:p w14:paraId="4210EED0">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含油抹布</w:t>
            </w:r>
          </w:p>
        </w:tc>
        <w:tc>
          <w:tcPr>
            <w:tcW w:w="1701" w:type="dxa"/>
            <w:vAlign w:val="center"/>
          </w:tcPr>
          <w:p w14:paraId="5E38F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3297D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590AA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1D0111A2">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0.156</w:t>
            </w:r>
          </w:p>
        </w:tc>
        <w:tc>
          <w:tcPr>
            <w:tcW w:w="1761" w:type="dxa"/>
            <w:vAlign w:val="center"/>
          </w:tcPr>
          <w:p w14:paraId="413F4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785" w:type="dxa"/>
            <w:shd w:val="clear" w:color="auto" w:fill="auto"/>
            <w:vAlign w:val="center"/>
          </w:tcPr>
          <w:p w14:paraId="3DB05F02">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0.156</w:t>
            </w:r>
          </w:p>
        </w:tc>
        <w:tc>
          <w:tcPr>
            <w:tcW w:w="1000" w:type="dxa"/>
            <w:shd w:val="clear" w:color="auto" w:fill="auto"/>
            <w:vAlign w:val="center"/>
          </w:tcPr>
          <w:p w14:paraId="0309C916">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+0.156</w:t>
            </w:r>
          </w:p>
        </w:tc>
      </w:tr>
      <w:tr w14:paraId="1EBBC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DD14E9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p>
        </w:tc>
        <w:tc>
          <w:tcPr>
            <w:tcW w:w="0" w:type="auto"/>
            <w:shd w:val="clear" w:color="auto" w:fill="auto"/>
            <w:vAlign w:val="center"/>
          </w:tcPr>
          <w:p w14:paraId="4D6CB9AF">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废活性炭</w:t>
            </w:r>
          </w:p>
        </w:tc>
        <w:tc>
          <w:tcPr>
            <w:tcW w:w="0" w:type="auto"/>
            <w:vAlign w:val="center"/>
          </w:tcPr>
          <w:p w14:paraId="20878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0" w:type="auto"/>
            <w:vAlign w:val="center"/>
          </w:tcPr>
          <w:p w14:paraId="36DFF5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0" w:type="auto"/>
            <w:vAlign w:val="center"/>
          </w:tcPr>
          <w:p w14:paraId="2C450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0" w:type="auto"/>
            <w:vAlign w:val="center"/>
          </w:tcPr>
          <w:p w14:paraId="1B1E7912">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7.93</w:t>
            </w:r>
          </w:p>
        </w:tc>
        <w:tc>
          <w:tcPr>
            <w:tcW w:w="0" w:type="auto"/>
            <w:vAlign w:val="center"/>
          </w:tcPr>
          <w:p w14:paraId="6E7D7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w:t>
            </w:r>
          </w:p>
        </w:tc>
        <w:tc>
          <w:tcPr>
            <w:tcW w:w="0" w:type="auto"/>
            <w:vAlign w:val="center"/>
          </w:tcPr>
          <w:p w14:paraId="5054874C">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7.93</w:t>
            </w:r>
          </w:p>
        </w:tc>
        <w:tc>
          <w:tcPr>
            <w:tcW w:w="0" w:type="auto"/>
            <w:vAlign w:val="center"/>
          </w:tcPr>
          <w:p w14:paraId="4F15C01F">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+7.93</w:t>
            </w:r>
          </w:p>
        </w:tc>
      </w:tr>
    </w:tbl>
    <w:p w14:paraId="16F95BA5">
      <w:pPr>
        <w:pStyle w:val="48"/>
        <w:spacing w:beforeLines="0" w:afterLines="0" w:line="240" w:lineRule="auto"/>
        <w:jc w:val="left"/>
        <w:rPr>
          <w:rFonts w:hint="default" w:ascii="Times New Roman" w:hAnsi="Times New Roman" w:eastAsia="宋体"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14:paraId="13B0EAF3">
      <w:pPr>
        <w:rPr>
          <w:rFonts w:hint="default" w:ascii="Times New Roman" w:hAnsi="Times New Roman" w:eastAsia="宋体" w:cs="Times New Roman"/>
          <w:color w:val="auto"/>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EE3646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附件</w:t>
      </w:r>
    </w:p>
    <w:p w14:paraId="29F64C3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 营业执照</w:t>
      </w:r>
    </w:p>
    <w:p w14:paraId="3C5E870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附件2 法人身份证复印件</w:t>
      </w:r>
    </w:p>
    <w:p w14:paraId="469207D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附件3 投资项目备案表</w:t>
      </w:r>
    </w:p>
    <w:p w14:paraId="118230AE">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附件4 不动产证</w:t>
      </w:r>
    </w:p>
    <w:p w14:paraId="3F76D54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附件5 租房协议</w:t>
      </w:r>
    </w:p>
    <w:p w14:paraId="0CBADB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附件6 污水接管协议</w:t>
      </w:r>
    </w:p>
    <w:p w14:paraId="1FF03443">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附件7 </w:t>
      </w:r>
      <w:r>
        <w:rPr>
          <w:rFonts w:hint="eastAsia" w:ascii="Times New Roman" w:hAnsi="Times New Roman" w:eastAsia="宋体" w:cs="Times New Roman"/>
          <w:color w:val="auto"/>
          <w:kern w:val="0"/>
          <w:sz w:val="24"/>
          <w:szCs w:val="24"/>
          <w:lang w:val="en-US" w:eastAsia="zh-CN"/>
        </w:rPr>
        <w:t>检测</w:t>
      </w:r>
      <w:r>
        <w:rPr>
          <w:rFonts w:hint="default" w:ascii="Times New Roman" w:hAnsi="Times New Roman" w:eastAsia="宋体" w:cs="Times New Roman"/>
          <w:color w:val="auto"/>
          <w:kern w:val="0"/>
          <w:sz w:val="24"/>
          <w:szCs w:val="24"/>
          <w:lang w:val="en-US" w:eastAsia="zh-CN"/>
        </w:rPr>
        <w:t>报告</w:t>
      </w:r>
    </w:p>
    <w:p w14:paraId="2999D84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附件8 </w:t>
      </w:r>
      <w:r>
        <w:rPr>
          <w:rFonts w:hint="eastAsia" w:ascii="Times New Roman" w:hAnsi="Times New Roman" w:eastAsia="宋体" w:cs="Times New Roman"/>
          <w:color w:val="auto"/>
          <w:kern w:val="0"/>
          <w:sz w:val="24"/>
          <w:szCs w:val="24"/>
          <w:lang w:val="en-US" w:eastAsia="zh-CN"/>
        </w:rPr>
        <w:t>BMC材料</w:t>
      </w:r>
      <w:r>
        <w:rPr>
          <w:rFonts w:hint="default" w:ascii="Times New Roman" w:hAnsi="Times New Roman" w:eastAsia="宋体" w:cs="Times New Roman"/>
          <w:color w:val="auto"/>
          <w:kern w:val="0"/>
          <w:sz w:val="24"/>
          <w:szCs w:val="24"/>
          <w:lang w:val="en-US" w:eastAsia="zh-CN"/>
        </w:rPr>
        <w:t>MSDS、VOC检测报告</w:t>
      </w:r>
    </w:p>
    <w:p w14:paraId="2DB4FB68">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附件9 </w:t>
      </w:r>
      <w:r>
        <w:rPr>
          <w:rFonts w:hint="eastAsia" w:ascii="Times New Roman" w:hAnsi="Times New Roman" w:eastAsia="宋体" w:cs="Times New Roman"/>
          <w:color w:val="auto"/>
          <w:kern w:val="0"/>
          <w:sz w:val="24"/>
          <w:szCs w:val="24"/>
          <w:lang w:val="en-US" w:eastAsia="zh-CN"/>
        </w:rPr>
        <w:t>清洗剂</w:t>
      </w:r>
      <w:r>
        <w:rPr>
          <w:rFonts w:hint="default" w:ascii="Times New Roman" w:hAnsi="Times New Roman" w:eastAsia="宋体" w:cs="Times New Roman"/>
          <w:color w:val="auto"/>
          <w:kern w:val="0"/>
          <w:sz w:val="24"/>
          <w:szCs w:val="24"/>
          <w:lang w:val="en-US" w:eastAsia="zh-CN"/>
        </w:rPr>
        <w:t>MSDS</w:t>
      </w:r>
    </w:p>
    <w:p w14:paraId="2963EBB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附件10 </w:t>
      </w:r>
      <w:r>
        <w:rPr>
          <w:rFonts w:hint="eastAsia" w:ascii="Times New Roman" w:hAnsi="Times New Roman" w:eastAsia="宋体" w:cs="Times New Roman"/>
          <w:color w:val="auto"/>
          <w:kern w:val="0"/>
          <w:sz w:val="24"/>
          <w:szCs w:val="24"/>
          <w:lang w:val="en-US" w:eastAsia="zh-CN"/>
        </w:rPr>
        <w:t>规划环评批文</w:t>
      </w:r>
    </w:p>
    <w:p w14:paraId="783399CB">
      <w:pPr>
        <w:widowControl/>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附件11 委托书</w:t>
      </w:r>
    </w:p>
    <w:p w14:paraId="2C7F1A1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附件12 承诺书</w:t>
      </w:r>
    </w:p>
    <w:p w14:paraId="456D30F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 公示承诺</w:t>
      </w:r>
    </w:p>
    <w:p w14:paraId="00B7ADB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危废处置承诺书</w:t>
      </w:r>
    </w:p>
    <w:p w14:paraId="71CED1F9">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报批承诺书</w:t>
      </w:r>
    </w:p>
    <w:p w14:paraId="0554FCB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工程师现场踏勘照片</w:t>
      </w:r>
    </w:p>
    <w:p w14:paraId="1B511DD8">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 xml:space="preserve"> 环评合同</w:t>
      </w:r>
    </w:p>
    <w:p w14:paraId="486C8974">
      <w:pPr>
        <w:pStyle w:val="2"/>
        <w:rPr>
          <w:rFonts w:hint="default"/>
          <w:lang w:val="en-US" w:eastAsia="zh-CN"/>
        </w:rPr>
      </w:pPr>
      <w:r>
        <w:rPr>
          <w:rFonts w:hint="eastAsia" w:ascii="Times New Roman" w:hAnsi="Times New Roman" w:eastAsia="宋体" w:cs="Times New Roman"/>
          <w:color w:val="auto"/>
          <w:kern w:val="0"/>
          <w:sz w:val="24"/>
          <w:szCs w:val="24"/>
          <w:lang w:val="en-US" w:eastAsia="zh-CN"/>
        </w:rPr>
        <w:t xml:space="preserve">    附件18 允许建设事故应急池协议</w:t>
      </w:r>
    </w:p>
    <w:p w14:paraId="0419E385">
      <w:pPr>
        <w:widowControl/>
        <w:spacing w:line="360" w:lineRule="auto"/>
        <w:rPr>
          <w:rFonts w:hint="default" w:ascii="Times New Roman" w:hAnsi="Times New Roman" w:eastAsia="宋体" w:cs="Times New Roman"/>
          <w:b/>
          <w:bCs/>
          <w:color w:val="auto"/>
          <w:kern w:val="0"/>
          <w:sz w:val="24"/>
          <w:szCs w:val="24"/>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58885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附图</w:t>
      </w:r>
    </w:p>
    <w:p w14:paraId="3FBFCB5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附图1 地理位置图</w:t>
      </w:r>
    </w:p>
    <w:p w14:paraId="594D98D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附图2 项目周边500m用地现状图</w:t>
      </w:r>
    </w:p>
    <w:p w14:paraId="3CBA100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附图3 车间平面布置图</w:t>
      </w:r>
    </w:p>
    <w:p w14:paraId="165778C7">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3-1</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厂区平面布置图</w:t>
      </w:r>
    </w:p>
    <w:p w14:paraId="6E2F2CEC">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生态环境分区管控方案图件</w:t>
      </w:r>
    </w:p>
    <w:p w14:paraId="6D8FDB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 xml:space="preserve"> 区域水系及地表水监测断面示意图 </w:t>
      </w:r>
    </w:p>
    <w:p w14:paraId="1FAC8854">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金坛经济开发区污水管网图</w:t>
      </w:r>
    </w:p>
    <w:p w14:paraId="1FD12302">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 xml:space="preserve"> 金坛经济开发区用地规划图</w:t>
      </w:r>
    </w:p>
    <w:p w14:paraId="59377888">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eastAsia="宋体" w:cs="Times New Roman"/>
          <w:color w:val="auto"/>
          <w:kern w:val="0"/>
          <w:sz w:val="24"/>
          <w:szCs w:val="24"/>
          <w:lang w:val="en-US" w:eastAsia="zh-CN"/>
        </w:rPr>
        <w:t>附件8 三区三线图</w:t>
      </w:r>
    </w:p>
    <w:p w14:paraId="691297DC">
      <w:pPr>
        <w:rPr>
          <w:rFonts w:hint="default" w:ascii="Times New Roman" w:hAnsi="Times New Roman" w:eastAsia="宋体" w:cs="Times New Roman"/>
          <w:color w:val="auto"/>
          <w:sz w:val="24"/>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6245">
    <w:pPr>
      <w:pStyle w:val="15"/>
      <w:jc w:val="center"/>
    </w:pPr>
  </w:p>
  <w:p w14:paraId="31F7C53C">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5C764A04">
        <w:pPr>
          <w:pStyle w:val="1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BF80">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15FACB6">
                          <w:pPr>
                            <w:pStyle w:val="15"/>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515FACB6">
                    <w:pPr>
                      <w:pStyle w:val="15"/>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15"/>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1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B7FB15DB"/>
    <w:multiLevelType w:val="singleLevel"/>
    <w:tmpl w:val="B7FB15DB"/>
    <w:lvl w:ilvl="0" w:tentative="0">
      <w:start w:val="1"/>
      <w:numFmt w:val="chineseCounting"/>
      <w:suff w:val="nothing"/>
      <w:lvlText w:val="（%1）"/>
      <w:lvlJc w:val="left"/>
      <w:rPr>
        <w:rFonts w:hint="eastAsia"/>
      </w:rPr>
    </w:lvl>
  </w:abstractNum>
  <w:abstractNum w:abstractNumId="2">
    <w:nsid w:val="D51EE498"/>
    <w:multiLevelType w:val="singleLevel"/>
    <w:tmpl w:val="D51EE498"/>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3">
    <w:nsid w:val="E6FCC359"/>
    <w:multiLevelType w:val="multilevel"/>
    <w:tmpl w:val="E6FCC359"/>
    <w:lvl w:ilvl="0" w:tentative="0">
      <w:start w:val="1"/>
      <w:numFmt w:val="decimal"/>
      <w:suff w:val="nothing"/>
      <w:lvlText w:val="（%1）"/>
      <w:lvlJc w:val="left"/>
    </w:lvl>
    <w:lvl w:ilvl="1" w:tentative="0">
      <w:start w:val="1"/>
      <w:numFmt w:val="lowerLetter"/>
      <w:lvlText w:val="%2)"/>
      <w:lvlJc w:val="left"/>
      <w:pPr>
        <w:ind w:left="1051" w:hanging="420"/>
      </w:pPr>
      <w:rPr>
        <w:rFonts w:hint="default" w:ascii="宋体" w:hAnsi="宋体"/>
        <w:w w:val="100"/>
      </w:rPr>
    </w:lvl>
    <w:lvl w:ilvl="2" w:tentative="0">
      <w:start w:val="1"/>
      <w:numFmt w:val="lowerRoman"/>
      <w:lvlText w:val="%3."/>
      <w:lvlJc w:val="right"/>
      <w:pPr>
        <w:ind w:left="1471" w:hanging="420"/>
      </w:pPr>
      <w:rPr>
        <w:rFonts w:hint="default" w:ascii="宋体" w:hAnsi="宋体"/>
        <w:w w:val="100"/>
      </w:rPr>
    </w:lvl>
    <w:lvl w:ilvl="3" w:tentative="0">
      <w:start w:val="1"/>
      <w:numFmt w:val="decimal"/>
      <w:lvlText w:val="%4."/>
      <w:lvlJc w:val="left"/>
      <w:pPr>
        <w:ind w:left="1891" w:hanging="420"/>
      </w:pPr>
      <w:rPr>
        <w:rFonts w:hint="default" w:ascii="宋体" w:hAnsi="宋体"/>
        <w:w w:val="100"/>
      </w:rPr>
    </w:lvl>
    <w:lvl w:ilvl="4" w:tentative="0">
      <w:start w:val="1"/>
      <w:numFmt w:val="lowerLetter"/>
      <w:lvlText w:val="%5)"/>
      <w:lvlJc w:val="left"/>
      <w:pPr>
        <w:ind w:left="2311" w:hanging="420"/>
      </w:pPr>
      <w:rPr>
        <w:rFonts w:hint="default" w:ascii="宋体" w:hAnsi="宋体"/>
        <w:w w:val="100"/>
      </w:rPr>
    </w:lvl>
    <w:lvl w:ilvl="5" w:tentative="0">
      <w:start w:val="1"/>
      <w:numFmt w:val="lowerRoman"/>
      <w:lvlText w:val="%6."/>
      <w:lvlJc w:val="right"/>
      <w:pPr>
        <w:ind w:left="2731" w:hanging="420"/>
      </w:pPr>
      <w:rPr>
        <w:rFonts w:hint="default" w:ascii="宋体" w:hAnsi="宋体"/>
        <w:w w:val="100"/>
      </w:rPr>
    </w:lvl>
    <w:lvl w:ilvl="6" w:tentative="0">
      <w:start w:val="1"/>
      <w:numFmt w:val="decimal"/>
      <w:lvlText w:val="%7."/>
      <w:lvlJc w:val="left"/>
      <w:pPr>
        <w:ind w:left="3151" w:hanging="420"/>
      </w:pPr>
      <w:rPr>
        <w:rFonts w:hint="default" w:ascii="宋体" w:hAnsi="宋体"/>
        <w:w w:val="100"/>
      </w:rPr>
    </w:lvl>
    <w:lvl w:ilvl="7" w:tentative="0">
      <w:start w:val="1"/>
      <w:numFmt w:val="lowerLetter"/>
      <w:lvlText w:val="%8)"/>
      <w:lvlJc w:val="left"/>
      <w:pPr>
        <w:ind w:left="3571" w:hanging="420"/>
      </w:pPr>
      <w:rPr>
        <w:rFonts w:hint="default" w:ascii="宋体" w:hAnsi="宋体"/>
        <w:w w:val="100"/>
      </w:rPr>
    </w:lvl>
    <w:lvl w:ilvl="8" w:tentative="0">
      <w:start w:val="1"/>
      <w:numFmt w:val="lowerRoman"/>
      <w:lvlText w:val="%9."/>
      <w:lvlJc w:val="right"/>
      <w:pPr>
        <w:ind w:left="3991" w:hanging="420"/>
      </w:pPr>
      <w:rPr>
        <w:rFonts w:hint="default" w:ascii="宋体" w:hAnsi="宋体"/>
        <w:w w:val="100"/>
      </w:rPr>
    </w:lvl>
  </w:abstractNum>
  <w:abstractNum w:abstractNumId="4">
    <w:nsid w:val="F6AF4419"/>
    <w:multiLevelType w:val="singleLevel"/>
    <w:tmpl w:val="F6AF4419"/>
    <w:lvl w:ilvl="0" w:tentative="0">
      <w:start w:val="2"/>
      <w:numFmt w:val="decimal"/>
      <w:suff w:val="nothing"/>
      <w:lvlText w:val="%1-"/>
      <w:lvlJc w:val="left"/>
    </w:lvl>
  </w:abstractNum>
  <w:abstractNum w:abstractNumId="5">
    <w:nsid w:val="1E43062A"/>
    <w:multiLevelType w:val="singleLevel"/>
    <w:tmpl w:val="1E43062A"/>
    <w:lvl w:ilvl="0" w:tentative="0">
      <w:start w:val="1"/>
      <w:numFmt w:val="decimal"/>
      <w:suff w:val="nothing"/>
      <w:lvlText w:val="（%1）"/>
      <w:lvlJc w:val="left"/>
    </w:lvl>
  </w:abstractNum>
  <w:abstractNum w:abstractNumId="6">
    <w:nsid w:val="204ABAD9"/>
    <w:multiLevelType w:val="singleLevel"/>
    <w:tmpl w:val="204ABAD9"/>
    <w:lvl w:ilvl="0" w:tentative="0">
      <w:start w:val="1"/>
      <w:numFmt w:val="decimal"/>
      <w:suff w:val="nothing"/>
      <w:lvlText w:val="（%1）"/>
      <w:lvlJc w:val="left"/>
    </w:lvl>
  </w:abstractNum>
  <w:abstractNum w:abstractNumId="7">
    <w:nsid w:val="3021BBA9"/>
    <w:multiLevelType w:val="singleLevel"/>
    <w:tmpl w:val="3021BBA9"/>
    <w:lvl w:ilvl="0" w:tentative="0">
      <w:start w:val="1"/>
      <w:numFmt w:val="decimal"/>
      <w:suff w:val="nothing"/>
      <w:lvlText w:val="（%1）"/>
      <w:lvlJc w:val="left"/>
    </w:lvl>
  </w:abstractNum>
  <w:num w:numId="1">
    <w:abstractNumId w:val="2"/>
  </w:num>
  <w:num w:numId="2">
    <w:abstractNumId w:val="6"/>
  </w:num>
  <w:num w:numId="3">
    <w:abstractNumId w:val="5"/>
  </w:num>
  <w:num w:numId="4">
    <w:abstractNumId w:val="7"/>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hZWM1YmQwMDUyZTY0YmFmOGM0ZGYzMmVmNTE4NWUifQ=="/>
  </w:docVars>
  <w:rsids>
    <w:rsidRoot w:val="0064669D"/>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5DA"/>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2FC4086"/>
    <w:rsid w:val="03C0473E"/>
    <w:rsid w:val="044A58F2"/>
    <w:rsid w:val="05943DE1"/>
    <w:rsid w:val="05F73DAF"/>
    <w:rsid w:val="06446807"/>
    <w:rsid w:val="073D2451"/>
    <w:rsid w:val="091C498A"/>
    <w:rsid w:val="09B9022D"/>
    <w:rsid w:val="0C707344"/>
    <w:rsid w:val="0D1C336D"/>
    <w:rsid w:val="0D5A3610"/>
    <w:rsid w:val="0F3E7520"/>
    <w:rsid w:val="12252FE6"/>
    <w:rsid w:val="12497A22"/>
    <w:rsid w:val="127B331C"/>
    <w:rsid w:val="12ED5FD8"/>
    <w:rsid w:val="13821143"/>
    <w:rsid w:val="14855888"/>
    <w:rsid w:val="14ED1815"/>
    <w:rsid w:val="15375675"/>
    <w:rsid w:val="165A18E1"/>
    <w:rsid w:val="16A649DD"/>
    <w:rsid w:val="17E92EF4"/>
    <w:rsid w:val="18CF2CF7"/>
    <w:rsid w:val="1B126D10"/>
    <w:rsid w:val="1D0E4A0A"/>
    <w:rsid w:val="1D752B34"/>
    <w:rsid w:val="1D827470"/>
    <w:rsid w:val="1DA336FF"/>
    <w:rsid w:val="1DF67D37"/>
    <w:rsid w:val="1EA60ED5"/>
    <w:rsid w:val="1F457958"/>
    <w:rsid w:val="1FDE5B01"/>
    <w:rsid w:val="20E33E1A"/>
    <w:rsid w:val="213A656E"/>
    <w:rsid w:val="213F6484"/>
    <w:rsid w:val="23B7641A"/>
    <w:rsid w:val="24485707"/>
    <w:rsid w:val="247B54A6"/>
    <w:rsid w:val="24E057D5"/>
    <w:rsid w:val="26DC4D62"/>
    <w:rsid w:val="26ED5229"/>
    <w:rsid w:val="273B4E02"/>
    <w:rsid w:val="291B0A33"/>
    <w:rsid w:val="2B1179D5"/>
    <w:rsid w:val="2B9D20B8"/>
    <w:rsid w:val="2C2A2A2A"/>
    <w:rsid w:val="2C765AE3"/>
    <w:rsid w:val="2FFF5140"/>
    <w:rsid w:val="30997B6C"/>
    <w:rsid w:val="32104CEA"/>
    <w:rsid w:val="325A370E"/>
    <w:rsid w:val="332C6F59"/>
    <w:rsid w:val="338840C3"/>
    <w:rsid w:val="33CC3091"/>
    <w:rsid w:val="35697901"/>
    <w:rsid w:val="3A371DCF"/>
    <w:rsid w:val="3CEA4B96"/>
    <w:rsid w:val="3D2A5DFB"/>
    <w:rsid w:val="411B16D3"/>
    <w:rsid w:val="414B2C69"/>
    <w:rsid w:val="453C0257"/>
    <w:rsid w:val="48B34581"/>
    <w:rsid w:val="4A1849DC"/>
    <w:rsid w:val="4B751938"/>
    <w:rsid w:val="4BB7534C"/>
    <w:rsid w:val="4D7364B1"/>
    <w:rsid w:val="4DA449D2"/>
    <w:rsid w:val="4E2C4104"/>
    <w:rsid w:val="4FB60E72"/>
    <w:rsid w:val="4FDF40C0"/>
    <w:rsid w:val="51490F5C"/>
    <w:rsid w:val="528D3EA0"/>
    <w:rsid w:val="541C5848"/>
    <w:rsid w:val="547B6AD0"/>
    <w:rsid w:val="548240CD"/>
    <w:rsid w:val="562C39D0"/>
    <w:rsid w:val="56F747CE"/>
    <w:rsid w:val="58D12E0C"/>
    <w:rsid w:val="5E642C1E"/>
    <w:rsid w:val="5E9A002B"/>
    <w:rsid w:val="5EB62F90"/>
    <w:rsid w:val="5FA76AA8"/>
    <w:rsid w:val="62454BE2"/>
    <w:rsid w:val="634C78AB"/>
    <w:rsid w:val="65277688"/>
    <w:rsid w:val="658F7C81"/>
    <w:rsid w:val="66677C0F"/>
    <w:rsid w:val="66846347"/>
    <w:rsid w:val="69305D3F"/>
    <w:rsid w:val="6B5B1630"/>
    <w:rsid w:val="6B6C5EC5"/>
    <w:rsid w:val="6EB13C8E"/>
    <w:rsid w:val="6EDF0EA2"/>
    <w:rsid w:val="76601020"/>
    <w:rsid w:val="77526B9B"/>
    <w:rsid w:val="7931667F"/>
    <w:rsid w:val="7CA2353B"/>
    <w:rsid w:val="7E0D1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autoRedefine/>
    <w:qFormat/>
    <w:uiPriority w:val="9"/>
    <w:pPr>
      <w:keepNext/>
      <w:keepLines/>
      <w:jc w:val="center"/>
      <w:outlineLvl w:val="0"/>
    </w:pPr>
    <w:rPr>
      <w:rFonts w:ascii="Times New Roman" w:hAnsi="Times New Roman" w:eastAsia="宋体"/>
      <w:b/>
      <w:bCs/>
      <w:kern w:val="44"/>
      <w:sz w:val="30"/>
      <w:szCs w:val="44"/>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2"/>
    <w:autoRedefine/>
    <w:semiHidden/>
    <w:unhideWhenUsed/>
    <w:qFormat/>
    <w:uiPriority w:val="99"/>
    <w:pPr>
      <w:spacing w:after="120"/>
    </w:pPr>
  </w:style>
  <w:style w:type="paragraph" w:styleId="3">
    <w:name w:val="List Bullet 5"/>
    <w:basedOn w:val="1"/>
    <w:semiHidden/>
    <w:unhideWhenUsed/>
    <w:qFormat/>
    <w:uiPriority w:val="99"/>
    <w:pPr>
      <w:numPr>
        <w:ilvl w:val="0"/>
        <w:numId w:val="1"/>
      </w:numPr>
    </w:pPr>
  </w:style>
  <w:style w:type="paragraph" w:styleId="7">
    <w:name w:val="List 3"/>
    <w:basedOn w:val="1"/>
    <w:qFormat/>
    <w:uiPriority w:val="0"/>
    <w:pPr>
      <w:spacing w:line="240" w:lineRule="auto"/>
      <w:ind w:left="0" w:leftChars="0" w:firstLine="0" w:firstLineChars="0"/>
      <w:jc w:val="center"/>
    </w:pPr>
    <w:rPr>
      <w:sz w:val="21"/>
    </w:rPr>
  </w:style>
  <w:style w:type="paragraph" w:styleId="8">
    <w:name w:val="Note Heading"/>
    <w:basedOn w:val="1"/>
    <w:next w:val="1"/>
    <w:qFormat/>
    <w:uiPriority w:val="0"/>
    <w:pPr>
      <w:adjustRightInd w:val="0"/>
      <w:spacing w:line="360" w:lineRule="auto"/>
      <w:jc w:val="center"/>
    </w:pPr>
    <w:rPr>
      <w:szCs w:val="24"/>
    </w:rPr>
  </w:style>
  <w:style w:type="paragraph" w:styleId="9">
    <w:name w:val="Normal Indent"/>
    <w:basedOn w:val="1"/>
    <w:qFormat/>
    <w:uiPriority w:val="0"/>
    <w:pPr>
      <w:ind w:firstLine="420"/>
    </w:pPr>
    <w:rPr>
      <w:rFonts w:ascii="Calibri" w:hAnsi="Calibri"/>
      <w:szCs w:val="20"/>
    </w:rPr>
  </w:style>
  <w:style w:type="paragraph" w:styleId="10">
    <w:name w:val="annotation text"/>
    <w:basedOn w:val="1"/>
    <w:semiHidden/>
    <w:unhideWhenUsed/>
    <w:qFormat/>
    <w:uiPriority w:val="99"/>
    <w:pPr>
      <w:jc w:val="left"/>
    </w:pPr>
  </w:style>
  <w:style w:type="paragraph" w:styleId="11">
    <w:name w:val="Body Text Indent"/>
    <w:basedOn w:val="1"/>
    <w:link w:val="40"/>
    <w:autoRedefine/>
    <w:semiHidden/>
    <w:unhideWhenUsed/>
    <w:qFormat/>
    <w:uiPriority w:val="99"/>
    <w:pPr>
      <w:spacing w:after="120"/>
      <w:ind w:left="420" w:leftChars="200"/>
    </w:pPr>
  </w:style>
  <w:style w:type="paragraph" w:styleId="12">
    <w:name w:val="Block Text"/>
    <w:basedOn w:val="1"/>
    <w:qFormat/>
    <w:uiPriority w:val="0"/>
    <w:pPr>
      <w:spacing w:after="120"/>
      <w:ind w:left="1440" w:leftChars="700" w:right="1440" w:rightChars="700"/>
    </w:pPr>
    <w:rPr>
      <w:rFonts w:ascii="Calibri" w:hAnsi="Calibri"/>
      <w:szCs w:val="20"/>
    </w:rPr>
  </w:style>
  <w:style w:type="paragraph" w:styleId="13">
    <w:name w:val="Plain Text"/>
    <w:basedOn w:val="1"/>
    <w:qFormat/>
    <w:uiPriority w:val="0"/>
    <w:pPr>
      <w:widowControl w:val="0"/>
      <w:jc w:val="both"/>
    </w:pPr>
    <w:rPr>
      <w:rFonts w:ascii="宋体" w:hAnsi="Courier New"/>
      <w:kern w:val="2"/>
      <w:sz w:val="28"/>
    </w:rPr>
  </w:style>
  <w:style w:type="paragraph" w:styleId="14">
    <w:name w:val="Balloon Text"/>
    <w:basedOn w:val="1"/>
    <w:link w:val="47"/>
    <w:autoRedefine/>
    <w:semiHidden/>
    <w:unhideWhenUsed/>
    <w:qFormat/>
    <w:uiPriority w:val="99"/>
    <w:rPr>
      <w:sz w:val="18"/>
      <w:szCs w:val="18"/>
    </w:rPr>
  </w:style>
  <w:style w:type="paragraph" w:styleId="15">
    <w:name w:val="footer"/>
    <w:basedOn w:val="1"/>
    <w:link w:val="46"/>
    <w:autoRedefine/>
    <w:unhideWhenUsed/>
    <w:qFormat/>
    <w:uiPriority w:val="99"/>
    <w:pPr>
      <w:tabs>
        <w:tab w:val="center" w:pos="4153"/>
        <w:tab w:val="right" w:pos="8306"/>
      </w:tabs>
      <w:snapToGrid w:val="0"/>
      <w:jc w:val="left"/>
    </w:pPr>
    <w:rPr>
      <w:sz w:val="18"/>
      <w:szCs w:val="18"/>
    </w:rPr>
  </w:style>
  <w:style w:type="paragraph" w:styleId="16">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index heading"/>
    <w:basedOn w:val="1"/>
    <w:next w:val="1"/>
    <w:unhideWhenUsed/>
    <w:qFormat/>
    <w:uiPriority w:val="99"/>
    <w:rPr>
      <w:szCs w:val="20"/>
    </w:rPr>
  </w:style>
  <w:style w:type="paragraph" w:styleId="19">
    <w:name w:val="Body Text Indent 3"/>
    <w:basedOn w:val="1"/>
    <w:autoRedefine/>
    <w:qFormat/>
    <w:uiPriority w:val="0"/>
    <w:pPr>
      <w:spacing w:line="280" w:lineRule="exact"/>
      <w:ind w:left="602" w:hanging="602"/>
    </w:pPr>
    <w:rPr>
      <w:kern w:val="0"/>
      <w:sz w:val="16"/>
      <w:szCs w:val="16"/>
    </w:rPr>
  </w:style>
  <w:style w:type="paragraph" w:styleId="20">
    <w:name w:val="toc 9"/>
    <w:basedOn w:val="1"/>
    <w:next w:val="1"/>
    <w:qFormat/>
    <w:uiPriority w:val="0"/>
    <w:pPr>
      <w:ind w:left="3360" w:leftChars="1600"/>
    </w:pPr>
  </w:style>
  <w:style w:type="paragraph" w:styleId="21">
    <w:name w:val="Body Text 2"/>
    <w:basedOn w:val="1"/>
    <w:qFormat/>
    <w:uiPriority w:val="0"/>
    <w:pPr>
      <w:spacing w:after="120" w:line="480" w:lineRule="auto"/>
    </w:pPr>
  </w:style>
  <w:style w:type="paragraph" w:styleId="22">
    <w:name w:val="Normal (Web)"/>
    <w:basedOn w:val="1"/>
    <w:link w:val="50"/>
    <w:autoRedefine/>
    <w:unhideWhenUsed/>
    <w:qFormat/>
    <w:uiPriority w:val="0"/>
    <w:pPr>
      <w:widowControl/>
      <w:jc w:val="left"/>
    </w:pPr>
    <w:rPr>
      <w:rFonts w:ascii="宋体" w:hAnsi="宋体" w:eastAsia="宋体"/>
      <w:b/>
      <w:sz w:val="24"/>
    </w:rPr>
  </w:style>
  <w:style w:type="paragraph" w:styleId="23">
    <w:name w:val="index 1"/>
    <w:basedOn w:val="1"/>
    <w:next w:val="1"/>
    <w:unhideWhenUsed/>
    <w:qFormat/>
    <w:uiPriority w:val="99"/>
    <w:pPr>
      <w:jc w:val="center"/>
    </w:pPr>
    <w:rPr>
      <w:szCs w:val="20"/>
    </w:rPr>
  </w:style>
  <w:style w:type="paragraph" w:styleId="24">
    <w:name w:val="Body Text First Indent"/>
    <w:basedOn w:val="2"/>
    <w:next w:val="1"/>
    <w:link w:val="43"/>
    <w:autoRedefine/>
    <w:qFormat/>
    <w:uiPriority w:val="0"/>
    <w:pPr>
      <w:ind w:firstLine="420" w:firstLineChars="100"/>
    </w:pPr>
    <w:rPr>
      <w:rFonts w:ascii="Times New Roman" w:hAnsi="Times New Roman" w:eastAsia="宋体" w:cs="Times New Roman"/>
      <w:szCs w:val="20"/>
    </w:rPr>
  </w:style>
  <w:style w:type="paragraph" w:styleId="25">
    <w:name w:val="Body Text First Indent 2"/>
    <w:basedOn w:val="11"/>
    <w:next w:val="1"/>
    <w:link w:val="41"/>
    <w:autoRedefine/>
    <w:qFormat/>
    <w:uiPriority w:val="99"/>
    <w:pPr>
      <w:ind w:firstLine="420" w:firstLineChars="200"/>
    </w:pPr>
    <w:rPr>
      <w:rFonts w:ascii="Times New Roman" w:hAnsi="Times New Roman" w:eastAsia="宋体" w:cs="Times New Roman"/>
      <w:szCs w:val="20"/>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Emphasis"/>
    <w:basedOn w:val="28"/>
    <w:qFormat/>
    <w:uiPriority w:val="20"/>
    <w:rPr>
      <w:i/>
    </w:rPr>
  </w:style>
  <w:style w:type="character" w:styleId="31">
    <w:name w:val="Hyperlink"/>
    <w:autoRedefine/>
    <w:qFormat/>
    <w:uiPriority w:val="99"/>
    <w:rPr>
      <w:color w:val="0000FF"/>
      <w:u w:val="single"/>
    </w:rPr>
  </w:style>
  <w:style w:type="character" w:styleId="32">
    <w:name w:val="annotation reference"/>
    <w:basedOn w:val="28"/>
    <w:qFormat/>
    <w:uiPriority w:val="0"/>
    <w:rPr>
      <w:sz w:val="21"/>
      <w:szCs w:val="21"/>
    </w:rPr>
  </w:style>
  <w:style w:type="paragraph" w:customStyle="1" w:styleId="33">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4">
    <w:name w:val="Default"/>
    <w:basedOn w:val="35"/>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标题2"/>
    <w:basedOn w:val="5"/>
    <w:autoRedefine/>
    <w:qFormat/>
    <w:uiPriority w:val="0"/>
    <w:pPr>
      <w:tabs>
        <w:tab w:val="left" w:pos="0"/>
      </w:tabs>
      <w:spacing w:line="440" w:lineRule="exact"/>
      <w:ind w:left="1560"/>
    </w:pPr>
    <w:rPr>
      <w:sz w:val="28"/>
    </w:rPr>
  </w:style>
  <w:style w:type="paragraph" w:customStyle="1" w:styleId="37">
    <w:name w:val="样式3"/>
    <w:basedOn w:val="17"/>
    <w:next w:val="38"/>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8">
    <w:name w:val="目录 53"/>
    <w:basedOn w:val="1"/>
    <w:next w:val="1"/>
    <w:autoRedefine/>
    <w:qFormat/>
    <w:uiPriority w:val="0"/>
    <w:pPr>
      <w:ind w:left="840"/>
    </w:pPr>
    <w:rPr>
      <w:rFonts w:cs="宋体"/>
      <w:color w:val="000000"/>
    </w:rPr>
  </w:style>
  <w:style w:type="character" w:customStyle="1" w:styleId="39">
    <w:name w:val="标题 1 字符"/>
    <w:basedOn w:val="28"/>
    <w:link w:val="4"/>
    <w:autoRedefine/>
    <w:qFormat/>
    <w:uiPriority w:val="9"/>
    <w:rPr>
      <w:rFonts w:ascii="Times New Roman" w:hAnsi="Times New Roman" w:eastAsia="宋体"/>
      <w:b/>
      <w:bCs/>
      <w:kern w:val="44"/>
      <w:sz w:val="30"/>
      <w:szCs w:val="44"/>
    </w:rPr>
  </w:style>
  <w:style w:type="character" w:customStyle="1" w:styleId="40">
    <w:name w:val="正文文本缩进 字符"/>
    <w:basedOn w:val="28"/>
    <w:link w:val="11"/>
    <w:autoRedefine/>
    <w:semiHidden/>
    <w:qFormat/>
    <w:uiPriority w:val="99"/>
  </w:style>
  <w:style w:type="character" w:customStyle="1" w:styleId="41">
    <w:name w:val="正文文本首行缩进 2 字符"/>
    <w:basedOn w:val="40"/>
    <w:link w:val="25"/>
    <w:autoRedefine/>
    <w:qFormat/>
    <w:uiPriority w:val="99"/>
    <w:rPr>
      <w:rFonts w:ascii="Times New Roman" w:hAnsi="Times New Roman" w:eastAsia="宋体" w:cs="Times New Roman"/>
      <w:szCs w:val="20"/>
    </w:rPr>
  </w:style>
  <w:style w:type="character" w:customStyle="1" w:styleId="42">
    <w:name w:val="正文文本 字符"/>
    <w:basedOn w:val="28"/>
    <w:link w:val="2"/>
    <w:autoRedefine/>
    <w:semiHidden/>
    <w:qFormat/>
    <w:uiPriority w:val="99"/>
  </w:style>
  <w:style w:type="character" w:customStyle="1" w:styleId="43">
    <w:name w:val="正文文本首行缩进 字符"/>
    <w:basedOn w:val="42"/>
    <w:link w:val="24"/>
    <w:autoRedefine/>
    <w:qFormat/>
    <w:uiPriority w:val="0"/>
    <w:rPr>
      <w:rFonts w:ascii="Times New Roman" w:hAnsi="Times New Roman" w:eastAsia="宋体" w:cs="Times New Roman"/>
      <w:szCs w:val="20"/>
    </w:rPr>
  </w:style>
  <w:style w:type="paragraph" w:styleId="44">
    <w:name w:val="List Paragraph"/>
    <w:basedOn w:val="1"/>
    <w:autoRedefine/>
    <w:qFormat/>
    <w:uiPriority w:val="34"/>
    <w:pPr>
      <w:ind w:firstLine="420" w:firstLineChars="200"/>
    </w:pPr>
  </w:style>
  <w:style w:type="character" w:customStyle="1" w:styleId="45">
    <w:name w:val="页眉 字符"/>
    <w:basedOn w:val="28"/>
    <w:link w:val="16"/>
    <w:autoRedefine/>
    <w:qFormat/>
    <w:uiPriority w:val="99"/>
    <w:rPr>
      <w:sz w:val="18"/>
      <w:szCs w:val="18"/>
    </w:rPr>
  </w:style>
  <w:style w:type="character" w:customStyle="1" w:styleId="46">
    <w:name w:val="页脚 字符"/>
    <w:basedOn w:val="28"/>
    <w:link w:val="15"/>
    <w:autoRedefine/>
    <w:qFormat/>
    <w:uiPriority w:val="99"/>
    <w:rPr>
      <w:sz w:val="18"/>
      <w:szCs w:val="18"/>
    </w:rPr>
  </w:style>
  <w:style w:type="character" w:customStyle="1" w:styleId="47">
    <w:name w:val="批注框文本 字符"/>
    <w:basedOn w:val="28"/>
    <w:link w:val="14"/>
    <w:autoRedefine/>
    <w:semiHidden/>
    <w:qFormat/>
    <w:uiPriority w:val="99"/>
    <w:rPr>
      <w:sz w:val="18"/>
      <w:szCs w:val="18"/>
    </w:rPr>
  </w:style>
  <w:style w:type="paragraph" w:customStyle="1" w:styleId="48">
    <w:name w:val="表格"/>
    <w:basedOn w:val="1"/>
    <w:next w:val="1"/>
    <w:link w:val="49"/>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9">
    <w:name w:val="表格 Char"/>
    <w:link w:val="48"/>
    <w:autoRedefine/>
    <w:qFormat/>
    <w:locked/>
    <w:uiPriority w:val="0"/>
    <w:rPr>
      <w:rFonts w:ascii="宋体" w:hAnsi="Times New Roman" w:eastAsia="黑体" w:cs="Times New Roman"/>
      <w:spacing w:val="-10"/>
      <w:kern w:val="0"/>
      <w:sz w:val="24"/>
      <w:szCs w:val="20"/>
    </w:rPr>
  </w:style>
  <w:style w:type="character" w:customStyle="1" w:styleId="50">
    <w:name w:val="普通(网站) 字符"/>
    <w:link w:val="22"/>
    <w:autoRedefine/>
    <w:qFormat/>
    <w:locked/>
    <w:uiPriority w:val="0"/>
    <w:rPr>
      <w:rFonts w:ascii="宋体" w:hAnsi="宋体" w:eastAsia="宋体"/>
      <w:b/>
      <w:sz w:val="24"/>
    </w:rPr>
  </w:style>
  <w:style w:type="character" w:customStyle="1" w:styleId="51">
    <w:name w:val="表格文字 Char"/>
    <w:link w:val="52"/>
    <w:autoRedefine/>
    <w:qFormat/>
    <w:uiPriority w:val="0"/>
    <w:rPr>
      <w:kern w:val="24"/>
      <w:sz w:val="24"/>
    </w:rPr>
  </w:style>
  <w:style w:type="paragraph" w:customStyle="1" w:styleId="52">
    <w:name w:val="表格文字"/>
    <w:link w:val="51"/>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3">
    <w:name w:val="表格内容"/>
    <w:basedOn w:val="1"/>
    <w:next w:val="1"/>
    <w:autoRedefine/>
    <w:qFormat/>
    <w:uiPriority w:val="0"/>
    <w:pPr>
      <w:jc w:val="center"/>
    </w:pPr>
    <w:rPr>
      <w:szCs w:val="21"/>
    </w:rPr>
  </w:style>
  <w:style w:type="paragraph" w:customStyle="1" w:styleId="54">
    <w:name w:val="Table Paragraph"/>
    <w:basedOn w:val="1"/>
    <w:autoRedefine/>
    <w:qFormat/>
    <w:uiPriority w:val="1"/>
  </w:style>
  <w:style w:type="paragraph" w:customStyle="1" w:styleId="55">
    <w:name w:val="正文zy"/>
    <w:basedOn w:val="1"/>
    <w:autoRedefine/>
    <w:qFormat/>
    <w:uiPriority w:val="0"/>
    <w:pPr>
      <w:snapToGrid w:val="0"/>
      <w:spacing w:line="360" w:lineRule="auto"/>
      <w:ind w:firstLine="480" w:firstLineChars="200"/>
    </w:pPr>
    <w:rPr>
      <w:color w:val="000000"/>
      <w:kern w:val="2"/>
    </w:rPr>
  </w:style>
  <w:style w:type="character" w:customStyle="1" w:styleId="56">
    <w:name w:val="font21"/>
    <w:basedOn w:val="28"/>
    <w:autoRedefine/>
    <w:qFormat/>
    <w:uiPriority w:val="0"/>
    <w:rPr>
      <w:rFonts w:hint="eastAsia" w:ascii="宋体" w:hAnsi="宋体" w:eastAsia="宋体" w:cs="宋体"/>
      <w:color w:val="000000"/>
      <w:sz w:val="21"/>
      <w:szCs w:val="21"/>
      <w:u w:val="none"/>
    </w:rPr>
  </w:style>
  <w:style w:type="paragraph" w:customStyle="1" w:styleId="57">
    <w:name w:val="0正文"/>
    <w:basedOn w:val="1"/>
    <w:autoRedefine/>
    <w:qFormat/>
    <w:uiPriority w:val="0"/>
    <w:pPr>
      <w:spacing w:line="360" w:lineRule="auto"/>
      <w:ind w:firstLine="200" w:firstLineChars="200"/>
    </w:pPr>
    <w:rPr>
      <w:kern w:val="0"/>
      <w:sz w:val="24"/>
      <w:szCs w:val="22"/>
      <w:lang w:eastAsia="en-US"/>
    </w:rPr>
  </w:style>
  <w:style w:type="paragraph" w:customStyle="1" w:styleId="58">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59">
    <w:name w:val="表格标题"/>
    <w:basedOn w:val="1"/>
    <w:autoRedefine/>
    <w:qFormat/>
    <w:uiPriority w:val="0"/>
    <w:pPr>
      <w:ind w:firstLine="0" w:firstLineChars="0"/>
      <w:jc w:val="center"/>
    </w:pPr>
    <w:rPr>
      <w:b/>
      <w:szCs w:val="24"/>
    </w:rPr>
  </w:style>
  <w:style w:type="paragraph" w:customStyle="1" w:styleId="60">
    <w:name w:val="1正文"/>
    <w:basedOn w:val="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1">
    <w:name w:val="D正文"/>
    <w:basedOn w:val="62"/>
    <w:qFormat/>
    <w:uiPriority w:val="0"/>
    <w:pPr>
      <w:spacing w:line="360" w:lineRule="auto"/>
      <w:ind w:firstLine="480"/>
      <w:jc w:val="both"/>
    </w:pPr>
    <w:rPr>
      <w:rFonts w:hAnsi="宋体"/>
      <w:kern w:val="2"/>
      <w:szCs w:val="24"/>
    </w:rPr>
  </w:style>
  <w:style w:type="paragraph" w:customStyle="1" w:styleId="62">
    <w:name w:val="正文对的"/>
    <w:basedOn w:val="13"/>
    <w:qFormat/>
    <w:uiPriority w:val="0"/>
    <w:pPr>
      <w:spacing w:line="500" w:lineRule="exact"/>
      <w:ind w:firstLine="200" w:firstLineChars="200"/>
    </w:pPr>
    <w:rPr>
      <w:rFonts w:hAnsi="宋体"/>
      <w:kern w:val="2"/>
      <w:sz w:val="24"/>
      <w:szCs w:val="24"/>
    </w:rPr>
  </w:style>
  <w:style w:type="paragraph" w:customStyle="1" w:styleId="63">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4">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5">
    <w:name w:val="表格普通"/>
    <w:basedOn w:val="1"/>
    <w:autoRedefine/>
    <w:qFormat/>
    <w:uiPriority w:val="0"/>
    <w:pPr>
      <w:jc w:val="center"/>
    </w:pPr>
    <w:rPr>
      <w:rFonts w:eastAsia="仿宋_GB2312"/>
    </w:rPr>
  </w:style>
  <w:style w:type="paragraph" w:customStyle="1" w:styleId="66">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67">
    <w:name w:val="0000"/>
    <w:basedOn w:val="1"/>
    <w:autoRedefine/>
    <w:qFormat/>
    <w:uiPriority w:val="0"/>
    <w:pPr>
      <w:adjustRightInd w:val="0"/>
      <w:snapToGrid w:val="0"/>
    </w:pPr>
    <w:rPr>
      <w:rFonts w:hint="eastAsia"/>
      <w:sz w:val="24"/>
      <w:lang w:val="zh-TW"/>
    </w:rPr>
  </w:style>
  <w:style w:type="paragraph" w:customStyle="1" w:styleId="68">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69">
    <w:name w:val="apple-style-span"/>
    <w:autoRedefine/>
    <w:qFormat/>
    <w:uiPriority w:val="0"/>
  </w:style>
  <w:style w:type="paragraph" w:customStyle="1" w:styleId="70">
    <w:name w:val="二级无标题条"/>
    <w:basedOn w:val="1"/>
    <w:autoRedefine/>
    <w:qFormat/>
    <w:uiPriority w:val="0"/>
  </w:style>
  <w:style w:type="paragraph" w:customStyle="1" w:styleId="71">
    <w:name w:val="报告表正文"/>
    <w:basedOn w:val="72"/>
    <w:autoRedefine/>
    <w:qFormat/>
    <w:uiPriority w:val="0"/>
    <w:pPr>
      <w:ind w:firstLine="200" w:firstLineChars="200"/>
      <w:jc w:val="left"/>
    </w:pPr>
    <w:rPr>
      <w:rFonts w:ascii="Times New Roman" w:hAnsi="Times New Roman"/>
      <w:szCs w:val="24"/>
    </w:rPr>
  </w:style>
  <w:style w:type="paragraph" w:customStyle="1" w:styleId="72">
    <w:name w:val="列表1"/>
    <w:basedOn w:val="1"/>
    <w:autoRedefine/>
    <w:qFormat/>
    <w:uiPriority w:val="0"/>
    <w:pPr>
      <w:spacing w:line="400" w:lineRule="exact"/>
      <w:jc w:val="center"/>
    </w:pPr>
    <w:rPr>
      <w:rFonts w:ascii="宋体" w:hAnsi="宋体" w:eastAsia="仿宋_GB2312"/>
      <w:sz w:val="24"/>
      <w:szCs w:val="20"/>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 w:type="table" w:customStyle="1" w:styleId="74">
    <w:name w:val="Table Normal"/>
    <w:semiHidden/>
    <w:unhideWhenUsed/>
    <w:qFormat/>
    <w:uiPriority w:val="0"/>
    <w:tblPr>
      <w:tblCellMar>
        <w:top w:w="0" w:type="dxa"/>
        <w:left w:w="0" w:type="dxa"/>
        <w:bottom w:w="0" w:type="dxa"/>
        <w:right w:w="0" w:type="dxa"/>
      </w:tblCellMar>
    </w:tblPr>
  </w:style>
  <w:style w:type="character" w:customStyle="1" w:styleId="75">
    <w:name w:val="font31"/>
    <w:basedOn w:val="28"/>
    <w:qFormat/>
    <w:uiPriority w:val="0"/>
    <w:rPr>
      <w:rFonts w:hint="eastAsia" w:ascii="宋体" w:hAnsi="宋体" w:eastAsia="宋体" w:cs="宋体"/>
      <w:color w:val="000000"/>
      <w:sz w:val="21"/>
      <w:szCs w:val="21"/>
      <w:u w:val="none"/>
    </w:rPr>
  </w:style>
  <w:style w:type="character" w:customStyle="1" w:styleId="76">
    <w:name w:val="font41"/>
    <w:basedOn w:val="28"/>
    <w:qFormat/>
    <w:uiPriority w:val="0"/>
    <w:rPr>
      <w:rFonts w:hint="default" w:ascii="Times New Roman" w:hAnsi="Times New Roman" w:cs="Times New Roman"/>
      <w:color w:val="000000"/>
      <w:sz w:val="21"/>
      <w:szCs w:val="21"/>
      <w:u w:val="none"/>
    </w:rPr>
  </w:style>
  <w:style w:type="paragraph" w:customStyle="1" w:styleId="77">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78">
    <w:name w:val="Z表格标题"/>
    <w:basedOn w:val="1"/>
    <w:next w:val="1"/>
    <w:qFormat/>
    <w:uiPriority w:val="0"/>
    <w:pPr>
      <w:spacing w:line="400" w:lineRule="exact"/>
      <w:jc w:val="center"/>
    </w:pPr>
    <w:rPr>
      <w:rFonts w:ascii="Times New Roman" w:hAnsi="Times New Roman" w:eastAsia="宋体"/>
      <w:b/>
    </w:rPr>
  </w:style>
  <w:style w:type="paragraph" w:customStyle="1" w:styleId="79">
    <w:name w:val="Z嵌套表格内容"/>
    <w:basedOn w:val="1"/>
    <w:qFormat/>
    <w:uiPriority w:val="0"/>
    <w:pPr>
      <w:jc w:val="center"/>
    </w:pPr>
    <w:rPr>
      <w:rFonts w:ascii="Times New Roman" w:hAnsi="Times New Roman" w:eastAsia="宋体"/>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wmf"/><Relationship Id="rId26" Type="http://schemas.openxmlformats.org/officeDocument/2006/relationships/oleObject" Target="embeddings/oleObject1.bin"/><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115</Pages>
  <Words>35</Words>
  <Characters>58</Characters>
  <Lines>370</Lines>
  <Paragraphs>104</Paragraphs>
  <TotalTime>0</TotalTime>
  <ScaleCrop>false</ScaleCrop>
  <LinksUpToDate>false</LinksUpToDate>
  <CharactersWithSpaces>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2023-12-25T01:42:00Z</cp:lastPrinted>
  <dcterms:modified xsi:type="dcterms:W3CDTF">2025-04-11T08:16:11Z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B4C2234CA3D142358F80FD8EE55642F0_13</vt:lpwstr>
  </property>
  <property fmtid="{D5CDD505-2E9C-101B-9397-08002B2CF9AE}" pid="4" name="KSOTemplateDocerSaveRecord">
    <vt:lpwstr>eyJoZGlkIjoiYWZhMzA0MTE2MGQ3ODcwOTgyMWY3NzY0ZDhkYzQxODciLCJ1c2VySWQiOiIzODk2NzQyOTcifQ==</vt:lpwstr>
  </property>
</Properties>
</file>